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5A9" w:rsidRDefault="004935A9">
      <w:pPr>
        <w:pStyle w:val="af4"/>
        <w:spacing w:line="320" w:lineRule="exact"/>
        <w:ind w:left="360" w:firstLineChars="0" w:firstLine="0"/>
        <w:rPr>
          <w:rFonts w:ascii="Arial" w:hAnsi="Arial" w:cs="Arial"/>
          <w:sz w:val="21"/>
          <w:szCs w:val="21"/>
        </w:rPr>
      </w:pPr>
    </w:p>
    <w:p w:rsidR="004935A9" w:rsidRDefault="00311723">
      <w:pPr>
        <w:pStyle w:val="af4"/>
        <w:spacing w:line="320" w:lineRule="exact"/>
        <w:ind w:firstLineChars="0" w:firstLine="0"/>
        <w:rPr>
          <w:rFonts w:ascii="Arial" w:hAnsi="Arial" w:cs="Arial"/>
          <w:b/>
          <w:sz w:val="21"/>
          <w:szCs w:val="21"/>
        </w:rPr>
      </w:pPr>
      <w:r>
        <w:rPr>
          <w:rFonts w:ascii="Arial" w:hAnsi="Arial" w:cs="Arial"/>
          <w:noProof/>
          <w:sz w:val="21"/>
          <w:szCs w:val="21"/>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margin">
                  <wp:posOffset>4838700</wp:posOffset>
                </wp:positionV>
                <wp:extent cx="5904230" cy="2895600"/>
                <wp:effectExtent l="0" t="0" r="2540" b="1270"/>
                <wp:wrapNone/>
                <wp:docPr id="17938228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95600"/>
                        </a:xfrm>
                        <a:prstGeom prst="rect">
                          <a:avLst/>
                        </a:prstGeom>
                        <a:noFill/>
                        <a:ln>
                          <a:noFill/>
                        </a:ln>
                      </wps:spPr>
                      <wps:txbx>
                        <w:txbxContent>
                          <w:p w:rsidR="00311723" w:rsidRDefault="00311723">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0" w:name="_Toc97732725"/>
                            <w:bookmarkStart w:id="1" w:name="_Toc97732791"/>
                            <w:bookmarkStart w:id="2" w:name="_Toc97732841"/>
                            <w:r>
                              <w:rPr>
                                <w:rFonts w:ascii="Arial" w:eastAsia="方正黑体简体" w:hAnsi="Arial" w:hint="eastAsia"/>
                                <w:b/>
                                <w:bCs/>
                                <w:sz w:val="21"/>
                                <w:szCs w:val="21"/>
                              </w:rPr>
                              <w:t>项目名称：</w:t>
                            </w:r>
                            <w:bookmarkEnd w:id="0"/>
                            <w:bookmarkEnd w:id="1"/>
                            <w:bookmarkEnd w:id="2"/>
                          </w:p>
                          <w:p w:rsidR="00311723" w:rsidRDefault="00311723">
                            <w:pPr>
                              <w:pStyle w:val="af4"/>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proofErr w:type="gramStart"/>
                            <w:r>
                              <w:rPr>
                                <w:rFonts w:ascii="Arial" w:eastAsia="方正黑体简体" w:hAnsi="Arial" w:cs="Arial" w:hint="eastAsia"/>
                                <w:sz w:val="21"/>
                                <w:szCs w:val="21"/>
                              </w:rPr>
                              <w:t>昌平区</w:t>
                            </w:r>
                            <w:proofErr w:type="gramEnd"/>
                            <w:r>
                              <w:rPr>
                                <w:rFonts w:ascii="Arial" w:eastAsia="方正黑体简体" w:hAnsi="Arial" w:cs="Arial" w:hint="eastAsia"/>
                                <w:sz w:val="21"/>
                                <w:szCs w:val="21"/>
                              </w:rPr>
                              <w:t>马池口镇百泉庄村集体土地租赁住房项目集体经营性建设用地使用权地价评估</w:t>
                            </w:r>
                          </w:p>
                          <w:p w:rsidR="00311723" w:rsidRDefault="00311723">
                            <w:pPr>
                              <w:textAlignment w:val="bottom"/>
                              <w:rPr>
                                <w:rFonts w:ascii="Arial" w:hAnsi="Arial"/>
                              </w:rPr>
                            </w:pPr>
                          </w:p>
                          <w:p w:rsidR="00311723" w:rsidRDefault="00311723">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3" w:name="_Toc97732842"/>
                            <w:bookmarkStart w:id="4" w:name="_Toc97732792"/>
                            <w:bookmarkStart w:id="5" w:name="_Toc97732726"/>
                            <w:r>
                              <w:rPr>
                                <w:rFonts w:ascii="Arial" w:eastAsia="方正黑体简体" w:hAnsi="Arial" w:hint="eastAsia"/>
                                <w:b/>
                                <w:bCs/>
                                <w:sz w:val="21"/>
                                <w:szCs w:val="21"/>
                              </w:rPr>
                              <w:t>委托方：</w:t>
                            </w:r>
                            <w:bookmarkEnd w:id="3"/>
                            <w:bookmarkEnd w:id="4"/>
                            <w:bookmarkEnd w:id="5"/>
                          </w:p>
                          <w:p w:rsidR="00311723" w:rsidRDefault="00311723">
                            <w:pPr>
                              <w:pStyle w:val="af4"/>
                              <w:spacing w:line="320" w:lineRule="exact"/>
                              <w:ind w:left="360" w:firstLineChars="0" w:firstLine="0"/>
                              <w:textAlignment w:val="bottom"/>
                              <w:rPr>
                                <w:rFonts w:ascii="Arial" w:eastAsia="方正黑体简体" w:hAnsi="Arial" w:cs="Arial"/>
                                <w:sz w:val="21"/>
                                <w:szCs w:val="21"/>
                              </w:rPr>
                            </w:pPr>
                            <w:bookmarkStart w:id="6" w:name="_Hlk100474087"/>
                            <w:r>
                              <w:rPr>
                                <w:rFonts w:ascii="Arial" w:eastAsia="方正黑体简体" w:hAnsi="Arial" w:cs="Arial" w:hint="eastAsia"/>
                                <w:sz w:val="21"/>
                                <w:szCs w:val="21"/>
                              </w:rPr>
                              <w:t>北京保障房中心有限公司</w:t>
                            </w:r>
                          </w:p>
                          <w:bookmarkEnd w:id="6"/>
                          <w:p w:rsidR="00311723" w:rsidRDefault="00311723">
                            <w:pPr>
                              <w:textAlignment w:val="bottom"/>
                              <w:rPr>
                                <w:rFonts w:ascii="Arial" w:eastAsia="方正黑体简体" w:hAnsi="Arial"/>
                              </w:rPr>
                            </w:pPr>
                          </w:p>
                          <w:p w:rsidR="00311723" w:rsidRDefault="00311723">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7" w:name="_Toc97732843"/>
                            <w:bookmarkStart w:id="8" w:name="_Toc97732793"/>
                            <w:bookmarkStart w:id="9" w:name="_Toc97732727"/>
                            <w:r>
                              <w:rPr>
                                <w:rFonts w:ascii="Arial" w:eastAsia="方正黑体简体" w:hAnsi="Arial" w:hint="eastAsia"/>
                                <w:b/>
                                <w:bCs/>
                                <w:sz w:val="21"/>
                                <w:szCs w:val="21"/>
                              </w:rPr>
                              <w:t>受托单位：</w:t>
                            </w:r>
                            <w:bookmarkEnd w:id="7"/>
                            <w:bookmarkEnd w:id="8"/>
                            <w:bookmarkEnd w:id="9"/>
                          </w:p>
                          <w:p w:rsidR="00311723" w:rsidRDefault="00311723">
                            <w:pPr>
                              <w:pStyle w:val="af4"/>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rsidR="00311723" w:rsidRDefault="00311723">
                            <w:pPr>
                              <w:spacing w:line="320" w:lineRule="exact"/>
                              <w:textAlignment w:val="bottom"/>
                              <w:rPr>
                                <w:rFonts w:ascii="Arial" w:eastAsia="方正黑体简体" w:hAnsi="Arial"/>
                                <w:b/>
                                <w:sz w:val="21"/>
                                <w:szCs w:val="21"/>
                              </w:rPr>
                            </w:pPr>
                          </w:p>
                          <w:p w:rsidR="00311723" w:rsidRDefault="00311723">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10" w:name="_Toc97732729"/>
                            <w:bookmarkStart w:id="11" w:name="_Toc97732795"/>
                            <w:bookmarkStart w:id="12" w:name="_Toc97732845"/>
                            <w:r>
                              <w:rPr>
                                <w:rFonts w:ascii="Arial" w:eastAsia="方正黑体简体" w:hAnsi="Arial" w:hint="eastAsia"/>
                                <w:b/>
                                <w:bCs/>
                                <w:sz w:val="21"/>
                                <w:szCs w:val="21"/>
                              </w:rPr>
                              <w:t>报告编号：</w:t>
                            </w:r>
                            <w:bookmarkEnd w:id="10"/>
                            <w:bookmarkEnd w:id="11"/>
                            <w:bookmarkEnd w:id="12"/>
                          </w:p>
                          <w:p w:rsidR="00311723" w:rsidRDefault="00311723">
                            <w:pPr>
                              <w:pStyle w:val="af4"/>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Pr>
                                <w:rFonts w:ascii="Arial" w:eastAsia="方正黑体简体" w:hAnsi="Arial" w:cs="Arial" w:hint="eastAsia"/>
                                <w:sz w:val="21"/>
                                <w:szCs w:val="21"/>
                              </w:rPr>
                              <w:t>2025-1-0732-F01TDCR6</w:t>
                            </w:r>
                            <w:r>
                              <w:rPr>
                                <w:rFonts w:ascii="Arial" w:eastAsia="方正黑体简体" w:hAnsi="Arial" w:cs="Arial" w:hint="eastAsia"/>
                                <w:sz w:val="21"/>
                                <w:szCs w:val="21"/>
                              </w:rPr>
                              <w:t>号</w:t>
                            </w:r>
                          </w:p>
                          <w:p w:rsidR="00311723" w:rsidRDefault="00311723">
                            <w:pPr>
                              <w:pStyle w:val="af4"/>
                              <w:spacing w:line="320" w:lineRule="exact"/>
                              <w:ind w:left="360" w:firstLineChars="0" w:firstLine="0"/>
                              <w:textAlignment w:val="bottom"/>
                              <w:rPr>
                                <w:rFonts w:ascii="Arial" w:eastAsia="方正黑体简体" w:hAnsi="Arial" w:cs="Arial"/>
                                <w:sz w:val="21"/>
                                <w:szCs w:val="21"/>
                              </w:rPr>
                            </w:pPr>
                          </w:p>
                          <w:p w:rsidR="00311723" w:rsidRDefault="00311723">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13" w:name="_Toc97732846"/>
                            <w:bookmarkStart w:id="14" w:name="_Toc97732796"/>
                            <w:bookmarkStart w:id="15" w:name="_Toc97732730"/>
                            <w:r>
                              <w:rPr>
                                <w:rFonts w:ascii="Arial" w:eastAsia="方正黑体简体" w:hAnsi="Arial" w:hint="eastAsia"/>
                                <w:b/>
                                <w:bCs/>
                                <w:sz w:val="21"/>
                                <w:szCs w:val="21"/>
                              </w:rPr>
                              <w:t>提交报告日期：</w:t>
                            </w:r>
                            <w:bookmarkEnd w:id="13"/>
                            <w:bookmarkEnd w:id="14"/>
                            <w:bookmarkEnd w:id="15"/>
                          </w:p>
                          <w:p w:rsidR="00311723" w:rsidRDefault="00311723">
                            <w:pPr>
                              <w:pStyle w:val="af4"/>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7</w:t>
                            </w:r>
                            <w:r>
                              <w:rPr>
                                <w:rFonts w:ascii="Arial" w:eastAsia="方正黑体简体" w:hAnsi="Arial" w:cs="Arial" w:hint="eastAsia"/>
                                <w:sz w:val="21"/>
                                <w:szCs w:val="21"/>
                              </w:rPr>
                              <w:t>月</w:t>
                            </w:r>
                            <w:r>
                              <w:rPr>
                                <w:rFonts w:ascii="Arial" w:eastAsia="方正黑体简体" w:hAnsi="Arial" w:cs="Arial" w:hint="eastAsia"/>
                                <w:sz w:val="21"/>
                                <w:szCs w:val="21"/>
                              </w:rPr>
                              <w:t>1</w:t>
                            </w:r>
                            <w:r>
                              <w:rPr>
                                <w:rFonts w:ascii="Arial" w:eastAsia="方正黑体简体" w:hAnsi="Arial" w:cs="Arial" w:hint="eastAsia"/>
                                <w:sz w:val="21"/>
                                <w:szCs w:val="21"/>
                              </w:rPr>
                              <w:t>日</w:t>
                            </w:r>
                          </w:p>
                        </w:txbxContent>
                      </wps:txbx>
                      <wps:bodyPr rot="0" vert="horz" wrap="square" lIns="0" tIns="0" rIns="0" bIns="0" anchor="t" anchorCtr="0" upright="1">
                        <a:sp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0.05pt;margin-top:381pt;height:228pt;width:464.9pt;mso-position-horizontal-relative:margin;mso-position-vertical-relative:margin;z-index:251659264;mso-width-relative:page;mso-height-relative:page;" filled="f" stroked="f" coordsize="21600,21600" o:gfxdata="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JclbWAAAACgEAAA8AAAAA&#10;AAAAAQAgAAAAIgAAAGRycy9kb3ducmV2LnhtbFBLAQIUABQAAAAIAIdO4kCmy8NYFgIAAA8EAAAO&#10;AAAAAAAAAAEAIAAAACUBAABkcnMvZTJvRG9jLnhtbFBLBQYAAAAABgAGAFkBAACtBQAAAAA=&#10;">
                <v:fill on="f" focussize="0,0"/>
                <v:stroke on="f"/>
                <v:imagedata o:title=""/>
                <o:lock v:ext="edit" aspectratio="f"/>
                <v:textbox inset="0mm,0mm,0mm,0mm" style="mso-fit-shape-to-text:t;">
                  <w:txbxContent>
                    <w:p w14:paraId="44E7252E">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725"/>
                      <w:bookmarkStart w:id="331" w:name="_Toc97732791"/>
                      <w:bookmarkStart w:id="332" w:name="_Toc97732841"/>
                      <w:r>
                        <w:rPr>
                          <w:rFonts w:hint="eastAsia" w:ascii="Arial" w:hAnsi="Arial" w:eastAsia="方正黑体简体"/>
                          <w:b/>
                          <w:bCs/>
                          <w:sz w:val="21"/>
                          <w:szCs w:val="21"/>
                        </w:rPr>
                        <w:t>项目名称：</w:t>
                      </w:r>
                      <w:bookmarkEnd w:id="330"/>
                      <w:bookmarkEnd w:id="331"/>
                      <w:bookmarkEnd w:id="332"/>
                    </w:p>
                    <w:p w14:paraId="728A23A2">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3885FA75">
                      <w:pPr>
                        <w:textAlignment w:val="bottom"/>
                        <w:rPr>
                          <w:rFonts w:hint="eastAsia" w:ascii="Arial" w:hAnsi="Arial"/>
                        </w:rPr>
                      </w:pPr>
                    </w:p>
                    <w:p w14:paraId="06E6370B">
                      <w:pPr>
                        <w:pStyle w:val="87"/>
                        <w:numPr>
                          <w:ilvl w:val="0"/>
                          <w:numId w:val="5"/>
                        </w:numPr>
                        <w:spacing w:line="320" w:lineRule="exact"/>
                        <w:ind w:right="-93" w:firstLineChars="0"/>
                        <w:textAlignment w:val="bottom"/>
                        <w:outlineLvl w:val="0"/>
                        <w:rPr>
                          <w:rFonts w:hint="eastAsia" w:ascii="Arial" w:hAnsi="Arial" w:eastAsia="方正黑体简体"/>
                          <w:b/>
                          <w:bCs/>
                          <w:sz w:val="21"/>
                          <w:szCs w:val="21"/>
                        </w:rPr>
                      </w:pPr>
                      <w:bookmarkStart w:id="333" w:name="_Toc97732842"/>
                      <w:bookmarkStart w:id="334" w:name="_Toc97732792"/>
                      <w:bookmarkStart w:id="335" w:name="_Toc97732726"/>
                      <w:r>
                        <w:rPr>
                          <w:rFonts w:hint="eastAsia" w:ascii="Arial" w:hAnsi="Arial" w:eastAsia="方正黑体简体"/>
                          <w:b/>
                          <w:bCs/>
                          <w:sz w:val="21"/>
                          <w:szCs w:val="21"/>
                        </w:rPr>
                        <w:t>委托方：</w:t>
                      </w:r>
                      <w:bookmarkEnd w:id="333"/>
                      <w:bookmarkEnd w:id="334"/>
                      <w:bookmarkEnd w:id="335"/>
                    </w:p>
                    <w:p w14:paraId="48DA60FC">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7CC78207">
                      <w:pPr>
                        <w:textAlignment w:val="bottom"/>
                        <w:rPr>
                          <w:rFonts w:ascii="Arial" w:hAnsi="Arial" w:eastAsia="方正黑体简体"/>
                        </w:rPr>
                      </w:pPr>
                    </w:p>
                    <w:p w14:paraId="0CD4489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843"/>
                      <w:bookmarkStart w:id="338" w:name="_Toc97732793"/>
                      <w:bookmarkStart w:id="339" w:name="_Toc97732727"/>
                      <w:r>
                        <w:rPr>
                          <w:rFonts w:hint="eastAsia" w:ascii="Arial" w:hAnsi="Arial" w:eastAsia="方正黑体简体"/>
                          <w:b/>
                          <w:bCs/>
                          <w:sz w:val="21"/>
                          <w:szCs w:val="21"/>
                        </w:rPr>
                        <w:t>受托单位：</w:t>
                      </w:r>
                      <w:bookmarkEnd w:id="337"/>
                      <w:bookmarkEnd w:id="338"/>
                      <w:bookmarkEnd w:id="339"/>
                    </w:p>
                    <w:p w14:paraId="46F2BBD3">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sz w:val="21"/>
                          <w:szCs w:val="21"/>
                        </w:rPr>
                        <w:t>北京康正宏基房地产评估有限公司</w:t>
                      </w:r>
                    </w:p>
                    <w:p w14:paraId="691C731A">
                      <w:pPr>
                        <w:spacing w:line="320" w:lineRule="exact"/>
                        <w:textAlignment w:val="bottom"/>
                        <w:rPr>
                          <w:rFonts w:ascii="Arial" w:hAnsi="Arial" w:eastAsia="方正黑体简体"/>
                          <w:b/>
                          <w:sz w:val="21"/>
                          <w:szCs w:val="21"/>
                        </w:rPr>
                      </w:pPr>
                    </w:p>
                    <w:p w14:paraId="0378AA67">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729"/>
                      <w:bookmarkStart w:id="341" w:name="_Toc97732795"/>
                      <w:bookmarkStart w:id="342" w:name="_Toc97732845"/>
                      <w:r>
                        <w:rPr>
                          <w:rFonts w:hint="eastAsia" w:ascii="Arial" w:hAnsi="Arial" w:eastAsia="方正黑体简体"/>
                          <w:b/>
                          <w:bCs/>
                          <w:sz w:val="21"/>
                          <w:szCs w:val="21"/>
                        </w:rPr>
                        <w:t>报告编号：</w:t>
                      </w:r>
                      <w:bookmarkEnd w:id="340"/>
                      <w:bookmarkEnd w:id="341"/>
                      <w:bookmarkEnd w:id="342"/>
                    </w:p>
                    <w:p w14:paraId="472DF1DB">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康正评字2025-1-0732-F01TDCR6号</w:t>
                      </w:r>
                    </w:p>
                    <w:p w14:paraId="48A4407D">
                      <w:pPr>
                        <w:pStyle w:val="87"/>
                        <w:spacing w:line="320" w:lineRule="exact"/>
                        <w:ind w:left="360" w:firstLine="0" w:firstLineChars="0"/>
                        <w:textAlignment w:val="bottom"/>
                        <w:rPr>
                          <w:rFonts w:hint="eastAsia" w:ascii="Arial" w:hAnsi="Arial" w:eastAsia="方正黑体简体" w:cs="Arial"/>
                          <w:sz w:val="21"/>
                          <w:szCs w:val="21"/>
                        </w:rPr>
                      </w:pPr>
                    </w:p>
                    <w:p w14:paraId="604AE4C2">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846"/>
                      <w:bookmarkStart w:id="344" w:name="_Toc97732796"/>
                      <w:bookmarkStart w:id="345" w:name="_Toc97732730"/>
                      <w:r>
                        <w:rPr>
                          <w:rFonts w:hint="eastAsia" w:ascii="Arial" w:hAnsi="Arial" w:eastAsia="方正黑体简体"/>
                          <w:b/>
                          <w:bCs/>
                          <w:sz w:val="21"/>
                          <w:szCs w:val="21"/>
                        </w:rPr>
                        <w:t>提交报告日期：</w:t>
                      </w:r>
                      <w:bookmarkEnd w:id="343"/>
                      <w:bookmarkEnd w:id="344"/>
                      <w:bookmarkEnd w:id="345"/>
                    </w:p>
                    <w:p w14:paraId="3436CF27">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2025年</w:t>
                      </w:r>
                      <w:r>
                        <w:rPr>
                          <w:rFonts w:hint="eastAsia" w:ascii="Arial" w:hAnsi="Arial" w:eastAsia="方正黑体简体" w:cs="Arial"/>
                          <w:sz w:val="21"/>
                          <w:szCs w:val="21"/>
                          <w:lang w:val="en-US" w:eastAsia="zh-CN"/>
                        </w:rPr>
                        <w:t>7</w:t>
                      </w:r>
                      <w:r>
                        <w:rPr>
                          <w:rFonts w:hint="eastAsia" w:ascii="Arial" w:hAnsi="Arial" w:eastAsia="方正黑体简体" w:cs="Arial"/>
                          <w:sz w:val="21"/>
                          <w:szCs w:val="21"/>
                        </w:rPr>
                        <w:t>月</w:t>
                      </w:r>
                      <w:r>
                        <w:rPr>
                          <w:rFonts w:hint="eastAsia" w:ascii="Arial" w:hAnsi="Arial" w:eastAsia="方正黑体简体" w:cs="Arial"/>
                          <w:sz w:val="21"/>
                          <w:szCs w:val="21"/>
                          <w:lang w:val="en-US" w:eastAsia="zh-CN"/>
                        </w:rPr>
                        <w:t>1</w:t>
                      </w:r>
                      <w:r>
                        <w:rPr>
                          <w:rFonts w:hint="eastAsia" w:ascii="Arial" w:hAnsi="Arial" w:eastAsia="方正黑体简体" w:cs="Arial"/>
                          <w:sz w:val="21"/>
                          <w:szCs w:val="21"/>
                        </w:rPr>
                        <w:t>日</w:t>
                      </w:r>
                    </w:p>
                  </w:txbxContent>
                </v:textbox>
              </v:shape>
            </w:pict>
          </mc:Fallback>
        </mc:AlternateContent>
      </w:r>
      <w:r>
        <w:rPr>
          <w:rFonts w:ascii="Arial" w:hAnsi="Arial" w:cs="Arial"/>
          <w:b/>
          <w:sz w:val="21"/>
          <w:szCs w:val="21"/>
        </w:rPr>
        <w:br w:type="page"/>
      </w:r>
    </w:p>
    <w:p w:rsidR="004935A9" w:rsidRDefault="004935A9">
      <w:pPr>
        <w:spacing w:line="432" w:lineRule="auto"/>
        <w:jc w:val="center"/>
        <w:rPr>
          <w:rFonts w:ascii="Arial" w:hAnsi="Arial" w:cs="Arial"/>
          <w:b/>
          <w:sz w:val="32"/>
        </w:rPr>
      </w:pPr>
    </w:p>
    <w:p w:rsidR="004935A9" w:rsidRDefault="004935A9">
      <w:pPr>
        <w:spacing w:line="432" w:lineRule="auto"/>
        <w:jc w:val="center"/>
        <w:rPr>
          <w:rFonts w:ascii="Arial" w:hAnsi="Arial" w:cs="Arial"/>
          <w:b/>
          <w:sz w:val="32"/>
        </w:rPr>
      </w:pPr>
    </w:p>
    <w:p w:rsidR="004935A9" w:rsidRDefault="004935A9">
      <w:pPr>
        <w:spacing w:line="432" w:lineRule="auto"/>
        <w:jc w:val="center"/>
        <w:rPr>
          <w:rFonts w:ascii="Arial" w:hAnsi="Arial" w:cs="Arial"/>
          <w:b/>
          <w:sz w:val="32"/>
        </w:rPr>
      </w:pPr>
    </w:p>
    <w:p w:rsidR="004935A9" w:rsidRDefault="00311723">
      <w:pPr>
        <w:spacing w:line="432" w:lineRule="auto"/>
        <w:jc w:val="center"/>
        <w:rPr>
          <w:rFonts w:ascii="Arial" w:hAnsi="Arial" w:cs="Arial"/>
          <w:b/>
          <w:sz w:val="44"/>
        </w:rPr>
      </w:pPr>
      <w:r>
        <w:rPr>
          <w:rFonts w:ascii="Arial" w:hAnsi="Arial" w:cs="Arial"/>
          <w:b/>
          <w:sz w:val="44"/>
        </w:rPr>
        <w:t>土</w:t>
      </w:r>
      <w:r>
        <w:rPr>
          <w:rFonts w:ascii="Arial" w:hAnsi="Arial" w:cs="Arial"/>
          <w:b/>
          <w:sz w:val="44"/>
        </w:rPr>
        <w:t xml:space="preserve"> </w:t>
      </w:r>
      <w:r>
        <w:rPr>
          <w:rFonts w:ascii="Arial" w:hAnsi="Arial" w:cs="Arial"/>
          <w:b/>
          <w:sz w:val="44"/>
        </w:rPr>
        <w:t>地</w:t>
      </w:r>
      <w:r>
        <w:rPr>
          <w:rFonts w:ascii="Arial" w:hAnsi="Arial" w:cs="Arial"/>
          <w:b/>
          <w:sz w:val="44"/>
        </w:rPr>
        <w:t xml:space="preserve"> </w:t>
      </w:r>
      <w:proofErr w:type="gramStart"/>
      <w:r>
        <w:rPr>
          <w:rFonts w:ascii="Arial" w:hAnsi="Arial" w:cs="Arial"/>
          <w:b/>
          <w:sz w:val="44"/>
        </w:rPr>
        <w:t>咨</w:t>
      </w:r>
      <w:proofErr w:type="gramEnd"/>
      <w:r>
        <w:rPr>
          <w:rFonts w:ascii="Arial" w:hAnsi="Arial" w:cs="Arial"/>
          <w:b/>
          <w:sz w:val="44"/>
        </w:rPr>
        <w:t xml:space="preserve"> </w:t>
      </w:r>
      <w:proofErr w:type="gramStart"/>
      <w:r>
        <w:rPr>
          <w:rFonts w:ascii="Arial" w:hAnsi="Arial" w:cs="Arial"/>
          <w:b/>
          <w:sz w:val="44"/>
        </w:rPr>
        <w:t>询</w:t>
      </w:r>
      <w:proofErr w:type="gramEnd"/>
      <w:r>
        <w:rPr>
          <w:rFonts w:ascii="Arial" w:hAnsi="Arial" w:cs="Arial"/>
          <w:b/>
          <w:sz w:val="44"/>
        </w:rPr>
        <w:t xml:space="preserve"> </w:t>
      </w:r>
      <w:r>
        <w:rPr>
          <w:rFonts w:ascii="Arial" w:hAnsi="Arial" w:cs="Arial"/>
          <w:b/>
          <w:sz w:val="44"/>
        </w:rPr>
        <w:t>报</w:t>
      </w:r>
      <w:r>
        <w:rPr>
          <w:rFonts w:ascii="Arial" w:hAnsi="Arial" w:cs="Arial"/>
          <w:b/>
          <w:sz w:val="44"/>
        </w:rPr>
        <w:t xml:space="preserve"> </w:t>
      </w:r>
      <w:r>
        <w:rPr>
          <w:rFonts w:ascii="Arial" w:hAnsi="Arial" w:cs="Arial"/>
          <w:b/>
          <w:sz w:val="44"/>
        </w:rPr>
        <w:t>告</w:t>
      </w:r>
    </w:p>
    <w:p w:rsidR="004935A9" w:rsidRDefault="004935A9">
      <w:pPr>
        <w:spacing w:line="432" w:lineRule="auto"/>
        <w:jc w:val="center"/>
        <w:rPr>
          <w:rFonts w:ascii="Arial" w:hAnsi="Arial" w:cs="Arial"/>
          <w:b/>
          <w:sz w:val="44"/>
        </w:rPr>
      </w:pPr>
    </w:p>
    <w:p w:rsidR="004935A9" w:rsidRDefault="004935A9">
      <w:pPr>
        <w:spacing w:line="432" w:lineRule="auto"/>
        <w:jc w:val="center"/>
        <w:rPr>
          <w:rFonts w:ascii="Arial" w:hAnsi="Arial" w:cs="Arial"/>
          <w:b/>
          <w:sz w:val="44"/>
        </w:rPr>
      </w:pPr>
    </w:p>
    <w:p w:rsidR="004935A9" w:rsidRDefault="004935A9">
      <w:pPr>
        <w:spacing w:line="432" w:lineRule="auto"/>
        <w:jc w:val="center"/>
        <w:rPr>
          <w:rFonts w:ascii="Arial" w:hAnsi="Arial" w:cs="Arial"/>
          <w:b/>
          <w:sz w:val="32"/>
        </w:rPr>
      </w:pPr>
    </w:p>
    <w:p w:rsidR="004935A9" w:rsidRDefault="00311723">
      <w:pPr>
        <w:spacing w:line="432" w:lineRule="auto"/>
        <w:jc w:val="both"/>
        <w:rPr>
          <w:rFonts w:ascii="Arial" w:hAnsi="Arial" w:cs="Arial"/>
          <w:b/>
          <w:i/>
          <w:sz w:val="28"/>
          <w:szCs w:val="28"/>
        </w:rPr>
      </w:pPr>
      <w:r>
        <w:rPr>
          <w:rFonts w:ascii="Arial" w:hAnsi="Arial" w:cs="Arial"/>
          <w:b/>
          <w:sz w:val="32"/>
        </w:rPr>
        <w:t>项目名称：</w:t>
      </w:r>
      <w:r>
        <w:rPr>
          <w:rFonts w:ascii="Arial" w:hAnsi="Arial" w:cs="Arial" w:hint="eastAsia"/>
          <w:b/>
          <w:sz w:val="32"/>
        </w:rPr>
        <w:t>北京市</w:t>
      </w:r>
      <w:proofErr w:type="gramStart"/>
      <w:r>
        <w:rPr>
          <w:rFonts w:ascii="Arial" w:hAnsi="Arial" w:cs="Arial" w:hint="eastAsia"/>
          <w:b/>
          <w:sz w:val="32"/>
        </w:rPr>
        <w:t>昌平区</w:t>
      </w:r>
      <w:proofErr w:type="gramEnd"/>
      <w:r>
        <w:rPr>
          <w:rFonts w:ascii="Arial" w:hAnsi="Arial" w:cs="Arial" w:hint="eastAsia"/>
          <w:b/>
          <w:sz w:val="32"/>
        </w:rPr>
        <w:t>马池口镇百泉庄村集体土地租赁住房项目集体经营性建设用地使用权地价评估</w:t>
      </w:r>
    </w:p>
    <w:p w:rsidR="004935A9" w:rsidRDefault="004935A9">
      <w:pPr>
        <w:spacing w:line="432" w:lineRule="auto"/>
        <w:ind w:left="1925" w:hangingChars="685" w:hanging="1925"/>
        <w:jc w:val="both"/>
        <w:rPr>
          <w:rFonts w:ascii="Arial" w:hAnsi="Arial" w:cs="Arial"/>
          <w:b/>
          <w:sz w:val="28"/>
          <w:szCs w:val="28"/>
        </w:rPr>
      </w:pPr>
    </w:p>
    <w:p w:rsidR="004935A9" w:rsidRDefault="00311723">
      <w:pPr>
        <w:spacing w:line="432" w:lineRule="auto"/>
        <w:jc w:val="both"/>
        <w:rPr>
          <w:rFonts w:ascii="Arial" w:hAnsi="Arial" w:cs="Arial"/>
          <w:b/>
          <w:sz w:val="32"/>
        </w:rPr>
      </w:pPr>
      <w:r>
        <w:rPr>
          <w:rFonts w:ascii="Arial" w:hAnsi="Arial" w:cs="Arial"/>
          <w:b/>
          <w:sz w:val="32"/>
        </w:rPr>
        <w:t>受托单位：</w:t>
      </w:r>
      <w:proofErr w:type="gramStart"/>
      <w:r>
        <w:rPr>
          <w:rFonts w:ascii="Arial" w:hAnsi="Arial" w:cs="Arial"/>
          <w:b/>
          <w:sz w:val="32"/>
        </w:rPr>
        <w:t>北京康正宏</w:t>
      </w:r>
      <w:proofErr w:type="gramEnd"/>
      <w:r>
        <w:rPr>
          <w:rFonts w:ascii="Arial" w:hAnsi="Arial" w:cs="Arial"/>
          <w:b/>
          <w:sz w:val="32"/>
        </w:rPr>
        <w:t>基房地产评估有限公司</w:t>
      </w:r>
    </w:p>
    <w:p w:rsidR="004935A9" w:rsidRDefault="004935A9">
      <w:pPr>
        <w:spacing w:line="432" w:lineRule="auto"/>
        <w:jc w:val="both"/>
        <w:rPr>
          <w:rFonts w:ascii="Arial" w:hAnsi="Arial" w:cs="Arial"/>
          <w:b/>
          <w:sz w:val="32"/>
        </w:rPr>
      </w:pPr>
    </w:p>
    <w:p w:rsidR="004935A9" w:rsidRDefault="00311723">
      <w:pPr>
        <w:spacing w:line="432" w:lineRule="auto"/>
        <w:jc w:val="both"/>
        <w:rPr>
          <w:rFonts w:ascii="Arial" w:hAnsi="Arial" w:cs="Arial"/>
          <w:b/>
          <w:sz w:val="32"/>
        </w:rPr>
      </w:pPr>
      <w:r>
        <w:rPr>
          <w:rFonts w:ascii="Arial" w:hAnsi="Arial" w:cs="Arial"/>
          <w:b/>
          <w:sz w:val="32"/>
        </w:rPr>
        <w:t>报告编号：</w:t>
      </w:r>
      <w:proofErr w:type="gramStart"/>
      <w:r>
        <w:rPr>
          <w:rFonts w:ascii="Arial" w:hAnsi="Arial" w:cs="Arial"/>
          <w:b/>
          <w:sz w:val="32"/>
        </w:rPr>
        <w:t>康正评</w:t>
      </w:r>
      <w:proofErr w:type="gramEnd"/>
      <w:r>
        <w:rPr>
          <w:rFonts w:ascii="Arial" w:hAnsi="Arial" w:cs="Arial"/>
          <w:b/>
          <w:sz w:val="32"/>
        </w:rPr>
        <w:t>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sz w:val="32"/>
        </w:rPr>
        <w:t>号</w:t>
      </w:r>
    </w:p>
    <w:p w:rsidR="004935A9" w:rsidRDefault="004935A9">
      <w:pPr>
        <w:spacing w:line="432" w:lineRule="auto"/>
        <w:jc w:val="both"/>
        <w:rPr>
          <w:rFonts w:ascii="Arial" w:hAnsi="Arial" w:cs="Arial"/>
          <w:b/>
          <w:sz w:val="32"/>
        </w:rPr>
      </w:pPr>
    </w:p>
    <w:p w:rsidR="004935A9" w:rsidRDefault="00311723">
      <w:pPr>
        <w:spacing w:line="432" w:lineRule="auto"/>
        <w:jc w:val="both"/>
        <w:rPr>
          <w:rFonts w:ascii="Arial" w:hAnsi="Arial" w:cs="Arial"/>
          <w:sz w:val="44"/>
        </w:rPr>
      </w:pPr>
      <w:r>
        <w:rPr>
          <w:rFonts w:ascii="Arial" w:hAnsi="Arial" w:cs="Arial"/>
          <w:b/>
          <w:sz w:val="32"/>
        </w:rPr>
        <w:t>提交报告日期：</w:t>
      </w:r>
      <w:r>
        <w:rPr>
          <w:rFonts w:ascii="Arial" w:hAnsi="Arial" w:cs="Arial"/>
          <w:b/>
          <w:sz w:val="32"/>
        </w:rPr>
        <w:t>202</w:t>
      </w:r>
      <w:r>
        <w:rPr>
          <w:rFonts w:ascii="Arial" w:hAnsi="Arial" w:cs="Arial" w:hint="eastAsia"/>
          <w:b/>
          <w:sz w:val="32"/>
        </w:rPr>
        <w:t>5</w:t>
      </w:r>
      <w:r>
        <w:rPr>
          <w:rFonts w:ascii="Arial" w:hAnsi="Arial" w:cs="Arial"/>
          <w:b/>
          <w:sz w:val="32"/>
        </w:rPr>
        <w:t>年</w:t>
      </w:r>
      <w:r>
        <w:rPr>
          <w:rFonts w:ascii="Arial" w:hAnsi="Arial" w:cs="Arial" w:hint="eastAsia"/>
          <w:b/>
          <w:sz w:val="32"/>
        </w:rPr>
        <w:t>7</w:t>
      </w:r>
      <w:r>
        <w:rPr>
          <w:rFonts w:ascii="Arial" w:hAnsi="Arial" w:cs="Arial"/>
          <w:b/>
          <w:sz w:val="32"/>
        </w:rPr>
        <w:t>月</w:t>
      </w:r>
      <w:r>
        <w:rPr>
          <w:rFonts w:ascii="Arial" w:hAnsi="Arial" w:cs="Arial" w:hint="eastAsia"/>
          <w:b/>
          <w:sz w:val="32"/>
        </w:rPr>
        <w:t>1</w:t>
      </w:r>
      <w:r>
        <w:rPr>
          <w:rFonts w:ascii="Arial" w:hAnsi="Arial" w:cs="Arial"/>
          <w:b/>
          <w:sz w:val="32"/>
        </w:rPr>
        <w:t>日</w:t>
      </w:r>
    </w:p>
    <w:p w:rsidR="004935A9" w:rsidRDefault="004935A9">
      <w:pPr>
        <w:spacing w:line="360" w:lineRule="auto"/>
        <w:ind w:firstLine="660"/>
        <w:jc w:val="center"/>
        <w:rPr>
          <w:rFonts w:ascii="Arial" w:hAnsi="Arial" w:cs="Arial"/>
          <w:sz w:val="44"/>
        </w:rPr>
        <w:sectPr w:rsidR="004935A9">
          <w:headerReference w:type="default" r:id="rId10"/>
          <w:footerReference w:type="even" r:id="rId11"/>
          <w:footerReference w:type="default" r:id="rId12"/>
          <w:headerReference w:type="first" r:id="rId13"/>
          <w:footerReference w:type="first" r:id="rId14"/>
          <w:type w:val="continuous"/>
          <w:pgSz w:w="11907" w:h="16840"/>
          <w:pgMar w:top="1843" w:right="1304" w:bottom="1134" w:left="1304" w:header="851" w:footer="1134" w:gutter="0"/>
          <w:pgNumType w:start="0"/>
          <w:cols w:space="720"/>
          <w:titlePg/>
        </w:sectPr>
      </w:pPr>
    </w:p>
    <w:p w:rsidR="004935A9" w:rsidRDefault="00311723">
      <w:pPr>
        <w:spacing w:line="360" w:lineRule="auto"/>
        <w:jc w:val="center"/>
        <w:rPr>
          <w:rFonts w:ascii="Arial" w:hAnsi="Arial" w:cs="Arial"/>
          <w:b/>
          <w:sz w:val="32"/>
          <w:szCs w:val="32"/>
        </w:rPr>
      </w:pPr>
      <w:r>
        <w:rPr>
          <w:rFonts w:ascii="Arial" w:hAnsi="Arial" w:cs="Arial"/>
          <w:b/>
          <w:sz w:val="32"/>
          <w:szCs w:val="32"/>
        </w:rPr>
        <w:lastRenderedPageBreak/>
        <w:t>目录</w:t>
      </w:r>
    </w:p>
    <w:p w:rsidR="004935A9" w:rsidRDefault="00311723">
      <w:pPr>
        <w:pStyle w:val="10"/>
        <w:tabs>
          <w:tab w:val="clear" w:pos="840"/>
          <w:tab w:val="clear" w:pos="8654"/>
          <w:tab w:val="right" w:leader="dot" w:pos="9299"/>
        </w:tabs>
      </w:pPr>
      <w:r>
        <w:rPr>
          <w:rFonts w:ascii="Arial" w:eastAsia="宋体" w:cs="Arial"/>
        </w:rPr>
        <w:fldChar w:fldCharType="begin"/>
      </w:r>
      <w:r>
        <w:rPr>
          <w:rFonts w:ascii="Arial" w:eastAsia="宋体" w:cs="Arial"/>
        </w:rPr>
        <w:instrText xml:space="preserve"> TOC \o "1-2" \h \z \u </w:instrText>
      </w:r>
      <w:r>
        <w:rPr>
          <w:rFonts w:ascii="Arial" w:eastAsia="宋体" w:cs="Arial"/>
        </w:rPr>
        <w:fldChar w:fldCharType="separate"/>
      </w:r>
      <w:hyperlink w:anchor="_Toc21685" w:history="1">
        <w:r>
          <w:rPr>
            <w:rFonts w:ascii="Arial" w:cs="Arial"/>
          </w:rPr>
          <w:t>第一部分</w:t>
        </w:r>
        <w:r>
          <w:rPr>
            <w:rFonts w:ascii="Arial" w:cs="Arial"/>
          </w:rPr>
          <w:t xml:space="preserve">  </w:t>
        </w:r>
        <w:r>
          <w:rPr>
            <w:rFonts w:ascii="Arial" w:cs="Arial"/>
          </w:rPr>
          <w:t>摘</w:t>
        </w:r>
        <w:r>
          <w:rPr>
            <w:rFonts w:ascii="Arial" w:cs="Arial"/>
          </w:rPr>
          <w:t xml:space="preserve">  </w:t>
        </w:r>
        <w:r>
          <w:rPr>
            <w:rFonts w:ascii="Arial" w:cs="Arial"/>
          </w:rPr>
          <w:t>要</w:t>
        </w:r>
        <w:r>
          <w:tab/>
        </w:r>
        <w:r>
          <w:fldChar w:fldCharType="begin"/>
        </w:r>
        <w:r>
          <w:instrText xml:space="preserve"> PAGEREF _Toc21685 \h </w:instrText>
        </w:r>
        <w:r>
          <w:fldChar w:fldCharType="separate"/>
        </w:r>
        <w:r>
          <w:t>1</w:t>
        </w:r>
        <w:r>
          <w:fldChar w:fldCharType="end"/>
        </w:r>
      </w:hyperlink>
    </w:p>
    <w:p w:rsidR="004935A9" w:rsidRDefault="00311723">
      <w:pPr>
        <w:pStyle w:val="21"/>
        <w:tabs>
          <w:tab w:val="clear" w:pos="8931"/>
          <w:tab w:val="right" w:leader="dot" w:pos="9299"/>
        </w:tabs>
      </w:pPr>
      <w:hyperlink w:anchor="_Toc5805" w:history="1">
        <w:r>
          <w:rPr>
            <w:rFonts w:ascii="Arial" w:hAnsi="Arial" w:cs="Arial"/>
          </w:rPr>
          <w:t>一、项目名称</w:t>
        </w:r>
        <w:r>
          <w:tab/>
        </w:r>
        <w:r>
          <w:fldChar w:fldCharType="begin"/>
        </w:r>
        <w:r>
          <w:instrText xml:space="preserve"> PAGEREF _Toc5805 \h </w:instrText>
        </w:r>
        <w:r>
          <w:fldChar w:fldCharType="separate"/>
        </w:r>
        <w:r>
          <w:t>1</w:t>
        </w:r>
        <w:r>
          <w:fldChar w:fldCharType="end"/>
        </w:r>
      </w:hyperlink>
    </w:p>
    <w:p w:rsidR="004935A9" w:rsidRDefault="00311723">
      <w:pPr>
        <w:pStyle w:val="21"/>
        <w:tabs>
          <w:tab w:val="clear" w:pos="8931"/>
          <w:tab w:val="right" w:leader="dot" w:pos="9299"/>
        </w:tabs>
      </w:pPr>
      <w:hyperlink w:anchor="_Toc15528" w:history="1">
        <w:r>
          <w:rPr>
            <w:rFonts w:ascii="Arial" w:hAnsi="Arial" w:cs="Arial"/>
            <w:bCs/>
          </w:rPr>
          <w:t>二、委托方</w:t>
        </w:r>
        <w:r>
          <w:tab/>
        </w:r>
        <w:r>
          <w:fldChar w:fldCharType="begin"/>
        </w:r>
        <w:r>
          <w:instrText xml:space="preserve"> PAGEREF _Toc15528 \h </w:instrText>
        </w:r>
        <w:r>
          <w:fldChar w:fldCharType="separate"/>
        </w:r>
        <w:r>
          <w:t>1</w:t>
        </w:r>
        <w:r>
          <w:fldChar w:fldCharType="end"/>
        </w:r>
      </w:hyperlink>
    </w:p>
    <w:p w:rsidR="004935A9" w:rsidRDefault="00311723">
      <w:pPr>
        <w:pStyle w:val="21"/>
        <w:tabs>
          <w:tab w:val="clear" w:pos="8931"/>
          <w:tab w:val="right" w:leader="dot" w:pos="9299"/>
        </w:tabs>
      </w:pPr>
      <w:hyperlink w:anchor="_Toc12547" w:history="1">
        <w:r>
          <w:rPr>
            <w:rFonts w:ascii="Arial" w:hAnsi="Arial" w:cs="Arial"/>
            <w:bCs/>
          </w:rPr>
          <w:t>三、咨询目的</w:t>
        </w:r>
        <w:r>
          <w:tab/>
        </w:r>
        <w:r>
          <w:fldChar w:fldCharType="begin"/>
        </w:r>
        <w:r>
          <w:instrText xml:space="preserve"> PAGEREF _Toc12547 \h </w:instrText>
        </w:r>
        <w:r>
          <w:fldChar w:fldCharType="separate"/>
        </w:r>
        <w:r>
          <w:t>1</w:t>
        </w:r>
        <w:r>
          <w:fldChar w:fldCharType="end"/>
        </w:r>
      </w:hyperlink>
    </w:p>
    <w:p w:rsidR="004935A9" w:rsidRDefault="00311723">
      <w:pPr>
        <w:pStyle w:val="21"/>
        <w:tabs>
          <w:tab w:val="clear" w:pos="8931"/>
          <w:tab w:val="right" w:leader="dot" w:pos="9299"/>
        </w:tabs>
      </w:pPr>
      <w:hyperlink w:anchor="_Toc25409" w:history="1">
        <w:r>
          <w:rPr>
            <w:rFonts w:ascii="Arial" w:hAnsi="Arial" w:cs="Arial"/>
            <w:bCs/>
          </w:rPr>
          <w:t>四、咨询期日</w:t>
        </w:r>
        <w:r>
          <w:tab/>
        </w:r>
        <w:r>
          <w:fldChar w:fldCharType="begin"/>
        </w:r>
        <w:r>
          <w:instrText xml:space="preserve"> PAGEREF _Toc25409 \h </w:instrText>
        </w:r>
        <w:r>
          <w:fldChar w:fldCharType="separate"/>
        </w:r>
        <w:r>
          <w:t>1</w:t>
        </w:r>
        <w:r>
          <w:fldChar w:fldCharType="end"/>
        </w:r>
      </w:hyperlink>
    </w:p>
    <w:p w:rsidR="004935A9" w:rsidRDefault="00311723">
      <w:pPr>
        <w:pStyle w:val="21"/>
        <w:tabs>
          <w:tab w:val="clear" w:pos="8931"/>
          <w:tab w:val="right" w:leader="dot" w:pos="9299"/>
        </w:tabs>
      </w:pPr>
      <w:hyperlink w:anchor="_Toc6150" w:history="1">
        <w:r>
          <w:rPr>
            <w:rFonts w:ascii="Arial" w:hAnsi="Arial" w:cs="Arial"/>
            <w:bCs/>
          </w:rPr>
          <w:t>五、咨询日期</w:t>
        </w:r>
        <w:r>
          <w:tab/>
        </w:r>
        <w:r>
          <w:fldChar w:fldCharType="begin"/>
        </w:r>
        <w:r>
          <w:instrText xml:space="preserve"> PAGEREF _Toc6150 \h </w:instrText>
        </w:r>
        <w:r>
          <w:fldChar w:fldCharType="separate"/>
        </w:r>
        <w:r>
          <w:t>1</w:t>
        </w:r>
        <w:r>
          <w:fldChar w:fldCharType="end"/>
        </w:r>
      </w:hyperlink>
    </w:p>
    <w:p w:rsidR="004935A9" w:rsidRDefault="00311723">
      <w:pPr>
        <w:pStyle w:val="21"/>
        <w:tabs>
          <w:tab w:val="clear" w:pos="8931"/>
          <w:tab w:val="right" w:leader="dot" w:pos="9299"/>
        </w:tabs>
      </w:pPr>
      <w:hyperlink w:anchor="_Toc27364" w:history="1">
        <w:r>
          <w:rPr>
            <w:rFonts w:ascii="Arial" w:hAnsi="Arial" w:cs="Arial"/>
            <w:bCs/>
          </w:rPr>
          <w:t>六、地价定义</w:t>
        </w:r>
        <w:r>
          <w:tab/>
        </w:r>
        <w:r>
          <w:fldChar w:fldCharType="begin"/>
        </w:r>
        <w:r>
          <w:instrText xml:space="preserve"> PAGEREF _Toc27364 \h </w:instrText>
        </w:r>
        <w:r>
          <w:fldChar w:fldCharType="separate"/>
        </w:r>
        <w:r>
          <w:t>1</w:t>
        </w:r>
        <w:r>
          <w:fldChar w:fldCharType="end"/>
        </w:r>
      </w:hyperlink>
    </w:p>
    <w:p w:rsidR="004935A9" w:rsidRDefault="00311723">
      <w:pPr>
        <w:pStyle w:val="21"/>
        <w:tabs>
          <w:tab w:val="clear" w:pos="8931"/>
          <w:tab w:val="right" w:leader="dot" w:pos="9299"/>
        </w:tabs>
      </w:pPr>
      <w:hyperlink w:anchor="_Toc25526" w:history="1">
        <w:r>
          <w:rPr>
            <w:rFonts w:ascii="Arial" w:hAnsi="Arial" w:cs="Arial"/>
          </w:rPr>
          <w:t>七、咨询结果</w:t>
        </w:r>
        <w:r>
          <w:tab/>
        </w:r>
        <w:r>
          <w:fldChar w:fldCharType="begin"/>
        </w:r>
        <w:r>
          <w:instrText xml:space="preserve"> PAGEREF _Toc25526 \h </w:instrText>
        </w:r>
        <w:r>
          <w:fldChar w:fldCharType="separate"/>
        </w:r>
        <w:r>
          <w:t>3</w:t>
        </w:r>
        <w:r>
          <w:fldChar w:fldCharType="end"/>
        </w:r>
      </w:hyperlink>
    </w:p>
    <w:p w:rsidR="004935A9" w:rsidRDefault="00311723">
      <w:pPr>
        <w:pStyle w:val="10"/>
        <w:tabs>
          <w:tab w:val="clear" w:pos="840"/>
          <w:tab w:val="clear" w:pos="8654"/>
          <w:tab w:val="right" w:leader="dot" w:pos="9299"/>
        </w:tabs>
      </w:pPr>
      <w:hyperlink w:anchor="_Toc5219" w:history="1">
        <w:r>
          <w:rPr>
            <w:rFonts w:ascii="Arial" w:cs="Arial"/>
          </w:rPr>
          <w:t>第二部分</w:t>
        </w:r>
        <w:r>
          <w:rPr>
            <w:rFonts w:ascii="Arial" w:cs="Arial"/>
          </w:rPr>
          <w:t xml:space="preserve">  </w:t>
        </w:r>
        <w:r>
          <w:rPr>
            <w:rFonts w:ascii="Arial" w:cs="Arial"/>
          </w:rPr>
          <w:t>咨询对象界定</w:t>
        </w:r>
        <w:r>
          <w:tab/>
        </w:r>
        <w:r>
          <w:fldChar w:fldCharType="begin"/>
        </w:r>
        <w:r>
          <w:instrText xml:space="preserve"> PAGEREF _Toc5219 \h </w:instrText>
        </w:r>
        <w:r>
          <w:fldChar w:fldCharType="separate"/>
        </w:r>
        <w:r>
          <w:t>8</w:t>
        </w:r>
        <w:r>
          <w:fldChar w:fldCharType="end"/>
        </w:r>
      </w:hyperlink>
    </w:p>
    <w:p w:rsidR="004935A9" w:rsidRDefault="00311723">
      <w:pPr>
        <w:pStyle w:val="21"/>
        <w:tabs>
          <w:tab w:val="clear" w:pos="8931"/>
          <w:tab w:val="right" w:leader="dot" w:pos="9299"/>
        </w:tabs>
      </w:pPr>
      <w:hyperlink w:anchor="_Toc21404" w:history="1">
        <w:r>
          <w:rPr>
            <w:rFonts w:ascii="Arial" w:hAnsi="Arial" w:cs="Arial"/>
          </w:rPr>
          <w:t>一、委托方</w:t>
        </w:r>
        <w:r>
          <w:tab/>
        </w:r>
        <w:r>
          <w:fldChar w:fldCharType="begin"/>
        </w:r>
        <w:r>
          <w:instrText xml:space="preserve"> PAGEREF _Toc21404 \h </w:instrText>
        </w:r>
        <w:r>
          <w:fldChar w:fldCharType="separate"/>
        </w:r>
        <w:r>
          <w:t>8</w:t>
        </w:r>
        <w:r>
          <w:fldChar w:fldCharType="end"/>
        </w:r>
      </w:hyperlink>
    </w:p>
    <w:p w:rsidR="004935A9" w:rsidRDefault="00311723">
      <w:pPr>
        <w:pStyle w:val="21"/>
        <w:tabs>
          <w:tab w:val="clear" w:pos="8931"/>
          <w:tab w:val="right" w:leader="dot" w:pos="9299"/>
        </w:tabs>
      </w:pPr>
      <w:hyperlink w:anchor="_Toc14440" w:history="1">
        <w:r>
          <w:rPr>
            <w:rFonts w:ascii="Arial" w:hAnsi="Arial" w:cs="Arial"/>
          </w:rPr>
          <w:t>二、咨询对象</w:t>
        </w:r>
        <w:r>
          <w:tab/>
        </w:r>
        <w:r>
          <w:fldChar w:fldCharType="begin"/>
        </w:r>
        <w:r>
          <w:instrText xml:space="preserve"> PAGEREF _Toc14440 \h </w:instrText>
        </w:r>
        <w:r>
          <w:fldChar w:fldCharType="separate"/>
        </w:r>
        <w:r>
          <w:t>8</w:t>
        </w:r>
        <w:r>
          <w:fldChar w:fldCharType="end"/>
        </w:r>
      </w:hyperlink>
    </w:p>
    <w:p w:rsidR="004935A9" w:rsidRDefault="00311723">
      <w:pPr>
        <w:pStyle w:val="21"/>
        <w:tabs>
          <w:tab w:val="clear" w:pos="8931"/>
          <w:tab w:val="right" w:leader="dot" w:pos="9299"/>
        </w:tabs>
      </w:pPr>
      <w:hyperlink w:anchor="_Toc29392" w:history="1">
        <w:r>
          <w:rPr>
            <w:rFonts w:ascii="Arial" w:hAnsi="Arial" w:cs="Arial"/>
          </w:rPr>
          <w:t>三、咨询对象概况</w:t>
        </w:r>
        <w:r>
          <w:tab/>
        </w:r>
        <w:r>
          <w:fldChar w:fldCharType="begin"/>
        </w:r>
        <w:r>
          <w:instrText xml:space="preserve"> PAGEREF _Toc29392 \h </w:instrText>
        </w:r>
        <w:r>
          <w:fldChar w:fldCharType="separate"/>
        </w:r>
        <w:r>
          <w:t>8</w:t>
        </w:r>
        <w:r>
          <w:fldChar w:fldCharType="end"/>
        </w:r>
      </w:hyperlink>
    </w:p>
    <w:p w:rsidR="004935A9" w:rsidRDefault="00311723">
      <w:pPr>
        <w:pStyle w:val="21"/>
        <w:tabs>
          <w:tab w:val="clear" w:pos="8931"/>
          <w:tab w:val="right" w:leader="dot" w:pos="9299"/>
        </w:tabs>
      </w:pPr>
      <w:hyperlink w:anchor="_Toc22688" w:history="1">
        <w:r>
          <w:rPr>
            <w:rFonts w:ascii="Arial" w:hAnsi="Arial" w:cs="Arial"/>
          </w:rPr>
          <w:t>四、影响地价的因素说明</w:t>
        </w:r>
        <w:r>
          <w:tab/>
        </w:r>
        <w:r>
          <w:fldChar w:fldCharType="begin"/>
        </w:r>
        <w:r>
          <w:instrText xml:space="preserve"> PAGEREF _Toc22688 \h </w:instrText>
        </w:r>
        <w:r>
          <w:fldChar w:fldCharType="separate"/>
        </w:r>
        <w:r>
          <w:t>10</w:t>
        </w:r>
        <w:r>
          <w:fldChar w:fldCharType="end"/>
        </w:r>
      </w:hyperlink>
    </w:p>
    <w:p w:rsidR="004935A9" w:rsidRDefault="00311723">
      <w:pPr>
        <w:pStyle w:val="10"/>
        <w:tabs>
          <w:tab w:val="clear" w:pos="840"/>
          <w:tab w:val="clear" w:pos="8654"/>
          <w:tab w:val="right" w:leader="dot" w:pos="9299"/>
        </w:tabs>
      </w:pPr>
      <w:hyperlink w:anchor="_Toc14792" w:history="1">
        <w:r>
          <w:rPr>
            <w:rFonts w:ascii="Arial" w:cs="Arial"/>
          </w:rPr>
          <w:t>第三部分</w:t>
        </w:r>
        <w:r>
          <w:rPr>
            <w:rFonts w:ascii="Arial" w:cs="Arial"/>
          </w:rPr>
          <w:t xml:space="preserve">  </w:t>
        </w:r>
        <w:r>
          <w:rPr>
            <w:rFonts w:ascii="Arial" w:cs="Arial"/>
          </w:rPr>
          <w:t>土地咨询结果及其使用</w:t>
        </w:r>
        <w:r>
          <w:tab/>
        </w:r>
        <w:r>
          <w:fldChar w:fldCharType="begin"/>
        </w:r>
        <w:r>
          <w:instrText xml:space="preserve"> PAGEREF _Toc14792 \h </w:instrText>
        </w:r>
        <w:r>
          <w:fldChar w:fldCharType="separate"/>
        </w:r>
        <w:r>
          <w:t>42</w:t>
        </w:r>
        <w:r>
          <w:fldChar w:fldCharType="end"/>
        </w:r>
      </w:hyperlink>
    </w:p>
    <w:p w:rsidR="004935A9" w:rsidRDefault="00311723">
      <w:pPr>
        <w:pStyle w:val="21"/>
        <w:tabs>
          <w:tab w:val="clear" w:pos="8931"/>
          <w:tab w:val="right" w:leader="dot" w:pos="9299"/>
        </w:tabs>
      </w:pPr>
      <w:hyperlink w:anchor="_Toc10622" w:history="1">
        <w:r>
          <w:rPr>
            <w:rFonts w:ascii="Arial" w:hAnsi="Arial" w:cs="Arial"/>
          </w:rPr>
          <w:t>一、估价依据</w:t>
        </w:r>
        <w:r>
          <w:tab/>
        </w:r>
        <w:r>
          <w:fldChar w:fldCharType="begin"/>
        </w:r>
        <w:r>
          <w:instrText xml:space="preserve"> PAGEREF _Toc10622 \h </w:instrText>
        </w:r>
        <w:r>
          <w:fldChar w:fldCharType="separate"/>
        </w:r>
        <w:r>
          <w:t>42</w:t>
        </w:r>
        <w:r>
          <w:fldChar w:fldCharType="end"/>
        </w:r>
      </w:hyperlink>
    </w:p>
    <w:p w:rsidR="004935A9" w:rsidRDefault="00311723">
      <w:pPr>
        <w:pStyle w:val="21"/>
        <w:tabs>
          <w:tab w:val="clear" w:pos="8931"/>
          <w:tab w:val="right" w:leader="dot" w:pos="9299"/>
        </w:tabs>
      </w:pPr>
      <w:hyperlink w:anchor="_Toc1" w:history="1">
        <w:r>
          <w:rPr>
            <w:rFonts w:ascii="Arial" w:hAnsi="Arial" w:cs="Arial"/>
          </w:rPr>
          <w:t>二、土地估价</w:t>
        </w:r>
        <w:r>
          <w:tab/>
        </w:r>
        <w:r>
          <w:fldChar w:fldCharType="begin"/>
        </w:r>
        <w:r>
          <w:instrText xml:space="preserve"> PAGEREF _Toc1 \h </w:instrText>
        </w:r>
        <w:r>
          <w:fldChar w:fldCharType="separate"/>
        </w:r>
        <w:r>
          <w:t>44</w:t>
        </w:r>
        <w:r>
          <w:fldChar w:fldCharType="end"/>
        </w:r>
      </w:hyperlink>
    </w:p>
    <w:p w:rsidR="004935A9" w:rsidRDefault="00311723">
      <w:pPr>
        <w:pStyle w:val="21"/>
        <w:tabs>
          <w:tab w:val="clear" w:pos="8931"/>
          <w:tab w:val="right" w:leader="dot" w:pos="9299"/>
        </w:tabs>
      </w:pPr>
      <w:hyperlink w:anchor="_Toc11765" w:history="1">
        <w:r>
          <w:rPr>
            <w:rFonts w:ascii="Arial" w:hAnsi="Arial" w:cs="Arial"/>
          </w:rPr>
          <w:t>三、咨询结果和咨询报告的使用</w:t>
        </w:r>
        <w:r>
          <w:tab/>
        </w:r>
        <w:r>
          <w:fldChar w:fldCharType="begin"/>
        </w:r>
        <w:r>
          <w:instrText xml:space="preserve"> PAGEREF _Toc11765 \h </w:instrText>
        </w:r>
        <w:r>
          <w:fldChar w:fldCharType="separate"/>
        </w:r>
        <w:r>
          <w:t>49</w:t>
        </w:r>
        <w:r>
          <w:fldChar w:fldCharType="end"/>
        </w:r>
      </w:hyperlink>
    </w:p>
    <w:p w:rsidR="004935A9" w:rsidRDefault="00311723">
      <w:pPr>
        <w:pStyle w:val="10"/>
        <w:tabs>
          <w:tab w:val="clear" w:pos="840"/>
          <w:tab w:val="clear" w:pos="8654"/>
          <w:tab w:val="right" w:leader="dot" w:pos="9299"/>
        </w:tabs>
      </w:pPr>
      <w:hyperlink w:anchor="_Toc26703" w:history="1">
        <w:r>
          <w:rPr>
            <w:rFonts w:ascii="Arial" w:cs="Arial"/>
          </w:rPr>
          <w:t>第四部分</w:t>
        </w:r>
        <w:r>
          <w:rPr>
            <w:rFonts w:ascii="Arial" w:cs="Arial"/>
          </w:rPr>
          <w:t xml:space="preserve">  </w:t>
        </w:r>
        <w:r>
          <w:rPr>
            <w:rFonts w:ascii="Arial" w:cs="Arial"/>
          </w:rPr>
          <w:t>附</w:t>
        </w:r>
        <w:r>
          <w:rPr>
            <w:rFonts w:ascii="Arial" w:cs="Arial"/>
          </w:rPr>
          <w:t xml:space="preserve">  </w:t>
        </w:r>
        <w:r>
          <w:rPr>
            <w:rFonts w:ascii="Arial" w:cs="Arial"/>
          </w:rPr>
          <w:t>件</w:t>
        </w:r>
        <w:r>
          <w:tab/>
        </w:r>
        <w:r>
          <w:fldChar w:fldCharType="begin"/>
        </w:r>
        <w:r>
          <w:instrText xml:space="preserve"> PAGEREF _Toc26703 \h </w:instrText>
        </w:r>
        <w:r>
          <w:fldChar w:fldCharType="separate"/>
        </w:r>
        <w:r>
          <w:t>53</w:t>
        </w:r>
        <w:r>
          <w:fldChar w:fldCharType="end"/>
        </w:r>
      </w:hyperlink>
    </w:p>
    <w:p w:rsidR="004935A9" w:rsidRDefault="004935A9">
      <w:pPr>
        <w:pStyle w:val="10"/>
        <w:tabs>
          <w:tab w:val="clear" w:pos="840"/>
          <w:tab w:val="clear" w:pos="8654"/>
          <w:tab w:val="right" w:leader="dot" w:pos="9299"/>
        </w:tabs>
      </w:pPr>
    </w:p>
    <w:p w:rsidR="004935A9" w:rsidRDefault="00311723">
      <w:pPr>
        <w:spacing w:line="360" w:lineRule="auto"/>
        <w:jc w:val="center"/>
        <w:rPr>
          <w:rFonts w:ascii="Arial" w:hAnsi="Arial" w:cs="Arial"/>
          <w:sz w:val="44"/>
        </w:rPr>
      </w:pPr>
      <w:r>
        <w:rPr>
          <w:rFonts w:ascii="Arial" w:hAnsi="Arial" w:cs="Arial"/>
          <w:szCs w:val="28"/>
        </w:rPr>
        <w:fldChar w:fldCharType="end"/>
      </w:r>
    </w:p>
    <w:p w:rsidR="004935A9" w:rsidRDefault="004935A9">
      <w:pPr>
        <w:spacing w:line="360" w:lineRule="auto"/>
        <w:ind w:firstLine="660"/>
        <w:jc w:val="center"/>
        <w:rPr>
          <w:rFonts w:ascii="Arial" w:hAnsi="Arial" w:cs="Arial"/>
          <w:sz w:val="44"/>
        </w:rPr>
        <w:sectPr w:rsidR="004935A9">
          <w:headerReference w:type="first" r:id="rId15"/>
          <w:pgSz w:w="11907" w:h="16840"/>
          <w:pgMar w:top="1843" w:right="1304" w:bottom="1134" w:left="1304" w:header="1134" w:footer="907" w:gutter="0"/>
          <w:pgNumType w:start="0"/>
          <w:cols w:space="720"/>
          <w:titlePg/>
          <w:docGrid w:linePitch="326"/>
        </w:sectPr>
      </w:pPr>
    </w:p>
    <w:p w:rsidR="004935A9" w:rsidRDefault="004935A9">
      <w:pPr>
        <w:spacing w:line="360" w:lineRule="auto"/>
        <w:rPr>
          <w:rFonts w:ascii="Arial" w:hAnsi="Arial" w:cs="Arial"/>
          <w:sz w:val="44"/>
        </w:rPr>
        <w:sectPr w:rsidR="004935A9">
          <w:headerReference w:type="default" r:id="rId16"/>
          <w:footerReference w:type="even" r:id="rId17"/>
          <w:footerReference w:type="default" r:id="rId18"/>
          <w:headerReference w:type="first" r:id="rId19"/>
          <w:footerReference w:type="first" r:id="rId20"/>
          <w:type w:val="continuous"/>
          <w:pgSz w:w="11907" w:h="16840"/>
          <w:pgMar w:top="1843" w:right="1304" w:bottom="1134" w:left="1304" w:header="851" w:footer="1134" w:gutter="0"/>
          <w:pgNumType w:start="1"/>
          <w:cols w:space="720"/>
          <w:titlePg/>
        </w:sectPr>
      </w:pPr>
    </w:p>
    <w:p w:rsidR="004935A9" w:rsidRDefault="00311723">
      <w:pPr>
        <w:spacing w:line="360" w:lineRule="auto"/>
        <w:jc w:val="center"/>
        <w:rPr>
          <w:rFonts w:ascii="Arial" w:hAnsi="Arial" w:cs="Arial"/>
          <w:b/>
          <w:sz w:val="32"/>
        </w:rPr>
      </w:pPr>
      <w:r>
        <w:rPr>
          <w:rFonts w:ascii="Arial" w:hAnsi="Arial" w:cs="Arial"/>
          <w:b/>
          <w:sz w:val="32"/>
        </w:rPr>
        <w:lastRenderedPageBreak/>
        <w:t>土</w:t>
      </w:r>
      <w:r>
        <w:rPr>
          <w:rFonts w:ascii="Arial" w:hAnsi="Arial" w:cs="Arial"/>
          <w:b/>
          <w:sz w:val="32"/>
        </w:rPr>
        <w:t xml:space="preserve"> </w:t>
      </w:r>
      <w:r>
        <w:rPr>
          <w:rFonts w:ascii="Arial" w:hAnsi="Arial" w:cs="Arial"/>
          <w:b/>
          <w:sz w:val="32"/>
        </w:rPr>
        <w:t>地</w:t>
      </w:r>
      <w:r>
        <w:rPr>
          <w:rFonts w:ascii="Arial" w:hAnsi="Arial" w:cs="Arial"/>
          <w:b/>
          <w:sz w:val="32"/>
        </w:rPr>
        <w:t xml:space="preserve"> </w:t>
      </w:r>
      <w:proofErr w:type="gramStart"/>
      <w:r>
        <w:rPr>
          <w:rFonts w:ascii="Arial" w:hAnsi="Arial" w:cs="Arial"/>
          <w:b/>
          <w:sz w:val="32"/>
        </w:rPr>
        <w:t>咨</w:t>
      </w:r>
      <w:proofErr w:type="gramEnd"/>
      <w:r>
        <w:rPr>
          <w:rFonts w:ascii="Arial" w:hAnsi="Arial" w:cs="Arial"/>
          <w:b/>
          <w:sz w:val="32"/>
        </w:rPr>
        <w:t xml:space="preserve"> </w:t>
      </w:r>
      <w:proofErr w:type="gramStart"/>
      <w:r>
        <w:rPr>
          <w:rFonts w:ascii="Arial" w:hAnsi="Arial" w:cs="Arial"/>
          <w:b/>
          <w:sz w:val="32"/>
        </w:rPr>
        <w:t>询</w:t>
      </w:r>
      <w:proofErr w:type="gramEnd"/>
      <w:r>
        <w:rPr>
          <w:rFonts w:ascii="Arial" w:hAnsi="Arial" w:cs="Arial"/>
          <w:b/>
          <w:sz w:val="32"/>
        </w:rPr>
        <w:t xml:space="preserve"> </w:t>
      </w:r>
      <w:r>
        <w:rPr>
          <w:rFonts w:ascii="Arial" w:hAnsi="Arial" w:cs="Arial"/>
          <w:b/>
          <w:sz w:val="32"/>
        </w:rPr>
        <w:t>报</w:t>
      </w:r>
      <w:r>
        <w:rPr>
          <w:rFonts w:ascii="Arial" w:hAnsi="Arial" w:cs="Arial"/>
          <w:b/>
          <w:sz w:val="32"/>
        </w:rPr>
        <w:t xml:space="preserve"> </w:t>
      </w:r>
      <w:r>
        <w:rPr>
          <w:rFonts w:ascii="Arial" w:hAnsi="Arial" w:cs="Arial"/>
          <w:b/>
          <w:sz w:val="32"/>
        </w:rPr>
        <w:t>告</w:t>
      </w:r>
    </w:p>
    <w:p w:rsidR="004935A9" w:rsidRDefault="004935A9">
      <w:pPr>
        <w:spacing w:line="360" w:lineRule="auto"/>
        <w:rPr>
          <w:rFonts w:ascii="Arial" w:hAnsi="Arial" w:cs="Arial"/>
          <w:b/>
          <w:sz w:val="32"/>
        </w:rPr>
      </w:pPr>
    </w:p>
    <w:p w:rsidR="004935A9" w:rsidRDefault="00311723">
      <w:pPr>
        <w:tabs>
          <w:tab w:val="center" w:pos="4332"/>
          <w:tab w:val="right" w:pos="8664"/>
        </w:tabs>
        <w:spacing w:line="360" w:lineRule="auto"/>
        <w:outlineLvl w:val="0"/>
        <w:rPr>
          <w:rFonts w:ascii="Arial" w:hAnsi="Arial" w:cs="Arial"/>
          <w:sz w:val="32"/>
        </w:rPr>
      </w:pPr>
      <w:bookmarkStart w:id="16" w:name="_Toc416783516"/>
      <w:bookmarkStart w:id="17" w:name="_Toc418750878"/>
      <w:r>
        <w:rPr>
          <w:rFonts w:ascii="Arial" w:hAnsi="Arial" w:cs="Arial"/>
          <w:b/>
          <w:sz w:val="32"/>
        </w:rPr>
        <w:tab/>
      </w:r>
      <w:bookmarkStart w:id="18" w:name="_Toc469066300"/>
      <w:bookmarkStart w:id="19" w:name="_Toc425250300"/>
      <w:bookmarkStart w:id="20" w:name="_Toc6220"/>
      <w:bookmarkStart w:id="21" w:name="_Toc259"/>
      <w:bookmarkStart w:id="22" w:name="_Toc21685"/>
      <w:r>
        <w:rPr>
          <w:rFonts w:ascii="Arial" w:hAnsi="Arial" w:cs="Arial"/>
          <w:b/>
          <w:sz w:val="32"/>
        </w:rPr>
        <w:t>第一部分</w:t>
      </w:r>
      <w:r>
        <w:rPr>
          <w:rFonts w:ascii="Arial" w:hAnsi="Arial" w:cs="Arial"/>
          <w:b/>
          <w:sz w:val="32"/>
        </w:rPr>
        <w:t xml:space="preserve">  </w:t>
      </w:r>
      <w:r>
        <w:rPr>
          <w:rFonts w:ascii="Arial" w:hAnsi="Arial" w:cs="Arial"/>
          <w:b/>
          <w:sz w:val="32"/>
        </w:rPr>
        <w:t>摘</w:t>
      </w:r>
      <w:r>
        <w:rPr>
          <w:rFonts w:ascii="Arial" w:hAnsi="Arial" w:cs="Arial"/>
          <w:b/>
          <w:sz w:val="32"/>
        </w:rPr>
        <w:t xml:space="preserve">  </w:t>
      </w:r>
      <w:r>
        <w:rPr>
          <w:rFonts w:ascii="Arial" w:hAnsi="Arial" w:cs="Arial"/>
          <w:b/>
          <w:sz w:val="32"/>
        </w:rPr>
        <w:t>要</w:t>
      </w:r>
      <w:bookmarkEnd w:id="16"/>
      <w:bookmarkEnd w:id="17"/>
      <w:bookmarkEnd w:id="18"/>
      <w:bookmarkEnd w:id="19"/>
      <w:bookmarkEnd w:id="20"/>
      <w:bookmarkEnd w:id="21"/>
      <w:bookmarkEnd w:id="22"/>
      <w:r>
        <w:rPr>
          <w:rFonts w:ascii="Arial" w:hAnsi="Arial" w:cs="Arial"/>
          <w:b/>
          <w:sz w:val="32"/>
        </w:rPr>
        <w:tab/>
      </w:r>
    </w:p>
    <w:p w:rsidR="004935A9" w:rsidRDefault="004935A9">
      <w:pPr>
        <w:spacing w:line="360" w:lineRule="auto"/>
        <w:rPr>
          <w:rFonts w:ascii="Arial" w:hAnsi="Arial" w:cs="Arial"/>
          <w:sz w:val="28"/>
        </w:rPr>
      </w:pPr>
    </w:p>
    <w:p w:rsidR="004935A9" w:rsidRDefault="00311723">
      <w:pPr>
        <w:spacing w:line="360" w:lineRule="auto"/>
        <w:outlineLvl w:val="1"/>
        <w:rPr>
          <w:rFonts w:ascii="Arial" w:hAnsi="Arial" w:cs="Arial"/>
          <w:b/>
          <w:sz w:val="28"/>
        </w:rPr>
      </w:pPr>
      <w:bookmarkStart w:id="23" w:name="_Toc12729"/>
      <w:bookmarkStart w:id="24" w:name="_Toc24882"/>
      <w:bookmarkStart w:id="25" w:name="_Toc469066301"/>
      <w:bookmarkStart w:id="26" w:name="_Toc416783517"/>
      <w:bookmarkStart w:id="27" w:name="_Toc418750879"/>
      <w:bookmarkStart w:id="28" w:name="_Toc5805"/>
      <w:bookmarkStart w:id="29" w:name="_Toc425250301"/>
      <w:r>
        <w:rPr>
          <w:rFonts w:ascii="Arial" w:hAnsi="Arial" w:cs="Arial"/>
          <w:b/>
          <w:sz w:val="28"/>
        </w:rPr>
        <w:t>一、项目名称</w:t>
      </w:r>
      <w:bookmarkEnd w:id="23"/>
      <w:bookmarkEnd w:id="24"/>
      <w:bookmarkEnd w:id="25"/>
      <w:bookmarkEnd w:id="26"/>
      <w:bookmarkEnd w:id="27"/>
      <w:bookmarkEnd w:id="28"/>
      <w:bookmarkEnd w:id="29"/>
    </w:p>
    <w:p w:rsidR="004935A9" w:rsidRDefault="00311723">
      <w:pPr>
        <w:spacing w:line="360" w:lineRule="auto"/>
        <w:ind w:firstLineChars="199" w:firstLine="557"/>
        <w:jc w:val="both"/>
        <w:rPr>
          <w:rFonts w:ascii="Arial" w:hAnsi="Arial" w:cs="Arial"/>
          <w:sz w:val="28"/>
        </w:rPr>
      </w:pPr>
      <w:r>
        <w:rPr>
          <w:rFonts w:ascii="Arial" w:hAnsi="Arial" w:cs="Arial" w:hint="eastAsia"/>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马池口镇百泉庄村集体土地租赁住房项目集体经营性建设用地使用权地价评估</w:t>
      </w:r>
    </w:p>
    <w:p w:rsidR="004935A9" w:rsidRDefault="004935A9">
      <w:pPr>
        <w:spacing w:line="360" w:lineRule="auto"/>
        <w:jc w:val="both"/>
        <w:rPr>
          <w:rFonts w:ascii="Arial" w:hAnsi="Arial" w:cs="Arial"/>
          <w:b/>
          <w:bCs/>
          <w:sz w:val="28"/>
        </w:rPr>
      </w:pPr>
    </w:p>
    <w:p w:rsidR="004935A9" w:rsidRDefault="00311723">
      <w:pPr>
        <w:spacing w:line="360" w:lineRule="auto"/>
        <w:jc w:val="both"/>
        <w:outlineLvl w:val="1"/>
        <w:rPr>
          <w:rFonts w:ascii="Arial" w:hAnsi="Arial" w:cs="Arial"/>
          <w:b/>
          <w:bCs/>
          <w:sz w:val="28"/>
        </w:rPr>
      </w:pPr>
      <w:bookmarkStart w:id="30" w:name="_Toc418750880"/>
      <w:bookmarkStart w:id="31" w:name="_Toc425250302"/>
      <w:bookmarkStart w:id="32" w:name="_Toc9263"/>
      <w:bookmarkStart w:id="33" w:name="_Toc469066302"/>
      <w:bookmarkStart w:id="34" w:name="_Toc15528"/>
      <w:bookmarkStart w:id="35" w:name="_Toc31237"/>
      <w:bookmarkStart w:id="36" w:name="_Toc416783518"/>
      <w:r>
        <w:rPr>
          <w:rFonts w:ascii="Arial" w:hAnsi="Arial" w:cs="Arial"/>
          <w:b/>
          <w:bCs/>
          <w:sz w:val="28"/>
        </w:rPr>
        <w:t>二、委托方</w:t>
      </w:r>
      <w:bookmarkEnd w:id="30"/>
      <w:bookmarkEnd w:id="31"/>
      <w:bookmarkEnd w:id="32"/>
      <w:bookmarkEnd w:id="33"/>
      <w:bookmarkEnd w:id="34"/>
      <w:bookmarkEnd w:id="35"/>
      <w:bookmarkEnd w:id="36"/>
    </w:p>
    <w:p w:rsidR="004935A9" w:rsidRDefault="00311723">
      <w:pPr>
        <w:spacing w:line="360" w:lineRule="auto"/>
        <w:ind w:left="1" w:right="-85" w:firstLineChars="200" w:firstLine="560"/>
        <w:jc w:val="both"/>
        <w:rPr>
          <w:rFonts w:ascii="Arial" w:hAnsi="Arial" w:cs="Arial"/>
          <w:bCs/>
          <w:sz w:val="28"/>
        </w:rPr>
      </w:pPr>
      <w:r>
        <w:rPr>
          <w:rFonts w:ascii="Arial" w:hAnsi="Arial" w:cs="Arial" w:hint="eastAsia"/>
          <w:bCs/>
          <w:sz w:val="28"/>
        </w:rPr>
        <w:t>北京保障房中心有限公司</w:t>
      </w:r>
    </w:p>
    <w:p w:rsidR="004935A9" w:rsidRDefault="004935A9">
      <w:pPr>
        <w:spacing w:line="360" w:lineRule="auto"/>
        <w:ind w:left="1" w:right="-85" w:firstLineChars="200" w:firstLine="562"/>
        <w:jc w:val="both"/>
        <w:rPr>
          <w:rFonts w:ascii="Arial" w:hAnsi="Arial" w:cs="Arial"/>
          <w:b/>
          <w:bCs/>
          <w:sz w:val="28"/>
        </w:rPr>
      </w:pPr>
    </w:p>
    <w:p w:rsidR="004935A9" w:rsidRDefault="00311723">
      <w:pPr>
        <w:spacing w:line="360" w:lineRule="auto"/>
        <w:jc w:val="both"/>
        <w:outlineLvl w:val="1"/>
        <w:rPr>
          <w:rFonts w:ascii="Arial" w:hAnsi="Arial" w:cs="Arial"/>
          <w:b/>
          <w:bCs/>
          <w:sz w:val="28"/>
        </w:rPr>
      </w:pPr>
      <w:bookmarkStart w:id="37" w:name="_Toc1290"/>
      <w:bookmarkStart w:id="38" w:name="_Toc416783519"/>
      <w:bookmarkStart w:id="39" w:name="_Toc418750881"/>
      <w:bookmarkStart w:id="40" w:name="_Toc12547"/>
      <w:bookmarkStart w:id="41" w:name="_Toc19859"/>
      <w:bookmarkStart w:id="42" w:name="_Toc425250303"/>
      <w:bookmarkStart w:id="43" w:name="_Toc469066303"/>
      <w:r>
        <w:rPr>
          <w:rFonts w:ascii="Arial" w:hAnsi="Arial" w:cs="Arial"/>
          <w:b/>
          <w:bCs/>
          <w:sz w:val="28"/>
        </w:rPr>
        <w:t>三、咨询目的</w:t>
      </w:r>
      <w:bookmarkEnd w:id="37"/>
      <w:bookmarkEnd w:id="38"/>
      <w:bookmarkEnd w:id="39"/>
      <w:bookmarkEnd w:id="40"/>
      <w:bookmarkEnd w:id="41"/>
      <w:bookmarkEnd w:id="42"/>
      <w:bookmarkEnd w:id="43"/>
    </w:p>
    <w:p w:rsidR="004935A9" w:rsidRDefault="00311723">
      <w:pPr>
        <w:overflowPunct w:val="0"/>
        <w:spacing w:line="480" w:lineRule="auto"/>
        <w:ind w:firstLineChars="200" w:firstLine="560"/>
        <w:jc w:val="both"/>
        <w:textAlignment w:val="auto"/>
        <w:rPr>
          <w:rFonts w:ascii="Arial" w:hAnsi="Arial" w:cs="Arial"/>
          <w:sz w:val="28"/>
        </w:rPr>
      </w:pPr>
      <w:r>
        <w:rPr>
          <w:rFonts w:ascii="Arial" w:hAnsi="Arial" w:cs="Arial" w:hint="eastAsia"/>
          <w:sz w:val="28"/>
        </w:rPr>
        <w:t>百泉庄</w:t>
      </w:r>
      <w:r>
        <w:rPr>
          <w:rFonts w:ascii="Arial" w:hAnsi="Arial" w:cs="Arial"/>
          <w:sz w:val="28"/>
        </w:rPr>
        <w:t>村经济</w:t>
      </w:r>
      <w:r>
        <w:rPr>
          <w:rFonts w:ascii="Arial" w:hAnsi="Arial" w:cs="Arial" w:hint="eastAsia"/>
          <w:sz w:val="28"/>
        </w:rPr>
        <w:t>组织</w:t>
      </w:r>
      <w:r>
        <w:rPr>
          <w:rFonts w:ascii="Arial" w:hAnsi="Arial" w:cs="Arial"/>
          <w:sz w:val="28"/>
        </w:rPr>
        <w:t>拟使用咨询对象集体土地作价入股，本次评估是为委托方了解咨询对象作价入股价格提供参考依据。</w:t>
      </w:r>
    </w:p>
    <w:p w:rsidR="004935A9" w:rsidRDefault="004935A9">
      <w:pPr>
        <w:spacing w:line="360" w:lineRule="auto"/>
        <w:ind w:firstLineChars="200" w:firstLine="562"/>
        <w:jc w:val="both"/>
        <w:rPr>
          <w:rFonts w:ascii="Arial" w:hAnsi="Arial" w:cs="Arial"/>
          <w:b/>
          <w:bCs/>
          <w:sz w:val="28"/>
        </w:rPr>
      </w:pPr>
    </w:p>
    <w:p w:rsidR="004935A9" w:rsidRDefault="00311723">
      <w:pPr>
        <w:spacing w:line="360" w:lineRule="auto"/>
        <w:jc w:val="both"/>
        <w:outlineLvl w:val="1"/>
        <w:rPr>
          <w:rFonts w:ascii="Arial" w:hAnsi="Arial" w:cs="Arial"/>
          <w:b/>
          <w:bCs/>
          <w:sz w:val="28"/>
        </w:rPr>
      </w:pPr>
      <w:bookmarkStart w:id="44" w:name="_Toc418750882"/>
      <w:bookmarkStart w:id="45" w:name="_Toc425250304"/>
      <w:bookmarkStart w:id="46" w:name="_Toc10165"/>
      <w:bookmarkStart w:id="47" w:name="_Toc416783520"/>
      <w:bookmarkStart w:id="48" w:name="_Toc25409"/>
      <w:bookmarkStart w:id="49" w:name="_Toc20228"/>
      <w:bookmarkStart w:id="50" w:name="_Toc469066304"/>
      <w:r>
        <w:rPr>
          <w:rFonts w:ascii="Arial" w:hAnsi="Arial" w:cs="Arial"/>
          <w:b/>
          <w:bCs/>
          <w:sz w:val="28"/>
        </w:rPr>
        <w:t>四、咨询期日</w:t>
      </w:r>
      <w:bookmarkEnd w:id="44"/>
      <w:bookmarkEnd w:id="45"/>
      <w:bookmarkEnd w:id="46"/>
      <w:bookmarkEnd w:id="47"/>
      <w:bookmarkEnd w:id="48"/>
      <w:bookmarkEnd w:id="49"/>
      <w:bookmarkEnd w:id="50"/>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（评估专业人员勘察现场之日）</w:t>
      </w:r>
    </w:p>
    <w:p w:rsidR="004935A9" w:rsidRDefault="004935A9">
      <w:pPr>
        <w:spacing w:line="360" w:lineRule="auto"/>
        <w:ind w:firstLineChars="200" w:firstLine="562"/>
        <w:jc w:val="both"/>
        <w:rPr>
          <w:rFonts w:ascii="Arial" w:hAnsi="Arial" w:cs="Arial"/>
          <w:b/>
          <w:bCs/>
          <w:sz w:val="28"/>
        </w:rPr>
      </w:pPr>
    </w:p>
    <w:p w:rsidR="004935A9" w:rsidRDefault="00311723">
      <w:pPr>
        <w:tabs>
          <w:tab w:val="left" w:pos="6957"/>
        </w:tabs>
        <w:spacing w:line="360" w:lineRule="auto"/>
        <w:jc w:val="both"/>
        <w:outlineLvl w:val="1"/>
        <w:rPr>
          <w:rFonts w:ascii="Arial" w:hAnsi="Arial" w:cs="Arial"/>
          <w:b/>
          <w:bCs/>
          <w:sz w:val="28"/>
        </w:rPr>
      </w:pPr>
      <w:bookmarkStart w:id="51" w:name="_Toc416783521"/>
      <w:bookmarkStart w:id="52" w:name="_Toc26604"/>
      <w:bookmarkStart w:id="53" w:name="_Toc469066305"/>
      <w:bookmarkStart w:id="54" w:name="_Toc418750883"/>
      <w:bookmarkStart w:id="55" w:name="_Toc425250305"/>
      <w:bookmarkStart w:id="56" w:name="_Toc4624"/>
      <w:bookmarkStart w:id="57" w:name="_Toc6150"/>
      <w:r>
        <w:rPr>
          <w:rFonts w:ascii="Arial" w:hAnsi="Arial" w:cs="Arial"/>
          <w:b/>
          <w:bCs/>
          <w:sz w:val="28"/>
        </w:rPr>
        <w:t>五、咨询日期</w:t>
      </w:r>
      <w:bookmarkEnd w:id="51"/>
      <w:bookmarkEnd w:id="52"/>
      <w:bookmarkEnd w:id="53"/>
      <w:bookmarkEnd w:id="54"/>
      <w:bookmarkEnd w:id="55"/>
      <w:bookmarkEnd w:id="56"/>
      <w:bookmarkEnd w:id="57"/>
      <w:r>
        <w:rPr>
          <w:rFonts w:ascii="Arial" w:hAnsi="Arial" w:cs="Arial"/>
          <w:b/>
          <w:bCs/>
          <w:sz w:val="28"/>
        </w:rPr>
        <w:tab/>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至</w:t>
      </w:r>
      <w:bookmarkStart w:id="58" w:name="_Toc425250306"/>
      <w:bookmarkStart w:id="59" w:name="_Toc416783522"/>
      <w:bookmarkStart w:id="60" w:name="_Toc469066306"/>
      <w:bookmarkStart w:id="61" w:name="_Toc418750884"/>
      <w:r>
        <w:rPr>
          <w:rFonts w:ascii="Arial" w:hAnsi="Arial" w:cs="Arial" w:hint="eastAsia"/>
          <w:sz w:val="28"/>
        </w:rPr>
        <w:t>2025</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1</w:t>
      </w:r>
      <w:r>
        <w:rPr>
          <w:rFonts w:ascii="Arial" w:hAnsi="Arial" w:cs="Arial" w:hint="eastAsia"/>
          <w:sz w:val="28"/>
        </w:rPr>
        <w:t>日</w:t>
      </w:r>
    </w:p>
    <w:p w:rsidR="004935A9" w:rsidRDefault="004935A9">
      <w:pPr>
        <w:spacing w:line="360" w:lineRule="auto"/>
        <w:ind w:firstLineChars="200" w:firstLine="560"/>
        <w:jc w:val="both"/>
        <w:rPr>
          <w:rFonts w:ascii="Arial" w:hAnsi="Arial" w:cs="Arial"/>
          <w:sz w:val="28"/>
        </w:rPr>
      </w:pPr>
    </w:p>
    <w:p w:rsidR="004935A9" w:rsidRDefault="00311723">
      <w:pPr>
        <w:tabs>
          <w:tab w:val="left" w:pos="6957"/>
        </w:tabs>
        <w:spacing w:line="360" w:lineRule="auto"/>
        <w:jc w:val="both"/>
        <w:outlineLvl w:val="1"/>
        <w:rPr>
          <w:rFonts w:ascii="Arial" w:hAnsi="Arial" w:cs="Arial"/>
          <w:b/>
          <w:bCs/>
          <w:sz w:val="28"/>
        </w:rPr>
      </w:pPr>
      <w:bookmarkStart w:id="62" w:name="_Toc27364"/>
      <w:bookmarkStart w:id="63" w:name="_Toc32705"/>
      <w:bookmarkStart w:id="64" w:name="_Toc1743"/>
      <w:r>
        <w:rPr>
          <w:rFonts w:ascii="Arial" w:hAnsi="Arial" w:cs="Arial"/>
          <w:b/>
          <w:bCs/>
          <w:sz w:val="28"/>
        </w:rPr>
        <w:t>六、地价定义</w:t>
      </w:r>
      <w:bookmarkEnd w:id="58"/>
      <w:bookmarkEnd w:id="59"/>
      <w:bookmarkEnd w:id="60"/>
      <w:bookmarkEnd w:id="61"/>
      <w:bookmarkEnd w:id="62"/>
      <w:bookmarkEnd w:id="63"/>
      <w:bookmarkEnd w:id="64"/>
    </w:p>
    <w:p w:rsidR="004935A9" w:rsidRDefault="00311723">
      <w:pPr>
        <w:spacing w:line="360" w:lineRule="auto"/>
        <w:jc w:val="both"/>
        <w:rPr>
          <w:rFonts w:ascii="Arial" w:hAnsi="Arial" w:cs="Arial"/>
          <w:sz w:val="28"/>
        </w:rPr>
      </w:pPr>
      <w:r>
        <w:rPr>
          <w:rFonts w:ascii="Arial" w:hAnsi="Arial" w:cs="Arial"/>
          <w:sz w:val="28"/>
        </w:rPr>
        <w:t>（一）用途</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经委托方介绍，拟与百泉庄</w:t>
      </w:r>
      <w:r>
        <w:rPr>
          <w:rFonts w:ascii="Arial" w:hAnsi="Arial" w:cs="Arial"/>
          <w:sz w:val="28"/>
        </w:rPr>
        <w:t>村经济</w:t>
      </w:r>
      <w:r>
        <w:rPr>
          <w:rFonts w:ascii="Arial" w:hAnsi="Arial" w:cs="Arial" w:hint="eastAsia"/>
          <w:sz w:val="28"/>
        </w:rPr>
        <w:t>组织采用股权合作模式开发建设</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马池口镇百泉庄村集体土地租赁住房项目，总</w:t>
      </w:r>
      <w:r>
        <w:rPr>
          <w:rFonts w:ascii="Arial" w:hAnsi="Arial" w:cs="Arial"/>
          <w:sz w:val="28"/>
        </w:rPr>
        <w:t>建设用地</w:t>
      </w:r>
      <w:r>
        <w:rPr>
          <w:rFonts w:ascii="Arial" w:hAnsi="Arial" w:cs="Arial" w:hint="eastAsia"/>
          <w:sz w:val="28"/>
        </w:rPr>
        <w:t>18132</w:t>
      </w:r>
      <w:r>
        <w:rPr>
          <w:rFonts w:ascii="Arial" w:hAnsi="Arial" w:cs="Arial" w:hint="eastAsia"/>
          <w:sz w:val="28"/>
        </w:rPr>
        <w:t>平方米</w:t>
      </w:r>
      <w:r>
        <w:rPr>
          <w:rFonts w:ascii="Arial" w:hAnsi="Arial" w:cs="Arial"/>
          <w:sz w:val="28"/>
        </w:rPr>
        <w:lastRenderedPageBreak/>
        <w:t>（</w:t>
      </w:r>
      <w:r>
        <w:rPr>
          <w:rFonts w:ascii="Arial" w:hAnsi="Arial" w:cs="Arial" w:hint="eastAsia"/>
          <w:sz w:val="28"/>
        </w:rPr>
        <w:t>27.20</w:t>
      </w:r>
      <w:r>
        <w:rPr>
          <w:rFonts w:ascii="Arial" w:hAnsi="Arial" w:cs="Arial"/>
          <w:sz w:val="28"/>
        </w:rPr>
        <w:t>亩）。</w:t>
      </w:r>
    </w:p>
    <w:p w:rsidR="004935A9" w:rsidRDefault="00311723">
      <w:pPr>
        <w:spacing w:line="360" w:lineRule="auto"/>
        <w:jc w:val="both"/>
        <w:rPr>
          <w:rFonts w:ascii="Arial" w:hAnsi="Arial" w:cs="Arial"/>
          <w:sz w:val="28"/>
        </w:rPr>
      </w:pPr>
      <w:r>
        <w:rPr>
          <w:rFonts w:ascii="Arial" w:hAnsi="Arial" w:cs="Arial"/>
          <w:sz w:val="28"/>
        </w:rPr>
        <w:t>（二）土地开发程度</w:t>
      </w:r>
    </w:p>
    <w:p w:rsidR="004935A9" w:rsidRDefault="00311723">
      <w:pPr>
        <w:spacing w:line="360" w:lineRule="auto"/>
        <w:ind w:firstLineChars="200" w:firstLine="56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w:t>
      </w:r>
      <w:commentRangeStart w:id="65"/>
      <w:r>
        <w:rPr>
          <w:rFonts w:ascii="Arial" w:hAnsi="Arial" w:cs="Arial"/>
          <w:sz w:val="28"/>
        </w:rPr>
        <w:t>树木移除</w:t>
      </w:r>
      <w:commentRangeEnd w:id="65"/>
      <w:r w:rsidR="00A74041">
        <w:rPr>
          <w:rStyle w:val="af3"/>
        </w:rPr>
        <w:commentReference w:id="65"/>
      </w:r>
      <w:r>
        <w:rPr>
          <w:rFonts w:ascii="Arial" w:hAnsi="Arial" w:cs="Arial"/>
          <w:sz w:val="28"/>
        </w:rPr>
        <w:t>的费用。</w:t>
      </w:r>
    </w:p>
    <w:p w:rsidR="004935A9" w:rsidRDefault="00311723">
      <w:pPr>
        <w:numPr>
          <w:ilvl w:val="0"/>
          <w:numId w:val="6"/>
        </w:numPr>
        <w:spacing w:line="360" w:lineRule="auto"/>
        <w:jc w:val="both"/>
        <w:rPr>
          <w:rFonts w:ascii="Arial" w:hAnsi="Arial" w:cs="Arial"/>
          <w:sz w:val="28"/>
        </w:rPr>
      </w:pPr>
      <w:r>
        <w:rPr>
          <w:rFonts w:ascii="Arial" w:hAnsi="Arial" w:cs="Arial"/>
          <w:sz w:val="28"/>
        </w:rPr>
        <w:t>规划利用条件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根据委托方提供的经济技术指标，</w:t>
      </w:r>
      <w:r>
        <w:rPr>
          <w:rFonts w:ascii="Arial" w:hAnsi="Arial" w:cs="Arial"/>
          <w:sz w:val="28"/>
        </w:rPr>
        <w:t>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4935A9">
        <w:trPr>
          <w:trHeight w:val="280"/>
        </w:trPr>
        <w:tc>
          <w:tcPr>
            <w:tcW w:w="5526" w:type="dxa"/>
            <w:gridSpan w:val="3"/>
            <w:tcBorders>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commentRangeStart w:id="66"/>
            <w:r>
              <w:rPr>
                <w:rFonts w:ascii="Arial" w:hAnsi="Arial" w:cs="Arial"/>
                <w:color w:val="000000"/>
                <w:sz w:val="20"/>
              </w:rPr>
              <w:t>数量</w:t>
            </w:r>
            <w:commentRangeEnd w:id="66"/>
            <w:r w:rsidR="00A74041">
              <w:rPr>
                <w:rStyle w:val="af3"/>
              </w:rPr>
              <w:commentReference w:id="66"/>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4935A9">
        <w:trPr>
          <w:trHeight w:val="280"/>
        </w:trPr>
        <w:tc>
          <w:tcPr>
            <w:tcW w:w="1165" w:type="dxa"/>
            <w:vMerge w:val="restart"/>
            <w:tcBorders>
              <w:top w:val="nil"/>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4935A9" w:rsidRDefault="004935A9">
      <w:pPr>
        <w:spacing w:line="360" w:lineRule="auto"/>
        <w:ind w:firstLineChars="200" w:firstLine="560"/>
        <w:jc w:val="both"/>
        <w:rPr>
          <w:rFonts w:ascii="Arial" w:hAnsi="Arial" w:cs="Arial"/>
          <w:sz w:val="28"/>
        </w:rPr>
      </w:pPr>
    </w:p>
    <w:p w:rsidR="004935A9" w:rsidRDefault="00311723">
      <w:pPr>
        <w:numPr>
          <w:ilvl w:val="0"/>
          <w:numId w:val="6"/>
        </w:numPr>
        <w:spacing w:line="360" w:lineRule="auto"/>
        <w:jc w:val="both"/>
        <w:rPr>
          <w:rFonts w:ascii="Arial" w:hAnsi="Arial" w:cs="Arial"/>
          <w:sz w:val="28"/>
        </w:rPr>
      </w:pPr>
      <w:r>
        <w:rPr>
          <w:rFonts w:ascii="Arial" w:hAnsi="Arial" w:cs="Arial"/>
          <w:sz w:val="28"/>
        </w:rPr>
        <w:lastRenderedPageBreak/>
        <w:t>土地使用年限</w:t>
      </w:r>
    </w:p>
    <w:p w:rsidR="004935A9" w:rsidRDefault="00311723">
      <w:pPr>
        <w:spacing w:line="360" w:lineRule="auto"/>
        <w:ind w:firstLineChars="200" w:firstLine="56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hint="eastAsia"/>
          <w:sz w:val="28"/>
        </w:rPr>
        <w:t>[</w:t>
      </w:r>
      <w:r>
        <w:rPr>
          <w:rFonts w:ascii="Arial" w:hAnsi="Arial" w:cs="Arial" w:hint="eastAsia"/>
          <w:sz w:val="28"/>
        </w:rPr>
        <w:t>京</w:t>
      </w:r>
      <w:proofErr w:type="gramStart"/>
      <w:r>
        <w:rPr>
          <w:rFonts w:ascii="Arial" w:hAnsi="Arial" w:cs="Arial" w:hint="eastAsia"/>
          <w:sz w:val="28"/>
        </w:rPr>
        <w:t>规</w:t>
      </w:r>
      <w:proofErr w:type="gramEnd"/>
      <w:r>
        <w:rPr>
          <w:rFonts w:ascii="Arial" w:hAnsi="Arial" w:cs="Arial" w:hint="eastAsia"/>
          <w:sz w:val="28"/>
        </w:rPr>
        <w:t>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w:t>
      </w:r>
    </w:p>
    <w:p w:rsidR="004935A9" w:rsidRDefault="00311723">
      <w:pPr>
        <w:spacing w:line="360" w:lineRule="auto"/>
        <w:ind w:firstLineChars="200" w:firstLine="560"/>
        <w:jc w:val="both"/>
        <w:rPr>
          <w:rFonts w:ascii="Arial" w:hAnsi="Arial" w:cs="Arial"/>
          <w:sz w:val="28"/>
        </w:rPr>
      </w:pPr>
      <w:r>
        <w:rPr>
          <w:rFonts w:ascii="Arial" w:hAnsi="Arial" w:cs="Arial"/>
          <w:sz w:val="28"/>
        </w:rPr>
        <w:t>本次估价的</w:t>
      </w:r>
      <w:r>
        <w:rPr>
          <w:rFonts w:ascii="Arial" w:hAnsi="Arial" w:cs="Arial"/>
          <w:sz w:val="28"/>
        </w:rPr>
        <w:t>“</w:t>
      </w:r>
      <w:r>
        <w:rPr>
          <w:rFonts w:ascii="Arial" w:hAnsi="Arial" w:cs="Arial"/>
          <w:sz w:val="28"/>
        </w:rPr>
        <w:t>集体建设用地使用权价格</w:t>
      </w:r>
      <w:r>
        <w:rPr>
          <w:rFonts w:ascii="Arial" w:hAnsi="Arial" w:cs="Arial"/>
          <w:sz w:val="28"/>
        </w:rPr>
        <w:t>”</w:t>
      </w:r>
      <w:r>
        <w:rPr>
          <w:rFonts w:ascii="Arial" w:hAnsi="Arial" w:cs="Arial"/>
          <w:sz w:val="28"/>
        </w:rPr>
        <w:t>是</w:t>
      </w:r>
      <w:proofErr w:type="gramStart"/>
      <w:r>
        <w:rPr>
          <w:rFonts w:ascii="Arial" w:hAnsi="Arial" w:cs="Arial"/>
          <w:sz w:val="28"/>
        </w:rPr>
        <w:t>指咨询</w:t>
      </w:r>
      <w:proofErr w:type="gramEnd"/>
      <w:r>
        <w:rPr>
          <w:rFonts w:ascii="Arial" w:hAnsi="Arial" w:cs="Arial"/>
          <w:sz w:val="28"/>
        </w:rPr>
        <w:t>对象土地所有权为集体所有，在公开市场条件下，</w:t>
      </w:r>
      <w:proofErr w:type="gramStart"/>
      <w:r>
        <w:rPr>
          <w:rFonts w:ascii="Arial" w:hAnsi="Arial" w:cs="Arial"/>
          <w:sz w:val="28"/>
        </w:rPr>
        <w:t>于咨询</w:t>
      </w:r>
      <w:proofErr w:type="gramEnd"/>
      <w:r>
        <w:rPr>
          <w:rFonts w:ascii="Arial" w:hAnsi="Arial" w:cs="Arial"/>
          <w:sz w:val="28"/>
        </w:rPr>
        <w:t>期日</w:t>
      </w: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，在规划利用条件下，设定土地开发程度为宗地红线外市政基础设施达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（即通路、通上水、通下水）、宗地红线内场地平整，设定用途为</w:t>
      </w:r>
      <w:r>
        <w:rPr>
          <w:rFonts w:ascii="Arial" w:hAnsi="Arial" w:cs="Arial" w:hint="eastAsia"/>
          <w:sz w:val="28"/>
        </w:rPr>
        <w:t>公寓</w:t>
      </w:r>
      <w:r>
        <w:rPr>
          <w:rFonts w:ascii="Arial" w:hAnsi="Arial" w:cs="Arial"/>
          <w:sz w:val="28"/>
        </w:rPr>
        <w:t>、商业、地下车库，剩余土地使用年限为</w:t>
      </w:r>
      <w:r>
        <w:rPr>
          <w:rFonts w:ascii="Arial" w:hAnsi="Arial" w:cs="Arial" w:hint="eastAsia"/>
          <w:sz w:val="28"/>
        </w:rPr>
        <w:t>47.5</w:t>
      </w:r>
      <w:r>
        <w:rPr>
          <w:rFonts w:ascii="Arial" w:hAnsi="Arial" w:cs="Arial"/>
          <w:sz w:val="28"/>
        </w:rPr>
        <w:t>年的集体建设用地使用权价格。</w:t>
      </w:r>
    </w:p>
    <w:p w:rsidR="004935A9" w:rsidRDefault="004935A9">
      <w:pPr>
        <w:spacing w:line="360" w:lineRule="auto"/>
        <w:ind w:firstLineChars="200" w:firstLine="562"/>
        <w:jc w:val="both"/>
        <w:rPr>
          <w:rFonts w:ascii="Arial" w:hAnsi="Arial" w:cs="Arial"/>
          <w:b/>
          <w:sz w:val="28"/>
        </w:rPr>
      </w:pPr>
    </w:p>
    <w:p w:rsidR="004935A9" w:rsidRDefault="00311723">
      <w:pPr>
        <w:spacing w:line="360" w:lineRule="auto"/>
        <w:outlineLvl w:val="1"/>
        <w:rPr>
          <w:rFonts w:ascii="Arial" w:hAnsi="Arial" w:cs="Arial"/>
          <w:b/>
          <w:sz w:val="28"/>
        </w:rPr>
      </w:pPr>
      <w:bookmarkStart w:id="67" w:name="_Toc17152"/>
      <w:bookmarkStart w:id="68" w:name="_Toc11103"/>
      <w:bookmarkStart w:id="69" w:name="_Toc25526"/>
      <w:bookmarkStart w:id="70" w:name="_Toc425250307"/>
      <w:bookmarkStart w:id="71" w:name="_Toc469066307"/>
      <w:bookmarkStart w:id="72" w:name="_Toc416783523"/>
      <w:bookmarkStart w:id="73" w:name="_Toc418750885"/>
      <w:r>
        <w:rPr>
          <w:rFonts w:ascii="Arial" w:hAnsi="Arial" w:cs="Arial"/>
          <w:b/>
          <w:sz w:val="28"/>
        </w:rPr>
        <w:t>七、咨询结果</w:t>
      </w:r>
      <w:bookmarkEnd w:id="67"/>
      <w:bookmarkEnd w:id="68"/>
      <w:bookmarkEnd w:id="69"/>
      <w:bookmarkEnd w:id="70"/>
      <w:bookmarkEnd w:id="71"/>
      <w:bookmarkEnd w:id="72"/>
      <w:bookmarkEnd w:id="73"/>
    </w:p>
    <w:p w:rsidR="004935A9" w:rsidRDefault="00311723">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4935A9" w:rsidRDefault="00311723">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4935A9" w:rsidRDefault="00311723">
      <w:pPr>
        <w:spacing w:line="360" w:lineRule="auto"/>
        <w:ind w:firstLine="570"/>
        <w:jc w:val="both"/>
        <w:rPr>
          <w:rFonts w:ascii="Arial" w:hAnsi="Arial" w:cs="Arial"/>
          <w:sz w:val="28"/>
        </w:rPr>
      </w:pPr>
      <w:r>
        <w:rPr>
          <w:rFonts w:ascii="Arial" w:hAnsi="Arial" w:cs="Arial"/>
          <w:sz w:val="28"/>
        </w:rPr>
        <w:t>大写金额：人民币</w:t>
      </w:r>
      <w:proofErr w:type="gramStart"/>
      <w:r>
        <w:rPr>
          <w:rFonts w:ascii="Arial" w:hAnsi="Arial" w:cs="Arial" w:hint="eastAsia"/>
          <w:sz w:val="28"/>
        </w:rPr>
        <w:t>壹仟捌佰零肆万伍仟肆佰</w:t>
      </w:r>
      <w:proofErr w:type="gramEnd"/>
      <w:r>
        <w:rPr>
          <w:rFonts w:ascii="Arial" w:hAnsi="Arial" w:cs="Arial"/>
          <w:sz w:val="28"/>
        </w:rPr>
        <w:t>元整</w:t>
      </w:r>
    </w:p>
    <w:p w:rsidR="004935A9" w:rsidRDefault="00311723">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sz w:val="28"/>
        </w:rPr>
        <w:t>备注：</w:t>
      </w:r>
    </w:p>
    <w:p w:rsidR="004935A9" w:rsidRDefault="00311723">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w:t>
      </w:r>
      <w:r>
        <w:rPr>
          <w:rFonts w:ascii="Arial" w:hAnsi="Arial" w:cs="Arial"/>
          <w:sz w:val="28"/>
        </w:rPr>
        <w:lastRenderedPageBreak/>
        <w:t>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昌平区马池口镇百泉庄村</w:t>
      </w:r>
      <w:r>
        <w:rPr>
          <w:rFonts w:ascii="Arial" w:hAnsi="Arial" w:cs="Arial"/>
          <w:sz w:val="28"/>
        </w:rPr>
        <w:t>经济</w:t>
      </w:r>
      <w:r>
        <w:rPr>
          <w:rFonts w:ascii="Arial" w:hAnsi="Arial" w:cs="Arial" w:hint="eastAsia"/>
          <w:sz w:val="28"/>
        </w:rPr>
        <w:t>组织</w:t>
      </w:r>
      <w:r>
        <w:rPr>
          <w:rFonts w:ascii="Arial" w:hAnsi="Arial" w:cs="Arial"/>
          <w:sz w:val="28"/>
        </w:rPr>
        <w:t>集体土地租赁住房项目核准的批复》等相关项目资料，本次评估过程中涉及的相关测算参数主要是依据委托方提供的</w:t>
      </w:r>
      <w:r>
        <w:rPr>
          <w:rFonts w:ascii="Arial" w:hAnsi="Arial" w:cs="Arial" w:hint="eastAsia"/>
          <w:sz w:val="28"/>
        </w:rPr>
        <w:t>相关资料</w:t>
      </w:r>
      <w:r>
        <w:rPr>
          <w:rFonts w:ascii="Arial" w:hAnsi="Arial" w:cs="Arial"/>
          <w:sz w:val="28"/>
        </w:rPr>
        <w:t>及介绍的情况</w:t>
      </w:r>
      <w:r>
        <w:rPr>
          <w:rFonts w:ascii="Arial" w:hAnsi="Arial" w:cs="Arial" w:hint="eastAsia"/>
          <w:sz w:val="28"/>
        </w:rPr>
        <w:t>进行</w:t>
      </w:r>
      <w:r>
        <w:rPr>
          <w:rFonts w:ascii="Arial" w:hAnsi="Arial" w:cs="Arial"/>
          <w:sz w:val="28"/>
        </w:rPr>
        <w:t>测算，如上述数据发生变化，可能会对目前的</w:t>
      </w:r>
      <w:r>
        <w:rPr>
          <w:rFonts w:ascii="Arial" w:hAnsi="Arial" w:cs="Arial" w:hint="eastAsia"/>
          <w:sz w:val="28"/>
        </w:rPr>
        <w:t>咨询</w:t>
      </w:r>
      <w:r>
        <w:rPr>
          <w:rFonts w:ascii="Arial" w:hAnsi="Arial" w:cs="Arial"/>
          <w:sz w:val="28"/>
        </w:rPr>
        <w:t>结论产生影响。</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w:t>
      </w:r>
      <w:proofErr w:type="gramEnd"/>
      <w:r>
        <w:rPr>
          <w:rFonts w:ascii="Arial" w:hAnsi="Arial" w:cs="Arial"/>
          <w:sz w:val="28"/>
        </w:rPr>
        <w:t>政策文件尚未正式出台，故届时将按照有关规定执行。综上所述，本次评估</w:t>
      </w:r>
      <w:r>
        <w:rPr>
          <w:rFonts w:ascii="Arial" w:hAnsi="Arial" w:cs="Arial" w:hint="eastAsia"/>
          <w:sz w:val="28"/>
        </w:rPr>
        <w:t>设定土地开发期及建筑物建设期为</w:t>
      </w:r>
      <w:r>
        <w:rPr>
          <w:rFonts w:ascii="Arial" w:hAnsi="Arial" w:cs="Arial" w:hint="eastAsia"/>
          <w:sz w:val="28"/>
        </w:rPr>
        <w:t>2.5</w:t>
      </w:r>
      <w:r>
        <w:rPr>
          <w:rFonts w:ascii="Arial" w:hAnsi="Arial" w:cs="Arial" w:hint="eastAsia"/>
          <w:sz w:val="28"/>
        </w:rPr>
        <w:t>年，</w:t>
      </w:r>
      <w:r>
        <w:rPr>
          <w:rFonts w:ascii="Arial" w:hAnsi="Arial" w:cs="Arial"/>
          <w:sz w:val="28"/>
        </w:rPr>
        <w:t>只考虑</w:t>
      </w:r>
      <w:r>
        <w:rPr>
          <w:rFonts w:ascii="Arial" w:hAnsi="Arial" w:cs="Arial" w:hint="eastAsia"/>
          <w:sz w:val="28"/>
        </w:rPr>
        <w:t>47.5</w:t>
      </w:r>
      <w:r>
        <w:rPr>
          <w:rFonts w:ascii="Arial" w:hAnsi="Arial" w:cs="Arial"/>
          <w:sz w:val="28"/>
        </w:rPr>
        <w:t>年合作期限内的收益。</w:t>
      </w:r>
    </w:p>
    <w:p w:rsidR="004935A9" w:rsidRDefault="004935A9">
      <w:pPr>
        <w:spacing w:line="360" w:lineRule="auto"/>
        <w:ind w:firstLineChars="200" w:firstLine="560"/>
        <w:jc w:val="both"/>
        <w:rPr>
          <w:rFonts w:ascii="Arial" w:hAnsi="Arial" w:cs="Arial"/>
          <w:sz w:val="28"/>
        </w:rPr>
      </w:pPr>
    </w:p>
    <w:p w:rsidR="004935A9" w:rsidRDefault="00311723">
      <w:pPr>
        <w:numPr>
          <w:ilvl w:val="0"/>
          <w:numId w:val="7"/>
        </w:numPr>
        <w:spacing w:line="360" w:lineRule="auto"/>
        <w:rPr>
          <w:rFonts w:ascii="Arial" w:hAnsi="Arial" w:cs="Arial"/>
          <w:b/>
          <w:sz w:val="28"/>
        </w:rPr>
      </w:pPr>
      <w:bookmarkStart w:id="74" w:name="_Toc418750889"/>
      <w:bookmarkStart w:id="75" w:name="_Toc416783526"/>
      <w:bookmarkStart w:id="76" w:name="_Toc425250311"/>
      <w:bookmarkStart w:id="77" w:name="_Toc469066309"/>
      <w:r>
        <w:rPr>
          <w:rFonts w:ascii="Arial" w:hAnsi="Arial" w:cs="Arial"/>
          <w:b/>
          <w:sz w:val="28"/>
        </w:rPr>
        <w:t>土地估价机构</w:t>
      </w:r>
      <w:bookmarkEnd w:id="74"/>
      <w:bookmarkEnd w:id="75"/>
      <w:bookmarkEnd w:id="76"/>
      <w:bookmarkEnd w:id="77"/>
    </w:p>
    <w:p w:rsidR="004935A9" w:rsidRDefault="004935A9">
      <w:pPr>
        <w:spacing w:line="360" w:lineRule="auto"/>
        <w:rPr>
          <w:rFonts w:ascii="Arial" w:hAnsi="Arial" w:cs="Arial"/>
          <w:b/>
          <w:sz w:val="28"/>
        </w:rPr>
      </w:pPr>
    </w:p>
    <w:p w:rsidR="004935A9" w:rsidRDefault="004935A9">
      <w:pPr>
        <w:spacing w:line="360" w:lineRule="auto"/>
        <w:rPr>
          <w:rFonts w:ascii="Arial" w:hAnsi="Arial" w:cs="Arial"/>
          <w:b/>
          <w:sz w:val="28"/>
        </w:rPr>
      </w:pPr>
    </w:p>
    <w:p w:rsidR="004935A9" w:rsidRDefault="004935A9">
      <w:pPr>
        <w:spacing w:line="360" w:lineRule="auto"/>
        <w:rPr>
          <w:rFonts w:ascii="Arial" w:hAnsi="Arial" w:cs="Arial"/>
          <w:b/>
          <w:sz w:val="28"/>
        </w:rPr>
      </w:pPr>
    </w:p>
    <w:p w:rsidR="004935A9" w:rsidRDefault="00311723">
      <w:pPr>
        <w:spacing w:line="360" w:lineRule="auto"/>
        <w:rPr>
          <w:rFonts w:ascii="Arial" w:hAnsi="Arial" w:cs="Arial"/>
          <w:sz w:val="28"/>
        </w:rPr>
      </w:pPr>
      <w:r>
        <w:rPr>
          <w:rFonts w:ascii="Arial" w:hAnsi="Arial" w:cs="Arial"/>
          <w:sz w:val="28"/>
        </w:rPr>
        <w:t xml:space="preserve"> </w:t>
      </w:r>
    </w:p>
    <w:p w:rsidR="004935A9" w:rsidRDefault="00311723">
      <w:pPr>
        <w:spacing w:line="360" w:lineRule="auto"/>
        <w:rPr>
          <w:rFonts w:ascii="Arial" w:hAnsi="Arial" w:cs="Arial"/>
          <w:sz w:val="28"/>
        </w:rPr>
      </w:pPr>
      <w:r>
        <w:rPr>
          <w:rFonts w:ascii="Arial" w:hAnsi="Arial" w:cs="Arial"/>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4935A9">
        <w:trPr>
          <w:jc w:val="right"/>
        </w:trPr>
        <w:tc>
          <w:tcPr>
            <w:tcW w:w="4445" w:type="dxa"/>
          </w:tcPr>
          <w:p w:rsidR="004935A9" w:rsidRDefault="00311723">
            <w:pPr>
              <w:spacing w:line="360" w:lineRule="auto"/>
              <w:rPr>
                <w:rFonts w:ascii="Arial" w:hAnsi="Arial" w:cs="Arial"/>
                <w:sz w:val="28"/>
                <w:szCs w:val="21"/>
              </w:rPr>
            </w:pPr>
            <w:proofErr w:type="gramStart"/>
            <w:r>
              <w:rPr>
                <w:rFonts w:ascii="Arial" w:hAnsi="Arial" w:cs="Arial"/>
                <w:sz w:val="28"/>
                <w:szCs w:val="21"/>
              </w:rPr>
              <w:t>北京康正宏</w:t>
            </w:r>
            <w:proofErr w:type="gramEnd"/>
            <w:r>
              <w:rPr>
                <w:rFonts w:ascii="Arial" w:hAnsi="Arial" w:cs="Arial"/>
                <w:sz w:val="28"/>
                <w:szCs w:val="21"/>
              </w:rPr>
              <w:t>基房地产评估有限公司</w:t>
            </w:r>
          </w:p>
        </w:tc>
      </w:tr>
      <w:tr w:rsidR="004935A9">
        <w:trPr>
          <w:trHeight w:val="231"/>
          <w:jc w:val="right"/>
        </w:trPr>
        <w:tc>
          <w:tcPr>
            <w:tcW w:w="4445" w:type="dxa"/>
          </w:tcPr>
          <w:p w:rsidR="004935A9" w:rsidRDefault="004935A9">
            <w:pPr>
              <w:spacing w:line="480" w:lineRule="auto"/>
              <w:rPr>
                <w:rFonts w:ascii="Arial" w:hAnsi="Arial" w:cs="Arial"/>
                <w:sz w:val="28"/>
                <w:szCs w:val="21"/>
              </w:rPr>
            </w:pPr>
          </w:p>
        </w:tc>
      </w:tr>
      <w:tr w:rsidR="004935A9">
        <w:trPr>
          <w:cantSplit/>
          <w:jc w:val="right"/>
        </w:trPr>
        <w:tc>
          <w:tcPr>
            <w:tcW w:w="4445" w:type="dxa"/>
          </w:tcPr>
          <w:p w:rsidR="004935A9" w:rsidRDefault="00311723">
            <w:pPr>
              <w:spacing w:line="240" w:lineRule="auto"/>
              <w:jc w:val="right"/>
              <w:rPr>
                <w:rFonts w:ascii="Arial" w:hAnsi="Arial" w:cs="Arial"/>
                <w:sz w:val="28"/>
                <w:szCs w:val="21"/>
              </w:rPr>
            </w:pPr>
            <w:r>
              <w:rPr>
                <w:rFonts w:ascii="Arial" w:hAnsi="Arial" w:cs="Arial" w:hint="eastAsia"/>
                <w:sz w:val="28"/>
                <w:szCs w:val="21"/>
              </w:rPr>
              <w:t>二〇二五年七月一日</w:t>
            </w:r>
          </w:p>
        </w:tc>
      </w:tr>
    </w:tbl>
    <w:p w:rsidR="004935A9" w:rsidRDefault="004935A9">
      <w:pPr>
        <w:spacing w:line="360" w:lineRule="auto"/>
        <w:rPr>
          <w:rFonts w:ascii="Arial" w:hAnsi="Arial" w:cs="Arial"/>
          <w:sz w:val="28"/>
        </w:rPr>
      </w:pPr>
    </w:p>
    <w:p w:rsidR="004935A9" w:rsidRDefault="004935A9">
      <w:pPr>
        <w:spacing w:line="360" w:lineRule="auto"/>
        <w:ind w:firstLineChars="1600" w:firstLine="4480"/>
        <w:jc w:val="right"/>
        <w:rPr>
          <w:rFonts w:ascii="Arial" w:hAnsi="Arial" w:cs="Arial"/>
          <w:sz w:val="28"/>
        </w:rPr>
      </w:pPr>
    </w:p>
    <w:p w:rsidR="004935A9" w:rsidRDefault="004935A9">
      <w:pPr>
        <w:spacing w:line="360" w:lineRule="auto"/>
        <w:ind w:firstLineChars="1600" w:firstLine="4480"/>
        <w:rPr>
          <w:rFonts w:ascii="Arial" w:hAnsi="Arial" w:cs="Arial"/>
          <w:sz w:val="28"/>
        </w:rPr>
        <w:sectPr w:rsidR="004935A9">
          <w:footerReference w:type="first" r:id="rId22"/>
          <w:pgSz w:w="11907" w:h="16840"/>
          <w:pgMar w:top="1843" w:right="1304" w:bottom="1134" w:left="1304" w:header="1134" w:footer="907" w:gutter="0"/>
          <w:pgNumType w:start="1"/>
          <w:cols w:space="720"/>
          <w:titlePg/>
          <w:docGrid w:linePitch="326"/>
        </w:sectPr>
      </w:pPr>
    </w:p>
    <w:p w:rsidR="004935A9" w:rsidRDefault="00311723">
      <w:pPr>
        <w:spacing w:line="240" w:lineRule="auto"/>
        <w:outlineLvl w:val="1"/>
        <w:rPr>
          <w:rFonts w:ascii="Arial" w:hAnsi="Arial" w:cs="Arial"/>
          <w:b/>
          <w:sz w:val="28"/>
        </w:rPr>
      </w:pPr>
      <w:bookmarkStart w:id="78" w:name="_Toc416783527"/>
      <w:bookmarkStart w:id="79" w:name="_Toc469066310"/>
      <w:bookmarkStart w:id="80" w:name="_Toc425250312"/>
      <w:bookmarkStart w:id="81" w:name="_Toc23949"/>
      <w:bookmarkStart w:id="82" w:name="_Toc25816"/>
      <w:bookmarkStart w:id="83" w:name="_Toc16094"/>
      <w:bookmarkStart w:id="84" w:name="_Toc418750890"/>
      <w:bookmarkStart w:id="85" w:name="_Toc5679"/>
      <w:r>
        <w:rPr>
          <w:rFonts w:ascii="Arial" w:hAnsi="Arial" w:cs="Arial"/>
          <w:bCs/>
          <w:sz w:val="28"/>
        </w:rPr>
        <w:lastRenderedPageBreak/>
        <w:t>附</w:t>
      </w:r>
      <w:r>
        <w:rPr>
          <w:rFonts w:ascii="Arial" w:hAnsi="Arial" w:cs="Arial"/>
          <w:b/>
          <w:sz w:val="28"/>
        </w:rPr>
        <w:t xml:space="preserve">                                           </w:t>
      </w:r>
      <w:r>
        <w:rPr>
          <w:rFonts w:ascii="Arial" w:hAnsi="Arial" w:cs="Arial"/>
          <w:b/>
          <w:sz w:val="28"/>
        </w:rPr>
        <w:t>咨询结果一览表</w:t>
      </w:r>
      <w:bookmarkEnd w:id="78"/>
      <w:bookmarkEnd w:id="79"/>
      <w:bookmarkEnd w:id="80"/>
      <w:bookmarkEnd w:id="81"/>
      <w:bookmarkEnd w:id="82"/>
      <w:bookmarkEnd w:id="83"/>
      <w:bookmarkEnd w:id="84"/>
      <w:bookmarkEnd w:id="85"/>
    </w:p>
    <w:p w:rsidR="004935A9" w:rsidRDefault="00311723">
      <w:pPr>
        <w:spacing w:line="240" w:lineRule="auto"/>
        <w:rPr>
          <w:rFonts w:ascii="Arial" w:hAnsi="Arial" w:cs="Arial"/>
          <w:bCs/>
          <w:sz w:val="18"/>
        </w:rPr>
      </w:pPr>
      <w:r>
        <w:rPr>
          <w:rFonts w:ascii="Arial" w:hAnsi="Arial" w:cs="Arial"/>
          <w:bCs/>
          <w:sz w:val="18"/>
        </w:rPr>
        <w:t>估价机构：</w:t>
      </w:r>
      <w:proofErr w:type="gramStart"/>
      <w:r>
        <w:rPr>
          <w:rFonts w:ascii="Arial" w:hAnsi="Arial" w:cs="Arial"/>
          <w:sz w:val="18"/>
        </w:rPr>
        <w:t>北京康正宏</w:t>
      </w:r>
      <w:proofErr w:type="gramEnd"/>
      <w:r>
        <w:rPr>
          <w:rFonts w:ascii="Arial" w:hAnsi="Arial" w:cs="Arial"/>
          <w:sz w:val="18"/>
        </w:rPr>
        <w:t>基房地产评估有限公司</w:t>
      </w:r>
      <w:r>
        <w:rPr>
          <w:rFonts w:ascii="Arial" w:hAnsi="Arial" w:cs="Arial"/>
          <w:sz w:val="18"/>
        </w:rPr>
        <w:t xml:space="preserve"> </w:t>
      </w:r>
      <w:r>
        <w:rPr>
          <w:rFonts w:ascii="Arial" w:hAnsi="Arial" w:cs="Arial"/>
          <w:bCs/>
          <w:sz w:val="18"/>
        </w:rPr>
        <w:t xml:space="preserve">  </w:t>
      </w:r>
      <w:r>
        <w:rPr>
          <w:rFonts w:ascii="Arial" w:hAnsi="Arial" w:cs="Arial" w:hint="eastAsia"/>
          <w:bCs/>
          <w:sz w:val="18"/>
        </w:rPr>
        <w:t>咨询报告</w:t>
      </w:r>
      <w:r>
        <w:rPr>
          <w:rFonts w:ascii="Arial" w:hAnsi="Arial" w:cs="Arial"/>
          <w:bCs/>
          <w:sz w:val="18"/>
        </w:rPr>
        <w:t>编号：</w:t>
      </w:r>
      <w:proofErr w:type="gramStart"/>
      <w:r>
        <w:rPr>
          <w:rFonts w:ascii="Arial" w:hAnsi="Arial" w:cs="Arial"/>
          <w:bCs/>
          <w:sz w:val="18"/>
        </w:rPr>
        <w:t>康正评</w:t>
      </w:r>
      <w:proofErr w:type="gramEnd"/>
      <w:r>
        <w:rPr>
          <w:rFonts w:ascii="Arial" w:hAnsi="Arial" w:cs="Arial" w:hint="eastAsia"/>
          <w:bCs/>
          <w:sz w:val="18"/>
        </w:rPr>
        <w:t>字</w:t>
      </w:r>
      <w:r>
        <w:rPr>
          <w:rFonts w:ascii="Arial" w:hAnsi="Arial" w:cs="Arial" w:hint="eastAsia"/>
          <w:bCs/>
          <w:sz w:val="18"/>
        </w:rPr>
        <w:t>2025-1-0732-F01TDCR6</w:t>
      </w:r>
      <w:r>
        <w:rPr>
          <w:rFonts w:ascii="Arial" w:hAnsi="Arial" w:cs="Arial" w:hint="eastAsia"/>
          <w:bCs/>
          <w:sz w:val="18"/>
        </w:rPr>
        <w:t>号</w:t>
      </w:r>
      <w:r>
        <w:rPr>
          <w:rFonts w:ascii="Arial" w:hAnsi="Arial" w:cs="Arial" w:hint="eastAsia"/>
          <w:bCs/>
          <w:sz w:val="18"/>
        </w:rPr>
        <w:t xml:space="preserve">   </w:t>
      </w:r>
      <w:r>
        <w:rPr>
          <w:rFonts w:ascii="Arial" w:hAnsi="Arial" w:cs="Arial"/>
          <w:bCs/>
          <w:sz w:val="18"/>
        </w:rPr>
        <w:t>咨询期日：</w:t>
      </w:r>
      <w:r>
        <w:rPr>
          <w:rFonts w:ascii="Arial" w:hAnsi="Arial" w:cs="Arial" w:hint="eastAsia"/>
          <w:bCs/>
          <w:sz w:val="18"/>
        </w:rPr>
        <w:t>2025</w:t>
      </w:r>
      <w:r>
        <w:rPr>
          <w:rFonts w:ascii="Arial" w:hAnsi="Arial" w:cs="Arial" w:hint="eastAsia"/>
          <w:bCs/>
          <w:sz w:val="18"/>
        </w:rPr>
        <w:t>年</w:t>
      </w:r>
      <w:r>
        <w:rPr>
          <w:rFonts w:ascii="Arial" w:hAnsi="Arial" w:cs="Arial" w:hint="eastAsia"/>
          <w:bCs/>
          <w:sz w:val="18"/>
        </w:rPr>
        <w:t>6</w:t>
      </w:r>
      <w:r>
        <w:rPr>
          <w:rFonts w:ascii="Arial" w:hAnsi="Arial" w:cs="Arial" w:hint="eastAsia"/>
          <w:bCs/>
          <w:sz w:val="18"/>
        </w:rPr>
        <w:t>月</w:t>
      </w:r>
      <w:r>
        <w:rPr>
          <w:rFonts w:ascii="Arial" w:hAnsi="Arial" w:cs="Arial" w:hint="eastAsia"/>
          <w:bCs/>
          <w:sz w:val="18"/>
        </w:rPr>
        <w:t>22</w:t>
      </w:r>
      <w:r>
        <w:rPr>
          <w:rFonts w:ascii="Arial" w:hAnsi="Arial" w:cs="Arial" w:hint="eastAsia"/>
          <w:bCs/>
          <w:sz w:val="18"/>
        </w:rPr>
        <w:t>日</w:t>
      </w:r>
      <w:r>
        <w:rPr>
          <w:rFonts w:ascii="Arial" w:hAnsi="Arial" w:cs="Arial"/>
          <w:bCs/>
          <w:sz w:val="18"/>
        </w:rPr>
        <w:t xml:space="preserve">  </w:t>
      </w:r>
    </w:p>
    <w:tbl>
      <w:tblPr>
        <w:tblW w:w="15876"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rsidR="004935A9">
        <w:trPr>
          <w:cantSplit/>
          <w:jc w:val="center"/>
        </w:trPr>
        <w:tc>
          <w:tcPr>
            <w:tcW w:w="991"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咨询期日土地使用</w:t>
            </w:r>
            <w:r>
              <w:rPr>
                <w:rFonts w:ascii="Arial" w:hAnsi="Arial" w:cs="Arial" w:hint="eastAsia"/>
                <w:bCs/>
                <w:sz w:val="18"/>
                <w:szCs w:val="18"/>
              </w:rPr>
              <w:t>权人</w:t>
            </w:r>
          </w:p>
        </w:tc>
        <w:tc>
          <w:tcPr>
            <w:tcW w:w="795"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rsidR="004935A9" w:rsidRDefault="00311723">
            <w:pPr>
              <w:spacing w:line="240" w:lineRule="exact"/>
              <w:ind w:rightChars="-45" w:right="-108"/>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rsidR="004935A9" w:rsidRDefault="00311723">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土地使用年限</w:t>
            </w:r>
            <w:r>
              <w:rPr>
                <w:rFonts w:ascii="Arial" w:hAnsi="Arial" w:cs="Arial"/>
                <w:bCs/>
                <w:sz w:val="18"/>
                <w:szCs w:val="18"/>
              </w:rPr>
              <w:t>/</w:t>
            </w:r>
            <w:r>
              <w:rPr>
                <w:rFonts w:ascii="Arial" w:hAnsi="Arial" w:cs="Arial"/>
                <w:bCs/>
                <w:sz w:val="18"/>
                <w:szCs w:val="18"/>
              </w:rPr>
              <w:t>年</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土地面积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规划建筑面积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单位面积地价</w:t>
            </w:r>
            <w:r>
              <w:rPr>
                <w:rFonts w:ascii="Arial" w:hAnsi="Arial" w:cs="Arial"/>
                <w:bCs/>
                <w:sz w:val="18"/>
                <w:szCs w:val="18"/>
              </w:rPr>
              <w:t>/</w:t>
            </w:r>
          </w:p>
          <w:p w:rsidR="004935A9" w:rsidRDefault="00311723">
            <w:pPr>
              <w:spacing w:line="240" w:lineRule="exact"/>
              <w:rPr>
                <w:rFonts w:ascii="Arial" w:hAnsi="Arial" w:cs="Arial"/>
                <w:bCs/>
                <w:sz w:val="18"/>
                <w:szCs w:val="18"/>
              </w:rPr>
            </w:pP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楼面地价</w:t>
            </w:r>
            <w:r>
              <w:rPr>
                <w:rFonts w:ascii="Arial" w:hAnsi="Arial" w:cs="Arial"/>
                <w:bCs/>
                <w:sz w:val="18"/>
                <w:szCs w:val="18"/>
              </w:rPr>
              <w:t>/</w:t>
            </w: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总地价</w:t>
            </w:r>
            <w:r>
              <w:rPr>
                <w:rFonts w:ascii="Arial" w:hAnsi="Arial" w:cs="Arial"/>
                <w:bCs/>
                <w:sz w:val="18"/>
                <w:szCs w:val="18"/>
              </w:rPr>
              <w:t>/</w:t>
            </w:r>
            <w:r>
              <w:rPr>
                <w:rFonts w:ascii="Arial" w:hAnsi="Arial" w:cs="Arial"/>
                <w:bCs/>
                <w:sz w:val="18"/>
                <w:szCs w:val="18"/>
              </w:rPr>
              <w:t>万元</w:t>
            </w:r>
          </w:p>
        </w:tc>
      </w:tr>
      <w:tr w:rsidR="004935A9">
        <w:trPr>
          <w:cantSplit/>
          <w:jc w:val="center"/>
        </w:trPr>
        <w:tc>
          <w:tcPr>
            <w:tcW w:w="991" w:type="dxa"/>
            <w:vMerge/>
            <w:vAlign w:val="center"/>
          </w:tcPr>
          <w:p w:rsidR="004935A9" w:rsidRDefault="004935A9">
            <w:pPr>
              <w:spacing w:line="240" w:lineRule="exact"/>
              <w:rPr>
                <w:rFonts w:ascii="Arial" w:hAnsi="Arial" w:cs="Arial"/>
                <w:bCs/>
                <w:sz w:val="18"/>
                <w:szCs w:val="18"/>
              </w:rPr>
            </w:pPr>
          </w:p>
        </w:tc>
        <w:tc>
          <w:tcPr>
            <w:tcW w:w="795" w:type="dxa"/>
            <w:vMerge/>
          </w:tcPr>
          <w:p w:rsidR="004935A9" w:rsidRDefault="004935A9">
            <w:pPr>
              <w:spacing w:line="240" w:lineRule="exact"/>
              <w:rPr>
                <w:rFonts w:ascii="Arial" w:hAnsi="Arial" w:cs="Arial"/>
                <w:bCs/>
                <w:sz w:val="18"/>
                <w:szCs w:val="18"/>
              </w:rPr>
            </w:pPr>
          </w:p>
        </w:tc>
        <w:tc>
          <w:tcPr>
            <w:tcW w:w="1187" w:type="dxa"/>
            <w:vMerge/>
            <w:vAlign w:val="center"/>
          </w:tcPr>
          <w:p w:rsidR="004935A9" w:rsidRDefault="004935A9">
            <w:pPr>
              <w:spacing w:line="240" w:lineRule="exact"/>
              <w:rPr>
                <w:rFonts w:ascii="Arial" w:hAnsi="Arial" w:cs="Arial"/>
                <w:bCs/>
                <w:sz w:val="18"/>
                <w:szCs w:val="18"/>
              </w:rPr>
            </w:pPr>
          </w:p>
        </w:tc>
        <w:tc>
          <w:tcPr>
            <w:tcW w:w="1148" w:type="dxa"/>
            <w:vMerge/>
            <w:vAlign w:val="center"/>
          </w:tcPr>
          <w:p w:rsidR="004935A9" w:rsidRDefault="004935A9">
            <w:pPr>
              <w:spacing w:line="240" w:lineRule="exact"/>
              <w:rPr>
                <w:rFonts w:ascii="Arial" w:hAnsi="Arial" w:cs="Arial"/>
                <w:bCs/>
                <w:sz w:val="18"/>
                <w:szCs w:val="18"/>
              </w:rPr>
            </w:pPr>
          </w:p>
        </w:tc>
        <w:tc>
          <w:tcPr>
            <w:tcW w:w="1039" w:type="dxa"/>
            <w:vAlign w:val="center"/>
          </w:tcPr>
          <w:p w:rsidR="004935A9" w:rsidRDefault="00311723">
            <w:pPr>
              <w:spacing w:line="240" w:lineRule="exact"/>
              <w:rPr>
                <w:rFonts w:ascii="Arial" w:hAnsi="Arial" w:cs="Arial"/>
                <w:bCs/>
                <w:sz w:val="18"/>
                <w:szCs w:val="18"/>
              </w:rPr>
            </w:pPr>
            <w:proofErr w:type="gramStart"/>
            <w:r>
              <w:rPr>
                <w:rFonts w:ascii="Arial" w:hAnsi="Arial" w:cs="Arial"/>
                <w:bCs/>
                <w:sz w:val="18"/>
                <w:szCs w:val="18"/>
              </w:rPr>
              <w:t>证载</w:t>
            </w:r>
            <w:proofErr w:type="gramEnd"/>
          </w:p>
        </w:tc>
        <w:tc>
          <w:tcPr>
            <w:tcW w:w="747"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rsidR="004935A9" w:rsidRDefault="00311723">
            <w:pPr>
              <w:spacing w:line="240" w:lineRule="exact"/>
              <w:ind w:rightChars="-45" w:right="-108"/>
              <w:rPr>
                <w:rFonts w:ascii="Arial" w:hAnsi="Arial" w:cs="Arial"/>
                <w:bCs/>
                <w:sz w:val="18"/>
                <w:szCs w:val="18"/>
              </w:rPr>
            </w:pPr>
            <w:r>
              <w:rPr>
                <w:rFonts w:ascii="Arial" w:hAnsi="Arial" w:cs="Arial"/>
                <w:bCs/>
                <w:sz w:val="18"/>
                <w:szCs w:val="18"/>
              </w:rPr>
              <w:t>设定</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设定</w:t>
            </w:r>
          </w:p>
        </w:tc>
        <w:tc>
          <w:tcPr>
            <w:tcW w:w="862" w:type="dxa"/>
            <w:vMerge/>
            <w:vAlign w:val="center"/>
          </w:tcPr>
          <w:p w:rsidR="004935A9" w:rsidRDefault="004935A9">
            <w:pPr>
              <w:spacing w:line="240" w:lineRule="exact"/>
              <w:rPr>
                <w:rFonts w:ascii="Arial" w:hAnsi="Arial" w:cs="Arial"/>
                <w:bCs/>
                <w:sz w:val="18"/>
                <w:szCs w:val="18"/>
              </w:rPr>
            </w:pPr>
          </w:p>
        </w:tc>
        <w:tc>
          <w:tcPr>
            <w:tcW w:w="862" w:type="dxa"/>
            <w:vMerge/>
            <w:vAlign w:val="center"/>
          </w:tcPr>
          <w:p w:rsidR="004935A9" w:rsidRDefault="004935A9">
            <w:pPr>
              <w:spacing w:line="240" w:lineRule="exact"/>
              <w:rPr>
                <w:rFonts w:ascii="Arial" w:hAnsi="Arial" w:cs="Arial"/>
                <w:bCs/>
                <w:sz w:val="18"/>
                <w:szCs w:val="18"/>
              </w:rPr>
            </w:pPr>
          </w:p>
        </w:tc>
        <w:tc>
          <w:tcPr>
            <w:tcW w:w="1005"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r>
      <w:tr w:rsidR="004935A9">
        <w:trPr>
          <w:cantSplit/>
          <w:jc w:val="center"/>
        </w:trPr>
        <w:tc>
          <w:tcPr>
            <w:tcW w:w="991"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百泉庄村经济组织</w:t>
            </w:r>
          </w:p>
        </w:tc>
        <w:tc>
          <w:tcPr>
            <w:tcW w:w="795"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1187"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北京市</w:t>
            </w:r>
            <w:proofErr w:type="gramStart"/>
            <w:r>
              <w:rPr>
                <w:rFonts w:ascii="Arial" w:hAnsi="Arial" w:cs="Arial" w:hint="eastAsia"/>
                <w:bCs/>
                <w:sz w:val="18"/>
                <w:szCs w:val="18"/>
              </w:rPr>
              <w:t>昌平区</w:t>
            </w:r>
            <w:proofErr w:type="gramEnd"/>
            <w:r>
              <w:rPr>
                <w:rFonts w:ascii="Arial" w:hAnsi="Arial" w:cs="Arial" w:hint="eastAsia"/>
                <w:bCs/>
                <w:sz w:val="18"/>
                <w:szCs w:val="18"/>
              </w:rPr>
              <w:t>马池口镇百泉庄村集体土地租赁住房项目集体经营性建设用地使用权</w:t>
            </w:r>
          </w:p>
        </w:tc>
        <w:tc>
          <w:tcPr>
            <w:tcW w:w="1148"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1039"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集租房</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三通</w:t>
            </w:r>
            <w:r>
              <w:rPr>
                <w:rFonts w:ascii="Arial" w:hAnsi="Arial" w:cs="Arial" w:hint="eastAsia"/>
                <w:bCs/>
                <w:sz w:val="18"/>
                <w:szCs w:val="18"/>
              </w:rPr>
              <w:t>、宗地红线内场地未平整，宗地内有需要移除的树木</w:t>
            </w:r>
            <w:r>
              <w:rPr>
                <w:rFonts w:ascii="Arial" w:hAnsi="Arial" w:cs="Arial"/>
                <w:bCs/>
                <w:sz w:val="18"/>
                <w:szCs w:val="18"/>
              </w:rPr>
              <w:t>一平</w:t>
            </w:r>
          </w:p>
        </w:tc>
        <w:tc>
          <w:tcPr>
            <w:tcW w:w="862"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50</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18132</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43300</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1065</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446</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1804.54</w:t>
            </w:r>
          </w:p>
        </w:tc>
      </w:tr>
      <w:tr w:rsidR="004935A9">
        <w:trPr>
          <w:cantSplit/>
          <w:jc w:val="center"/>
        </w:trPr>
        <w:tc>
          <w:tcPr>
            <w:tcW w:w="14923" w:type="dxa"/>
            <w:gridSpan w:val="17"/>
            <w:tcBorders>
              <w:left w:val="nil"/>
              <w:bottom w:val="nil"/>
              <w:right w:val="nil"/>
            </w:tcBorders>
            <w:vAlign w:val="center"/>
          </w:tcPr>
          <w:p w:rsidR="004935A9" w:rsidRDefault="00311723">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rsidR="004935A9" w:rsidRDefault="004935A9">
            <w:pPr>
              <w:spacing w:line="240" w:lineRule="exact"/>
              <w:rPr>
                <w:rFonts w:ascii="Arial" w:hAnsi="Arial" w:cs="Arial"/>
                <w:b/>
                <w:bCs/>
                <w:sz w:val="18"/>
                <w:szCs w:val="18"/>
                <w:u w:val="single"/>
              </w:rPr>
            </w:pPr>
          </w:p>
        </w:tc>
      </w:tr>
    </w:tbl>
    <w:p w:rsidR="004935A9" w:rsidRDefault="004935A9">
      <w:pPr>
        <w:spacing w:line="360" w:lineRule="auto"/>
        <w:rPr>
          <w:rFonts w:ascii="Arial" w:hAnsi="Arial" w:cs="Arial"/>
          <w:sz w:val="18"/>
          <w:szCs w:val="18"/>
        </w:rPr>
      </w:pPr>
    </w:p>
    <w:p w:rsidR="004935A9" w:rsidRDefault="00311723">
      <w:pPr>
        <w:spacing w:line="360" w:lineRule="auto"/>
        <w:rPr>
          <w:rFonts w:ascii="Arial" w:hAnsi="Arial" w:cs="Arial"/>
          <w:sz w:val="28"/>
          <w:szCs w:val="28"/>
        </w:rPr>
      </w:pPr>
      <w:r>
        <w:rPr>
          <w:rFonts w:ascii="Arial" w:hAnsi="Arial" w:cs="Arial"/>
          <w:sz w:val="28"/>
          <w:szCs w:val="28"/>
        </w:rPr>
        <w:t>（转下页）</w:t>
      </w:r>
    </w:p>
    <w:p w:rsidR="004935A9" w:rsidRDefault="004935A9">
      <w:pPr>
        <w:spacing w:line="360" w:lineRule="auto"/>
        <w:jc w:val="right"/>
        <w:rPr>
          <w:rFonts w:ascii="Arial" w:hAnsi="Arial" w:cs="Arial"/>
          <w:b/>
          <w:sz w:val="18"/>
          <w:szCs w:val="18"/>
        </w:rPr>
        <w:sectPr w:rsidR="004935A9">
          <w:headerReference w:type="default" r:id="rId23"/>
          <w:footerReference w:type="default" r:id="rId24"/>
          <w:headerReference w:type="first" r:id="rId25"/>
          <w:pgSz w:w="16840" w:h="11907" w:orient="landscape"/>
          <w:pgMar w:top="2041" w:right="1134" w:bottom="1134" w:left="1134" w:header="1304" w:footer="1020" w:gutter="0"/>
          <w:cols w:space="720"/>
          <w:titlePg/>
          <w:docGrid w:linePitch="326"/>
        </w:sectPr>
      </w:pPr>
    </w:p>
    <w:p w:rsidR="004935A9" w:rsidRDefault="00311723">
      <w:pPr>
        <w:spacing w:line="360" w:lineRule="auto"/>
        <w:ind w:left="1"/>
        <w:jc w:val="both"/>
        <w:rPr>
          <w:rFonts w:ascii="Arial" w:hAnsi="Arial" w:cs="Arial"/>
          <w:b/>
        </w:rPr>
      </w:pPr>
      <w:r>
        <w:rPr>
          <w:rFonts w:ascii="Arial" w:hAnsi="Arial" w:cs="Arial"/>
          <w:b/>
        </w:rPr>
        <w:lastRenderedPageBreak/>
        <w:t>一、上述咨询结果的限定条件</w:t>
      </w:r>
    </w:p>
    <w:p w:rsidR="004935A9" w:rsidRDefault="00311723">
      <w:pPr>
        <w:spacing w:line="360" w:lineRule="auto"/>
        <w:jc w:val="both"/>
        <w:rPr>
          <w:rFonts w:ascii="Arial" w:hAnsi="Arial" w:cs="Arial"/>
          <w:bCs/>
        </w:rPr>
      </w:pPr>
      <w:r>
        <w:rPr>
          <w:rFonts w:ascii="Arial" w:hAnsi="Arial" w:cs="Arial"/>
          <w:bCs/>
        </w:rPr>
        <w:t>（一）土地权利限制：截至咨询期日，咨询对象未设定抵押、租赁等他项权利；</w:t>
      </w:r>
      <w:r>
        <w:rPr>
          <w:rFonts w:ascii="Arial" w:hAnsi="Arial" w:cs="Arial"/>
          <w:bCs/>
        </w:rPr>
        <w:t xml:space="preserve"> </w:t>
      </w:r>
    </w:p>
    <w:p w:rsidR="004935A9" w:rsidRDefault="00311723">
      <w:pPr>
        <w:spacing w:line="360" w:lineRule="auto"/>
        <w:jc w:val="both"/>
        <w:rPr>
          <w:rFonts w:ascii="Arial" w:hAnsi="Arial" w:cs="Arial"/>
          <w:bCs/>
        </w:rPr>
      </w:pPr>
      <w:r>
        <w:rPr>
          <w:rFonts w:ascii="Arial" w:hAnsi="Arial" w:cs="Arial"/>
          <w:bCs/>
        </w:rPr>
        <w:t>（二）基础设施条件：咨询对象实际开发程度为</w:t>
      </w:r>
      <w:r>
        <w:rPr>
          <w:rFonts w:ascii="Arial" w:hAnsi="Arial" w:cs="Arial" w:hint="eastAsia"/>
          <w:bCs/>
        </w:rPr>
        <w:t>“三通”、宗地红线内场地未平整，宗地内有需要移除的树木</w:t>
      </w:r>
      <w:r>
        <w:rPr>
          <w:rFonts w:ascii="Arial" w:hAnsi="Arial" w:cs="Arial"/>
          <w:bCs/>
        </w:rPr>
        <w:t>；本次评估设定开发程度为</w:t>
      </w:r>
      <w:r>
        <w:rPr>
          <w:rFonts w:ascii="Arial" w:hAnsi="Arial" w:cs="Arial"/>
          <w:bCs/>
        </w:rPr>
        <w:t xml:space="preserve">“ </w:t>
      </w:r>
      <w:r>
        <w:rPr>
          <w:rFonts w:ascii="Arial" w:hAnsi="Arial" w:cs="Arial"/>
          <w:bCs/>
        </w:rPr>
        <w:t>三通一平</w:t>
      </w:r>
      <w:r>
        <w:rPr>
          <w:rFonts w:ascii="Arial" w:hAnsi="Arial" w:cs="Arial"/>
          <w:bCs/>
        </w:rPr>
        <w:t>”</w:t>
      </w:r>
      <w:r>
        <w:rPr>
          <w:rFonts w:ascii="Arial" w:hAnsi="Arial" w:cs="Arial"/>
          <w:bCs/>
        </w:rPr>
        <w:t>；</w:t>
      </w:r>
    </w:p>
    <w:p w:rsidR="004935A9" w:rsidRDefault="00311723">
      <w:pPr>
        <w:spacing w:line="360" w:lineRule="auto"/>
        <w:ind w:left="2"/>
        <w:jc w:val="both"/>
        <w:rPr>
          <w:rFonts w:ascii="Arial" w:hAnsi="Arial" w:cs="Arial"/>
          <w:bCs/>
        </w:rPr>
      </w:pPr>
      <w:r>
        <w:rPr>
          <w:rFonts w:ascii="Arial" w:hAnsi="Arial" w:cs="Arial"/>
          <w:bCs/>
        </w:rPr>
        <w:t>（三）规划限制条件：</w:t>
      </w:r>
      <w:r>
        <w:rPr>
          <w:rFonts w:ascii="Arial" w:eastAsia="仿宋_GB2312;仿宋" w:hAnsi="Arial" w:cs="Arial"/>
          <w:bCs/>
        </w:rPr>
        <w:t>委托方及</w:t>
      </w:r>
      <w:r>
        <w:rPr>
          <w:rFonts w:ascii="Arial" w:eastAsia="仿宋_GB2312;仿宋" w:hAnsi="Arial" w:cs="Arial" w:hint="eastAsia"/>
          <w:bCs/>
        </w:rPr>
        <w:t>土地使用权人</w:t>
      </w:r>
      <w:r>
        <w:rPr>
          <w:rFonts w:ascii="Arial" w:eastAsia="仿宋_GB2312;仿宋" w:hAnsi="Arial" w:cs="Arial"/>
          <w:bCs/>
        </w:rPr>
        <w:t>未提供咨询对象的规划资料</w:t>
      </w:r>
      <w:r>
        <w:rPr>
          <w:rFonts w:ascii="Arial" w:hAnsi="Arial" w:cs="Arial"/>
          <w:bCs/>
        </w:rPr>
        <w:t>；</w:t>
      </w:r>
      <w:r>
        <w:rPr>
          <w:rFonts w:ascii="Arial" w:hAnsi="Arial" w:cs="Arial"/>
          <w:bCs/>
        </w:rPr>
        <w:t xml:space="preserve"> </w:t>
      </w:r>
    </w:p>
    <w:p w:rsidR="004935A9" w:rsidRDefault="00311723">
      <w:pPr>
        <w:spacing w:line="360" w:lineRule="auto"/>
        <w:ind w:left="2"/>
        <w:jc w:val="both"/>
        <w:rPr>
          <w:rFonts w:ascii="Arial" w:hAnsi="Arial" w:cs="Arial"/>
          <w:bCs/>
        </w:rPr>
      </w:pPr>
      <w:r>
        <w:rPr>
          <w:rFonts w:ascii="Arial" w:hAnsi="Arial" w:cs="Arial"/>
          <w:bCs/>
        </w:rPr>
        <w:t>（四）影响土地价格的其他限定条件：无。</w:t>
      </w:r>
    </w:p>
    <w:p w:rsidR="004935A9" w:rsidRDefault="00311723">
      <w:pPr>
        <w:spacing w:line="360" w:lineRule="auto"/>
        <w:jc w:val="both"/>
        <w:rPr>
          <w:rFonts w:ascii="Arial" w:hAnsi="Arial" w:cs="Arial"/>
          <w:bCs/>
        </w:rPr>
      </w:pPr>
      <w:r>
        <w:rPr>
          <w:rFonts w:ascii="Arial" w:hAnsi="Arial" w:cs="Arial"/>
          <w:b/>
        </w:rPr>
        <w:t>二、其他需要说明的事项</w:t>
      </w:r>
      <w:r>
        <w:rPr>
          <w:rFonts w:ascii="Arial" w:hAnsi="Arial" w:cs="Arial"/>
          <w:bCs/>
        </w:rPr>
        <w:t>：详见报告中的特殊事项说明及假设和限制条件。</w:t>
      </w:r>
    </w:p>
    <w:p w:rsidR="004935A9" w:rsidRDefault="00311723">
      <w:pPr>
        <w:spacing w:line="360" w:lineRule="auto"/>
        <w:rPr>
          <w:rFonts w:ascii="Arial" w:hAnsi="Arial" w:cs="Arial"/>
          <w:bCs/>
        </w:rPr>
      </w:pPr>
      <w:r>
        <w:rPr>
          <w:rFonts w:ascii="Arial" w:hAnsi="Arial" w:cs="Arial"/>
          <w:bCs/>
        </w:rPr>
        <w:t xml:space="preserve"> </w:t>
      </w:r>
    </w:p>
    <w:p w:rsidR="004935A9" w:rsidRDefault="004935A9">
      <w:pPr>
        <w:spacing w:line="360" w:lineRule="auto"/>
        <w:ind w:firstLine="7500"/>
        <w:jc w:val="right"/>
        <w:rPr>
          <w:rFonts w:ascii="Arial" w:hAnsi="Arial" w:cs="Arial"/>
          <w:bCs/>
        </w:rPr>
      </w:pPr>
    </w:p>
    <w:p w:rsidR="004935A9" w:rsidRDefault="004935A9">
      <w:pPr>
        <w:spacing w:line="360" w:lineRule="auto"/>
        <w:ind w:firstLine="7500"/>
        <w:jc w:val="right"/>
        <w:rPr>
          <w:rFonts w:ascii="Arial" w:hAnsi="Arial" w:cs="Arial"/>
          <w:bCs/>
        </w:rPr>
      </w:pPr>
    </w:p>
    <w:p w:rsidR="004935A9" w:rsidRDefault="00311723">
      <w:pPr>
        <w:spacing w:line="360" w:lineRule="auto"/>
        <w:ind w:firstLine="3828"/>
        <w:jc w:val="right"/>
        <w:rPr>
          <w:rFonts w:ascii="Arial" w:hAnsi="Arial" w:cs="Arial"/>
          <w:bCs/>
        </w:rPr>
      </w:pPr>
      <w:r>
        <w:rPr>
          <w:rFonts w:ascii="Arial" w:hAnsi="Arial" w:cs="Arial"/>
          <w:bCs/>
        </w:rPr>
        <w:t>估价机构：</w:t>
      </w:r>
      <w:proofErr w:type="gramStart"/>
      <w:r>
        <w:rPr>
          <w:rFonts w:ascii="Arial" w:hAnsi="Arial" w:cs="Arial"/>
          <w:bCs/>
        </w:rPr>
        <w:t>北京康正宏</w:t>
      </w:r>
      <w:proofErr w:type="gramEnd"/>
      <w:r>
        <w:rPr>
          <w:rFonts w:ascii="Arial" w:hAnsi="Arial" w:cs="Arial"/>
          <w:bCs/>
        </w:rPr>
        <w:t>基房地产评估有限公司</w:t>
      </w:r>
    </w:p>
    <w:p w:rsidR="004935A9" w:rsidRDefault="00311723">
      <w:pPr>
        <w:spacing w:line="360" w:lineRule="auto"/>
        <w:jc w:val="right"/>
        <w:rPr>
          <w:rFonts w:ascii="Arial" w:hAnsi="Arial" w:cs="Arial"/>
          <w:sz w:val="28"/>
        </w:rPr>
      </w:pPr>
      <w:r>
        <w:rPr>
          <w:rFonts w:ascii="Arial" w:hAnsi="Arial" w:cs="Arial" w:hint="eastAsia"/>
          <w:bCs/>
        </w:rPr>
        <w:t>2025</w:t>
      </w:r>
      <w:r>
        <w:rPr>
          <w:rFonts w:ascii="Arial" w:hAnsi="Arial" w:cs="Arial" w:hint="eastAsia"/>
          <w:bCs/>
        </w:rPr>
        <w:t>年</w:t>
      </w:r>
      <w:r>
        <w:rPr>
          <w:rFonts w:ascii="Arial" w:hAnsi="Arial" w:cs="Arial" w:hint="eastAsia"/>
          <w:bCs/>
        </w:rPr>
        <w:t>7</w:t>
      </w:r>
      <w:r>
        <w:rPr>
          <w:rFonts w:ascii="Arial" w:hAnsi="Arial" w:cs="Arial" w:hint="eastAsia"/>
          <w:bCs/>
        </w:rPr>
        <w:t>月</w:t>
      </w:r>
      <w:r>
        <w:rPr>
          <w:rFonts w:ascii="Arial" w:hAnsi="Arial" w:cs="Arial" w:hint="eastAsia"/>
          <w:bCs/>
        </w:rPr>
        <w:t>1</w:t>
      </w:r>
      <w:r>
        <w:rPr>
          <w:rFonts w:ascii="Arial" w:hAnsi="Arial" w:cs="Arial" w:hint="eastAsia"/>
          <w:bCs/>
        </w:rPr>
        <w:t>日</w:t>
      </w:r>
    </w:p>
    <w:p w:rsidR="004935A9" w:rsidRDefault="004935A9">
      <w:pPr>
        <w:spacing w:line="360" w:lineRule="auto"/>
        <w:ind w:firstLineChars="1600" w:firstLine="4480"/>
        <w:rPr>
          <w:rFonts w:ascii="Arial" w:hAnsi="Arial" w:cs="Arial"/>
          <w:sz w:val="28"/>
        </w:rPr>
        <w:sectPr w:rsidR="004935A9">
          <w:headerReference w:type="first" r:id="rId26"/>
          <w:pgSz w:w="11907" w:h="16840"/>
          <w:pgMar w:top="1843" w:right="1304" w:bottom="1134" w:left="1304" w:header="1134" w:footer="850" w:gutter="0"/>
          <w:cols w:space="720"/>
          <w:titlePg/>
          <w:docGrid w:linePitch="326"/>
        </w:sectPr>
      </w:pPr>
    </w:p>
    <w:p w:rsidR="004935A9" w:rsidRDefault="00311723">
      <w:pPr>
        <w:spacing w:line="360" w:lineRule="auto"/>
        <w:jc w:val="center"/>
        <w:outlineLvl w:val="0"/>
        <w:rPr>
          <w:rFonts w:ascii="Arial" w:hAnsi="Arial" w:cs="Arial"/>
          <w:b/>
          <w:sz w:val="32"/>
        </w:rPr>
      </w:pPr>
      <w:bookmarkStart w:id="86" w:name="_Toc416783528"/>
      <w:bookmarkStart w:id="87" w:name="_Toc425250313"/>
      <w:bookmarkStart w:id="88" w:name="_Toc418750891"/>
      <w:bookmarkStart w:id="89" w:name="_Toc469066311"/>
      <w:bookmarkStart w:id="90" w:name="_Toc9223"/>
      <w:bookmarkStart w:id="91" w:name="_Toc4982"/>
      <w:bookmarkStart w:id="92" w:name="_Toc5219"/>
      <w:r>
        <w:rPr>
          <w:rFonts w:ascii="Arial" w:hAnsi="Arial" w:cs="Arial"/>
          <w:b/>
          <w:sz w:val="32"/>
        </w:rPr>
        <w:lastRenderedPageBreak/>
        <w:t>第二部分</w:t>
      </w:r>
      <w:r>
        <w:rPr>
          <w:rFonts w:ascii="Arial" w:hAnsi="Arial" w:cs="Arial"/>
          <w:b/>
          <w:sz w:val="32"/>
        </w:rPr>
        <w:t xml:space="preserve">  </w:t>
      </w:r>
      <w:r>
        <w:rPr>
          <w:rFonts w:ascii="Arial" w:hAnsi="Arial" w:cs="Arial"/>
          <w:b/>
          <w:sz w:val="32"/>
        </w:rPr>
        <w:t>咨询对象界定</w:t>
      </w:r>
      <w:bookmarkEnd w:id="86"/>
      <w:bookmarkEnd w:id="87"/>
      <w:bookmarkEnd w:id="88"/>
      <w:bookmarkEnd w:id="89"/>
      <w:bookmarkEnd w:id="90"/>
      <w:bookmarkEnd w:id="91"/>
      <w:bookmarkEnd w:id="92"/>
    </w:p>
    <w:p w:rsidR="004935A9" w:rsidRDefault="004935A9">
      <w:pPr>
        <w:spacing w:line="360" w:lineRule="auto"/>
        <w:rPr>
          <w:rFonts w:ascii="Arial" w:hAnsi="Arial" w:cs="Arial"/>
          <w:sz w:val="28"/>
        </w:rPr>
      </w:pPr>
    </w:p>
    <w:p w:rsidR="004935A9" w:rsidRDefault="00311723">
      <w:pPr>
        <w:spacing w:line="360" w:lineRule="auto"/>
        <w:outlineLvl w:val="1"/>
        <w:rPr>
          <w:rFonts w:ascii="Arial" w:hAnsi="Arial" w:cs="Arial"/>
          <w:b/>
          <w:sz w:val="28"/>
        </w:rPr>
      </w:pPr>
      <w:bookmarkStart w:id="93" w:name="_Toc11661"/>
      <w:bookmarkStart w:id="94" w:name="_Toc18492"/>
      <w:bookmarkStart w:id="95" w:name="_Toc425250314"/>
      <w:bookmarkStart w:id="96" w:name="_Toc416783529"/>
      <w:bookmarkStart w:id="97" w:name="_Toc469066312"/>
      <w:bookmarkStart w:id="98" w:name="_Toc418750892"/>
      <w:bookmarkStart w:id="99" w:name="_Toc21404"/>
      <w:r>
        <w:rPr>
          <w:rFonts w:ascii="Arial" w:hAnsi="Arial" w:cs="Arial"/>
          <w:b/>
          <w:sz w:val="28"/>
        </w:rPr>
        <w:t>一、委托方</w:t>
      </w:r>
      <w:bookmarkEnd w:id="93"/>
      <w:bookmarkEnd w:id="94"/>
      <w:bookmarkEnd w:id="95"/>
      <w:bookmarkEnd w:id="96"/>
      <w:bookmarkEnd w:id="97"/>
      <w:bookmarkEnd w:id="98"/>
      <w:bookmarkEnd w:id="99"/>
    </w:p>
    <w:p w:rsidR="004935A9" w:rsidRDefault="00311723">
      <w:pPr>
        <w:spacing w:line="360" w:lineRule="auto"/>
        <w:ind w:firstLine="570"/>
        <w:jc w:val="both"/>
        <w:rPr>
          <w:rFonts w:ascii="Arial" w:hAnsi="Arial" w:cs="Arial"/>
          <w:sz w:val="28"/>
        </w:rPr>
      </w:pPr>
      <w:r>
        <w:rPr>
          <w:rFonts w:ascii="Arial" w:hAnsi="Arial" w:cs="Arial"/>
          <w:sz w:val="28"/>
        </w:rPr>
        <w:t>本次评估委托方为</w:t>
      </w:r>
      <w:r>
        <w:rPr>
          <w:rFonts w:ascii="Arial" w:hAnsi="Arial" w:cs="Arial" w:hint="eastAsia"/>
          <w:sz w:val="28"/>
        </w:rPr>
        <w:t>北京保障房中心有限公司</w:t>
      </w:r>
      <w:r>
        <w:rPr>
          <w:rFonts w:ascii="Arial" w:hAnsi="Arial" w:cs="Arial"/>
          <w:sz w:val="28"/>
        </w:rPr>
        <w:t>，</w:t>
      </w:r>
      <w:proofErr w:type="gramStart"/>
      <w:r>
        <w:rPr>
          <w:rFonts w:ascii="Arial" w:hAnsi="Arial" w:cs="Arial" w:hint="eastAsia"/>
          <w:sz w:val="28"/>
        </w:rPr>
        <w:t>非</w:t>
      </w:r>
      <w:r>
        <w:rPr>
          <w:rFonts w:ascii="Arial" w:hAnsi="Arial" w:cs="Arial"/>
          <w:sz w:val="28"/>
        </w:rPr>
        <w:t>咨询</w:t>
      </w:r>
      <w:proofErr w:type="gramEnd"/>
      <w:r>
        <w:rPr>
          <w:rFonts w:ascii="Arial" w:hAnsi="Arial" w:cs="Arial"/>
          <w:sz w:val="28"/>
        </w:rPr>
        <w:t>对象的土地使用权人。</w:t>
      </w:r>
    </w:p>
    <w:p w:rsidR="004935A9" w:rsidRDefault="00311723">
      <w:pPr>
        <w:spacing w:line="360" w:lineRule="auto"/>
        <w:ind w:firstLineChars="200" w:firstLine="560"/>
        <w:jc w:val="both"/>
        <w:rPr>
          <w:rFonts w:ascii="Arial" w:hAnsi="Arial" w:cs="Arial"/>
          <w:sz w:val="28"/>
        </w:rPr>
      </w:pPr>
      <w:r>
        <w:rPr>
          <w:rFonts w:ascii="Arial" w:hAnsi="Arial" w:cs="Arial"/>
          <w:sz w:val="28"/>
        </w:rPr>
        <w:t>单位名称：</w:t>
      </w:r>
      <w:r>
        <w:rPr>
          <w:rFonts w:ascii="Arial" w:hAnsi="Arial" w:cs="Arial" w:hint="eastAsia"/>
          <w:sz w:val="28"/>
        </w:rPr>
        <w:t>北京保障房中心有限公司</w:t>
      </w:r>
    </w:p>
    <w:p w:rsidR="004935A9" w:rsidRDefault="00311723">
      <w:pPr>
        <w:spacing w:line="360" w:lineRule="auto"/>
        <w:ind w:leftChars="232" w:left="1957" w:hangingChars="500" w:hanging="1400"/>
        <w:jc w:val="both"/>
        <w:rPr>
          <w:rFonts w:ascii="Arial" w:hAnsi="Arial" w:cs="Arial"/>
          <w:sz w:val="28"/>
        </w:rPr>
      </w:pPr>
      <w:r>
        <w:rPr>
          <w:rFonts w:ascii="Arial" w:hAnsi="Arial" w:cs="Arial" w:hint="eastAsia"/>
          <w:sz w:val="28"/>
        </w:rPr>
        <w:t>地</w:t>
      </w:r>
      <w:r>
        <w:rPr>
          <w:rFonts w:ascii="Arial" w:hAnsi="Arial" w:cs="Arial" w:hint="eastAsia"/>
          <w:sz w:val="28"/>
        </w:rPr>
        <w:t xml:space="preserve">    </w:t>
      </w:r>
      <w:r>
        <w:rPr>
          <w:rFonts w:ascii="Arial" w:hAnsi="Arial" w:cs="Arial" w:hint="eastAsia"/>
          <w:sz w:val="28"/>
        </w:rPr>
        <w:t>址</w:t>
      </w:r>
      <w:r>
        <w:rPr>
          <w:rFonts w:ascii="Arial" w:hAnsi="Arial" w:cs="Arial"/>
          <w:sz w:val="28"/>
        </w:rPr>
        <w:t>：</w:t>
      </w:r>
      <w:r>
        <w:rPr>
          <w:rFonts w:ascii="仿宋_GB2312;仿宋" w:eastAsia="仿宋_GB2312;仿宋" w:hAnsi="仿宋_GB2312;仿宋" w:cs="Arial Narrow"/>
          <w:sz w:val="28"/>
        </w:rPr>
        <w:t>北京市丰台区南四环中路10号</w:t>
      </w:r>
    </w:p>
    <w:p w:rsidR="004935A9" w:rsidRDefault="00311723">
      <w:pPr>
        <w:spacing w:line="360" w:lineRule="auto"/>
        <w:ind w:firstLineChars="200" w:firstLine="560"/>
        <w:jc w:val="both"/>
        <w:rPr>
          <w:rFonts w:ascii="Arial" w:hAnsi="Arial" w:cs="Arial"/>
          <w:sz w:val="28"/>
        </w:rPr>
      </w:pPr>
      <w:r>
        <w:rPr>
          <w:rFonts w:ascii="Arial" w:hAnsi="Arial" w:cs="Arial"/>
          <w:sz w:val="28"/>
        </w:rPr>
        <w:t>联</w:t>
      </w:r>
      <w:r>
        <w:rPr>
          <w:rFonts w:ascii="Arial" w:hAnsi="Arial" w:cs="Arial"/>
          <w:sz w:val="28"/>
        </w:rPr>
        <w:t xml:space="preserve"> </w:t>
      </w:r>
      <w:r>
        <w:rPr>
          <w:rFonts w:ascii="Arial" w:hAnsi="Arial" w:cs="Arial"/>
          <w:sz w:val="28"/>
        </w:rPr>
        <w:t>系</w:t>
      </w:r>
      <w:r>
        <w:rPr>
          <w:rFonts w:ascii="Arial" w:hAnsi="Arial" w:cs="Arial"/>
          <w:sz w:val="28"/>
        </w:rPr>
        <w:t xml:space="preserve"> </w:t>
      </w:r>
      <w:r>
        <w:rPr>
          <w:rFonts w:ascii="Arial" w:hAnsi="Arial" w:cs="Arial"/>
          <w:sz w:val="28"/>
        </w:rPr>
        <w:t>人：</w:t>
      </w:r>
      <w:proofErr w:type="gramStart"/>
      <w:r>
        <w:rPr>
          <w:rFonts w:ascii="Arial" w:eastAsia="仿宋_GB2312;仿宋" w:hAnsi="Arial" w:cs="Arial"/>
          <w:sz w:val="28"/>
        </w:rPr>
        <w:t>岳翠兰</w:t>
      </w:r>
      <w:proofErr w:type="gramEnd"/>
    </w:p>
    <w:p w:rsidR="004935A9" w:rsidRDefault="004935A9">
      <w:pPr>
        <w:spacing w:line="360" w:lineRule="auto"/>
        <w:jc w:val="both"/>
        <w:rPr>
          <w:rFonts w:ascii="Arial" w:hAnsi="Arial" w:cs="Arial"/>
          <w:b/>
          <w:sz w:val="28"/>
        </w:rPr>
      </w:pPr>
    </w:p>
    <w:p w:rsidR="004935A9" w:rsidRDefault="00311723">
      <w:pPr>
        <w:spacing w:line="360" w:lineRule="auto"/>
        <w:outlineLvl w:val="1"/>
        <w:rPr>
          <w:rFonts w:ascii="Arial" w:hAnsi="Arial" w:cs="Arial"/>
          <w:b/>
          <w:sz w:val="28"/>
        </w:rPr>
      </w:pPr>
      <w:bookmarkStart w:id="100" w:name="_Toc469066313"/>
      <w:bookmarkStart w:id="101" w:name="_Toc425250315"/>
      <w:bookmarkStart w:id="102" w:name="_Toc416783530"/>
      <w:bookmarkStart w:id="103" w:name="_Toc12506"/>
      <w:bookmarkStart w:id="104" w:name="_Toc418750893"/>
      <w:bookmarkStart w:id="105" w:name="_Toc24106"/>
      <w:bookmarkStart w:id="106" w:name="_Toc14440"/>
      <w:r>
        <w:rPr>
          <w:rFonts w:ascii="Arial" w:hAnsi="Arial" w:cs="Arial"/>
          <w:b/>
          <w:sz w:val="28"/>
        </w:rPr>
        <w:t>二、咨询对象</w:t>
      </w:r>
      <w:bookmarkEnd w:id="100"/>
      <w:bookmarkEnd w:id="101"/>
      <w:bookmarkEnd w:id="102"/>
      <w:bookmarkEnd w:id="103"/>
      <w:bookmarkEnd w:id="104"/>
      <w:bookmarkEnd w:id="105"/>
      <w:bookmarkEnd w:id="106"/>
    </w:p>
    <w:p w:rsidR="004935A9" w:rsidRDefault="00311723">
      <w:pPr>
        <w:tabs>
          <w:tab w:val="left" w:pos="9027"/>
        </w:tabs>
        <w:spacing w:line="360" w:lineRule="auto"/>
        <w:ind w:firstLineChars="200" w:firstLine="560"/>
        <w:jc w:val="both"/>
        <w:rPr>
          <w:rFonts w:ascii="Arial" w:hAnsi="Arial" w:cs="Arial"/>
          <w:sz w:val="18"/>
          <w:szCs w:val="18"/>
        </w:rPr>
      </w:pPr>
      <w:r>
        <w:rPr>
          <w:rFonts w:ascii="Arial" w:hAnsi="Arial" w:cs="Arial" w:hint="eastAsia"/>
          <w:sz w:val="28"/>
        </w:rPr>
        <w:t>根据委托方介绍</w:t>
      </w:r>
      <w:r>
        <w:rPr>
          <w:rFonts w:ascii="Arial" w:hAnsi="Arial" w:cs="Arial" w:hint="eastAsia"/>
          <w:sz w:val="28"/>
        </w:rPr>
        <w:t>,</w:t>
      </w:r>
      <w:r>
        <w:rPr>
          <w:rFonts w:ascii="Arial" w:hAnsi="Arial" w:cs="Arial"/>
          <w:sz w:val="28"/>
        </w:rPr>
        <w:t>咨询对象为</w:t>
      </w:r>
      <w:r>
        <w:rPr>
          <w:rFonts w:ascii="Arial" w:hAnsi="Arial" w:cs="Arial" w:hint="eastAsia"/>
          <w:sz w:val="28"/>
        </w:rPr>
        <w:t>北京保障房中心有限公司拟</w:t>
      </w:r>
      <w:r>
        <w:rPr>
          <w:rFonts w:ascii="Arial" w:hAnsi="Arial" w:cs="Arial"/>
          <w:sz w:val="28"/>
        </w:rPr>
        <w:t>使用的集体建设用地。咨询对象土地面积为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w:t>
      </w:r>
    </w:p>
    <w:p w:rsidR="004935A9" w:rsidRDefault="004935A9">
      <w:pPr>
        <w:spacing w:line="360" w:lineRule="auto"/>
        <w:jc w:val="both"/>
        <w:rPr>
          <w:rFonts w:ascii="Arial" w:hAnsi="Arial" w:cs="Arial"/>
          <w:b/>
          <w:sz w:val="21"/>
          <w:szCs w:val="21"/>
        </w:rPr>
      </w:pPr>
    </w:p>
    <w:p w:rsidR="004935A9" w:rsidRDefault="00311723">
      <w:pPr>
        <w:spacing w:line="360" w:lineRule="auto"/>
        <w:outlineLvl w:val="1"/>
        <w:rPr>
          <w:rFonts w:ascii="Arial" w:hAnsi="Arial" w:cs="Arial"/>
          <w:b/>
          <w:sz w:val="28"/>
        </w:rPr>
      </w:pPr>
      <w:bookmarkStart w:id="107" w:name="_Toc469066314"/>
      <w:bookmarkStart w:id="108" w:name="_Toc418750894"/>
      <w:bookmarkStart w:id="109" w:name="_Toc29392"/>
      <w:bookmarkStart w:id="110" w:name="_Toc15413"/>
      <w:bookmarkStart w:id="111" w:name="_Toc416783531"/>
      <w:bookmarkStart w:id="112" w:name="_Toc736"/>
      <w:bookmarkStart w:id="113" w:name="_Toc425250316"/>
      <w:r>
        <w:rPr>
          <w:rFonts w:ascii="Arial" w:hAnsi="Arial" w:cs="Arial"/>
          <w:b/>
          <w:sz w:val="28"/>
        </w:rPr>
        <w:t>三、咨询对象概况</w:t>
      </w:r>
      <w:bookmarkEnd w:id="107"/>
      <w:bookmarkEnd w:id="108"/>
      <w:bookmarkEnd w:id="109"/>
      <w:bookmarkEnd w:id="110"/>
      <w:bookmarkEnd w:id="111"/>
      <w:bookmarkEnd w:id="112"/>
      <w:bookmarkEnd w:id="113"/>
    </w:p>
    <w:p w:rsidR="004935A9" w:rsidRDefault="00311723">
      <w:pPr>
        <w:spacing w:line="360" w:lineRule="auto"/>
        <w:jc w:val="both"/>
        <w:rPr>
          <w:rFonts w:ascii="Arial" w:hAnsi="Arial" w:cs="Arial"/>
          <w:sz w:val="28"/>
        </w:rPr>
      </w:pPr>
      <w:r>
        <w:rPr>
          <w:rFonts w:ascii="Arial" w:hAnsi="Arial" w:cs="Arial"/>
          <w:sz w:val="28"/>
        </w:rPr>
        <w:t>（一）土地登记状况</w:t>
      </w:r>
    </w:p>
    <w:p w:rsidR="004935A9" w:rsidRDefault="00311723">
      <w:pPr>
        <w:spacing w:line="360" w:lineRule="auto"/>
        <w:ind w:firstLineChars="200" w:firstLine="560"/>
        <w:jc w:val="both"/>
        <w:rPr>
          <w:rFonts w:ascii="Arial" w:hAnsi="Arial" w:cs="Arial"/>
          <w:sz w:val="28"/>
        </w:rPr>
      </w:pPr>
      <w:r>
        <w:rPr>
          <w:rFonts w:ascii="Arial" w:hAnsi="Arial" w:cs="Arial"/>
          <w:bCs/>
          <w:sz w:val="28"/>
        </w:rPr>
        <w:t>土地来源：咨询对象为</w:t>
      </w:r>
      <w:r>
        <w:rPr>
          <w:rFonts w:ascii="Arial" w:hAnsi="Arial" w:cs="Arial"/>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w:t>
      </w:r>
      <w:r>
        <w:rPr>
          <w:rFonts w:ascii="Arial" w:hAnsi="Arial" w:cs="Arial"/>
          <w:sz w:val="28"/>
        </w:rPr>
        <w:t>用地</w:t>
      </w:r>
      <w:r>
        <w:rPr>
          <w:rFonts w:ascii="Arial" w:hAnsi="Arial" w:cs="Arial"/>
          <w:bCs/>
          <w:sz w:val="28"/>
        </w:rPr>
        <w:t>，</w:t>
      </w:r>
      <w:bookmarkStart w:id="114" w:name="_Hlk108623027"/>
      <w:r>
        <w:rPr>
          <w:rFonts w:ascii="Arial" w:hAnsi="Arial" w:cs="Arial" w:hint="eastAsia"/>
          <w:bCs/>
          <w:sz w:val="28"/>
        </w:rPr>
        <w:t>根据委托方介绍，</w:t>
      </w:r>
      <w:bookmarkEnd w:id="114"/>
      <w:r>
        <w:rPr>
          <w:rFonts w:ascii="Arial" w:hAnsi="Arial" w:cs="Arial" w:hint="eastAsia"/>
          <w:sz w:val="28"/>
        </w:rPr>
        <w:t>百泉庄村经济组织</w:t>
      </w:r>
      <w:r>
        <w:rPr>
          <w:rFonts w:ascii="Arial" w:hAnsi="Arial" w:cs="Arial"/>
          <w:sz w:val="28"/>
        </w:rPr>
        <w:t>为</w:t>
      </w:r>
      <w:r>
        <w:rPr>
          <w:rFonts w:ascii="Arial" w:hAnsi="Arial" w:cs="Arial"/>
          <w:bCs/>
          <w:sz w:val="28"/>
        </w:rPr>
        <w:t>咨询对象</w:t>
      </w:r>
      <w:bookmarkStart w:id="115" w:name="_Hlk108623014"/>
      <w:r>
        <w:rPr>
          <w:rFonts w:ascii="Arial" w:hAnsi="Arial" w:cs="Arial"/>
          <w:bCs/>
          <w:sz w:val="28"/>
        </w:rPr>
        <w:t>集体建设用地使用权人</w:t>
      </w:r>
      <w:bookmarkEnd w:id="115"/>
      <w:r>
        <w:rPr>
          <w:rFonts w:ascii="Arial" w:hAnsi="Arial" w:cs="Arial"/>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土地面积：</w:t>
      </w:r>
      <w:r>
        <w:rPr>
          <w:rFonts w:ascii="Arial" w:hAnsi="Arial" w:cs="Arial" w:hint="eastAsia"/>
          <w:sz w:val="28"/>
        </w:rPr>
        <w:t>18132</w:t>
      </w:r>
      <w:r>
        <w:rPr>
          <w:rFonts w:ascii="Arial" w:hAnsi="Arial" w:cs="Arial"/>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咨询对象现状四至：</w:t>
      </w:r>
      <w:r>
        <w:rPr>
          <w:rFonts w:ascii="Arial" w:hAnsi="Arial" w:cs="Arial" w:hint="eastAsia"/>
          <w:sz w:val="28"/>
        </w:rPr>
        <w:t>东至</w:t>
      </w:r>
      <w:proofErr w:type="gramStart"/>
      <w:r>
        <w:rPr>
          <w:rFonts w:ascii="Arial" w:hAnsi="Arial" w:cs="Arial" w:hint="eastAsia"/>
          <w:sz w:val="28"/>
        </w:rPr>
        <w:t>水屯路</w:t>
      </w:r>
      <w:proofErr w:type="gramEnd"/>
      <w:r>
        <w:rPr>
          <w:rFonts w:ascii="Arial" w:hAnsi="Arial" w:cs="Arial" w:hint="eastAsia"/>
          <w:sz w:val="28"/>
        </w:rPr>
        <w:t>，北至规划城市支路，西</w:t>
      </w:r>
      <w:proofErr w:type="gramStart"/>
      <w:r>
        <w:rPr>
          <w:rFonts w:ascii="Arial" w:hAnsi="Arial" w:cs="Arial" w:hint="eastAsia"/>
          <w:sz w:val="28"/>
        </w:rPr>
        <w:t>至规划</w:t>
      </w:r>
      <w:proofErr w:type="gramEnd"/>
      <w:r>
        <w:rPr>
          <w:rFonts w:ascii="Arial" w:hAnsi="Arial" w:cs="Arial" w:hint="eastAsia"/>
          <w:sz w:val="28"/>
        </w:rPr>
        <w:t>城市支路，南</w:t>
      </w:r>
      <w:proofErr w:type="gramStart"/>
      <w:r>
        <w:rPr>
          <w:rFonts w:ascii="Arial" w:hAnsi="Arial" w:cs="Arial" w:hint="eastAsia"/>
          <w:sz w:val="28"/>
        </w:rPr>
        <w:t>至规划</w:t>
      </w:r>
      <w:proofErr w:type="gramEnd"/>
      <w:r>
        <w:rPr>
          <w:rFonts w:ascii="Arial" w:hAnsi="Arial" w:cs="Arial" w:hint="eastAsia"/>
          <w:sz w:val="28"/>
        </w:rPr>
        <w:t>工业园区。</w:t>
      </w:r>
    </w:p>
    <w:p w:rsidR="004935A9" w:rsidRDefault="00311723">
      <w:pPr>
        <w:spacing w:line="360" w:lineRule="auto"/>
        <w:jc w:val="both"/>
        <w:rPr>
          <w:rFonts w:ascii="Arial" w:hAnsi="Arial" w:cs="Arial"/>
          <w:sz w:val="28"/>
        </w:rPr>
      </w:pPr>
      <w:r>
        <w:rPr>
          <w:rFonts w:ascii="Arial" w:hAnsi="Arial" w:cs="Arial"/>
          <w:sz w:val="28"/>
        </w:rPr>
        <w:t>（二）土地权利状况</w:t>
      </w:r>
    </w:p>
    <w:p w:rsidR="004935A9" w:rsidRDefault="00311723">
      <w:pPr>
        <w:spacing w:line="360" w:lineRule="auto"/>
        <w:ind w:firstLineChars="200" w:firstLine="560"/>
        <w:jc w:val="both"/>
        <w:rPr>
          <w:rFonts w:ascii="Arial" w:hAnsi="Arial" w:cs="Arial"/>
          <w:sz w:val="28"/>
        </w:rPr>
      </w:pPr>
      <w:r>
        <w:rPr>
          <w:rFonts w:ascii="Arial" w:hAnsi="Arial" w:cs="Arial"/>
          <w:sz w:val="28"/>
        </w:rPr>
        <w:lastRenderedPageBreak/>
        <w:t>咨询对象为集体土地，土地使用权人为</w:t>
      </w:r>
      <w:r>
        <w:rPr>
          <w:rFonts w:ascii="Arial" w:hAnsi="Arial" w:cs="Arial" w:hint="eastAsia"/>
          <w:sz w:val="28"/>
        </w:rPr>
        <w:t>百泉庄村经济组织</w:t>
      </w:r>
      <w:r>
        <w:rPr>
          <w:rFonts w:ascii="Arial" w:hAnsi="Arial" w:cs="Arial"/>
          <w:sz w:val="28"/>
        </w:rPr>
        <w:t>，</w:t>
      </w:r>
      <w:r>
        <w:rPr>
          <w:rFonts w:ascii="Arial" w:hAnsi="Arial" w:cs="Arial" w:hint="eastAsia"/>
          <w:sz w:val="28"/>
        </w:rPr>
        <w:t>根据委托方介绍，截至报告出具日，</w:t>
      </w:r>
      <w:r>
        <w:rPr>
          <w:rFonts w:ascii="Arial" w:hAnsi="Arial" w:cs="Arial"/>
          <w:sz w:val="28"/>
        </w:rPr>
        <w:t>咨询对象</w:t>
      </w:r>
      <w:r>
        <w:rPr>
          <w:rFonts w:ascii="Arial" w:hAnsi="Arial" w:cs="Arial" w:hint="eastAsia"/>
          <w:sz w:val="28"/>
        </w:rPr>
        <w:t>尚未</w:t>
      </w:r>
      <w:r>
        <w:rPr>
          <w:rFonts w:ascii="Arial" w:hAnsi="Arial" w:cs="Arial"/>
          <w:sz w:val="28"/>
        </w:rPr>
        <w:t>取得《集体土地所有权证》。</w:t>
      </w:r>
    </w:p>
    <w:p w:rsidR="004935A9" w:rsidRDefault="00311723">
      <w:pPr>
        <w:spacing w:line="360" w:lineRule="auto"/>
        <w:ind w:firstLineChars="200" w:firstLine="56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rsidR="004935A9" w:rsidRDefault="00311723">
      <w:pPr>
        <w:spacing w:line="360" w:lineRule="auto"/>
        <w:jc w:val="both"/>
        <w:rPr>
          <w:rFonts w:ascii="Arial" w:hAnsi="Arial" w:cs="Arial"/>
          <w:sz w:val="28"/>
        </w:rPr>
      </w:pPr>
      <w:r>
        <w:rPr>
          <w:rFonts w:ascii="Arial" w:hAnsi="Arial" w:cs="Arial"/>
          <w:sz w:val="28"/>
        </w:rPr>
        <w:t>（三）土地利用状况</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土地规划设计条件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4935A9">
        <w:trPr>
          <w:trHeight w:val="280"/>
        </w:trPr>
        <w:tc>
          <w:tcPr>
            <w:tcW w:w="5526" w:type="dxa"/>
            <w:gridSpan w:val="3"/>
            <w:tcBorders>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数量</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4935A9">
        <w:trPr>
          <w:trHeight w:val="280"/>
        </w:trPr>
        <w:tc>
          <w:tcPr>
            <w:tcW w:w="1165" w:type="dxa"/>
            <w:vMerge w:val="restart"/>
            <w:tcBorders>
              <w:top w:val="nil"/>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4935A9" w:rsidRDefault="00311723">
      <w:pPr>
        <w:spacing w:beforeLines="100" w:before="240" w:line="360" w:lineRule="auto"/>
        <w:ind w:firstLineChars="200" w:firstLine="552"/>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rsidR="004935A9" w:rsidRDefault="00311723">
      <w:pPr>
        <w:spacing w:line="360" w:lineRule="auto"/>
        <w:ind w:firstLineChars="200" w:firstLine="512"/>
        <w:jc w:val="both"/>
        <w:rPr>
          <w:rFonts w:ascii="Arial" w:hAnsi="Arial" w:cs="Arial"/>
          <w:spacing w:val="-12"/>
          <w:sz w:val="28"/>
        </w:rPr>
      </w:pPr>
      <w:r>
        <w:rPr>
          <w:rFonts w:ascii="Arial" w:hAnsi="Arial" w:cs="Arial"/>
          <w:spacing w:val="-12"/>
          <w:sz w:val="28"/>
        </w:rPr>
        <w:t>2.</w:t>
      </w:r>
      <w:r>
        <w:rPr>
          <w:rFonts w:ascii="Arial" w:hAnsi="Arial" w:cs="Arial"/>
          <w:spacing w:val="-12"/>
          <w:sz w:val="28"/>
        </w:rPr>
        <w:t>土地利用现状</w:t>
      </w:r>
    </w:p>
    <w:p w:rsidR="004935A9" w:rsidRDefault="00311723">
      <w:pPr>
        <w:spacing w:line="360" w:lineRule="auto"/>
        <w:ind w:firstLineChars="200" w:firstLine="512"/>
        <w:jc w:val="both"/>
        <w:rPr>
          <w:rFonts w:ascii="Arial" w:hAnsi="Arial" w:cs="Arial"/>
          <w:sz w:val="28"/>
        </w:rPr>
      </w:pPr>
      <w:r>
        <w:rPr>
          <w:rFonts w:ascii="Arial" w:hAnsi="Arial" w:cs="Arial"/>
          <w:spacing w:val="-12"/>
          <w:sz w:val="28"/>
        </w:rPr>
        <w:t>根据评估专业人员实地查勘，截至咨询期日，咨询对象宗地红线外达</w:t>
      </w:r>
      <w:r>
        <w:rPr>
          <w:rFonts w:ascii="Arial" w:hAnsi="Arial" w:cs="Arial"/>
          <w:spacing w:val="-12"/>
          <w:sz w:val="28"/>
        </w:rPr>
        <w:t>“</w:t>
      </w:r>
      <w:r>
        <w:rPr>
          <w:rFonts w:ascii="Arial" w:hAnsi="Arial" w:cs="Arial"/>
          <w:spacing w:val="-12"/>
          <w:sz w:val="28"/>
        </w:rPr>
        <w:t>三通</w:t>
      </w:r>
      <w:r>
        <w:rPr>
          <w:rFonts w:ascii="Arial" w:hAnsi="Arial" w:cs="Arial"/>
          <w:spacing w:val="-12"/>
          <w:sz w:val="28"/>
        </w:rPr>
        <w:t>”</w:t>
      </w:r>
      <w:r>
        <w:rPr>
          <w:rFonts w:ascii="Arial" w:hAnsi="Arial" w:cs="Arial"/>
          <w:spacing w:val="-12"/>
          <w:sz w:val="28"/>
        </w:rPr>
        <w:t>，红线内场地尚未平整，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rsidR="004935A9" w:rsidRDefault="00311723">
      <w:pPr>
        <w:spacing w:line="360" w:lineRule="auto"/>
        <w:outlineLvl w:val="1"/>
        <w:rPr>
          <w:rFonts w:ascii="Arial" w:hAnsi="Arial" w:cs="Arial"/>
          <w:b/>
          <w:sz w:val="28"/>
        </w:rPr>
      </w:pPr>
      <w:bookmarkStart w:id="116" w:name="_Toc416783532"/>
      <w:bookmarkStart w:id="117" w:name="_Toc22688"/>
      <w:bookmarkStart w:id="118" w:name="_Toc3101"/>
      <w:bookmarkStart w:id="119" w:name="_Toc425250317"/>
      <w:bookmarkStart w:id="120" w:name="_Toc418750895"/>
      <w:bookmarkStart w:id="121" w:name="_Toc469066315"/>
      <w:bookmarkStart w:id="122" w:name="_Toc18209"/>
      <w:r>
        <w:rPr>
          <w:rFonts w:ascii="Arial" w:hAnsi="Arial" w:cs="Arial"/>
          <w:b/>
          <w:sz w:val="28"/>
        </w:rPr>
        <w:lastRenderedPageBreak/>
        <w:t>四、影响地价的因素说明</w:t>
      </w:r>
      <w:bookmarkEnd w:id="116"/>
      <w:bookmarkEnd w:id="117"/>
      <w:bookmarkEnd w:id="118"/>
      <w:bookmarkEnd w:id="119"/>
      <w:bookmarkEnd w:id="120"/>
      <w:bookmarkEnd w:id="121"/>
      <w:bookmarkEnd w:id="122"/>
    </w:p>
    <w:p w:rsidR="004935A9" w:rsidRDefault="00311723">
      <w:pPr>
        <w:spacing w:line="360" w:lineRule="auto"/>
        <w:jc w:val="both"/>
        <w:rPr>
          <w:rFonts w:ascii="宋体" w:hAnsi="宋体" w:cs="宋体"/>
          <w:sz w:val="28"/>
          <w:szCs w:val="28"/>
        </w:rPr>
      </w:pPr>
      <w:r>
        <w:rPr>
          <w:rFonts w:ascii="宋体" w:hAnsi="宋体" w:cs="宋体" w:hint="eastAsia"/>
          <w:sz w:val="28"/>
          <w:szCs w:val="28"/>
        </w:rPr>
        <w:t>（一） 一般因素</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城市资源状况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地理位置：北京，简称“京”，是中华人民共和国的首都，是全国的政治中心、文化中心，是世界著名古都和现代化国际城市。北京位于北纬</w:t>
      </w:r>
      <w:r>
        <w:rPr>
          <w:rFonts w:ascii="Arial" w:hAnsi="Arial" w:cs="Arial" w:hint="eastAsia"/>
          <w:sz w:val="28"/>
        </w:rPr>
        <w:t>39</w:t>
      </w:r>
      <w:r>
        <w:rPr>
          <w:rFonts w:ascii="Arial" w:hAnsi="Arial" w:cs="Arial" w:hint="eastAsia"/>
          <w:sz w:val="28"/>
        </w:rPr>
        <w:t>度</w:t>
      </w:r>
      <w:r>
        <w:rPr>
          <w:rFonts w:ascii="Arial" w:hAnsi="Arial" w:cs="Arial" w:hint="eastAsia"/>
          <w:sz w:val="28"/>
        </w:rPr>
        <w:t>56</w:t>
      </w:r>
      <w:r>
        <w:rPr>
          <w:rFonts w:ascii="Arial" w:hAnsi="Arial" w:cs="Arial" w:hint="eastAsia"/>
          <w:sz w:val="28"/>
        </w:rPr>
        <w:t>分、东经</w:t>
      </w:r>
      <w:r>
        <w:rPr>
          <w:rFonts w:ascii="Arial" w:hAnsi="Arial" w:cs="Arial" w:hint="eastAsia"/>
          <w:sz w:val="28"/>
        </w:rPr>
        <w:t>116</w:t>
      </w:r>
      <w:r>
        <w:rPr>
          <w:rFonts w:ascii="Arial" w:hAnsi="Arial" w:cs="Arial" w:hint="eastAsia"/>
          <w:sz w:val="28"/>
        </w:rPr>
        <w:t>度</w:t>
      </w:r>
      <w:r>
        <w:rPr>
          <w:rFonts w:ascii="Arial" w:hAnsi="Arial" w:cs="Arial" w:hint="eastAsia"/>
          <w:sz w:val="28"/>
        </w:rPr>
        <w:t>20</w:t>
      </w:r>
      <w:r>
        <w:rPr>
          <w:rFonts w:ascii="Arial" w:hAnsi="Arial" w:cs="Arial" w:hint="eastAsia"/>
          <w:sz w:val="28"/>
        </w:rPr>
        <w:t>分，地处华北大平原的北部，东面与天津市毗连，其余均与河北省相邻。</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城市人口：</w:t>
      </w:r>
      <w:bookmarkStart w:id="123" w:name="OLE_LINK34"/>
      <w:bookmarkStart w:id="124" w:name="OLE_LINK38"/>
      <w:bookmarkStart w:id="125" w:name="OLE_LINK33"/>
      <w:r>
        <w:rPr>
          <w:rFonts w:ascii="Arial" w:hAnsi="Arial" w:cs="Arial" w:hint="eastAsia"/>
          <w:sz w:val="28"/>
        </w:rPr>
        <w:t>截至</w:t>
      </w:r>
      <w:r>
        <w:rPr>
          <w:rFonts w:ascii="Arial" w:hAnsi="Arial" w:cs="Arial" w:hint="eastAsia"/>
          <w:sz w:val="28"/>
        </w:rPr>
        <w:t>2024</w:t>
      </w:r>
      <w:r>
        <w:rPr>
          <w:rFonts w:ascii="Arial" w:hAnsi="Arial" w:cs="Arial" w:hint="eastAsia"/>
          <w:sz w:val="28"/>
        </w:rPr>
        <w:t>年年末，北京市常住人口为</w:t>
      </w:r>
      <w:r>
        <w:rPr>
          <w:rFonts w:ascii="Arial" w:hAnsi="Arial" w:cs="Arial" w:hint="eastAsia"/>
          <w:sz w:val="28"/>
        </w:rPr>
        <w:t>2183.2</w:t>
      </w:r>
      <w:r>
        <w:rPr>
          <w:rFonts w:ascii="Arial" w:hAnsi="Arial" w:cs="Arial" w:hint="eastAsia"/>
          <w:sz w:val="28"/>
        </w:rPr>
        <w:t>万人，从年龄构成看，</w:t>
      </w:r>
      <w:r>
        <w:rPr>
          <w:rFonts w:ascii="Arial" w:hAnsi="Arial" w:cs="Arial" w:hint="eastAsia"/>
          <w:sz w:val="28"/>
        </w:rPr>
        <w:t>0-14</w:t>
      </w:r>
      <w:r>
        <w:rPr>
          <w:rFonts w:ascii="Arial" w:hAnsi="Arial" w:cs="Arial" w:hint="eastAsia"/>
          <w:sz w:val="28"/>
        </w:rPr>
        <w:t>岁常住人口</w:t>
      </w:r>
      <w:r>
        <w:rPr>
          <w:rFonts w:ascii="Arial" w:hAnsi="Arial" w:cs="Arial" w:hint="eastAsia"/>
          <w:sz w:val="28"/>
        </w:rPr>
        <w:t>261.2</w:t>
      </w:r>
      <w:r>
        <w:rPr>
          <w:rFonts w:ascii="Arial" w:hAnsi="Arial" w:cs="Arial" w:hint="eastAsia"/>
          <w:sz w:val="28"/>
        </w:rPr>
        <w:t>万人，占全市常住人口的比重为</w:t>
      </w:r>
      <w:r>
        <w:rPr>
          <w:rFonts w:ascii="Arial" w:hAnsi="Arial" w:cs="Arial" w:hint="eastAsia"/>
          <w:sz w:val="28"/>
        </w:rPr>
        <w:t>12.0%</w:t>
      </w:r>
      <w:r>
        <w:rPr>
          <w:rFonts w:ascii="Arial" w:hAnsi="Arial" w:cs="Arial" w:hint="eastAsia"/>
          <w:sz w:val="28"/>
        </w:rPr>
        <w:t>；</w:t>
      </w:r>
      <w:r>
        <w:rPr>
          <w:rFonts w:ascii="Arial" w:hAnsi="Arial" w:cs="Arial" w:hint="eastAsia"/>
          <w:sz w:val="28"/>
        </w:rPr>
        <w:t>15-59</w:t>
      </w:r>
      <w:r>
        <w:rPr>
          <w:rFonts w:ascii="Arial" w:hAnsi="Arial" w:cs="Arial" w:hint="eastAsia"/>
          <w:sz w:val="28"/>
        </w:rPr>
        <w:t>岁常住人口</w:t>
      </w:r>
      <w:r>
        <w:rPr>
          <w:rFonts w:ascii="Arial" w:hAnsi="Arial" w:cs="Arial" w:hint="eastAsia"/>
          <w:sz w:val="28"/>
        </w:rPr>
        <w:t>1408.0</w:t>
      </w:r>
      <w:r>
        <w:rPr>
          <w:rFonts w:ascii="Arial" w:hAnsi="Arial" w:cs="Arial" w:hint="eastAsia"/>
          <w:sz w:val="28"/>
        </w:rPr>
        <w:t>万人，占</w:t>
      </w:r>
      <w:r>
        <w:rPr>
          <w:rFonts w:ascii="Arial" w:hAnsi="Arial" w:cs="Arial" w:hint="eastAsia"/>
          <w:sz w:val="28"/>
        </w:rPr>
        <w:t>64.5%</w:t>
      </w:r>
      <w:r>
        <w:rPr>
          <w:rFonts w:ascii="Arial" w:hAnsi="Arial" w:cs="Arial" w:hint="eastAsia"/>
          <w:sz w:val="28"/>
        </w:rPr>
        <w:t>；</w:t>
      </w:r>
      <w:r>
        <w:rPr>
          <w:rFonts w:ascii="Arial" w:hAnsi="Arial" w:cs="Arial" w:hint="eastAsia"/>
          <w:sz w:val="28"/>
        </w:rPr>
        <w:t>60</w:t>
      </w:r>
      <w:r>
        <w:rPr>
          <w:rFonts w:ascii="Arial" w:hAnsi="Arial" w:cs="Arial" w:hint="eastAsia"/>
          <w:sz w:val="28"/>
        </w:rPr>
        <w:t>岁及以上常住人口</w:t>
      </w:r>
      <w:r>
        <w:rPr>
          <w:rFonts w:ascii="Arial" w:hAnsi="Arial" w:cs="Arial" w:hint="eastAsia"/>
          <w:sz w:val="28"/>
        </w:rPr>
        <w:t>514.0</w:t>
      </w:r>
      <w:r>
        <w:rPr>
          <w:rFonts w:ascii="Arial" w:hAnsi="Arial" w:cs="Arial" w:hint="eastAsia"/>
          <w:sz w:val="28"/>
        </w:rPr>
        <w:t>万人，占</w:t>
      </w:r>
      <w:r>
        <w:rPr>
          <w:rFonts w:ascii="Arial" w:hAnsi="Arial" w:cs="Arial" w:hint="eastAsia"/>
          <w:sz w:val="28"/>
        </w:rPr>
        <w:t>23.5%</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2020-2024</w:t>
      </w:r>
      <w:r>
        <w:rPr>
          <w:rFonts w:ascii="Arial" w:hAnsi="Arial" w:cs="Arial" w:hint="eastAsia"/>
          <w:sz w:val="28"/>
        </w:rPr>
        <w:t>年常住人口增量及增长速度</w:t>
      </w:r>
    </w:p>
    <w:p w:rsidR="004935A9" w:rsidRDefault="00311723">
      <w:pPr>
        <w:spacing w:line="360" w:lineRule="auto"/>
        <w:ind w:firstLineChars="200" w:firstLine="560"/>
        <w:jc w:val="both"/>
        <w:rPr>
          <w:rFonts w:ascii="Arial" w:hAnsi="Arial" w:cs="Arial"/>
          <w:sz w:val="28"/>
        </w:rPr>
      </w:pPr>
      <w:bookmarkStart w:id="126" w:name="_Hlk195084670"/>
      <w:bookmarkEnd w:id="123"/>
      <w:bookmarkEnd w:id="124"/>
      <w:bookmarkEnd w:id="125"/>
      <w:r>
        <w:rPr>
          <w:rFonts w:ascii="Arial" w:hAnsi="Arial" w:cs="Arial" w:hint="eastAsia"/>
          <w:noProof/>
          <w:sz w:val="28"/>
        </w:rPr>
        <w:drawing>
          <wp:inline distT="0" distB="0" distL="0" distR="0">
            <wp:extent cx="5906770" cy="2172335"/>
            <wp:effectExtent l="0" t="0" r="0" b="0"/>
            <wp:docPr id="8" name="图片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126"/>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城市面积：北京市下辖</w:t>
      </w:r>
      <w:r>
        <w:rPr>
          <w:rFonts w:ascii="Arial" w:hAnsi="Arial" w:cs="Arial" w:hint="eastAsia"/>
          <w:sz w:val="28"/>
        </w:rPr>
        <w:t>16</w:t>
      </w:r>
      <w:r>
        <w:rPr>
          <w:rFonts w:ascii="Arial" w:hAnsi="Arial" w:cs="Arial" w:hint="eastAsia"/>
          <w:sz w:val="28"/>
        </w:rPr>
        <w:t>个区（即东城、西城、海淀、朝阳、丰台、顺义、昌平、通州、门头沟、石景山、房山、大兴、怀柔、平谷、密云、延庆），行政辖区总面积为</w:t>
      </w:r>
      <w:r>
        <w:rPr>
          <w:rFonts w:ascii="Arial" w:hAnsi="Arial" w:cs="Arial" w:hint="eastAsia"/>
          <w:sz w:val="28"/>
        </w:rPr>
        <w:t>16410</w:t>
      </w:r>
      <w:r>
        <w:rPr>
          <w:rFonts w:ascii="Arial" w:hAnsi="Arial" w:cs="Arial" w:hint="eastAsia"/>
          <w:sz w:val="28"/>
        </w:rPr>
        <w:t>平方公里。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城市自然条件：北京气候属暖温带半湿润半干旱季风气候，夏季高温多雨，冬季寒冷干燥，春、秋短促。全年无霜期</w:t>
      </w:r>
      <w:r>
        <w:rPr>
          <w:rFonts w:ascii="Arial" w:hAnsi="Arial" w:cs="Arial" w:hint="eastAsia"/>
          <w:sz w:val="28"/>
        </w:rPr>
        <w:t>180</w:t>
      </w:r>
      <w:r>
        <w:rPr>
          <w:rFonts w:ascii="Arial" w:hAnsi="Arial" w:cs="Arial" w:hint="eastAsia"/>
          <w:sz w:val="28"/>
        </w:rPr>
        <w:t>～</w:t>
      </w:r>
      <w:r>
        <w:rPr>
          <w:rFonts w:ascii="Arial" w:hAnsi="Arial" w:cs="Arial" w:hint="eastAsia"/>
          <w:sz w:val="28"/>
        </w:rPr>
        <w:t>200</w:t>
      </w:r>
      <w:r>
        <w:rPr>
          <w:rFonts w:ascii="Arial" w:hAnsi="Arial" w:cs="Arial" w:hint="eastAsia"/>
          <w:sz w:val="28"/>
        </w:rPr>
        <w:t>天，西部山区较短。地势西北高、东南低。西部、北部和东北部三面环山，东南部是一片缓缓向渤海倾斜的平原。北京市天然河道自西向东贯穿五大水系：拒马河水系、永</w:t>
      </w:r>
      <w:r>
        <w:rPr>
          <w:rFonts w:ascii="Arial" w:hAnsi="Arial" w:cs="Arial" w:hint="eastAsia"/>
          <w:sz w:val="28"/>
        </w:rPr>
        <w:lastRenderedPageBreak/>
        <w:t>定河水系、北运河水系、潮白河水系和</w:t>
      </w:r>
      <w:proofErr w:type="gramStart"/>
      <w:r>
        <w:rPr>
          <w:rFonts w:ascii="Arial" w:hAnsi="Arial" w:cs="Arial" w:hint="eastAsia"/>
          <w:sz w:val="28"/>
        </w:rPr>
        <w:t>蓟</w:t>
      </w:r>
      <w:proofErr w:type="gramEnd"/>
      <w:r>
        <w:rPr>
          <w:rFonts w:ascii="Arial" w:hAnsi="Arial" w:cs="Arial" w:hint="eastAsia"/>
          <w:sz w:val="28"/>
        </w:rPr>
        <w:t>运河水系。多由西北部山地发源，向东南蜿蜒流经平原地区，最后分别在海河汇入渤海（</w:t>
      </w:r>
      <w:proofErr w:type="gramStart"/>
      <w:r>
        <w:rPr>
          <w:rFonts w:ascii="Arial" w:hAnsi="Arial" w:cs="Arial" w:hint="eastAsia"/>
          <w:sz w:val="28"/>
        </w:rPr>
        <w:t>蓟</w:t>
      </w:r>
      <w:proofErr w:type="gramEnd"/>
      <w:r>
        <w:rPr>
          <w:rFonts w:ascii="Arial" w:hAnsi="Arial" w:cs="Arial" w:hint="eastAsia"/>
          <w:sz w:val="28"/>
        </w:rPr>
        <w:t>运河除外）。北京市有水库</w:t>
      </w:r>
      <w:r>
        <w:rPr>
          <w:rFonts w:ascii="Arial" w:hAnsi="Arial" w:cs="Arial" w:hint="eastAsia"/>
          <w:sz w:val="28"/>
        </w:rPr>
        <w:t>85</w:t>
      </w:r>
      <w:r>
        <w:rPr>
          <w:rFonts w:ascii="Arial" w:hAnsi="Arial" w:cs="Arial" w:hint="eastAsia"/>
          <w:sz w:val="28"/>
        </w:rPr>
        <w:t>座，其中大型水库有密云水库、官厅水库、怀柔水库、海子水库。北京市地下水多年平均补给量约为</w:t>
      </w:r>
      <w:r>
        <w:rPr>
          <w:rFonts w:ascii="Arial" w:hAnsi="Arial" w:cs="Arial" w:hint="eastAsia"/>
          <w:sz w:val="28"/>
        </w:rPr>
        <w:t>29.21</w:t>
      </w:r>
      <w:r>
        <w:rPr>
          <w:rFonts w:ascii="Arial" w:hAnsi="Arial" w:cs="Arial" w:hint="eastAsia"/>
          <w:sz w:val="28"/>
        </w:rPr>
        <w:t>亿立方米，平均年可开采量约</w:t>
      </w:r>
      <w:r>
        <w:rPr>
          <w:rFonts w:ascii="Arial" w:hAnsi="Arial" w:cs="Arial" w:hint="eastAsia"/>
          <w:sz w:val="28"/>
        </w:rPr>
        <w:t>24~25</w:t>
      </w:r>
      <w:r>
        <w:rPr>
          <w:rFonts w:ascii="Arial" w:hAnsi="Arial" w:cs="Arial" w:hint="eastAsia"/>
          <w:sz w:val="28"/>
        </w:rPr>
        <w:t>亿立方米。一次性天然水资源年平均总量为</w:t>
      </w:r>
      <w:r>
        <w:rPr>
          <w:rFonts w:ascii="Arial" w:hAnsi="Arial" w:cs="Arial" w:hint="eastAsia"/>
          <w:sz w:val="28"/>
        </w:rPr>
        <w:t>55.21</w:t>
      </w:r>
      <w:r>
        <w:rPr>
          <w:rFonts w:ascii="Arial" w:hAnsi="Arial" w:cs="Arial" w:hint="eastAsia"/>
          <w:sz w:val="28"/>
        </w:rPr>
        <w:t>亿立方米。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土地利用状况：</w:t>
      </w:r>
      <w:r>
        <w:rPr>
          <w:rFonts w:ascii="Arial" w:hAnsi="Arial" w:cs="Arial" w:hint="eastAsia"/>
          <w:sz w:val="28"/>
        </w:rPr>
        <w:t>2021</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5</w:t>
      </w:r>
      <w:r>
        <w:rPr>
          <w:rFonts w:ascii="Arial" w:hAnsi="Arial" w:cs="Arial" w:hint="eastAsia"/>
          <w:sz w:val="28"/>
        </w:rPr>
        <w:t>日，北京市发布第三次全国国土调查主要数据公报。数据显示，北京市现有耕地</w:t>
      </w:r>
      <w:r>
        <w:rPr>
          <w:rFonts w:ascii="Arial" w:hAnsi="Arial" w:cs="Arial" w:hint="eastAsia"/>
          <w:sz w:val="28"/>
        </w:rPr>
        <w:t>93547.9</w:t>
      </w:r>
      <w:r>
        <w:rPr>
          <w:rFonts w:ascii="Arial" w:hAnsi="Arial" w:cs="Arial" w:hint="eastAsia"/>
          <w:sz w:val="28"/>
        </w:rPr>
        <w:t>公顷（</w:t>
      </w:r>
      <w:r>
        <w:rPr>
          <w:rFonts w:ascii="Arial" w:hAnsi="Arial" w:cs="Arial" w:hint="eastAsia"/>
          <w:sz w:val="28"/>
        </w:rPr>
        <w:t>1403218.5</w:t>
      </w:r>
      <w:r>
        <w:rPr>
          <w:rFonts w:ascii="Arial" w:hAnsi="Arial" w:cs="Arial" w:hint="eastAsia"/>
          <w:sz w:val="28"/>
        </w:rPr>
        <w:t>亩）、园地</w:t>
      </w:r>
      <w:r>
        <w:rPr>
          <w:rFonts w:ascii="Arial" w:hAnsi="Arial" w:cs="Arial" w:hint="eastAsia"/>
          <w:sz w:val="28"/>
        </w:rPr>
        <w:t>126274.55</w:t>
      </w:r>
      <w:r>
        <w:rPr>
          <w:rFonts w:ascii="Arial" w:hAnsi="Arial" w:cs="Arial" w:hint="eastAsia"/>
          <w:sz w:val="28"/>
        </w:rPr>
        <w:t>公顷（</w:t>
      </w:r>
      <w:r>
        <w:rPr>
          <w:rFonts w:ascii="Arial" w:hAnsi="Arial" w:cs="Arial" w:hint="eastAsia"/>
          <w:sz w:val="28"/>
        </w:rPr>
        <w:t>1894118.25</w:t>
      </w:r>
      <w:r>
        <w:rPr>
          <w:rFonts w:ascii="Arial" w:hAnsi="Arial" w:cs="Arial" w:hint="eastAsia"/>
          <w:sz w:val="28"/>
        </w:rPr>
        <w:t>亩）、林地</w:t>
      </w:r>
      <w:r>
        <w:rPr>
          <w:rFonts w:ascii="Arial" w:hAnsi="Arial" w:cs="Arial" w:hint="eastAsia"/>
          <w:sz w:val="28"/>
        </w:rPr>
        <w:t>967628.62</w:t>
      </w:r>
      <w:r>
        <w:rPr>
          <w:rFonts w:ascii="Arial" w:hAnsi="Arial" w:cs="Arial" w:hint="eastAsia"/>
          <w:sz w:val="28"/>
        </w:rPr>
        <w:t>公顷（</w:t>
      </w:r>
      <w:r>
        <w:rPr>
          <w:rFonts w:ascii="Arial" w:hAnsi="Arial" w:cs="Arial" w:hint="eastAsia"/>
          <w:sz w:val="28"/>
        </w:rPr>
        <w:t>14514429.3</w:t>
      </w:r>
      <w:r>
        <w:rPr>
          <w:rFonts w:ascii="Arial" w:hAnsi="Arial" w:cs="Arial" w:hint="eastAsia"/>
          <w:sz w:val="28"/>
        </w:rPr>
        <w:t>亩）、草地</w:t>
      </w:r>
      <w:r>
        <w:rPr>
          <w:rFonts w:ascii="Arial" w:hAnsi="Arial" w:cs="Arial" w:hint="eastAsia"/>
          <w:sz w:val="28"/>
        </w:rPr>
        <w:t>14460.44</w:t>
      </w:r>
      <w:r>
        <w:rPr>
          <w:rFonts w:ascii="Arial" w:hAnsi="Arial" w:cs="Arial" w:hint="eastAsia"/>
          <w:sz w:val="28"/>
        </w:rPr>
        <w:t>公顷（</w:t>
      </w:r>
      <w:r>
        <w:rPr>
          <w:rFonts w:ascii="Arial" w:hAnsi="Arial" w:cs="Arial" w:hint="eastAsia"/>
          <w:sz w:val="28"/>
        </w:rPr>
        <w:t>216906.6</w:t>
      </w:r>
      <w:r>
        <w:rPr>
          <w:rFonts w:ascii="Arial" w:hAnsi="Arial" w:cs="Arial" w:hint="eastAsia"/>
          <w:sz w:val="28"/>
        </w:rPr>
        <w:t>亩）、湿地</w:t>
      </w:r>
      <w:r>
        <w:rPr>
          <w:rFonts w:ascii="Arial" w:hAnsi="Arial" w:cs="Arial" w:hint="eastAsia"/>
          <w:sz w:val="28"/>
        </w:rPr>
        <w:t>3107.98</w:t>
      </w:r>
      <w:r>
        <w:rPr>
          <w:rFonts w:ascii="Arial" w:hAnsi="Arial" w:cs="Arial" w:hint="eastAsia"/>
          <w:sz w:val="28"/>
        </w:rPr>
        <w:t>公顷（</w:t>
      </w:r>
      <w:r>
        <w:rPr>
          <w:rFonts w:ascii="Arial" w:hAnsi="Arial" w:cs="Arial" w:hint="eastAsia"/>
          <w:sz w:val="28"/>
        </w:rPr>
        <w:t>46619.7</w:t>
      </w:r>
      <w:r>
        <w:rPr>
          <w:rFonts w:ascii="Arial" w:hAnsi="Arial" w:cs="Arial" w:hint="eastAsia"/>
          <w:sz w:val="28"/>
        </w:rPr>
        <w:t>亩）、城镇村及工矿用地</w:t>
      </w:r>
      <w:r>
        <w:rPr>
          <w:rFonts w:ascii="Arial" w:hAnsi="Arial" w:cs="Arial" w:hint="eastAsia"/>
          <w:sz w:val="28"/>
        </w:rPr>
        <w:t>313643.87</w:t>
      </w:r>
      <w:r>
        <w:rPr>
          <w:rFonts w:ascii="Arial" w:hAnsi="Arial" w:cs="Arial" w:hint="eastAsia"/>
          <w:sz w:val="28"/>
        </w:rPr>
        <w:t>公顷（</w:t>
      </w:r>
      <w:r>
        <w:rPr>
          <w:rFonts w:ascii="Arial" w:hAnsi="Arial" w:cs="Arial" w:hint="eastAsia"/>
          <w:sz w:val="28"/>
        </w:rPr>
        <w:t>4704658.05</w:t>
      </w:r>
      <w:r>
        <w:rPr>
          <w:rFonts w:ascii="Arial" w:hAnsi="Arial" w:cs="Arial" w:hint="eastAsia"/>
          <w:sz w:val="28"/>
        </w:rPr>
        <w:t>亩）、交通运输用地</w:t>
      </w:r>
      <w:r>
        <w:rPr>
          <w:rFonts w:ascii="Arial" w:hAnsi="Arial" w:cs="Arial" w:hint="eastAsia"/>
          <w:sz w:val="28"/>
        </w:rPr>
        <w:t>49281.38</w:t>
      </w:r>
      <w:r>
        <w:rPr>
          <w:rFonts w:ascii="Arial" w:hAnsi="Arial" w:cs="Arial" w:hint="eastAsia"/>
          <w:sz w:val="28"/>
        </w:rPr>
        <w:t>公顷（</w:t>
      </w:r>
      <w:r>
        <w:rPr>
          <w:rFonts w:ascii="Arial" w:hAnsi="Arial" w:cs="Arial" w:hint="eastAsia"/>
          <w:sz w:val="28"/>
        </w:rPr>
        <w:t>739220.7</w:t>
      </w:r>
      <w:r>
        <w:rPr>
          <w:rFonts w:ascii="Arial" w:hAnsi="Arial" w:cs="Arial" w:hint="eastAsia"/>
          <w:sz w:val="28"/>
        </w:rPr>
        <w:t>亩）、水域及水利设施用地</w:t>
      </w:r>
      <w:r>
        <w:rPr>
          <w:rFonts w:ascii="Arial" w:hAnsi="Arial" w:cs="Arial" w:hint="eastAsia"/>
          <w:sz w:val="28"/>
        </w:rPr>
        <w:t>61704</w:t>
      </w:r>
      <w:r>
        <w:rPr>
          <w:rFonts w:ascii="Arial" w:hAnsi="Arial" w:cs="Arial" w:hint="eastAsia"/>
          <w:sz w:val="28"/>
        </w:rPr>
        <w:t>公顷（</w:t>
      </w:r>
      <w:r>
        <w:rPr>
          <w:rFonts w:ascii="Arial" w:hAnsi="Arial" w:cs="Arial" w:hint="eastAsia"/>
          <w:sz w:val="28"/>
        </w:rPr>
        <w:t>925560</w:t>
      </w:r>
      <w:r>
        <w:rPr>
          <w:rFonts w:ascii="Arial" w:hAnsi="Arial" w:cs="Arial" w:hint="eastAsia"/>
          <w:sz w:val="28"/>
        </w:rPr>
        <w:t>亩），其余为其他土地。三</w:t>
      </w:r>
      <w:proofErr w:type="gramStart"/>
      <w:r>
        <w:rPr>
          <w:rFonts w:ascii="Arial" w:hAnsi="Arial" w:cs="Arial" w:hint="eastAsia"/>
          <w:sz w:val="28"/>
        </w:rPr>
        <w:t>调数据</w:t>
      </w:r>
      <w:proofErr w:type="gramEnd"/>
      <w:r>
        <w:rPr>
          <w:rFonts w:ascii="Arial" w:hAnsi="Arial" w:cs="Arial" w:hint="eastAsia"/>
          <w:sz w:val="28"/>
        </w:rPr>
        <w:t>显示，北京市以林、园、水、草、湿地和公园绿地为主的生态用地逐年增加，城乡建设用地明显减少，初步实现减量目标。</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87085" cy="333565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不动产制度与不动产市场状况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w:t>
      </w:r>
      <w:r>
        <w:rPr>
          <w:rFonts w:ascii="Arial" w:hAnsi="Arial" w:cs="Arial" w:hint="eastAsia"/>
          <w:sz w:val="28"/>
        </w:rPr>
        <w:t xml:space="preserve"> </w:t>
      </w:r>
      <w:r>
        <w:rPr>
          <w:rFonts w:ascii="Arial" w:hAnsi="Arial" w:cs="Arial" w:hint="eastAsia"/>
          <w:sz w:val="28"/>
        </w:rPr>
        <w:t>土地使用制度及土地管理政策：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我国当前实行土地</w:t>
      </w:r>
      <w:proofErr w:type="gramStart"/>
      <w:r>
        <w:rPr>
          <w:rFonts w:ascii="Arial" w:hAnsi="Arial" w:cs="Arial" w:hint="eastAsia"/>
          <w:sz w:val="28"/>
        </w:rPr>
        <w:t>招拍挂</w:t>
      </w:r>
      <w:proofErr w:type="gramEnd"/>
      <w:r>
        <w:rPr>
          <w:rFonts w:ascii="Arial" w:hAnsi="Arial" w:cs="Arial" w:hint="eastAsia"/>
          <w:sz w:val="28"/>
        </w:rPr>
        <w:t>制度。土地</w:t>
      </w:r>
      <w:proofErr w:type="gramStart"/>
      <w:r>
        <w:rPr>
          <w:rFonts w:ascii="Arial" w:hAnsi="Arial" w:cs="Arial" w:hint="eastAsia"/>
          <w:sz w:val="28"/>
        </w:rPr>
        <w:t>招拍挂制度</w:t>
      </w:r>
      <w:proofErr w:type="gramEnd"/>
      <w:r>
        <w:rPr>
          <w:rFonts w:ascii="Arial" w:hAnsi="Arial" w:cs="Arial" w:hint="eastAsia"/>
          <w:sz w:val="28"/>
        </w:rPr>
        <w:t>是国家土地资源出让、买卖的招标、拍卖、挂牌制度的简称，具体是指国家在土地出让或者买卖程序中的“招标”“拍卖”“挂牌”交易的政策或规定。</w:t>
      </w:r>
      <w:r>
        <w:rPr>
          <w:rFonts w:ascii="Arial" w:hAnsi="Arial" w:cs="Arial" w:hint="eastAsia"/>
          <w:sz w:val="28"/>
        </w:rPr>
        <w:t>2004</w:t>
      </w:r>
      <w:r>
        <w:rPr>
          <w:rFonts w:ascii="Arial" w:hAnsi="Arial" w:cs="Arial" w:hint="eastAsia"/>
          <w:sz w:val="28"/>
        </w:rPr>
        <w:t>年，国土资源部颁布第</w:t>
      </w:r>
      <w:r>
        <w:rPr>
          <w:rFonts w:ascii="Arial" w:hAnsi="Arial" w:cs="Arial" w:hint="eastAsia"/>
          <w:sz w:val="28"/>
        </w:rPr>
        <w:t>71</w:t>
      </w:r>
      <w:r>
        <w:rPr>
          <w:rFonts w:ascii="Arial" w:hAnsi="Arial" w:cs="Arial" w:hint="eastAsia"/>
          <w:sz w:val="28"/>
        </w:rPr>
        <w:t>令，《关于继续开展经营性土地使用权招标拍卖挂牌出让情况执法监察工作的通知》，规定</w:t>
      </w:r>
      <w:r>
        <w:rPr>
          <w:rFonts w:ascii="Arial" w:hAnsi="Arial" w:cs="Arial" w:hint="eastAsia"/>
          <w:sz w:val="28"/>
        </w:rPr>
        <w:t>2004</w:t>
      </w:r>
      <w:r>
        <w:rPr>
          <w:rFonts w:ascii="Arial" w:hAnsi="Arial" w:cs="Arial" w:hint="eastAsia"/>
          <w:sz w:val="28"/>
        </w:rPr>
        <w:t>年</w:t>
      </w:r>
      <w:r>
        <w:rPr>
          <w:rFonts w:ascii="Arial" w:hAnsi="Arial" w:cs="Arial" w:hint="eastAsia"/>
          <w:sz w:val="28"/>
        </w:rPr>
        <w:t>8</w:t>
      </w:r>
      <w:r>
        <w:rPr>
          <w:rFonts w:ascii="Arial" w:hAnsi="Arial" w:cs="Arial" w:hint="eastAsia"/>
          <w:sz w:val="28"/>
        </w:rPr>
        <w:t>月</w:t>
      </w:r>
      <w:r>
        <w:rPr>
          <w:rFonts w:ascii="Arial" w:hAnsi="Arial" w:cs="Arial" w:hint="eastAsia"/>
          <w:sz w:val="28"/>
        </w:rPr>
        <w:t>31</w:t>
      </w:r>
      <w:r>
        <w:rPr>
          <w:rFonts w:ascii="Arial" w:hAnsi="Arial" w:cs="Arial" w:hint="eastAsia"/>
          <w:sz w:val="28"/>
        </w:rPr>
        <w:t>号以后所有经营性用地出让全部实行</w:t>
      </w:r>
      <w:proofErr w:type="gramStart"/>
      <w:r>
        <w:rPr>
          <w:rFonts w:ascii="Arial" w:hAnsi="Arial" w:cs="Arial" w:hint="eastAsia"/>
          <w:sz w:val="28"/>
        </w:rPr>
        <w:t>招拍挂</w:t>
      </w:r>
      <w:proofErr w:type="gramEnd"/>
      <w:r>
        <w:rPr>
          <w:rFonts w:ascii="Arial" w:hAnsi="Arial" w:cs="Arial" w:hint="eastAsia"/>
          <w:sz w:val="28"/>
        </w:rPr>
        <w:t>制度。该方式作为我国经营性用地出让的指定方式，对规范土地市场、提高政府的对城市土地的管理水平、促进房地产市场的有序发展等方面都有着重要意义。</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）在国土空间规划中统筹划</w:t>
      </w:r>
      <w:proofErr w:type="gramStart"/>
      <w:r>
        <w:rPr>
          <w:rFonts w:ascii="Arial" w:hAnsi="Arial" w:cs="Arial" w:hint="eastAsia"/>
          <w:sz w:val="28"/>
        </w:rPr>
        <w:t>定落实</w:t>
      </w:r>
      <w:proofErr w:type="gramEnd"/>
      <w:r>
        <w:rPr>
          <w:rFonts w:ascii="Arial" w:hAnsi="Arial" w:cs="Arial" w:hint="eastAsia"/>
          <w:sz w:val="28"/>
        </w:rPr>
        <w:t>永久基本农田、生态保护红线、城镇开发边界三条控制线（以下简称三条控制线），确定国土空间开发保护刚性管控边界。统筹全域</w:t>
      </w:r>
      <w:proofErr w:type="gramStart"/>
      <w:r>
        <w:rPr>
          <w:rFonts w:ascii="Arial" w:hAnsi="Arial" w:cs="Arial" w:hint="eastAsia"/>
          <w:sz w:val="28"/>
        </w:rPr>
        <w:t>全类型</w:t>
      </w:r>
      <w:proofErr w:type="gramEnd"/>
      <w:r>
        <w:rPr>
          <w:rFonts w:ascii="Arial" w:hAnsi="Arial" w:cs="Arial" w:hint="eastAsia"/>
          <w:sz w:val="28"/>
        </w:rPr>
        <w:t>国土空间用途管制，划定覆盖全域的</w:t>
      </w:r>
      <w:r>
        <w:rPr>
          <w:rFonts w:ascii="Arial" w:hAnsi="Arial" w:cs="Arial" w:hint="eastAsia"/>
          <w:sz w:val="28"/>
        </w:rPr>
        <w:t>11</w:t>
      </w:r>
      <w:r>
        <w:rPr>
          <w:rFonts w:ascii="Arial" w:hAnsi="Arial" w:cs="Arial" w:hint="eastAsia"/>
          <w:sz w:val="28"/>
        </w:rPr>
        <w:t>类国土空间规划分区。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）严守耕地规模底线，划定耕地保护空间。</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）严控建设用地规模，城乡建设用地规模得到历史性控制。以</w:t>
      </w:r>
      <w:proofErr w:type="gramStart"/>
      <w:r>
        <w:rPr>
          <w:rFonts w:ascii="Arial" w:hAnsi="Arial" w:cs="Arial" w:hint="eastAsia"/>
          <w:sz w:val="28"/>
        </w:rPr>
        <w:t>疏解</w:t>
      </w:r>
      <w:r>
        <w:rPr>
          <w:rFonts w:ascii="Arial" w:hAnsi="Arial" w:cs="Arial" w:hint="eastAsia"/>
          <w:sz w:val="28"/>
        </w:rPr>
        <w:lastRenderedPageBreak/>
        <w:t>非首都</w:t>
      </w:r>
      <w:proofErr w:type="gramEnd"/>
      <w:r>
        <w:rPr>
          <w:rFonts w:ascii="Arial" w:hAnsi="Arial" w:cs="Arial" w:hint="eastAsia"/>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ascii="Arial" w:hAnsi="Arial" w:cs="Arial" w:hint="eastAsia"/>
          <w:sz w:val="28"/>
        </w:rPr>
        <w:t>51%</w:t>
      </w:r>
      <w:r>
        <w:rPr>
          <w:rFonts w:ascii="Arial" w:hAnsi="Arial" w:cs="Arial" w:hint="eastAsia"/>
          <w:sz w:val="28"/>
        </w:rPr>
        <w:t>提升至“十三五”时期的</w:t>
      </w:r>
      <w:r>
        <w:rPr>
          <w:rFonts w:ascii="Arial" w:hAnsi="Arial" w:cs="Arial" w:hint="eastAsia"/>
          <w:sz w:val="28"/>
        </w:rPr>
        <w:t>55%</w:t>
      </w:r>
      <w:r>
        <w:rPr>
          <w:rFonts w:ascii="Arial" w:hAnsi="Arial" w:cs="Arial" w:hint="eastAsia"/>
          <w:sz w:val="28"/>
        </w:rPr>
        <w:t>以上</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加强推进农村土地管理改革。制定《关于进一步加强农村集体土地管理加快建立健全“村地区管”机制的指导意见》，强化区级管规划、管用途、管合同、管程序、管监督、</w:t>
      </w:r>
      <w:proofErr w:type="gramStart"/>
      <w:r>
        <w:rPr>
          <w:rFonts w:ascii="Arial" w:hAnsi="Arial" w:cs="Arial" w:hint="eastAsia"/>
          <w:sz w:val="28"/>
        </w:rPr>
        <w:t>管查处</w:t>
      </w:r>
      <w:proofErr w:type="gramEnd"/>
      <w:r>
        <w:rPr>
          <w:rFonts w:ascii="Arial" w:hAnsi="Arial" w:cs="Arial" w:hint="eastAsia"/>
          <w:sz w:val="28"/>
        </w:rPr>
        <w:t>的权责；在</w:t>
      </w:r>
      <w:proofErr w:type="gramStart"/>
      <w:r>
        <w:rPr>
          <w:rFonts w:ascii="Arial" w:hAnsi="Arial" w:cs="Arial" w:hint="eastAsia"/>
          <w:sz w:val="28"/>
        </w:rPr>
        <w:t>大兴区</w:t>
      </w:r>
      <w:proofErr w:type="gramEnd"/>
      <w:r>
        <w:rPr>
          <w:rFonts w:ascii="Arial" w:hAnsi="Arial" w:cs="Arial" w:hint="eastAsia"/>
          <w:sz w:val="28"/>
        </w:rPr>
        <w:t>全面推进农村土地制度改革三项试点工作，集体经营性建设用地入市试点改革取得重大成果，征地制度改革向纵深推进，宅基地制度改革取得阶段性成果，探索形成了一批可复制、可推广的改革成果。</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2022</w:t>
      </w:r>
      <w:r>
        <w:rPr>
          <w:rFonts w:ascii="Arial" w:hAnsi="Arial" w:cs="Arial" w:hint="eastAsia"/>
          <w:sz w:val="28"/>
        </w:rPr>
        <w:t>年北京市人民政府关于印发《北京市“十四五”时期土地资源保护利用规划》的通知，要求全市继续统筹土地资源保护和利用工作，强化科学布局、整体保护、系统修复、高效利用、综合治理。</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 xml:space="preserve"> </w:t>
      </w:r>
      <w:r>
        <w:rPr>
          <w:rFonts w:ascii="Arial" w:hAnsi="Arial" w:cs="Arial" w:hint="eastAsia"/>
          <w:sz w:val="28"/>
        </w:rPr>
        <w:t>住房制度与不动产管理政策：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w:t>
      </w:r>
      <w:r>
        <w:rPr>
          <w:rFonts w:ascii="Arial" w:hAnsi="Arial" w:cs="Arial" w:hint="eastAsia"/>
          <w:sz w:val="28"/>
        </w:rPr>
        <w:t>2022</w:t>
      </w:r>
      <w:r>
        <w:rPr>
          <w:rFonts w:ascii="Arial" w:hAnsi="Arial" w:cs="Arial" w:hint="eastAsia"/>
          <w:sz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2023</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26</w:t>
      </w:r>
      <w:r>
        <w:rPr>
          <w:rFonts w:ascii="Arial" w:hAnsi="Arial" w:cs="Arial" w:hint="eastAsia"/>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21</w:t>
      </w:r>
      <w:r>
        <w:rPr>
          <w:rFonts w:ascii="Arial" w:hAnsi="Arial" w:cs="Arial" w:hint="eastAsia"/>
          <w:sz w:val="28"/>
        </w:rPr>
        <w:t>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w:t>
      </w:r>
      <w:r>
        <w:rPr>
          <w:rFonts w:ascii="Arial" w:hAnsi="Arial" w:cs="Arial" w:hint="eastAsia"/>
          <w:sz w:val="28"/>
        </w:rPr>
        <w:lastRenderedPageBreak/>
        <w:t>融资源，实现以人定房、以房定地、以房定钱，促进房地产市场供需平衡、结构合理，防止市场大起大落。</w:t>
      </w:r>
    </w:p>
    <w:p w:rsidR="004935A9" w:rsidRDefault="00311723">
      <w:pPr>
        <w:spacing w:line="360" w:lineRule="auto"/>
        <w:ind w:firstLineChars="200" w:firstLine="560"/>
        <w:jc w:val="both"/>
        <w:rPr>
          <w:rFonts w:ascii="Arial" w:hAnsi="Arial" w:cs="Arial"/>
          <w:sz w:val="28"/>
        </w:rPr>
      </w:pPr>
      <w:bookmarkStart w:id="127" w:name="_Hlk195087303"/>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日，北京市规划和自然资源委员会和北京市发展和改革委员会联合发布《北京市</w:t>
      </w:r>
      <w:r>
        <w:rPr>
          <w:rFonts w:ascii="Arial" w:hAnsi="Arial" w:cs="Arial" w:hint="eastAsia"/>
          <w:sz w:val="28"/>
        </w:rPr>
        <w:t>2025</w:t>
      </w:r>
      <w:r>
        <w:rPr>
          <w:rFonts w:ascii="Arial" w:hAnsi="Arial" w:cs="Arial" w:hint="eastAsia"/>
          <w:sz w:val="28"/>
        </w:rPr>
        <w:t>年度建设用地供应计划》，明确了北京市</w:t>
      </w:r>
      <w:r>
        <w:rPr>
          <w:rFonts w:ascii="Arial" w:hAnsi="Arial" w:cs="Arial" w:hint="eastAsia"/>
          <w:sz w:val="28"/>
        </w:rPr>
        <w:t>2025</w:t>
      </w:r>
      <w:r>
        <w:rPr>
          <w:rFonts w:ascii="Arial" w:hAnsi="Arial" w:cs="Arial" w:hint="eastAsia"/>
          <w:sz w:val="28"/>
        </w:rPr>
        <w:t>年度建设用地供应的总量、空间布局、结构和供应导向，旨在推动首都经济高质量发展和城市空间优化。</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公顷，较往年基本持平。供地计划保持各地类总量稳定、优化各类要素空间结构布局，保障优势地区高质量发展。空间布局上，持续强化“</w:t>
      </w:r>
      <w:proofErr w:type="gramStart"/>
      <w:r>
        <w:rPr>
          <w:rFonts w:ascii="Arial" w:hAnsi="Arial" w:cs="Arial" w:hint="eastAsia"/>
          <w:sz w:val="28"/>
        </w:rPr>
        <w:t>一</w:t>
      </w:r>
      <w:proofErr w:type="gramEnd"/>
      <w:r>
        <w:rPr>
          <w:rFonts w:ascii="Arial" w:hAnsi="Arial" w:cs="Arial" w:hint="eastAsia"/>
          <w:sz w:val="28"/>
        </w:rPr>
        <w:t>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Pr>
          <w:rFonts w:ascii="Arial" w:hAnsi="Arial" w:cs="Arial" w:hint="eastAsia"/>
          <w:sz w:val="28"/>
        </w:rPr>
        <w:t>25%</w:t>
      </w:r>
      <w:r>
        <w:rPr>
          <w:rFonts w:ascii="Arial" w:hAnsi="Arial" w:cs="Arial" w:hint="eastAsia"/>
          <w:sz w:val="28"/>
        </w:rPr>
        <w:t>，与去年持平，重点推进中央政务功能保障、老城保护、宜居城市建设。平原新城地区（含城市副中心）土地供应规模约占全市总量的</w:t>
      </w:r>
      <w:r>
        <w:rPr>
          <w:rFonts w:ascii="Arial" w:hAnsi="Arial" w:cs="Arial" w:hint="eastAsia"/>
          <w:sz w:val="28"/>
        </w:rPr>
        <w:t>60%</w:t>
      </w:r>
      <w:r>
        <w:rPr>
          <w:rFonts w:ascii="Arial" w:hAnsi="Arial" w:cs="Arial" w:hint="eastAsia"/>
          <w:sz w:val="28"/>
        </w:rPr>
        <w:t>，重点完善城市功能，推动京津冀协同发展用地结构。用地结构上，住宅用地安排</w:t>
      </w:r>
      <w:r>
        <w:rPr>
          <w:rFonts w:ascii="Arial" w:hAnsi="Arial" w:cs="Arial" w:hint="eastAsia"/>
          <w:sz w:val="28"/>
        </w:rPr>
        <w:t>955-1015</w:t>
      </w:r>
      <w:r>
        <w:rPr>
          <w:rFonts w:ascii="Arial" w:hAnsi="Arial" w:cs="Arial" w:hint="eastAsia"/>
          <w:sz w:val="28"/>
        </w:rPr>
        <w:t>公顷；产业用地安排</w:t>
      </w:r>
      <w:r>
        <w:rPr>
          <w:rFonts w:ascii="Arial" w:hAnsi="Arial" w:cs="Arial" w:hint="eastAsia"/>
          <w:sz w:val="28"/>
        </w:rPr>
        <w:t>470-510</w:t>
      </w:r>
      <w:r>
        <w:rPr>
          <w:rFonts w:ascii="Arial" w:hAnsi="Arial" w:cs="Arial" w:hint="eastAsia"/>
          <w:sz w:val="28"/>
        </w:rPr>
        <w:t>公顷，其中研发用地</w:t>
      </w:r>
      <w:r>
        <w:rPr>
          <w:rFonts w:ascii="Arial" w:hAnsi="Arial" w:cs="Arial" w:hint="eastAsia"/>
          <w:sz w:val="28"/>
        </w:rPr>
        <w:t>80</w:t>
      </w:r>
      <w:r>
        <w:rPr>
          <w:rFonts w:ascii="Arial" w:hAnsi="Arial" w:cs="Arial" w:hint="eastAsia"/>
          <w:sz w:val="28"/>
        </w:rPr>
        <w:t>公顷、工业用地</w:t>
      </w:r>
      <w:r>
        <w:rPr>
          <w:rFonts w:ascii="Arial" w:hAnsi="Arial" w:cs="Arial" w:hint="eastAsia"/>
          <w:sz w:val="28"/>
        </w:rPr>
        <w:t>230</w:t>
      </w:r>
      <w:r>
        <w:rPr>
          <w:rFonts w:ascii="Arial" w:hAnsi="Arial" w:cs="Arial" w:hint="eastAsia"/>
          <w:sz w:val="28"/>
        </w:rPr>
        <w:t>公顷、仓储用地</w:t>
      </w:r>
      <w:r>
        <w:rPr>
          <w:rFonts w:ascii="Arial" w:hAnsi="Arial" w:cs="Arial" w:hint="eastAsia"/>
          <w:sz w:val="28"/>
        </w:rPr>
        <w:t>50</w:t>
      </w:r>
      <w:r>
        <w:rPr>
          <w:rFonts w:ascii="Arial" w:hAnsi="Arial" w:cs="Arial" w:hint="eastAsia"/>
          <w:sz w:val="28"/>
        </w:rPr>
        <w:t>公顷、商服用地</w:t>
      </w:r>
      <w:r>
        <w:rPr>
          <w:rFonts w:ascii="Arial" w:hAnsi="Arial" w:cs="Arial" w:hint="eastAsia"/>
          <w:sz w:val="28"/>
        </w:rPr>
        <w:t>50-70</w:t>
      </w:r>
      <w:r>
        <w:rPr>
          <w:rFonts w:ascii="Arial" w:hAnsi="Arial" w:cs="Arial" w:hint="eastAsia"/>
          <w:sz w:val="28"/>
        </w:rPr>
        <w:t>公顷、乡村产业用地</w:t>
      </w:r>
      <w:r>
        <w:rPr>
          <w:rFonts w:ascii="Arial" w:hAnsi="Arial" w:cs="Arial" w:hint="eastAsia"/>
          <w:sz w:val="28"/>
        </w:rPr>
        <w:t>60-80</w:t>
      </w:r>
      <w:r>
        <w:rPr>
          <w:rFonts w:ascii="Arial" w:hAnsi="Arial" w:cs="Arial" w:hint="eastAsia"/>
          <w:sz w:val="28"/>
        </w:rPr>
        <w:t>公顷。供应导向上，坚持稳中求进、以</w:t>
      </w:r>
      <w:proofErr w:type="gramStart"/>
      <w:r>
        <w:rPr>
          <w:rFonts w:ascii="Arial" w:hAnsi="Arial" w:cs="Arial" w:hint="eastAsia"/>
          <w:sz w:val="28"/>
        </w:rPr>
        <w:t>进促稳</w:t>
      </w:r>
      <w:proofErr w:type="gramEnd"/>
      <w:r>
        <w:rPr>
          <w:rFonts w:ascii="Arial" w:hAnsi="Arial" w:cs="Arial" w:hint="eastAsia"/>
          <w:sz w:val="28"/>
        </w:rPr>
        <w:t>，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bookmarkEnd w:id="127"/>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不动产市场状况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）土地市场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）土地供求分析</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2025</w:t>
      </w:r>
      <w:r>
        <w:rPr>
          <w:rFonts w:ascii="Arial" w:hAnsi="Arial" w:cs="Arial" w:hint="eastAsia"/>
          <w:sz w:val="28"/>
        </w:rPr>
        <w:t>年上半年北京商品住宅用地共推出</w:t>
      </w:r>
      <w:r>
        <w:rPr>
          <w:rFonts w:ascii="Arial" w:hAnsi="Arial" w:cs="Arial" w:hint="eastAsia"/>
          <w:sz w:val="28"/>
        </w:rPr>
        <w:t>17</w:t>
      </w:r>
      <w:r>
        <w:rPr>
          <w:rFonts w:ascii="Arial" w:hAnsi="Arial" w:cs="Arial" w:hint="eastAsia"/>
          <w:sz w:val="28"/>
        </w:rPr>
        <w:t>宗，累计供应</w:t>
      </w:r>
      <w:proofErr w:type="gramStart"/>
      <w:r>
        <w:rPr>
          <w:rFonts w:ascii="Arial" w:hAnsi="Arial" w:cs="Arial" w:hint="eastAsia"/>
          <w:sz w:val="28"/>
        </w:rPr>
        <w:t>规划建面</w:t>
      </w:r>
      <w:proofErr w:type="gramEnd"/>
      <w:r>
        <w:rPr>
          <w:rFonts w:ascii="Arial" w:hAnsi="Arial" w:cs="Arial" w:hint="eastAsia"/>
          <w:sz w:val="28"/>
        </w:rPr>
        <w:t>169.70</w:t>
      </w:r>
      <w:r>
        <w:rPr>
          <w:rFonts w:ascii="Arial" w:hAnsi="Arial" w:cs="Arial" w:hint="eastAsia"/>
          <w:sz w:val="28"/>
        </w:rPr>
        <w:t>万平方米，同比减少</w:t>
      </w:r>
      <w:r>
        <w:rPr>
          <w:rFonts w:ascii="Arial" w:hAnsi="Arial" w:cs="Arial" w:hint="eastAsia"/>
          <w:sz w:val="28"/>
        </w:rPr>
        <w:t>28.2%</w:t>
      </w:r>
      <w:r>
        <w:rPr>
          <w:rFonts w:ascii="Arial" w:hAnsi="Arial" w:cs="Arial" w:hint="eastAsia"/>
          <w:sz w:val="28"/>
        </w:rPr>
        <w:t>；</w:t>
      </w:r>
      <w:r>
        <w:rPr>
          <w:rFonts w:ascii="Arial" w:hAnsi="Arial" w:cs="Arial" w:hint="eastAsia"/>
          <w:sz w:val="28"/>
        </w:rPr>
        <w:t>2025</w:t>
      </w:r>
      <w:r>
        <w:rPr>
          <w:rFonts w:ascii="Arial" w:hAnsi="Arial" w:cs="Arial" w:hint="eastAsia"/>
          <w:sz w:val="28"/>
        </w:rPr>
        <w:t>年上半年北京商品住宅用地累计成交</w:t>
      </w:r>
      <w:r>
        <w:rPr>
          <w:rFonts w:ascii="Arial" w:hAnsi="Arial" w:cs="Arial" w:hint="eastAsia"/>
          <w:sz w:val="28"/>
        </w:rPr>
        <w:t>22</w:t>
      </w:r>
      <w:r>
        <w:rPr>
          <w:rFonts w:ascii="Arial" w:hAnsi="Arial" w:cs="Arial" w:hint="eastAsia"/>
          <w:sz w:val="28"/>
        </w:rPr>
        <w:t>宗，分布在海淀、通州、朝阳、丰台、石景山、大兴、昌平、顺义、怀柔等</w:t>
      </w:r>
      <w:r>
        <w:rPr>
          <w:rFonts w:ascii="Arial" w:hAnsi="Arial" w:cs="Arial" w:hint="eastAsia"/>
          <w:sz w:val="28"/>
        </w:rPr>
        <w:t>9</w:t>
      </w:r>
      <w:r>
        <w:rPr>
          <w:rFonts w:ascii="Arial" w:hAnsi="Arial" w:cs="Arial" w:hint="eastAsia"/>
          <w:sz w:val="28"/>
        </w:rPr>
        <w:t>个区，成交</w:t>
      </w:r>
      <w:proofErr w:type="gramStart"/>
      <w:r>
        <w:rPr>
          <w:rFonts w:ascii="Arial" w:hAnsi="Arial" w:cs="Arial" w:hint="eastAsia"/>
          <w:sz w:val="28"/>
        </w:rPr>
        <w:t>规划建面</w:t>
      </w:r>
      <w:proofErr w:type="gramEnd"/>
      <w:r>
        <w:rPr>
          <w:rFonts w:ascii="Arial" w:hAnsi="Arial" w:cs="Arial" w:hint="eastAsia"/>
          <w:sz w:val="28"/>
        </w:rPr>
        <w:t>234.42</w:t>
      </w:r>
      <w:r>
        <w:rPr>
          <w:rFonts w:ascii="Arial" w:hAnsi="Arial" w:cs="Arial" w:hint="eastAsia"/>
          <w:sz w:val="28"/>
        </w:rPr>
        <w:t>万平方米，同比下降</w:t>
      </w:r>
      <w:r>
        <w:rPr>
          <w:rFonts w:ascii="Arial" w:hAnsi="Arial" w:cs="Arial" w:hint="eastAsia"/>
          <w:sz w:val="28"/>
        </w:rPr>
        <w:t>1.2%</w:t>
      </w:r>
      <w:r>
        <w:rPr>
          <w:rFonts w:ascii="Arial" w:hAnsi="Arial" w:cs="Arial" w:hint="eastAsia"/>
          <w:sz w:val="28"/>
        </w:rPr>
        <w:t>；得益于海淀、通州热点地块的成交，土地成交价款合计</w:t>
      </w:r>
      <w:r>
        <w:rPr>
          <w:rFonts w:ascii="Arial" w:hAnsi="Arial" w:cs="Arial" w:hint="eastAsia"/>
          <w:sz w:val="28"/>
        </w:rPr>
        <w:t>1005.56</w:t>
      </w:r>
      <w:r>
        <w:rPr>
          <w:rFonts w:ascii="Arial" w:hAnsi="Arial" w:cs="Arial" w:hint="eastAsia"/>
          <w:sz w:val="28"/>
        </w:rPr>
        <w:t>亿元，同比增长</w:t>
      </w:r>
      <w:r>
        <w:rPr>
          <w:rFonts w:ascii="Arial" w:hAnsi="Arial" w:cs="Arial" w:hint="eastAsia"/>
          <w:sz w:val="28"/>
        </w:rPr>
        <w:t>37.3%</w:t>
      </w:r>
      <w:r>
        <w:rPr>
          <w:rFonts w:ascii="Arial" w:hAnsi="Arial" w:cs="Arial" w:hint="eastAsia"/>
          <w:sz w:val="28"/>
        </w:rPr>
        <w:t>，创</w:t>
      </w:r>
      <w:r>
        <w:rPr>
          <w:rFonts w:ascii="Arial" w:hAnsi="Arial" w:cs="Arial" w:hint="eastAsia"/>
          <w:sz w:val="28"/>
        </w:rPr>
        <w:t>2022</w:t>
      </w:r>
      <w:r>
        <w:rPr>
          <w:rFonts w:ascii="Arial" w:hAnsi="Arial" w:cs="Arial" w:hint="eastAsia"/>
          <w:sz w:val="28"/>
        </w:rPr>
        <w:t>年以来同期新高。</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179695" cy="2572385"/>
            <wp:effectExtent l="0" t="0" r="0" b="0"/>
            <wp:docPr id="10" name="图片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）土地成交情况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年上半年，北京市商品住宅用地中心城区海淀、朝阳、丰台、石景山累计成交</w:t>
      </w:r>
      <w:r>
        <w:rPr>
          <w:rFonts w:ascii="Arial" w:hAnsi="Arial" w:cs="Arial" w:hint="eastAsia"/>
          <w:sz w:val="28"/>
        </w:rPr>
        <w:t>12</w:t>
      </w:r>
      <w:r>
        <w:rPr>
          <w:rFonts w:ascii="Arial" w:hAnsi="Arial" w:cs="Arial" w:hint="eastAsia"/>
          <w:sz w:val="28"/>
        </w:rPr>
        <w:t>宗宅地，累计成交</w:t>
      </w:r>
      <w:proofErr w:type="gramStart"/>
      <w:r>
        <w:rPr>
          <w:rFonts w:ascii="Arial" w:hAnsi="Arial" w:cs="Arial" w:hint="eastAsia"/>
          <w:sz w:val="28"/>
        </w:rPr>
        <w:t>规划建面</w:t>
      </w:r>
      <w:proofErr w:type="gramEnd"/>
      <w:r>
        <w:rPr>
          <w:rFonts w:ascii="Arial" w:hAnsi="Arial" w:cs="Arial" w:hint="eastAsia"/>
          <w:sz w:val="28"/>
        </w:rPr>
        <w:t>128.38</w:t>
      </w:r>
      <w:r>
        <w:rPr>
          <w:rFonts w:ascii="Arial" w:hAnsi="Arial" w:cs="Arial" w:hint="eastAsia"/>
          <w:sz w:val="28"/>
        </w:rPr>
        <w:t>万平方米，占比</w:t>
      </w:r>
      <w:r>
        <w:rPr>
          <w:rFonts w:ascii="Arial" w:hAnsi="Arial" w:cs="Arial" w:hint="eastAsia"/>
          <w:sz w:val="28"/>
        </w:rPr>
        <w:t>55%</w:t>
      </w:r>
      <w:r>
        <w:rPr>
          <w:rFonts w:ascii="Arial" w:hAnsi="Arial" w:cs="Arial" w:hint="eastAsia"/>
          <w:sz w:val="28"/>
        </w:rPr>
        <w:t>，较上年同期增长</w:t>
      </w:r>
      <w:r>
        <w:rPr>
          <w:rFonts w:ascii="Arial" w:hAnsi="Arial" w:cs="Arial" w:hint="eastAsia"/>
          <w:sz w:val="28"/>
        </w:rPr>
        <w:t>9</w:t>
      </w:r>
      <w:r>
        <w:rPr>
          <w:rFonts w:ascii="Arial" w:hAnsi="Arial" w:cs="Arial" w:hint="eastAsia"/>
          <w:sz w:val="28"/>
        </w:rPr>
        <w:t>个百分点。近郊区主要集中在通州、大兴、顺义和昌平，累计成交</w:t>
      </w:r>
      <w:r>
        <w:rPr>
          <w:rFonts w:ascii="Arial" w:hAnsi="Arial" w:cs="Arial" w:hint="eastAsia"/>
          <w:sz w:val="28"/>
        </w:rPr>
        <w:t>9</w:t>
      </w:r>
      <w:r>
        <w:rPr>
          <w:rFonts w:ascii="Arial" w:hAnsi="Arial" w:cs="Arial" w:hint="eastAsia"/>
          <w:sz w:val="28"/>
        </w:rPr>
        <w:t>宗宅地，共</w:t>
      </w:r>
      <w:r>
        <w:rPr>
          <w:rFonts w:ascii="Arial" w:hAnsi="Arial" w:cs="Arial" w:hint="eastAsia"/>
          <w:sz w:val="28"/>
        </w:rPr>
        <w:t>103.88</w:t>
      </w:r>
      <w:r>
        <w:rPr>
          <w:rFonts w:ascii="Arial" w:hAnsi="Arial" w:cs="Arial" w:hint="eastAsia"/>
          <w:sz w:val="28"/>
        </w:rPr>
        <w:t>万平方米，占比为</w:t>
      </w:r>
      <w:r>
        <w:rPr>
          <w:rFonts w:ascii="Arial" w:hAnsi="Arial" w:cs="Arial" w:hint="eastAsia"/>
          <w:sz w:val="28"/>
        </w:rPr>
        <w:t>44%</w:t>
      </w:r>
      <w:r>
        <w:rPr>
          <w:rFonts w:ascii="Arial" w:hAnsi="Arial" w:cs="Arial" w:hint="eastAsia"/>
          <w:sz w:val="28"/>
        </w:rPr>
        <w:t>，较去年同期下降</w:t>
      </w:r>
      <w:r>
        <w:rPr>
          <w:rFonts w:ascii="Arial" w:hAnsi="Arial" w:cs="Arial" w:hint="eastAsia"/>
          <w:sz w:val="28"/>
        </w:rPr>
        <w:t>3</w:t>
      </w:r>
      <w:r>
        <w:rPr>
          <w:rFonts w:ascii="Arial" w:hAnsi="Arial" w:cs="Arial" w:hint="eastAsia"/>
          <w:sz w:val="28"/>
        </w:rPr>
        <w:t>个百分点；远郊区宅地成交</w:t>
      </w:r>
      <w:r>
        <w:rPr>
          <w:rFonts w:ascii="Arial" w:hAnsi="Arial" w:cs="Arial" w:hint="eastAsia"/>
          <w:sz w:val="28"/>
        </w:rPr>
        <w:t>1</w:t>
      </w:r>
      <w:r>
        <w:rPr>
          <w:rFonts w:ascii="Arial" w:hAnsi="Arial" w:cs="Arial" w:hint="eastAsia"/>
          <w:sz w:val="28"/>
        </w:rPr>
        <w:t>宗，位于怀柔区，成交</w:t>
      </w:r>
      <w:proofErr w:type="gramStart"/>
      <w:r>
        <w:rPr>
          <w:rFonts w:ascii="Arial" w:hAnsi="Arial" w:cs="Arial" w:hint="eastAsia"/>
          <w:sz w:val="28"/>
        </w:rPr>
        <w:t>规划建面</w:t>
      </w:r>
      <w:proofErr w:type="gramEnd"/>
      <w:r>
        <w:rPr>
          <w:rFonts w:ascii="Arial" w:hAnsi="Arial" w:cs="Arial" w:hint="eastAsia"/>
          <w:sz w:val="28"/>
        </w:rPr>
        <w:t>2.17</w:t>
      </w:r>
      <w:r>
        <w:rPr>
          <w:rFonts w:ascii="Arial" w:hAnsi="Arial" w:cs="Arial" w:hint="eastAsia"/>
          <w:sz w:val="28"/>
        </w:rPr>
        <w:t>万平方米。</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9310" cy="2970530"/>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从不同区域来看，中心城区成交规模同比增长</w:t>
      </w:r>
      <w:r>
        <w:rPr>
          <w:rFonts w:ascii="Arial" w:hAnsi="Arial" w:cs="Arial" w:hint="eastAsia"/>
          <w:sz w:val="28"/>
        </w:rPr>
        <w:t>17%</w:t>
      </w:r>
      <w:r>
        <w:rPr>
          <w:rFonts w:ascii="Arial" w:hAnsi="Arial" w:cs="Arial" w:hint="eastAsia"/>
          <w:sz w:val="28"/>
        </w:rPr>
        <w:t>，其中海淀、朝阳、石景山成交规模均同比增长，丰台下降</w:t>
      </w:r>
      <w:r>
        <w:rPr>
          <w:rFonts w:ascii="Arial" w:hAnsi="Arial" w:cs="Arial" w:hint="eastAsia"/>
          <w:sz w:val="28"/>
        </w:rPr>
        <w:t>44%</w:t>
      </w:r>
      <w:r>
        <w:rPr>
          <w:rFonts w:ascii="Arial" w:hAnsi="Arial" w:cs="Arial" w:hint="eastAsia"/>
          <w:sz w:val="28"/>
        </w:rPr>
        <w:t>；近郊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t>7.7%</w:t>
      </w:r>
      <w:r>
        <w:rPr>
          <w:rFonts w:ascii="Arial" w:hAnsi="Arial" w:cs="Arial" w:hint="eastAsia"/>
          <w:sz w:val="28"/>
        </w:rPr>
        <w:t>，其中顺义区同比增长</w:t>
      </w:r>
      <w:r>
        <w:rPr>
          <w:rFonts w:ascii="Arial" w:hAnsi="Arial" w:cs="Arial" w:hint="eastAsia"/>
          <w:sz w:val="28"/>
        </w:rPr>
        <w:t>45.5%</w:t>
      </w:r>
      <w:r>
        <w:rPr>
          <w:rFonts w:ascii="Arial" w:hAnsi="Arial" w:cs="Arial" w:hint="eastAsia"/>
          <w:sz w:val="28"/>
        </w:rPr>
        <w:t>，大兴、</w:t>
      </w:r>
      <w:proofErr w:type="gramStart"/>
      <w:r>
        <w:rPr>
          <w:rFonts w:ascii="Arial" w:hAnsi="Arial" w:cs="Arial" w:hint="eastAsia"/>
          <w:sz w:val="28"/>
        </w:rPr>
        <w:t>昌平均同比</w:t>
      </w:r>
      <w:proofErr w:type="gramEnd"/>
      <w:r>
        <w:rPr>
          <w:rFonts w:ascii="Arial" w:hAnsi="Arial" w:cs="Arial" w:hint="eastAsia"/>
          <w:sz w:val="28"/>
        </w:rPr>
        <w:t>下降，而房山、门头沟无宅地成交；远郊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t>85.4%</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4392295" cy="3974465"/>
            <wp:effectExtent l="0" t="0" r="0"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hint="eastAsia"/>
          <w:sz w:val="28"/>
        </w:rPr>
        <w:t>）土地成交价格</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2025</w:t>
      </w:r>
      <w:r>
        <w:rPr>
          <w:rFonts w:ascii="Arial" w:hAnsi="Arial" w:cs="Arial" w:hint="eastAsia"/>
          <w:sz w:val="28"/>
        </w:rPr>
        <w:t>年上半年，在海淀朱房村、树村核心热点地块带动下，北京宅地整体成交楼面均价</w:t>
      </w:r>
      <w:r>
        <w:rPr>
          <w:rFonts w:ascii="Arial" w:hAnsi="Arial" w:cs="Arial" w:hint="eastAsia"/>
          <w:sz w:val="28"/>
        </w:rPr>
        <w:t>42895</w:t>
      </w:r>
      <w:r>
        <w:rPr>
          <w:rFonts w:ascii="Arial" w:hAnsi="Arial" w:cs="Arial" w:hint="eastAsia"/>
          <w:sz w:val="28"/>
        </w:rPr>
        <w:t>元</w:t>
      </w:r>
      <w:r>
        <w:rPr>
          <w:rFonts w:ascii="Arial" w:hAnsi="Arial" w:cs="Arial" w:hint="eastAsia"/>
          <w:sz w:val="28"/>
        </w:rPr>
        <w:t>/</w:t>
      </w:r>
      <w:r>
        <w:rPr>
          <w:rFonts w:ascii="Arial" w:hAnsi="Arial" w:cs="Arial" w:hint="eastAsia"/>
          <w:sz w:val="28"/>
        </w:rPr>
        <w:t>平方米，同比增长</w:t>
      </w:r>
      <w:r>
        <w:rPr>
          <w:rFonts w:ascii="Arial" w:hAnsi="Arial" w:cs="Arial" w:hint="eastAsia"/>
          <w:sz w:val="28"/>
        </w:rPr>
        <w:t>39%</w:t>
      </w:r>
      <w:r>
        <w:rPr>
          <w:rFonts w:ascii="Arial" w:hAnsi="Arial" w:cs="Arial" w:hint="eastAsia"/>
          <w:sz w:val="28"/>
        </w:rPr>
        <w:t>。溢价率方面，受海淀树村、朱房以及通州梨园高溢价地块的带动下，北京上半年宅地成交溢价率</w:t>
      </w:r>
      <w:r>
        <w:rPr>
          <w:rFonts w:ascii="Arial" w:hAnsi="Arial" w:cs="Arial" w:hint="eastAsia"/>
          <w:sz w:val="28"/>
        </w:rPr>
        <w:t>7.17%</w:t>
      </w:r>
      <w:r>
        <w:rPr>
          <w:rFonts w:ascii="Arial" w:hAnsi="Arial" w:cs="Arial" w:hint="eastAsia"/>
          <w:sz w:val="28"/>
        </w:rPr>
        <w:t>，同比提升</w:t>
      </w:r>
      <w:r>
        <w:rPr>
          <w:rFonts w:ascii="Arial" w:hAnsi="Arial" w:cs="Arial" w:hint="eastAsia"/>
          <w:sz w:val="28"/>
        </w:rPr>
        <w:t>3.3</w:t>
      </w:r>
      <w:r>
        <w:rPr>
          <w:rFonts w:ascii="Arial" w:hAnsi="Arial" w:cs="Arial" w:hint="eastAsia"/>
          <w:sz w:val="28"/>
        </w:rPr>
        <w:t>个百分点。但整体来看市场热度依然分化明显，成交的</w:t>
      </w:r>
      <w:r>
        <w:rPr>
          <w:rFonts w:ascii="Arial" w:hAnsi="Arial" w:cs="Arial" w:hint="eastAsia"/>
          <w:sz w:val="28"/>
        </w:rPr>
        <w:t>22</w:t>
      </w:r>
      <w:r>
        <w:rPr>
          <w:rFonts w:ascii="Arial" w:hAnsi="Arial" w:cs="Arial" w:hint="eastAsia"/>
          <w:sz w:val="28"/>
        </w:rPr>
        <w:t>宗地块中，</w:t>
      </w:r>
      <w:r>
        <w:rPr>
          <w:rFonts w:ascii="Arial" w:hAnsi="Arial" w:cs="Arial" w:hint="eastAsia"/>
          <w:sz w:val="28"/>
        </w:rPr>
        <w:t>9</w:t>
      </w:r>
      <w:r>
        <w:rPr>
          <w:rFonts w:ascii="Arial" w:hAnsi="Arial" w:cs="Arial" w:hint="eastAsia"/>
          <w:sz w:val="28"/>
        </w:rPr>
        <w:t>宗地块溢价成交，海淀树村、朱房、半壁店，朝阳三间房，通州梨园及八里桥地块竞争激烈，海淀宝山地块低溢价成交，其余</w:t>
      </w:r>
      <w:r>
        <w:rPr>
          <w:rFonts w:ascii="Arial" w:hAnsi="Arial" w:cs="Arial" w:hint="eastAsia"/>
          <w:sz w:val="28"/>
        </w:rPr>
        <w:t>13</w:t>
      </w:r>
      <w:r>
        <w:rPr>
          <w:rFonts w:ascii="Arial" w:hAnsi="Arial" w:cs="Arial" w:hint="eastAsia"/>
          <w:sz w:val="28"/>
        </w:rPr>
        <w:t>宗地块以底价成交。</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图：</w:t>
      </w:r>
      <w:r>
        <w:rPr>
          <w:rFonts w:ascii="Arial" w:hAnsi="Arial" w:cs="Arial" w:hint="eastAsia"/>
          <w:sz w:val="28"/>
        </w:rPr>
        <w:t>2023</w:t>
      </w:r>
      <w:r>
        <w:rPr>
          <w:rFonts w:ascii="Arial" w:hAnsi="Arial" w:cs="Arial" w:hint="eastAsia"/>
          <w:sz w:val="28"/>
        </w:rPr>
        <w:t>年</w:t>
      </w:r>
      <w:r>
        <w:rPr>
          <w:rFonts w:ascii="Arial" w:hAnsi="Arial" w:cs="Arial" w:hint="eastAsia"/>
          <w:sz w:val="28"/>
        </w:rPr>
        <w:t>Q3</w:t>
      </w:r>
      <w:r>
        <w:rPr>
          <w:rFonts w:ascii="Arial" w:hAnsi="Arial" w:cs="Arial" w:hint="eastAsia"/>
          <w:sz w:val="28"/>
        </w:rPr>
        <w:t>至今北京</w:t>
      </w:r>
      <w:proofErr w:type="gramStart"/>
      <w:r>
        <w:rPr>
          <w:rFonts w:ascii="Arial" w:hAnsi="Arial" w:cs="Arial" w:hint="eastAsia"/>
          <w:sz w:val="28"/>
        </w:rPr>
        <w:t>市区涉宅用地</w:t>
      </w:r>
      <w:proofErr w:type="gramEnd"/>
      <w:r>
        <w:rPr>
          <w:rFonts w:ascii="Arial" w:hAnsi="Arial" w:cs="Arial" w:hint="eastAsia"/>
          <w:sz w:val="28"/>
        </w:rPr>
        <w:t>楼面价和溢价率季度走势</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6770" cy="2714625"/>
            <wp:effectExtent l="0" t="0" r="0" b="0"/>
            <wp:docPr id="13" name="图片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）供应计划</w:t>
      </w:r>
    </w:p>
    <w:p w:rsidR="004935A9" w:rsidRDefault="00311723">
      <w:pPr>
        <w:spacing w:line="360" w:lineRule="auto"/>
        <w:ind w:firstLineChars="200" w:firstLine="560"/>
        <w:jc w:val="both"/>
        <w:rPr>
          <w:rFonts w:ascii="Arial" w:hAnsi="Arial" w:cs="Arial"/>
          <w:sz w:val="28"/>
        </w:rPr>
      </w:pPr>
      <w:bookmarkStart w:id="128" w:name="_Hlk195087344"/>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日，北京市规划和自然资源委员会、北京市发展和改革委员会联合发布《北京市</w:t>
      </w:r>
      <w:r>
        <w:rPr>
          <w:rFonts w:ascii="Arial" w:hAnsi="Arial" w:cs="Arial" w:hint="eastAsia"/>
          <w:sz w:val="28"/>
        </w:rPr>
        <w:t>2025</w:t>
      </w:r>
      <w:r>
        <w:rPr>
          <w:rFonts w:ascii="Arial" w:hAnsi="Arial" w:cs="Arial" w:hint="eastAsia"/>
          <w:sz w:val="28"/>
        </w:rPr>
        <w:t>年度建设用地供应计划》，</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公顷，较往年基本持平。住宅用地安排</w:t>
      </w:r>
      <w:r>
        <w:rPr>
          <w:rFonts w:ascii="Arial" w:hAnsi="Arial" w:cs="Arial" w:hint="eastAsia"/>
          <w:sz w:val="28"/>
        </w:rPr>
        <w:t>955-1015</w:t>
      </w:r>
      <w:r>
        <w:rPr>
          <w:rFonts w:ascii="Arial" w:hAnsi="Arial" w:cs="Arial" w:hint="eastAsia"/>
          <w:sz w:val="28"/>
        </w:rPr>
        <w:t>公顷，较去年略降。本次供地计划保持各地类总量稳定、优化各类要素空间结构布局，保障优势地区高质量发展，稳定预期、激发活力，推动首都经济持续回升向好</w:t>
      </w:r>
      <w:bookmarkEnd w:id="128"/>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25</w:t>
      </w:r>
      <w:r>
        <w:rPr>
          <w:rFonts w:ascii="Arial" w:hAnsi="Arial" w:cs="Arial" w:hint="eastAsia"/>
          <w:sz w:val="28"/>
        </w:rPr>
        <w:t>日北京市举办“</w:t>
      </w:r>
      <w:r>
        <w:rPr>
          <w:rFonts w:ascii="Arial" w:hAnsi="Arial" w:cs="Arial" w:hint="eastAsia"/>
          <w:sz w:val="28"/>
        </w:rPr>
        <w:t>2025</w:t>
      </w:r>
      <w:r>
        <w:rPr>
          <w:rFonts w:ascii="Arial" w:hAnsi="Arial" w:cs="Arial" w:hint="eastAsia"/>
          <w:sz w:val="28"/>
        </w:rPr>
        <w:t>年北京商品住宅用地推介会”，会上北京对外推介了</w:t>
      </w:r>
      <w:r>
        <w:rPr>
          <w:rFonts w:ascii="Arial" w:hAnsi="Arial" w:cs="Arial" w:hint="eastAsia"/>
          <w:sz w:val="28"/>
        </w:rPr>
        <w:t>69</w:t>
      </w:r>
      <w:r>
        <w:rPr>
          <w:rFonts w:ascii="Arial" w:hAnsi="Arial" w:cs="Arial" w:hint="eastAsia"/>
          <w:sz w:val="28"/>
        </w:rPr>
        <w:t>宗优质地块、建设用地面积</w:t>
      </w:r>
      <w:r>
        <w:rPr>
          <w:rFonts w:ascii="Arial" w:hAnsi="Arial" w:cs="Arial" w:hint="eastAsia"/>
          <w:sz w:val="28"/>
        </w:rPr>
        <w:t>427</w:t>
      </w:r>
      <w:r>
        <w:rPr>
          <w:rFonts w:ascii="Arial" w:hAnsi="Arial" w:cs="Arial" w:hint="eastAsia"/>
          <w:sz w:val="28"/>
        </w:rPr>
        <w:t>公顷、建筑规模</w:t>
      </w:r>
      <w:r>
        <w:rPr>
          <w:rFonts w:ascii="Arial" w:hAnsi="Arial" w:cs="Arial" w:hint="eastAsia"/>
          <w:sz w:val="28"/>
        </w:rPr>
        <w:lastRenderedPageBreak/>
        <w:t>828</w:t>
      </w:r>
      <w:r>
        <w:rPr>
          <w:rFonts w:ascii="Arial" w:hAnsi="Arial" w:cs="Arial" w:hint="eastAsia"/>
          <w:sz w:val="28"/>
        </w:rPr>
        <w:t>万㎡。</w:t>
      </w:r>
      <w:r>
        <w:rPr>
          <w:rFonts w:ascii="Arial" w:hAnsi="Arial" w:cs="Arial" w:hint="eastAsia"/>
          <w:sz w:val="28"/>
        </w:rPr>
        <w:t>69</w:t>
      </w:r>
      <w:r>
        <w:rPr>
          <w:rFonts w:ascii="Arial" w:hAnsi="Arial" w:cs="Arial" w:hint="eastAsia"/>
          <w:sz w:val="28"/>
        </w:rPr>
        <w:t>宗地块中，中心城区占其中</w:t>
      </w:r>
      <w:r>
        <w:rPr>
          <w:rFonts w:ascii="Arial" w:hAnsi="Arial" w:cs="Arial" w:hint="eastAsia"/>
          <w:sz w:val="28"/>
        </w:rPr>
        <w:t>25</w:t>
      </w:r>
      <w:r>
        <w:rPr>
          <w:rFonts w:ascii="Arial" w:hAnsi="Arial" w:cs="Arial" w:hint="eastAsia"/>
          <w:sz w:val="28"/>
        </w:rPr>
        <w:t>宗住宅用地，分别为海淀区</w:t>
      </w:r>
      <w:r>
        <w:rPr>
          <w:rFonts w:ascii="Arial" w:hAnsi="Arial" w:cs="Arial" w:hint="eastAsia"/>
          <w:sz w:val="28"/>
        </w:rPr>
        <w:t>4</w:t>
      </w:r>
      <w:r>
        <w:rPr>
          <w:rFonts w:ascii="Arial" w:hAnsi="Arial" w:cs="Arial" w:hint="eastAsia"/>
          <w:sz w:val="28"/>
        </w:rPr>
        <w:t>宗、朝阳区</w:t>
      </w:r>
      <w:r>
        <w:rPr>
          <w:rFonts w:ascii="Arial" w:hAnsi="Arial" w:cs="Arial" w:hint="eastAsia"/>
          <w:sz w:val="28"/>
        </w:rPr>
        <w:t>6</w:t>
      </w:r>
      <w:r>
        <w:rPr>
          <w:rFonts w:ascii="Arial" w:hAnsi="Arial" w:cs="Arial" w:hint="eastAsia"/>
          <w:sz w:val="28"/>
        </w:rPr>
        <w:t>宗、丰台区</w:t>
      </w:r>
      <w:r>
        <w:rPr>
          <w:rFonts w:ascii="Arial" w:hAnsi="Arial" w:cs="Arial" w:hint="eastAsia"/>
          <w:sz w:val="28"/>
        </w:rPr>
        <w:t>9</w:t>
      </w:r>
      <w:r>
        <w:rPr>
          <w:rFonts w:ascii="Arial" w:hAnsi="Arial" w:cs="Arial" w:hint="eastAsia"/>
          <w:sz w:val="28"/>
        </w:rPr>
        <w:t>宗、石景山区</w:t>
      </w:r>
      <w:r>
        <w:rPr>
          <w:rFonts w:ascii="Arial" w:hAnsi="Arial" w:cs="Arial" w:hint="eastAsia"/>
          <w:sz w:val="28"/>
        </w:rPr>
        <w:t>6</w:t>
      </w:r>
      <w:r>
        <w:rPr>
          <w:rFonts w:ascii="Arial" w:hAnsi="Arial" w:cs="Arial" w:hint="eastAsia"/>
          <w:sz w:val="28"/>
        </w:rPr>
        <w:t>宗。</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）商品房住宅市场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）商品住宅供给状况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年上半年，北京商品住宅（不含保障性住房）累计供应</w:t>
      </w:r>
      <w:r>
        <w:rPr>
          <w:rFonts w:ascii="Arial" w:hAnsi="Arial" w:cs="Arial" w:hint="eastAsia"/>
          <w:sz w:val="28"/>
        </w:rPr>
        <w:t>251.35</w:t>
      </w:r>
      <w:r>
        <w:rPr>
          <w:rFonts w:ascii="Arial" w:hAnsi="Arial" w:cs="Arial" w:hint="eastAsia"/>
          <w:sz w:val="28"/>
        </w:rPr>
        <w:t>万平方米，同比增长</w:t>
      </w:r>
      <w:r>
        <w:rPr>
          <w:rFonts w:ascii="Arial" w:hAnsi="Arial" w:cs="Arial" w:hint="eastAsia"/>
          <w:sz w:val="28"/>
        </w:rPr>
        <w:t>26%</w:t>
      </w:r>
      <w:r>
        <w:rPr>
          <w:rFonts w:ascii="Arial" w:hAnsi="Arial" w:cs="Arial" w:hint="eastAsia"/>
          <w:sz w:val="28"/>
        </w:rPr>
        <w:t>。中海丽金府、保利建工·嘉华天珺、</w:t>
      </w:r>
      <w:proofErr w:type="gramStart"/>
      <w:r>
        <w:rPr>
          <w:rFonts w:ascii="Arial" w:hAnsi="Arial" w:cs="Arial" w:hint="eastAsia"/>
          <w:sz w:val="28"/>
        </w:rPr>
        <w:t>懋源云纪、颐海澐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望雲、建发·海晏、中海萬</w:t>
      </w:r>
      <w:proofErr w:type="gramStart"/>
      <w:r>
        <w:rPr>
          <w:rFonts w:ascii="Arial" w:hAnsi="Arial" w:cs="Arial" w:hint="eastAsia"/>
          <w:sz w:val="28"/>
        </w:rPr>
        <w:t>吉玖序等</w:t>
      </w:r>
      <w:proofErr w:type="gramEnd"/>
      <w:r>
        <w:rPr>
          <w:rFonts w:ascii="Arial" w:hAnsi="Arial" w:cs="Arial" w:hint="eastAsia"/>
          <w:sz w:val="28"/>
        </w:rPr>
        <w:t>中高端项目积极入市，带动北京楼市供应量上行。具体来看，</w:t>
      </w:r>
      <w:r>
        <w:rPr>
          <w:rFonts w:ascii="Arial" w:hAnsi="Arial" w:cs="Arial" w:hint="eastAsia"/>
          <w:sz w:val="28"/>
        </w:rPr>
        <w:t>1</w:t>
      </w:r>
      <w:r>
        <w:rPr>
          <w:rFonts w:ascii="Arial" w:hAnsi="Arial" w:cs="Arial" w:hint="eastAsia"/>
          <w:sz w:val="28"/>
        </w:rPr>
        <w:t>月新增供应规模约</w:t>
      </w:r>
      <w:r>
        <w:rPr>
          <w:rFonts w:ascii="Arial" w:hAnsi="Arial" w:cs="Arial" w:hint="eastAsia"/>
          <w:sz w:val="28"/>
        </w:rPr>
        <w:t>24</w:t>
      </w:r>
      <w:r>
        <w:rPr>
          <w:rFonts w:ascii="Arial" w:hAnsi="Arial" w:cs="Arial" w:hint="eastAsia"/>
          <w:sz w:val="28"/>
        </w:rPr>
        <w:t>万平方米，环比增加近八成；</w:t>
      </w:r>
      <w:r>
        <w:rPr>
          <w:rFonts w:ascii="Arial" w:hAnsi="Arial" w:cs="Arial" w:hint="eastAsia"/>
          <w:sz w:val="28"/>
        </w:rPr>
        <w:t>2</w:t>
      </w:r>
      <w:r>
        <w:rPr>
          <w:rFonts w:ascii="Arial" w:hAnsi="Arial" w:cs="Arial" w:hint="eastAsia"/>
          <w:sz w:val="28"/>
        </w:rPr>
        <w:t>月受春节假期影响，新增供应规模不足</w:t>
      </w:r>
      <w:r>
        <w:rPr>
          <w:rFonts w:ascii="Arial" w:hAnsi="Arial" w:cs="Arial" w:hint="eastAsia"/>
          <w:sz w:val="28"/>
        </w:rPr>
        <w:t>5</w:t>
      </w:r>
      <w:r>
        <w:rPr>
          <w:rFonts w:ascii="Arial" w:hAnsi="Arial" w:cs="Arial" w:hint="eastAsia"/>
          <w:sz w:val="28"/>
        </w:rPr>
        <w:t>万平方米；</w:t>
      </w:r>
      <w:r>
        <w:rPr>
          <w:rFonts w:ascii="Arial" w:hAnsi="Arial" w:cs="Arial" w:hint="eastAsia"/>
          <w:sz w:val="28"/>
        </w:rPr>
        <w:t>3</w:t>
      </w:r>
      <w:r>
        <w:rPr>
          <w:rFonts w:ascii="Arial" w:hAnsi="Arial" w:cs="Arial" w:hint="eastAsia"/>
          <w:sz w:val="28"/>
        </w:rPr>
        <w:t>月，随着市场的逐步恢复，</w:t>
      </w:r>
      <w:proofErr w:type="gramStart"/>
      <w:r>
        <w:rPr>
          <w:rFonts w:ascii="Arial" w:hAnsi="Arial" w:cs="Arial" w:hint="eastAsia"/>
          <w:sz w:val="28"/>
        </w:rPr>
        <w:t>房企供应</w:t>
      </w:r>
      <w:proofErr w:type="gramEnd"/>
      <w:r>
        <w:rPr>
          <w:rFonts w:ascii="Arial" w:hAnsi="Arial" w:cs="Arial" w:hint="eastAsia"/>
          <w:sz w:val="28"/>
        </w:rPr>
        <w:t>节奏有所加快，在和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玉鸣等高端改善项目积极入市带动下，新房供应量环比涨幅达</w:t>
      </w:r>
      <w:r>
        <w:rPr>
          <w:rFonts w:ascii="Arial" w:hAnsi="Arial" w:cs="Arial" w:hint="eastAsia"/>
          <w:sz w:val="28"/>
        </w:rPr>
        <w:t>1718%</w:t>
      </w:r>
      <w:r>
        <w:rPr>
          <w:rFonts w:ascii="Arial" w:hAnsi="Arial" w:cs="Arial" w:hint="eastAsia"/>
          <w:sz w:val="28"/>
        </w:rPr>
        <w:t>，但整体供应规模仍不及去年同期；</w:t>
      </w:r>
      <w:r>
        <w:rPr>
          <w:rFonts w:ascii="Arial" w:hAnsi="Arial" w:cs="Arial" w:hint="eastAsia"/>
          <w:sz w:val="28"/>
        </w:rPr>
        <w:t>4</w:t>
      </w:r>
      <w:r>
        <w:rPr>
          <w:rFonts w:ascii="Arial" w:hAnsi="Arial" w:cs="Arial" w:hint="eastAsia"/>
          <w:sz w:val="28"/>
        </w:rPr>
        <w:t>月新增供应</w:t>
      </w:r>
      <w:r>
        <w:rPr>
          <w:rFonts w:ascii="Arial" w:hAnsi="Arial" w:cs="Arial" w:hint="eastAsia"/>
          <w:sz w:val="28"/>
        </w:rPr>
        <w:t>60.19</w:t>
      </w:r>
      <w:r>
        <w:rPr>
          <w:rFonts w:ascii="Arial" w:hAnsi="Arial" w:cs="Arial" w:hint="eastAsia"/>
          <w:sz w:val="28"/>
        </w:rPr>
        <w:t>万平方米，连续两月供应量超</w:t>
      </w:r>
      <w:r>
        <w:rPr>
          <w:rFonts w:ascii="Arial" w:hAnsi="Arial" w:cs="Arial" w:hint="eastAsia"/>
          <w:sz w:val="28"/>
        </w:rPr>
        <w:t>60</w:t>
      </w:r>
      <w:r>
        <w:rPr>
          <w:rFonts w:ascii="Arial" w:hAnsi="Arial" w:cs="Arial" w:hint="eastAsia"/>
          <w:sz w:val="28"/>
        </w:rPr>
        <w:t>万平方米；</w:t>
      </w:r>
      <w:r>
        <w:rPr>
          <w:rFonts w:ascii="Arial" w:hAnsi="Arial" w:cs="Arial" w:hint="eastAsia"/>
          <w:sz w:val="28"/>
        </w:rPr>
        <w:t>5</w:t>
      </w:r>
      <w:r>
        <w:rPr>
          <w:rFonts w:ascii="Arial" w:hAnsi="Arial" w:cs="Arial" w:hint="eastAsia"/>
          <w:sz w:val="28"/>
        </w:rPr>
        <w:t>月，</w:t>
      </w:r>
      <w:proofErr w:type="gramStart"/>
      <w:r>
        <w:rPr>
          <w:rFonts w:ascii="Arial" w:hAnsi="Arial" w:cs="Arial" w:hint="eastAsia"/>
          <w:sz w:val="28"/>
        </w:rPr>
        <w:t>懋源云纪</w:t>
      </w:r>
      <w:proofErr w:type="gramEnd"/>
      <w:r>
        <w:rPr>
          <w:rFonts w:ascii="Arial" w:hAnsi="Arial" w:cs="Arial" w:hint="eastAsia"/>
          <w:sz w:val="28"/>
        </w:rPr>
        <w:t>、中海丽金府、华润臻云、中海丽泽叁號院等项目入市加推，带动北京楼市新增供应量连续三个月超</w:t>
      </w:r>
      <w:r>
        <w:rPr>
          <w:rFonts w:ascii="Arial" w:hAnsi="Arial" w:cs="Arial" w:hint="eastAsia"/>
          <w:sz w:val="28"/>
        </w:rPr>
        <w:t>60</w:t>
      </w:r>
      <w:r>
        <w:rPr>
          <w:rFonts w:ascii="Arial" w:hAnsi="Arial" w:cs="Arial" w:hint="eastAsia"/>
          <w:sz w:val="28"/>
        </w:rPr>
        <w:t>万平方米；</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房企入市</w:t>
      </w:r>
      <w:proofErr w:type="gramEnd"/>
      <w:r>
        <w:rPr>
          <w:rFonts w:ascii="Arial" w:hAnsi="Arial" w:cs="Arial" w:hint="eastAsia"/>
          <w:sz w:val="28"/>
        </w:rPr>
        <w:t>节奏放缓，新增供应量</w:t>
      </w:r>
      <w:r>
        <w:rPr>
          <w:rFonts w:ascii="Arial" w:hAnsi="Arial" w:cs="Arial" w:hint="eastAsia"/>
          <w:sz w:val="28"/>
        </w:rPr>
        <w:t>38.63</w:t>
      </w:r>
      <w:r>
        <w:rPr>
          <w:rFonts w:ascii="Arial" w:hAnsi="Arial" w:cs="Arial" w:hint="eastAsia"/>
          <w:sz w:val="28"/>
        </w:rPr>
        <w:t>万平方米，环比下降</w:t>
      </w:r>
      <w:r>
        <w:rPr>
          <w:rFonts w:ascii="Arial" w:hAnsi="Arial" w:cs="Arial" w:hint="eastAsia"/>
          <w:sz w:val="28"/>
        </w:rPr>
        <w:t>40%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142865" cy="3028315"/>
            <wp:effectExtent l="0" t="0" r="0" b="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2025</w:t>
      </w:r>
      <w:r>
        <w:rPr>
          <w:rFonts w:ascii="Arial" w:hAnsi="Arial" w:cs="Arial" w:hint="eastAsia"/>
          <w:sz w:val="28"/>
        </w:rPr>
        <w:t>年上半年北京商品住宅（不含保障房）供应量略高于成交量，导致库存规模有所回升。截至</w:t>
      </w:r>
      <w:r>
        <w:rPr>
          <w:rFonts w:ascii="Arial" w:hAnsi="Arial" w:cs="Arial" w:hint="eastAsia"/>
          <w:sz w:val="28"/>
        </w:rPr>
        <w:t>6</w:t>
      </w:r>
      <w:r>
        <w:rPr>
          <w:rFonts w:ascii="Arial" w:hAnsi="Arial" w:cs="Arial" w:hint="eastAsia"/>
          <w:sz w:val="28"/>
        </w:rPr>
        <w:t>月底，北京商品住宅（不含保障房）库存量约为</w:t>
      </w:r>
      <w:r>
        <w:rPr>
          <w:rFonts w:ascii="Arial" w:hAnsi="Arial" w:cs="Arial" w:hint="eastAsia"/>
          <w:sz w:val="28"/>
        </w:rPr>
        <w:t>981.88</w:t>
      </w:r>
      <w:r>
        <w:rPr>
          <w:rFonts w:ascii="Arial" w:hAnsi="Arial" w:cs="Arial" w:hint="eastAsia"/>
          <w:sz w:val="28"/>
        </w:rPr>
        <w:t>万平方米，较去年同期增加</w:t>
      </w:r>
      <w:r>
        <w:rPr>
          <w:rFonts w:ascii="Arial" w:hAnsi="Arial" w:cs="Arial" w:hint="eastAsia"/>
          <w:sz w:val="28"/>
        </w:rPr>
        <w:t>5%</w:t>
      </w:r>
      <w:r>
        <w:rPr>
          <w:rFonts w:ascii="Arial" w:hAnsi="Arial" w:cs="Arial" w:hint="eastAsia"/>
          <w:sz w:val="28"/>
        </w:rPr>
        <w:t>；月度来看，</w:t>
      </w:r>
      <w:r>
        <w:rPr>
          <w:rFonts w:ascii="Arial" w:hAnsi="Arial" w:cs="Arial" w:hint="eastAsia"/>
          <w:sz w:val="28"/>
        </w:rPr>
        <w:t>3-5</w:t>
      </w:r>
      <w:r>
        <w:rPr>
          <w:rFonts w:ascii="Arial" w:hAnsi="Arial" w:cs="Arial" w:hint="eastAsia"/>
          <w:sz w:val="28"/>
        </w:rPr>
        <w:t>月北京楼市供应量持续高位，连续三个月超</w:t>
      </w:r>
      <w:r>
        <w:rPr>
          <w:rFonts w:ascii="Arial" w:hAnsi="Arial" w:cs="Arial" w:hint="eastAsia"/>
          <w:sz w:val="28"/>
        </w:rPr>
        <w:t>60</w:t>
      </w:r>
      <w:r>
        <w:rPr>
          <w:rFonts w:ascii="Arial" w:hAnsi="Arial" w:cs="Arial" w:hint="eastAsia"/>
          <w:sz w:val="28"/>
        </w:rPr>
        <w:t>万平方米，带动库存规模回升。整体来看，</w:t>
      </w:r>
      <w:r>
        <w:rPr>
          <w:rFonts w:ascii="Arial" w:hAnsi="Arial" w:cs="Arial" w:hint="eastAsia"/>
          <w:sz w:val="28"/>
        </w:rPr>
        <w:t>930</w:t>
      </w:r>
      <w:r>
        <w:rPr>
          <w:rFonts w:ascii="Arial" w:hAnsi="Arial" w:cs="Arial" w:hint="eastAsia"/>
          <w:sz w:val="28"/>
        </w:rPr>
        <w:t>新政后，北京房地产市场</w:t>
      </w:r>
      <w:proofErr w:type="gramStart"/>
      <w:r>
        <w:rPr>
          <w:rFonts w:ascii="Arial" w:hAnsi="Arial" w:cs="Arial" w:hint="eastAsia"/>
          <w:sz w:val="28"/>
        </w:rPr>
        <w:t>平均去</w:t>
      </w:r>
      <w:proofErr w:type="gramEnd"/>
      <w:r>
        <w:rPr>
          <w:rFonts w:ascii="Arial" w:hAnsi="Arial" w:cs="Arial" w:hint="eastAsia"/>
          <w:sz w:val="28"/>
        </w:rPr>
        <w:t>化速度明显加快，叠加库存规模的逐步回落，出清周期呈现出明显的下滑趋势；进入</w:t>
      </w: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季度，伴随着供应量增加带动库存规模的回升，导致去化周期有所回升，截至到</w:t>
      </w:r>
      <w:r>
        <w:rPr>
          <w:rFonts w:ascii="Arial" w:hAnsi="Arial" w:cs="Arial" w:hint="eastAsia"/>
          <w:sz w:val="28"/>
        </w:rPr>
        <w:t>6</w:t>
      </w:r>
      <w:r>
        <w:rPr>
          <w:rFonts w:ascii="Arial" w:hAnsi="Arial" w:cs="Arial" w:hint="eastAsia"/>
          <w:sz w:val="28"/>
        </w:rPr>
        <w:t>月，北京楼市去化周期为</w:t>
      </w:r>
      <w:r>
        <w:rPr>
          <w:rFonts w:ascii="Arial" w:hAnsi="Arial" w:cs="Arial" w:hint="eastAsia"/>
          <w:sz w:val="28"/>
        </w:rPr>
        <w:t>22.8</w:t>
      </w:r>
      <w:r>
        <w:rPr>
          <w:rFonts w:ascii="Arial" w:hAnsi="Arial" w:cs="Arial" w:hint="eastAsia"/>
          <w:sz w:val="28"/>
        </w:rPr>
        <w:t>个月。</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4230" cy="188722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）商品住宅成交情况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成交量</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年上半年北京商品住宅成交规模约为</w:t>
      </w:r>
      <w:r>
        <w:rPr>
          <w:rFonts w:ascii="Arial" w:hAnsi="Arial" w:cs="Arial" w:hint="eastAsia"/>
          <w:sz w:val="28"/>
        </w:rPr>
        <w:t>234.13</w:t>
      </w:r>
      <w:r>
        <w:rPr>
          <w:rFonts w:ascii="Arial" w:hAnsi="Arial" w:cs="Arial" w:hint="eastAsia"/>
          <w:sz w:val="28"/>
        </w:rPr>
        <w:t>万平方米，同比增加</w:t>
      </w:r>
      <w:r>
        <w:rPr>
          <w:rFonts w:ascii="Arial" w:hAnsi="Arial" w:cs="Arial" w:hint="eastAsia"/>
          <w:sz w:val="28"/>
        </w:rPr>
        <w:t>20%</w:t>
      </w:r>
      <w:r>
        <w:rPr>
          <w:rFonts w:ascii="Arial" w:hAnsi="Arial" w:cs="Arial" w:hint="eastAsia"/>
          <w:sz w:val="28"/>
        </w:rPr>
        <w:t>，成交规模低位回升。分月度来看，</w:t>
      </w:r>
      <w:proofErr w:type="gramStart"/>
      <w:r>
        <w:rPr>
          <w:rFonts w:ascii="Arial" w:hAnsi="Arial" w:cs="Arial" w:hint="eastAsia"/>
          <w:sz w:val="28"/>
        </w:rPr>
        <w:t>受房企业绩</w:t>
      </w:r>
      <w:proofErr w:type="gramEnd"/>
      <w:r>
        <w:rPr>
          <w:rFonts w:ascii="Arial" w:hAnsi="Arial" w:cs="Arial" w:hint="eastAsia"/>
          <w:sz w:val="28"/>
        </w:rPr>
        <w:t>冲刺节点影响，</w:t>
      </w:r>
      <w:r>
        <w:rPr>
          <w:rFonts w:ascii="Arial" w:hAnsi="Arial" w:cs="Arial" w:hint="eastAsia"/>
          <w:sz w:val="28"/>
        </w:rPr>
        <w:t>1</w:t>
      </w:r>
      <w:r>
        <w:rPr>
          <w:rFonts w:ascii="Arial" w:hAnsi="Arial" w:cs="Arial" w:hint="eastAsia"/>
          <w:sz w:val="28"/>
        </w:rPr>
        <w:t>月市场活跃度下滑，成交</w:t>
      </w:r>
      <w:proofErr w:type="gramStart"/>
      <w:r>
        <w:rPr>
          <w:rFonts w:ascii="Arial" w:hAnsi="Arial" w:cs="Arial" w:hint="eastAsia"/>
          <w:sz w:val="28"/>
        </w:rPr>
        <w:t>规模环</w:t>
      </w:r>
      <w:proofErr w:type="gramEnd"/>
      <w:r>
        <w:rPr>
          <w:rFonts w:ascii="Arial" w:hAnsi="Arial" w:cs="Arial" w:hint="eastAsia"/>
          <w:sz w:val="28"/>
        </w:rPr>
        <w:t>比下滑；</w:t>
      </w:r>
      <w:r>
        <w:rPr>
          <w:rFonts w:ascii="Arial" w:hAnsi="Arial" w:cs="Arial" w:hint="eastAsia"/>
          <w:sz w:val="28"/>
        </w:rPr>
        <w:t>2</w:t>
      </w:r>
      <w:r>
        <w:rPr>
          <w:rFonts w:ascii="Arial" w:hAnsi="Arial" w:cs="Arial" w:hint="eastAsia"/>
          <w:sz w:val="28"/>
        </w:rPr>
        <w:t>月，在春节假期、自然日较少等多重因素影响下，市场活跃度季节性下滑；春节过后，高端改善项目积极入市、宅地市场局部高热为市场注入信心，带动市场积压需求持续释放，</w:t>
      </w:r>
      <w:r>
        <w:rPr>
          <w:rFonts w:ascii="Arial" w:hAnsi="Arial" w:cs="Arial" w:hint="eastAsia"/>
          <w:sz w:val="28"/>
        </w:rPr>
        <w:t>3</w:t>
      </w:r>
      <w:r>
        <w:rPr>
          <w:rFonts w:ascii="Arial" w:hAnsi="Arial" w:cs="Arial" w:hint="eastAsia"/>
          <w:sz w:val="28"/>
        </w:rPr>
        <w:t>月北京房地产市场热度回温；随着前期需求的快速释放，</w:t>
      </w:r>
      <w:r>
        <w:rPr>
          <w:rFonts w:ascii="Arial" w:hAnsi="Arial" w:cs="Arial" w:hint="eastAsia"/>
          <w:sz w:val="28"/>
        </w:rPr>
        <w:t>4</w:t>
      </w:r>
      <w:r>
        <w:rPr>
          <w:rFonts w:ascii="Arial" w:hAnsi="Arial" w:cs="Arial" w:hint="eastAsia"/>
          <w:sz w:val="28"/>
        </w:rPr>
        <w:t>月、</w:t>
      </w:r>
      <w:r>
        <w:rPr>
          <w:rFonts w:ascii="Arial" w:hAnsi="Arial" w:cs="Arial" w:hint="eastAsia"/>
          <w:sz w:val="28"/>
        </w:rPr>
        <w:t>5</w:t>
      </w:r>
      <w:r>
        <w:rPr>
          <w:rFonts w:ascii="Arial" w:hAnsi="Arial" w:cs="Arial" w:hint="eastAsia"/>
          <w:sz w:val="28"/>
        </w:rPr>
        <w:t>月市场活跃度下滑，成交走低；</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房企为</w:t>
      </w:r>
      <w:proofErr w:type="gramEnd"/>
      <w:r>
        <w:rPr>
          <w:rFonts w:ascii="Arial" w:hAnsi="Arial" w:cs="Arial" w:hint="eastAsia"/>
          <w:sz w:val="28"/>
        </w:rPr>
        <w:t>冲刺年中业绩，加大营销力度，叠加宽松政策环境的影响，成交规模回升。政策层面，两会政府工作报告首次将“稳住楼市”写进总体要求，同时指出调减房地产市场限制性措施，为市场传递了信</w:t>
      </w:r>
      <w:r>
        <w:rPr>
          <w:rFonts w:ascii="Arial" w:hAnsi="Arial" w:cs="Arial" w:hint="eastAsia"/>
          <w:sz w:val="28"/>
        </w:rPr>
        <w:lastRenderedPageBreak/>
        <w:t>心；</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日政治局会议定调之后，金融部门积极跟进落实各项举措，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日国常会</w:t>
      </w:r>
      <w:proofErr w:type="gramStart"/>
      <w:r>
        <w:rPr>
          <w:rFonts w:ascii="Arial" w:hAnsi="Arial" w:cs="Arial" w:hint="eastAsia"/>
          <w:sz w:val="28"/>
        </w:rPr>
        <w:t>发布降准降息</w:t>
      </w:r>
      <w:proofErr w:type="gramEnd"/>
      <w:r>
        <w:rPr>
          <w:rFonts w:ascii="Arial" w:hAnsi="Arial" w:cs="Arial" w:hint="eastAsia"/>
          <w:sz w:val="28"/>
        </w:rPr>
        <w:t>等一揽子金融政策，对提振房地产市场信心、稳定市场预期产生积极作用；</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日，国常会定调更大力度推动房地产市场止跌回稳，而北京作为仍存限购等政策的城市，预计后续有望进一步优化楼市政策，逐步</w:t>
      </w:r>
      <w:proofErr w:type="gramStart"/>
      <w:r>
        <w:rPr>
          <w:rFonts w:ascii="Arial" w:hAnsi="Arial" w:cs="Arial" w:hint="eastAsia"/>
          <w:sz w:val="28"/>
        </w:rPr>
        <w:t>落实因区</w:t>
      </w:r>
      <w:proofErr w:type="gramEnd"/>
      <w:r>
        <w:rPr>
          <w:rFonts w:ascii="Arial" w:hAnsi="Arial" w:cs="Arial" w:hint="eastAsia"/>
          <w:sz w:val="28"/>
        </w:rPr>
        <w:t>施策、调减楼市限制性措施等，进一步</w:t>
      </w:r>
      <w:proofErr w:type="gramStart"/>
      <w:r>
        <w:rPr>
          <w:rFonts w:ascii="Arial" w:hAnsi="Arial" w:cs="Arial" w:hint="eastAsia"/>
          <w:sz w:val="28"/>
        </w:rPr>
        <w:t>释放刚需和</w:t>
      </w:r>
      <w:proofErr w:type="gramEnd"/>
      <w:r>
        <w:rPr>
          <w:rFonts w:ascii="Arial" w:hAnsi="Arial" w:cs="Arial" w:hint="eastAsia"/>
          <w:sz w:val="28"/>
        </w:rPr>
        <w:t>改善型需求积极入市，带动市场活跃度的提升。</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585595"/>
            <wp:effectExtent l="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成交价格</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成交价格</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受结构性因素的影响，</w:t>
      </w:r>
      <w:r>
        <w:rPr>
          <w:rFonts w:ascii="Arial" w:hAnsi="Arial" w:cs="Arial" w:hint="eastAsia"/>
          <w:sz w:val="28"/>
        </w:rPr>
        <w:t>2025</w:t>
      </w:r>
      <w:r>
        <w:rPr>
          <w:rFonts w:ascii="Arial" w:hAnsi="Arial" w:cs="Arial" w:hint="eastAsia"/>
          <w:sz w:val="28"/>
        </w:rPr>
        <w:t>年上半年北京商品住宅价格同比上涨。</w:t>
      </w:r>
      <w:r>
        <w:rPr>
          <w:rFonts w:ascii="Arial" w:hAnsi="Arial" w:cs="Arial" w:hint="eastAsia"/>
          <w:sz w:val="28"/>
        </w:rPr>
        <w:t>2025</w:t>
      </w:r>
      <w:r>
        <w:rPr>
          <w:rFonts w:ascii="Arial" w:hAnsi="Arial" w:cs="Arial" w:hint="eastAsia"/>
          <w:sz w:val="28"/>
        </w:rPr>
        <w:t>年上半年，北京商品住宅（不含保障房）平均成交价格为</w:t>
      </w:r>
      <w:r>
        <w:rPr>
          <w:rFonts w:ascii="Arial" w:hAnsi="Arial" w:cs="Arial" w:hint="eastAsia"/>
          <w:sz w:val="28"/>
        </w:rPr>
        <w:t>60708</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0.9%</w:t>
      </w:r>
      <w:r>
        <w:rPr>
          <w:rFonts w:ascii="Arial" w:hAnsi="Arial" w:cs="Arial" w:hint="eastAsia"/>
          <w:sz w:val="28"/>
        </w:rPr>
        <w:t>。主要原因是，伴随着房地产市场的持续调整，</w:t>
      </w:r>
      <w:proofErr w:type="gramStart"/>
      <w:r>
        <w:rPr>
          <w:rFonts w:ascii="Arial" w:hAnsi="Arial" w:cs="Arial" w:hint="eastAsia"/>
          <w:sz w:val="28"/>
        </w:rPr>
        <w:t>房企拿</w:t>
      </w:r>
      <w:proofErr w:type="gramEnd"/>
      <w:r>
        <w:rPr>
          <w:rFonts w:ascii="Arial" w:hAnsi="Arial" w:cs="Arial" w:hint="eastAsia"/>
          <w:sz w:val="28"/>
        </w:rPr>
        <w:t>地趋于理性谨慎。为提升</w:t>
      </w:r>
      <w:proofErr w:type="gramStart"/>
      <w:r>
        <w:rPr>
          <w:rFonts w:ascii="Arial" w:hAnsi="Arial" w:cs="Arial" w:hint="eastAsia"/>
          <w:sz w:val="28"/>
        </w:rPr>
        <w:t>房企拿</w:t>
      </w:r>
      <w:proofErr w:type="gramEnd"/>
      <w:r>
        <w:rPr>
          <w:rFonts w:ascii="Arial" w:hAnsi="Arial" w:cs="Arial" w:hint="eastAsia"/>
          <w:sz w:val="28"/>
        </w:rPr>
        <w:t>地积极性，近年来中心城区（含核心区）推出了多宗优质地块，中高端改善产品入市量增加，导致北京楼市成交均价呈现出结构性上涨的趋势。季度来看，一季度北京新建商品住宅成交均价为</w:t>
      </w:r>
      <w:r>
        <w:rPr>
          <w:rFonts w:ascii="Arial" w:hAnsi="Arial" w:cs="Arial" w:hint="eastAsia"/>
          <w:sz w:val="28"/>
        </w:rPr>
        <w:t>59093</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2.1%</w:t>
      </w:r>
      <w:r>
        <w:rPr>
          <w:rFonts w:ascii="Arial" w:hAnsi="Arial" w:cs="Arial" w:hint="eastAsia"/>
          <w:sz w:val="28"/>
        </w:rPr>
        <w:t>；二季度，楼市成交均价为</w:t>
      </w:r>
      <w:r>
        <w:rPr>
          <w:rFonts w:ascii="Arial" w:hAnsi="Arial" w:cs="Arial" w:hint="eastAsia"/>
          <w:sz w:val="28"/>
        </w:rPr>
        <w:t>62050</w:t>
      </w:r>
      <w:r>
        <w:rPr>
          <w:rFonts w:ascii="Arial" w:hAnsi="Arial" w:cs="Arial" w:hint="eastAsia"/>
          <w:sz w:val="28"/>
        </w:rPr>
        <w:t>元</w:t>
      </w:r>
      <w:r>
        <w:rPr>
          <w:rFonts w:ascii="Arial" w:hAnsi="Arial" w:cs="Arial" w:hint="eastAsia"/>
          <w:sz w:val="28"/>
        </w:rPr>
        <w:t>/</w:t>
      </w:r>
      <w:r>
        <w:rPr>
          <w:rFonts w:ascii="Arial" w:hAnsi="Arial" w:cs="Arial" w:hint="eastAsia"/>
          <w:sz w:val="28"/>
        </w:rPr>
        <w:t>平方米，与去年同期基本持平。从房价指数来看，北京楼市房价指数仍延续上涨的趋势，上半年商品住房价格指数累计上涨</w:t>
      </w:r>
      <w:r>
        <w:rPr>
          <w:rFonts w:ascii="Arial" w:hAnsi="Arial" w:cs="Arial" w:hint="eastAsia"/>
          <w:sz w:val="28"/>
        </w:rPr>
        <w:t>1.9%</w:t>
      </w:r>
      <w:r>
        <w:rPr>
          <w:rFonts w:ascii="Arial" w:hAnsi="Arial" w:cs="Arial" w:hint="eastAsia"/>
          <w:sz w:val="28"/>
        </w:rPr>
        <w:t>，涨幅较去年同期扩大</w:t>
      </w:r>
      <w:r>
        <w:rPr>
          <w:rFonts w:ascii="Arial" w:hAnsi="Arial" w:cs="Arial" w:hint="eastAsia"/>
          <w:sz w:val="28"/>
        </w:rPr>
        <w:t>0.8</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9310" cy="18288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成交结构</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bookmarkStart w:id="129" w:name="OLE_LINK1"/>
      <w:r>
        <w:rPr>
          <w:rFonts w:ascii="Arial" w:hAnsi="Arial" w:cs="Arial" w:hint="eastAsia"/>
          <w:sz w:val="28"/>
        </w:rPr>
        <w:t>上半年</w:t>
      </w:r>
      <w:bookmarkEnd w:id="129"/>
      <w:r>
        <w:rPr>
          <w:rFonts w:ascii="Arial" w:hAnsi="Arial" w:cs="Arial" w:hint="eastAsia"/>
          <w:sz w:val="28"/>
        </w:rPr>
        <w:t>，</w:t>
      </w:r>
      <w:r>
        <w:rPr>
          <w:rFonts w:ascii="Arial" w:hAnsi="Arial" w:cs="Arial" w:hint="eastAsia"/>
          <w:sz w:val="28"/>
        </w:rPr>
        <w:t>90-200</w:t>
      </w:r>
      <w:r>
        <w:rPr>
          <w:rFonts w:ascii="Arial" w:hAnsi="Arial" w:cs="Arial" w:hint="eastAsia"/>
          <w:sz w:val="28"/>
        </w:rPr>
        <w:t>平米面积段的刚改和改善型产品成交占比提升，成交套数占比达</w:t>
      </w:r>
      <w:r>
        <w:rPr>
          <w:rFonts w:ascii="Arial" w:hAnsi="Arial" w:cs="Arial" w:hint="eastAsia"/>
          <w:sz w:val="28"/>
        </w:rPr>
        <w:t>71.7%</w:t>
      </w:r>
      <w:r>
        <w:rPr>
          <w:rFonts w:ascii="Arial" w:hAnsi="Arial" w:cs="Arial" w:hint="eastAsia"/>
          <w:sz w:val="28"/>
        </w:rPr>
        <w:t>，占比提升</w:t>
      </w:r>
      <w:r>
        <w:rPr>
          <w:rFonts w:ascii="Arial" w:hAnsi="Arial" w:cs="Arial" w:hint="eastAsia"/>
          <w:sz w:val="28"/>
        </w:rPr>
        <w:t>4.7</w:t>
      </w:r>
      <w:r>
        <w:rPr>
          <w:rFonts w:ascii="Arial" w:hAnsi="Arial" w:cs="Arial" w:hint="eastAsia"/>
          <w:sz w:val="28"/>
        </w:rPr>
        <w:t>个百分点，中低、</w:t>
      </w:r>
      <w:proofErr w:type="gramStart"/>
      <w:r>
        <w:rPr>
          <w:rFonts w:ascii="Arial" w:hAnsi="Arial" w:cs="Arial" w:hint="eastAsia"/>
          <w:sz w:val="28"/>
        </w:rPr>
        <w:t>高面积段产品</w:t>
      </w:r>
      <w:proofErr w:type="gramEnd"/>
      <w:r>
        <w:rPr>
          <w:rFonts w:ascii="Arial" w:hAnsi="Arial" w:cs="Arial" w:hint="eastAsia"/>
          <w:sz w:val="28"/>
        </w:rPr>
        <w:t>成交占比均下滑。成交总价段在</w:t>
      </w:r>
      <w:r>
        <w:rPr>
          <w:rFonts w:ascii="Arial" w:hAnsi="Arial" w:cs="Arial" w:hint="eastAsia"/>
          <w:sz w:val="28"/>
        </w:rPr>
        <w:t>1200</w:t>
      </w:r>
      <w:r>
        <w:rPr>
          <w:rFonts w:ascii="Arial" w:hAnsi="Arial" w:cs="Arial" w:hint="eastAsia"/>
          <w:sz w:val="28"/>
        </w:rPr>
        <w:t>万之间的中高价位</w:t>
      </w:r>
      <w:proofErr w:type="gramStart"/>
      <w:r>
        <w:rPr>
          <w:rFonts w:ascii="Arial" w:hAnsi="Arial" w:cs="Arial" w:hint="eastAsia"/>
          <w:sz w:val="28"/>
        </w:rPr>
        <w:t>段产品</w:t>
      </w:r>
      <w:proofErr w:type="gramEnd"/>
      <w:r>
        <w:rPr>
          <w:rFonts w:ascii="Arial" w:hAnsi="Arial" w:cs="Arial" w:hint="eastAsia"/>
          <w:sz w:val="28"/>
        </w:rPr>
        <w:t>成交占比提升较多，较去年同期增加</w:t>
      </w:r>
      <w:r>
        <w:rPr>
          <w:rFonts w:ascii="Arial" w:hAnsi="Arial" w:cs="Arial" w:hint="eastAsia"/>
          <w:sz w:val="28"/>
        </w:rPr>
        <w:t>3.8</w:t>
      </w:r>
      <w:r>
        <w:rPr>
          <w:rFonts w:ascii="Arial" w:hAnsi="Arial" w:cs="Arial" w:hint="eastAsia"/>
          <w:sz w:val="28"/>
        </w:rPr>
        <w:t>个百分点；中高总价</w:t>
      </w:r>
      <w:proofErr w:type="gramStart"/>
      <w:r>
        <w:rPr>
          <w:rFonts w:ascii="Arial" w:hAnsi="Arial" w:cs="Arial" w:hint="eastAsia"/>
          <w:sz w:val="28"/>
        </w:rPr>
        <w:t>段产品</w:t>
      </w:r>
      <w:proofErr w:type="gramEnd"/>
      <w:r>
        <w:rPr>
          <w:rFonts w:ascii="Arial" w:hAnsi="Arial" w:cs="Arial" w:hint="eastAsia"/>
          <w:sz w:val="28"/>
        </w:rPr>
        <w:t>成交占比下滑，其</w:t>
      </w:r>
      <w:r>
        <w:rPr>
          <w:rFonts w:ascii="Arial" w:hAnsi="Arial" w:cs="Arial" w:hint="eastAsia"/>
          <w:sz w:val="28"/>
        </w:rPr>
        <w:t xml:space="preserve"> </w:t>
      </w:r>
      <w:r>
        <w:rPr>
          <w:rFonts w:ascii="Arial" w:hAnsi="Arial" w:cs="Arial" w:hint="eastAsia"/>
          <w:sz w:val="28"/>
        </w:rPr>
        <w:t>中</w:t>
      </w:r>
      <w:r>
        <w:rPr>
          <w:rFonts w:ascii="Arial" w:hAnsi="Arial" w:cs="Arial" w:hint="eastAsia"/>
          <w:sz w:val="28"/>
        </w:rPr>
        <w:t>500-1000</w:t>
      </w:r>
      <w:r>
        <w:rPr>
          <w:rFonts w:ascii="Arial" w:hAnsi="Arial" w:cs="Arial" w:hint="eastAsia"/>
          <w:sz w:val="28"/>
        </w:rPr>
        <w:t>万之间中高总价</w:t>
      </w:r>
      <w:proofErr w:type="gramStart"/>
      <w:r>
        <w:rPr>
          <w:rFonts w:ascii="Arial" w:hAnsi="Arial" w:cs="Arial" w:hint="eastAsia"/>
          <w:sz w:val="28"/>
        </w:rPr>
        <w:t>段产品</w:t>
      </w:r>
      <w:proofErr w:type="gramEnd"/>
      <w:r>
        <w:rPr>
          <w:rFonts w:ascii="Arial" w:hAnsi="Arial" w:cs="Arial" w:hint="eastAsia"/>
          <w:sz w:val="28"/>
        </w:rPr>
        <w:t>成交占比下滑明显，较去年同期减少</w:t>
      </w:r>
      <w:r>
        <w:rPr>
          <w:rFonts w:ascii="Arial" w:hAnsi="Arial" w:cs="Arial" w:hint="eastAsia"/>
          <w:sz w:val="28"/>
        </w:rPr>
        <w:t>5.4</w:t>
      </w:r>
      <w:r>
        <w:rPr>
          <w:rFonts w:ascii="Arial" w:hAnsi="Arial" w:cs="Arial" w:hint="eastAsia"/>
          <w:sz w:val="28"/>
        </w:rPr>
        <w:t>个百分点；另外，</w:t>
      </w:r>
      <w:r>
        <w:rPr>
          <w:rFonts w:ascii="Arial" w:hAnsi="Arial" w:cs="Arial" w:hint="eastAsia"/>
          <w:sz w:val="28"/>
        </w:rPr>
        <w:t>500-800</w:t>
      </w:r>
      <w:r>
        <w:rPr>
          <w:rFonts w:ascii="Arial" w:hAnsi="Arial" w:cs="Arial" w:hint="eastAsia"/>
          <w:sz w:val="28"/>
        </w:rPr>
        <w:t>万之间产品仍为市场主力，成交占比为</w:t>
      </w:r>
      <w:r>
        <w:rPr>
          <w:rFonts w:ascii="Arial" w:hAnsi="Arial" w:cs="Arial" w:hint="eastAsia"/>
          <w:sz w:val="28"/>
        </w:rPr>
        <w:t>29.2%</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玉鸣、北京宸园、中海</w:t>
      </w:r>
      <w:proofErr w:type="gramStart"/>
      <w:r>
        <w:rPr>
          <w:rFonts w:ascii="Arial" w:hAnsi="Arial" w:cs="Arial" w:hint="eastAsia"/>
          <w:sz w:val="28"/>
        </w:rPr>
        <w:t>萬吉玖序</w:t>
      </w:r>
      <w:proofErr w:type="gramEnd"/>
      <w:r>
        <w:rPr>
          <w:rFonts w:ascii="Arial" w:hAnsi="Arial" w:cs="Arial" w:hint="eastAsia"/>
          <w:sz w:val="28"/>
        </w:rPr>
        <w:t>、建发·海晏等高端改善项目热销，均位居全市项目销售金额榜</w:t>
      </w:r>
      <w:r>
        <w:rPr>
          <w:rFonts w:ascii="Arial" w:hAnsi="Arial" w:cs="Arial" w:hint="eastAsia"/>
          <w:sz w:val="28"/>
        </w:rPr>
        <w:t>TOP10</w:t>
      </w:r>
      <w:r>
        <w:rPr>
          <w:rFonts w:ascii="Arial" w:hAnsi="Arial" w:cs="Arial" w:hint="eastAsia"/>
          <w:sz w:val="28"/>
        </w:rPr>
        <w:t>前列，带动中</w:t>
      </w:r>
      <w:proofErr w:type="gramStart"/>
      <w:r>
        <w:rPr>
          <w:rFonts w:ascii="Arial" w:hAnsi="Arial" w:cs="Arial" w:hint="eastAsia"/>
          <w:sz w:val="28"/>
        </w:rPr>
        <w:t>高面积段</w:t>
      </w:r>
      <w:proofErr w:type="gramEnd"/>
      <w:r>
        <w:rPr>
          <w:rFonts w:ascii="Arial" w:hAnsi="Arial" w:cs="Arial" w:hint="eastAsia"/>
          <w:sz w:val="28"/>
        </w:rPr>
        <w:t>和高总价产品成交占比出现明显的提升。主要原因一方面是热销项目主力户型位于</w:t>
      </w:r>
      <w:r>
        <w:rPr>
          <w:rFonts w:ascii="Arial" w:hAnsi="Arial" w:cs="Arial" w:hint="eastAsia"/>
          <w:sz w:val="28"/>
        </w:rPr>
        <w:t>120-180</w:t>
      </w:r>
      <w:r>
        <w:rPr>
          <w:rFonts w:ascii="Arial" w:hAnsi="Arial" w:cs="Arial" w:hint="eastAsia"/>
          <w:sz w:val="28"/>
        </w:rPr>
        <w:t>平之间；另一方面，入市项目区位优势较为明显，周边产业等配套资源丰富，市场需求支撑度较高，项目成交均价均超</w:t>
      </w:r>
      <w:r>
        <w:rPr>
          <w:rFonts w:ascii="Arial" w:hAnsi="Arial" w:cs="Arial" w:hint="eastAsia"/>
          <w:sz w:val="28"/>
        </w:rPr>
        <w:t>10</w:t>
      </w:r>
      <w:r>
        <w:rPr>
          <w:rFonts w:ascii="Arial" w:hAnsi="Arial" w:cs="Arial" w:hint="eastAsia"/>
          <w:sz w:val="28"/>
        </w:rPr>
        <w:t>万元</w:t>
      </w:r>
      <w:r>
        <w:rPr>
          <w:rFonts w:ascii="Arial" w:hAnsi="Arial" w:cs="Arial" w:hint="eastAsia"/>
          <w:sz w:val="28"/>
        </w:rPr>
        <w:t>/</w:t>
      </w:r>
      <w:r>
        <w:rPr>
          <w:rFonts w:ascii="Arial" w:hAnsi="Arial" w:cs="Arial" w:hint="eastAsia"/>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98515" cy="1849755"/>
            <wp:effectExtent l="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C.</w:t>
      </w:r>
      <w:r>
        <w:rPr>
          <w:rFonts w:ascii="Arial" w:hAnsi="Arial" w:cs="Arial" w:hint="eastAsia"/>
          <w:sz w:val="28"/>
        </w:rPr>
        <w:t>区域成交</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从区域成交规模来看，近郊六区仍为市场成交主力区域，成交规模占比超五成。</w:t>
      </w:r>
      <w:r>
        <w:rPr>
          <w:rFonts w:ascii="Arial" w:hAnsi="Arial" w:cs="Arial" w:hint="eastAsia"/>
          <w:sz w:val="28"/>
        </w:rPr>
        <w:t>2025</w:t>
      </w:r>
      <w:r>
        <w:rPr>
          <w:rFonts w:ascii="Arial" w:hAnsi="Arial" w:cs="Arial" w:hint="eastAsia"/>
          <w:sz w:val="28"/>
        </w:rPr>
        <w:t>年上半年近郊六</w:t>
      </w:r>
      <w:proofErr w:type="gramStart"/>
      <w:r>
        <w:rPr>
          <w:rFonts w:ascii="Arial" w:hAnsi="Arial" w:cs="Arial" w:hint="eastAsia"/>
          <w:sz w:val="28"/>
        </w:rPr>
        <w:t>区成交</w:t>
      </w:r>
      <w:proofErr w:type="gramEnd"/>
      <w:r>
        <w:rPr>
          <w:rFonts w:ascii="Arial" w:hAnsi="Arial" w:cs="Arial" w:hint="eastAsia"/>
          <w:sz w:val="28"/>
        </w:rPr>
        <w:t>119.41</w:t>
      </w:r>
      <w:r>
        <w:rPr>
          <w:rFonts w:ascii="Arial" w:hAnsi="Arial" w:cs="Arial" w:hint="eastAsia"/>
          <w:sz w:val="28"/>
        </w:rPr>
        <w:t>万平，占比达</w:t>
      </w:r>
      <w:r>
        <w:rPr>
          <w:rFonts w:ascii="Arial" w:hAnsi="Arial" w:cs="Arial" w:hint="eastAsia"/>
          <w:sz w:val="28"/>
        </w:rPr>
        <w:t>51.0%</w:t>
      </w:r>
      <w:r>
        <w:rPr>
          <w:rFonts w:ascii="Arial" w:hAnsi="Arial" w:cs="Arial" w:hint="eastAsia"/>
          <w:sz w:val="28"/>
        </w:rPr>
        <w:t>；其中，昌平、顺义累计成交占全市的比重均超</w:t>
      </w:r>
      <w:r>
        <w:rPr>
          <w:rFonts w:ascii="Arial" w:hAnsi="Arial" w:cs="Arial" w:hint="eastAsia"/>
          <w:sz w:val="28"/>
        </w:rPr>
        <w:t>10%</w:t>
      </w:r>
      <w:r>
        <w:rPr>
          <w:rFonts w:ascii="Arial" w:hAnsi="Arial" w:cs="Arial" w:hint="eastAsia"/>
          <w:sz w:val="28"/>
        </w:rPr>
        <w:t>。中心城区累计成交</w:t>
      </w:r>
      <w:r>
        <w:rPr>
          <w:rFonts w:ascii="Arial" w:hAnsi="Arial" w:cs="Arial" w:hint="eastAsia"/>
          <w:sz w:val="28"/>
        </w:rPr>
        <w:t>104.02</w:t>
      </w:r>
      <w:r>
        <w:rPr>
          <w:rFonts w:ascii="Arial" w:hAnsi="Arial" w:cs="Arial" w:hint="eastAsia"/>
          <w:sz w:val="28"/>
        </w:rPr>
        <w:t>万平，成交占比为</w:t>
      </w:r>
      <w:r>
        <w:rPr>
          <w:rFonts w:ascii="Arial" w:hAnsi="Arial" w:cs="Arial" w:hint="eastAsia"/>
          <w:sz w:val="28"/>
        </w:rPr>
        <w:t>44.4%</w:t>
      </w:r>
      <w:r>
        <w:rPr>
          <w:rFonts w:ascii="Arial" w:hAnsi="Arial" w:cs="Arial" w:hint="eastAsia"/>
          <w:sz w:val="28"/>
        </w:rPr>
        <w:t>，朝阳、海淀、丰台成交规模居前列，成交规模占全市的比重均超</w:t>
      </w:r>
      <w:r>
        <w:rPr>
          <w:rFonts w:ascii="Arial" w:hAnsi="Arial" w:cs="Arial" w:hint="eastAsia"/>
          <w:sz w:val="28"/>
        </w:rPr>
        <w:t>10%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从区域成交变化来看，中心城区成交规模明显增加、远郊区域同比下滑。其中，中心城区同比增加</w:t>
      </w:r>
      <w:r>
        <w:rPr>
          <w:rFonts w:ascii="Arial" w:hAnsi="Arial" w:cs="Arial" w:hint="eastAsia"/>
          <w:sz w:val="28"/>
        </w:rPr>
        <w:t>46%</w:t>
      </w:r>
      <w:r>
        <w:rPr>
          <w:rFonts w:ascii="Arial" w:hAnsi="Arial" w:cs="Arial" w:hint="eastAsia"/>
          <w:sz w:val="28"/>
        </w:rPr>
        <w:t>，海淀同比成倍增加，朝阳区和丰台</w:t>
      </w:r>
      <w:proofErr w:type="gramStart"/>
      <w:r>
        <w:rPr>
          <w:rFonts w:ascii="Arial" w:hAnsi="Arial" w:cs="Arial" w:hint="eastAsia"/>
          <w:sz w:val="28"/>
        </w:rPr>
        <w:t>区成交同比增幅超</w:t>
      </w:r>
      <w:proofErr w:type="gramEnd"/>
      <w:r>
        <w:rPr>
          <w:rFonts w:ascii="Arial" w:hAnsi="Arial" w:cs="Arial" w:hint="eastAsia"/>
          <w:sz w:val="28"/>
        </w:rPr>
        <w:t>三成，东城区和西城区成交规模同比明显下滑，但基数较小；近郊区域成交同比增加</w:t>
      </w:r>
      <w:r>
        <w:rPr>
          <w:rFonts w:ascii="Arial" w:hAnsi="Arial" w:cs="Arial" w:hint="eastAsia"/>
          <w:sz w:val="28"/>
        </w:rPr>
        <w:t>7%</w:t>
      </w:r>
      <w:r>
        <w:rPr>
          <w:rFonts w:ascii="Arial" w:hAnsi="Arial" w:cs="Arial" w:hint="eastAsia"/>
          <w:sz w:val="28"/>
        </w:rPr>
        <w:t>，门头沟区同比增幅近两倍，房山区、</w:t>
      </w:r>
      <w:proofErr w:type="gramStart"/>
      <w:r>
        <w:rPr>
          <w:rFonts w:ascii="Arial" w:hAnsi="Arial" w:cs="Arial" w:hint="eastAsia"/>
          <w:sz w:val="28"/>
        </w:rPr>
        <w:t>昌平区</w:t>
      </w:r>
      <w:proofErr w:type="gramEnd"/>
      <w:r>
        <w:rPr>
          <w:rFonts w:ascii="Arial" w:hAnsi="Arial" w:cs="Arial" w:hint="eastAsia"/>
          <w:sz w:val="28"/>
        </w:rPr>
        <w:t>和通州区成交同比涨幅均超</w:t>
      </w:r>
      <w:r>
        <w:rPr>
          <w:rFonts w:ascii="Arial" w:hAnsi="Arial" w:cs="Arial" w:hint="eastAsia"/>
          <w:sz w:val="28"/>
        </w:rPr>
        <w:t>10%</w:t>
      </w:r>
      <w:r>
        <w:rPr>
          <w:rFonts w:ascii="Arial" w:hAnsi="Arial" w:cs="Arial" w:hint="eastAsia"/>
          <w:sz w:val="28"/>
        </w:rPr>
        <w:t>，大兴成交同比下降</w:t>
      </w:r>
      <w:r>
        <w:rPr>
          <w:rFonts w:ascii="Arial" w:hAnsi="Arial" w:cs="Arial" w:hint="eastAsia"/>
          <w:sz w:val="28"/>
        </w:rPr>
        <w:t>24%</w:t>
      </w:r>
      <w:r>
        <w:rPr>
          <w:rFonts w:ascii="Arial" w:hAnsi="Arial" w:cs="Arial" w:hint="eastAsia"/>
          <w:sz w:val="28"/>
        </w:rPr>
        <w:t>；远郊区域成交规模同比减少</w:t>
      </w:r>
      <w:r>
        <w:rPr>
          <w:rFonts w:ascii="Arial" w:hAnsi="Arial" w:cs="Arial" w:hint="eastAsia"/>
          <w:sz w:val="28"/>
        </w:rPr>
        <w:t>15%</w:t>
      </w:r>
      <w:r>
        <w:rPr>
          <w:rFonts w:ascii="Arial" w:hAnsi="Arial" w:cs="Arial" w:hint="eastAsia"/>
          <w:sz w:val="28"/>
        </w:rPr>
        <w:t>，</w:t>
      </w:r>
      <w:proofErr w:type="gramStart"/>
      <w:r>
        <w:rPr>
          <w:rFonts w:ascii="Arial" w:hAnsi="Arial" w:cs="Arial" w:hint="eastAsia"/>
          <w:sz w:val="28"/>
        </w:rPr>
        <w:t>平谷区</w:t>
      </w:r>
      <w:proofErr w:type="gramEnd"/>
      <w:r>
        <w:rPr>
          <w:rFonts w:ascii="Arial" w:hAnsi="Arial" w:cs="Arial" w:hint="eastAsia"/>
          <w:sz w:val="28"/>
        </w:rPr>
        <w:t>和延庆</w:t>
      </w:r>
      <w:proofErr w:type="gramStart"/>
      <w:r>
        <w:rPr>
          <w:rFonts w:ascii="Arial" w:hAnsi="Arial" w:cs="Arial" w:hint="eastAsia"/>
          <w:sz w:val="28"/>
        </w:rPr>
        <w:t>区成交</w:t>
      </w:r>
      <w:proofErr w:type="gramEnd"/>
      <w:r>
        <w:rPr>
          <w:rFonts w:ascii="Arial" w:hAnsi="Arial" w:cs="Arial" w:hint="eastAsia"/>
          <w:sz w:val="28"/>
        </w:rPr>
        <w:t>同比领跌，同比跌幅分别为</w:t>
      </w:r>
      <w:r>
        <w:rPr>
          <w:rFonts w:ascii="Arial" w:hAnsi="Arial" w:cs="Arial" w:hint="eastAsia"/>
          <w:sz w:val="28"/>
        </w:rPr>
        <w:t>41%</w:t>
      </w:r>
      <w:r>
        <w:rPr>
          <w:rFonts w:ascii="Arial" w:hAnsi="Arial" w:cs="Arial" w:hint="eastAsia"/>
          <w:sz w:val="28"/>
        </w:rPr>
        <w:t>和</w:t>
      </w:r>
      <w:r>
        <w:rPr>
          <w:rFonts w:ascii="Arial" w:hAnsi="Arial" w:cs="Arial" w:hint="eastAsia"/>
          <w:sz w:val="28"/>
        </w:rPr>
        <w:t>25%</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45005"/>
            <wp:effectExtent l="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从成交价格来看，</w:t>
      </w:r>
      <w:r>
        <w:rPr>
          <w:rFonts w:ascii="Arial" w:hAnsi="Arial" w:cs="Arial" w:hint="eastAsia"/>
          <w:sz w:val="28"/>
        </w:rPr>
        <w:t>2025</w:t>
      </w:r>
      <w:r>
        <w:rPr>
          <w:rFonts w:ascii="Arial" w:hAnsi="Arial" w:cs="Arial" w:hint="eastAsia"/>
          <w:sz w:val="28"/>
        </w:rPr>
        <w:t>年上半年中心城区商品住宅（不含保障房）成交均价最高，整体</w:t>
      </w:r>
      <w:proofErr w:type="gramStart"/>
      <w:r>
        <w:rPr>
          <w:rFonts w:ascii="Arial" w:hAnsi="Arial" w:cs="Arial" w:hint="eastAsia"/>
          <w:sz w:val="28"/>
        </w:rPr>
        <w:t>均价超</w:t>
      </w:r>
      <w:proofErr w:type="gramEnd"/>
      <w:r>
        <w:rPr>
          <w:rFonts w:ascii="Arial" w:hAnsi="Arial" w:cs="Arial" w:hint="eastAsia"/>
          <w:sz w:val="28"/>
        </w:rPr>
        <w:t>10</w:t>
      </w:r>
      <w:r>
        <w:rPr>
          <w:rFonts w:ascii="Arial" w:hAnsi="Arial" w:cs="Arial" w:hint="eastAsia"/>
          <w:sz w:val="28"/>
        </w:rPr>
        <w:t>万</w:t>
      </w:r>
      <w:r>
        <w:rPr>
          <w:rFonts w:ascii="Arial" w:hAnsi="Arial" w:cs="Arial" w:hint="eastAsia"/>
          <w:sz w:val="28"/>
        </w:rPr>
        <w:t>/</w:t>
      </w:r>
      <w:r>
        <w:rPr>
          <w:rFonts w:ascii="Arial" w:hAnsi="Arial" w:cs="Arial" w:hint="eastAsia"/>
          <w:sz w:val="28"/>
        </w:rPr>
        <w:t>平方米，其中东、西城成交均价均超</w:t>
      </w:r>
      <w:r>
        <w:rPr>
          <w:rFonts w:ascii="Arial" w:hAnsi="Arial" w:cs="Arial" w:hint="eastAsia"/>
          <w:sz w:val="28"/>
        </w:rPr>
        <w:t>12</w:t>
      </w:r>
      <w:r>
        <w:rPr>
          <w:rFonts w:ascii="Arial" w:hAnsi="Arial" w:cs="Arial" w:hint="eastAsia"/>
          <w:sz w:val="28"/>
        </w:rPr>
        <w:t>万元</w:t>
      </w:r>
      <w:r>
        <w:rPr>
          <w:rFonts w:ascii="Arial" w:hAnsi="Arial" w:cs="Arial" w:hint="eastAsia"/>
          <w:sz w:val="28"/>
        </w:rPr>
        <w:t>/</w:t>
      </w:r>
      <w:r>
        <w:rPr>
          <w:rFonts w:ascii="Arial" w:hAnsi="Arial" w:cs="Arial" w:hint="eastAsia"/>
          <w:sz w:val="28"/>
        </w:rPr>
        <w:t>平方米，远郊</w:t>
      </w:r>
      <w:proofErr w:type="gramStart"/>
      <w:r>
        <w:rPr>
          <w:rFonts w:ascii="Arial" w:hAnsi="Arial" w:cs="Arial" w:hint="eastAsia"/>
          <w:sz w:val="28"/>
        </w:rPr>
        <w:t>区整体</w:t>
      </w:r>
      <w:proofErr w:type="gramEnd"/>
      <w:r>
        <w:rPr>
          <w:rFonts w:ascii="Arial" w:hAnsi="Arial" w:cs="Arial" w:hint="eastAsia"/>
          <w:sz w:val="28"/>
        </w:rPr>
        <w:t>成交均价最低，整体均价</w:t>
      </w:r>
      <w:proofErr w:type="gramStart"/>
      <w:r>
        <w:rPr>
          <w:rFonts w:ascii="Arial" w:hAnsi="Arial" w:cs="Arial" w:hint="eastAsia"/>
          <w:sz w:val="28"/>
        </w:rPr>
        <w:t>不足</w:t>
      </w:r>
      <w:r>
        <w:rPr>
          <w:rFonts w:ascii="Arial" w:hAnsi="Arial" w:cs="Arial" w:hint="eastAsia"/>
          <w:sz w:val="28"/>
        </w:rPr>
        <w:t>3</w:t>
      </w:r>
      <w:r>
        <w:rPr>
          <w:rFonts w:ascii="Arial" w:hAnsi="Arial" w:cs="Arial" w:hint="eastAsia"/>
          <w:sz w:val="28"/>
        </w:rPr>
        <w:t>万</w:t>
      </w:r>
      <w:proofErr w:type="gramEnd"/>
      <w:r>
        <w:rPr>
          <w:rFonts w:ascii="Arial" w:hAnsi="Arial" w:cs="Arial" w:hint="eastAsia"/>
          <w:sz w:val="28"/>
        </w:rPr>
        <w:t>/</w:t>
      </w:r>
      <w:r>
        <w:rPr>
          <w:rFonts w:ascii="Arial" w:hAnsi="Arial" w:cs="Arial" w:hint="eastAsia"/>
          <w:sz w:val="28"/>
        </w:rPr>
        <w:t>平方米，其中密云</w:t>
      </w:r>
      <w:proofErr w:type="gramStart"/>
      <w:r>
        <w:rPr>
          <w:rFonts w:ascii="Arial" w:hAnsi="Arial" w:cs="Arial" w:hint="eastAsia"/>
          <w:sz w:val="28"/>
        </w:rPr>
        <w:t>区成交</w:t>
      </w:r>
      <w:proofErr w:type="gramEnd"/>
      <w:r>
        <w:rPr>
          <w:rFonts w:ascii="Arial" w:hAnsi="Arial" w:cs="Arial" w:hint="eastAsia"/>
          <w:sz w:val="28"/>
        </w:rPr>
        <w:t>均价最低，上半年成交均价仅</w:t>
      </w:r>
      <w:r>
        <w:rPr>
          <w:rFonts w:ascii="Arial" w:hAnsi="Arial" w:cs="Arial" w:hint="eastAsia"/>
          <w:sz w:val="28"/>
        </w:rPr>
        <w:t>22267</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从价格变化来看，</w:t>
      </w:r>
      <w:r>
        <w:rPr>
          <w:rFonts w:ascii="Arial" w:hAnsi="Arial" w:cs="Arial" w:hint="eastAsia"/>
          <w:sz w:val="28"/>
        </w:rPr>
        <w:t>2025</w:t>
      </w:r>
      <w:r>
        <w:rPr>
          <w:rFonts w:ascii="Arial" w:hAnsi="Arial" w:cs="Arial" w:hint="eastAsia"/>
          <w:sz w:val="28"/>
        </w:rPr>
        <w:t>年上半年中心城区、近郊区、远郊区房价均有所下跌；其中，中心城区商品住宅成交均价同比下跌</w:t>
      </w:r>
      <w:r>
        <w:rPr>
          <w:rFonts w:ascii="Arial" w:hAnsi="Arial" w:cs="Arial" w:hint="eastAsia"/>
          <w:sz w:val="28"/>
        </w:rPr>
        <w:t>1%</w:t>
      </w:r>
      <w:r>
        <w:rPr>
          <w:rFonts w:ascii="Arial" w:hAnsi="Arial" w:cs="Arial" w:hint="eastAsia"/>
          <w:sz w:val="28"/>
        </w:rPr>
        <w:t>，西城区和</w:t>
      </w:r>
      <w:proofErr w:type="gramStart"/>
      <w:r>
        <w:rPr>
          <w:rFonts w:ascii="Arial" w:hAnsi="Arial" w:cs="Arial" w:hint="eastAsia"/>
          <w:sz w:val="28"/>
        </w:rPr>
        <w:t>丰台区领跌</w:t>
      </w:r>
      <w:proofErr w:type="gramEnd"/>
      <w:r>
        <w:rPr>
          <w:rFonts w:ascii="Arial" w:hAnsi="Arial" w:cs="Arial" w:hint="eastAsia"/>
          <w:sz w:val="28"/>
        </w:rPr>
        <w:t>，同比跌幅分别为</w:t>
      </w:r>
      <w:r>
        <w:rPr>
          <w:rFonts w:ascii="Arial" w:hAnsi="Arial" w:cs="Arial" w:hint="eastAsia"/>
          <w:sz w:val="28"/>
        </w:rPr>
        <w:t xml:space="preserve"> 6%</w:t>
      </w:r>
      <w:r>
        <w:rPr>
          <w:rFonts w:ascii="Arial" w:hAnsi="Arial" w:cs="Arial" w:hint="eastAsia"/>
          <w:sz w:val="28"/>
        </w:rPr>
        <w:t>和</w:t>
      </w:r>
      <w:r>
        <w:rPr>
          <w:rFonts w:ascii="Arial" w:hAnsi="Arial" w:cs="Arial" w:hint="eastAsia"/>
          <w:sz w:val="28"/>
        </w:rPr>
        <w:t>4%</w:t>
      </w:r>
      <w:r>
        <w:rPr>
          <w:rFonts w:ascii="Arial" w:hAnsi="Arial" w:cs="Arial" w:hint="eastAsia"/>
          <w:sz w:val="28"/>
        </w:rPr>
        <w:t>；近郊区域成交均价同比下跌</w:t>
      </w:r>
      <w:r>
        <w:rPr>
          <w:rFonts w:ascii="Arial" w:hAnsi="Arial" w:cs="Arial" w:hint="eastAsia"/>
          <w:sz w:val="28"/>
        </w:rPr>
        <w:t>7%</w:t>
      </w:r>
      <w:r>
        <w:rPr>
          <w:rFonts w:ascii="Arial" w:hAnsi="Arial" w:cs="Arial" w:hint="eastAsia"/>
          <w:sz w:val="28"/>
        </w:rPr>
        <w:t>，大兴</w:t>
      </w:r>
      <w:r>
        <w:rPr>
          <w:rFonts w:ascii="Arial" w:hAnsi="Arial" w:cs="Arial" w:hint="eastAsia"/>
          <w:sz w:val="28"/>
        </w:rPr>
        <w:lastRenderedPageBreak/>
        <w:t>和顺义房价下跌明显，同比跌幅均超</w:t>
      </w:r>
      <w:r>
        <w:rPr>
          <w:rFonts w:ascii="Arial" w:hAnsi="Arial" w:cs="Arial" w:hint="eastAsia"/>
          <w:sz w:val="28"/>
        </w:rPr>
        <w:t>10%</w:t>
      </w:r>
      <w:r>
        <w:rPr>
          <w:rFonts w:ascii="Arial" w:hAnsi="Arial" w:cs="Arial" w:hint="eastAsia"/>
          <w:sz w:val="28"/>
        </w:rPr>
        <w:t>；远郊区域成交均价同比下跌</w:t>
      </w:r>
      <w:r>
        <w:rPr>
          <w:rFonts w:ascii="Arial" w:hAnsi="Arial" w:cs="Arial" w:hint="eastAsia"/>
          <w:sz w:val="28"/>
        </w:rPr>
        <w:t>8%</w:t>
      </w:r>
      <w:r>
        <w:rPr>
          <w:rFonts w:ascii="Arial" w:hAnsi="Arial" w:cs="Arial" w:hint="eastAsia"/>
          <w:sz w:val="28"/>
        </w:rPr>
        <w:t>，密云和评估同比</w:t>
      </w:r>
      <w:proofErr w:type="gramStart"/>
      <w:r>
        <w:rPr>
          <w:rFonts w:ascii="Arial" w:hAnsi="Arial" w:cs="Arial" w:hint="eastAsia"/>
          <w:sz w:val="28"/>
        </w:rPr>
        <w:t>跌幅超</w:t>
      </w:r>
      <w:proofErr w:type="gramEnd"/>
      <w:r>
        <w:rPr>
          <w:rFonts w:ascii="Arial" w:hAnsi="Arial" w:cs="Arial" w:hint="eastAsia"/>
          <w:sz w:val="28"/>
        </w:rPr>
        <w:t>10 %</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019300"/>
            <wp:effectExtent l="0" t="0" r="0" b="0"/>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）存量房住宅市场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）市场运行状况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年上半年，北京存量房市场活跃度较高，累计成交</w:t>
      </w:r>
      <w:r>
        <w:rPr>
          <w:rFonts w:ascii="Arial" w:hAnsi="Arial" w:cs="Arial" w:hint="eastAsia"/>
          <w:sz w:val="28"/>
        </w:rPr>
        <w:t>8.86</w:t>
      </w:r>
      <w:r>
        <w:rPr>
          <w:rFonts w:ascii="Arial" w:hAnsi="Arial" w:cs="Arial" w:hint="eastAsia"/>
          <w:sz w:val="28"/>
        </w:rPr>
        <w:t>万套，同比增长</w:t>
      </w:r>
      <w:r>
        <w:rPr>
          <w:rFonts w:ascii="Arial" w:hAnsi="Arial" w:cs="Arial" w:hint="eastAsia"/>
          <w:sz w:val="28"/>
        </w:rPr>
        <w:t>18.4%</w:t>
      </w:r>
      <w:r>
        <w:rPr>
          <w:rFonts w:ascii="Arial" w:hAnsi="Arial" w:cs="Arial" w:hint="eastAsia"/>
          <w:sz w:val="28"/>
        </w:rPr>
        <w:t>，成交规模为近三年同期新高。从月度趋势来看，北京存量房市场热度先涨后降，受</w:t>
      </w:r>
      <w:r>
        <w:rPr>
          <w:rFonts w:ascii="Arial" w:hAnsi="Arial" w:cs="Arial" w:hint="eastAsia"/>
          <w:sz w:val="28"/>
        </w:rPr>
        <w:t>2024</w:t>
      </w:r>
      <w:r>
        <w:rPr>
          <w:rFonts w:ascii="Arial" w:hAnsi="Arial" w:cs="Arial" w:hint="eastAsia"/>
          <w:sz w:val="28"/>
        </w:rPr>
        <w:t>年契税新政集中网签及春节假期影响，</w:t>
      </w:r>
      <w:r>
        <w:rPr>
          <w:rFonts w:ascii="Arial" w:hAnsi="Arial" w:cs="Arial" w:hint="eastAsia"/>
          <w:sz w:val="28"/>
        </w:rPr>
        <w:t>1/2</w:t>
      </w:r>
      <w:r>
        <w:rPr>
          <w:rFonts w:ascii="Arial" w:hAnsi="Arial" w:cs="Arial" w:hint="eastAsia"/>
          <w:sz w:val="28"/>
        </w:rPr>
        <w:t>月北京存量商品</w:t>
      </w:r>
      <w:proofErr w:type="gramStart"/>
      <w:r>
        <w:rPr>
          <w:rFonts w:ascii="Arial" w:hAnsi="Arial" w:cs="Arial" w:hint="eastAsia"/>
          <w:sz w:val="28"/>
        </w:rPr>
        <w:t>住宅网签量</w:t>
      </w:r>
      <w:proofErr w:type="gramEnd"/>
      <w:r>
        <w:rPr>
          <w:rFonts w:ascii="Arial" w:hAnsi="Arial" w:cs="Arial" w:hint="eastAsia"/>
          <w:sz w:val="28"/>
        </w:rPr>
        <w:t>相对较低，但</w:t>
      </w:r>
      <w:proofErr w:type="gramStart"/>
      <w:r>
        <w:rPr>
          <w:rFonts w:ascii="Arial" w:hAnsi="Arial" w:cs="Arial" w:hint="eastAsia"/>
          <w:sz w:val="28"/>
        </w:rPr>
        <w:t>月度网签量</w:t>
      </w:r>
      <w:proofErr w:type="gramEnd"/>
      <w:r>
        <w:rPr>
          <w:rFonts w:ascii="Arial" w:hAnsi="Arial" w:cs="Arial" w:hint="eastAsia"/>
          <w:sz w:val="28"/>
        </w:rPr>
        <w:t>依然在</w:t>
      </w:r>
      <w:r>
        <w:rPr>
          <w:rFonts w:ascii="Arial" w:hAnsi="Arial" w:cs="Arial" w:hint="eastAsia"/>
          <w:sz w:val="28"/>
        </w:rPr>
        <w:t>1.2</w:t>
      </w:r>
      <w:r>
        <w:rPr>
          <w:rFonts w:ascii="Arial" w:hAnsi="Arial" w:cs="Arial" w:hint="eastAsia"/>
          <w:sz w:val="28"/>
        </w:rPr>
        <w:t>万套左右；在小阳春带动下，</w:t>
      </w:r>
      <w:r>
        <w:rPr>
          <w:rFonts w:ascii="Arial" w:hAnsi="Arial" w:cs="Arial" w:hint="eastAsia"/>
          <w:sz w:val="28"/>
        </w:rPr>
        <w:t>3</w:t>
      </w:r>
      <w:r>
        <w:rPr>
          <w:rFonts w:ascii="Arial" w:hAnsi="Arial" w:cs="Arial" w:hint="eastAsia"/>
          <w:sz w:val="28"/>
        </w:rPr>
        <w:t>月北京存量商品住宅冲高至</w:t>
      </w:r>
      <w:r>
        <w:rPr>
          <w:rFonts w:ascii="Arial" w:hAnsi="Arial" w:cs="Arial" w:hint="eastAsia"/>
          <w:sz w:val="28"/>
        </w:rPr>
        <w:t>1.92</w:t>
      </w:r>
      <w:r>
        <w:rPr>
          <w:rFonts w:ascii="Arial" w:hAnsi="Arial" w:cs="Arial" w:hint="eastAsia"/>
          <w:sz w:val="28"/>
        </w:rPr>
        <w:t>万套；二季度以来市场热度有所降温，</w:t>
      </w:r>
      <w:r>
        <w:rPr>
          <w:rFonts w:ascii="Arial" w:hAnsi="Arial" w:cs="Arial" w:hint="eastAsia"/>
          <w:sz w:val="28"/>
        </w:rPr>
        <w:t>4</w:t>
      </w:r>
      <w:r>
        <w:rPr>
          <w:rFonts w:ascii="Arial" w:hAnsi="Arial" w:cs="Arial" w:hint="eastAsia"/>
          <w:sz w:val="28"/>
        </w:rPr>
        <w:t>月</w:t>
      </w:r>
      <w:proofErr w:type="gramStart"/>
      <w:r>
        <w:rPr>
          <w:rFonts w:ascii="Arial" w:hAnsi="Arial" w:cs="Arial" w:hint="eastAsia"/>
          <w:sz w:val="28"/>
        </w:rPr>
        <w:t>网签量</w:t>
      </w:r>
      <w:proofErr w:type="gramEnd"/>
      <w:r>
        <w:rPr>
          <w:rFonts w:ascii="Arial" w:hAnsi="Arial" w:cs="Arial" w:hint="eastAsia"/>
          <w:sz w:val="28"/>
        </w:rPr>
        <w:t>降至</w:t>
      </w:r>
      <w:r>
        <w:rPr>
          <w:rFonts w:ascii="Arial" w:hAnsi="Arial" w:cs="Arial" w:hint="eastAsia"/>
          <w:sz w:val="28"/>
        </w:rPr>
        <w:t>1.56</w:t>
      </w:r>
      <w:r>
        <w:rPr>
          <w:rFonts w:ascii="Arial" w:hAnsi="Arial" w:cs="Arial" w:hint="eastAsia"/>
          <w:sz w:val="28"/>
        </w:rPr>
        <w:t>万套，</w:t>
      </w:r>
      <w:r>
        <w:rPr>
          <w:rFonts w:ascii="Arial" w:hAnsi="Arial" w:cs="Arial" w:hint="eastAsia"/>
          <w:sz w:val="28"/>
        </w:rPr>
        <w:t>5</w:t>
      </w:r>
      <w:r>
        <w:rPr>
          <w:rFonts w:ascii="Arial" w:hAnsi="Arial" w:cs="Arial" w:hint="eastAsia"/>
          <w:sz w:val="28"/>
        </w:rPr>
        <w:t>月回落至</w:t>
      </w:r>
      <w:r>
        <w:rPr>
          <w:rFonts w:ascii="Arial" w:hAnsi="Arial" w:cs="Arial" w:hint="eastAsia"/>
          <w:sz w:val="28"/>
        </w:rPr>
        <w:t>1.5</w:t>
      </w:r>
      <w:r>
        <w:rPr>
          <w:rFonts w:ascii="Arial" w:hAnsi="Arial" w:cs="Arial" w:hint="eastAsia"/>
          <w:sz w:val="28"/>
        </w:rPr>
        <w:t>万套以下，</w:t>
      </w:r>
      <w:r>
        <w:rPr>
          <w:rFonts w:ascii="Arial" w:hAnsi="Arial" w:cs="Arial" w:hint="eastAsia"/>
          <w:sz w:val="28"/>
        </w:rPr>
        <w:t>6</w:t>
      </w:r>
      <w:r>
        <w:rPr>
          <w:rFonts w:ascii="Arial" w:hAnsi="Arial" w:cs="Arial" w:hint="eastAsia"/>
          <w:sz w:val="28"/>
        </w:rPr>
        <w:t>月小幅回升至</w:t>
      </w:r>
      <w:r>
        <w:rPr>
          <w:rFonts w:ascii="Arial" w:hAnsi="Arial" w:cs="Arial" w:hint="eastAsia"/>
          <w:sz w:val="28"/>
        </w:rPr>
        <w:t>1.51</w:t>
      </w:r>
      <w:r>
        <w:rPr>
          <w:rFonts w:ascii="Arial" w:hAnsi="Arial" w:cs="Arial" w:hint="eastAsia"/>
          <w:sz w:val="28"/>
        </w:rPr>
        <w:t>万套，整体来看，二季度成交量虽有所下降，但仍保持较高水平。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年上半年，北京存量房市场延续“以价换量”主旋律。从统计局数据来看，</w:t>
      </w:r>
      <w:r>
        <w:rPr>
          <w:rFonts w:ascii="Arial" w:hAnsi="Arial" w:cs="Arial" w:hint="eastAsia"/>
          <w:sz w:val="28"/>
        </w:rPr>
        <w:t>1/2</w:t>
      </w:r>
      <w:r>
        <w:rPr>
          <w:rFonts w:ascii="Arial" w:hAnsi="Arial" w:cs="Arial" w:hint="eastAsia"/>
          <w:sz w:val="28"/>
        </w:rPr>
        <w:t>月二手房价格指数表现平稳，</w:t>
      </w:r>
      <w:r>
        <w:rPr>
          <w:rFonts w:ascii="Arial" w:hAnsi="Arial" w:cs="Arial" w:hint="eastAsia"/>
          <w:sz w:val="28"/>
        </w:rPr>
        <w:t>3</w:t>
      </w:r>
      <w:r>
        <w:rPr>
          <w:rFonts w:ascii="Arial" w:hAnsi="Arial" w:cs="Arial" w:hint="eastAsia"/>
          <w:sz w:val="28"/>
        </w:rPr>
        <w:t>月受小阳春</w:t>
      </w:r>
      <w:proofErr w:type="gramStart"/>
      <w:r>
        <w:rPr>
          <w:rFonts w:ascii="Arial" w:hAnsi="Arial" w:cs="Arial" w:hint="eastAsia"/>
          <w:sz w:val="28"/>
        </w:rPr>
        <w:t>传以及</w:t>
      </w:r>
      <w:proofErr w:type="gramEnd"/>
      <w:r>
        <w:rPr>
          <w:rFonts w:ascii="Arial" w:hAnsi="Arial" w:cs="Arial" w:hint="eastAsia"/>
          <w:sz w:val="28"/>
        </w:rPr>
        <w:t>学区需求释放，购房者信心恢复，二手房价格环指数比上涨</w:t>
      </w:r>
      <w:r>
        <w:rPr>
          <w:rFonts w:ascii="Arial" w:hAnsi="Arial" w:cs="Arial" w:hint="eastAsia"/>
          <w:sz w:val="28"/>
        </w:rPr>
        <w:t>0.5%</w:t>
      </w:r>
      <w:r>
        <w:rPr>
          <w:rFonts w:ascii="Arial" w:hAnsi="Arial" w:cs="Arial" w:hint="eastAsia"/>
          <w:sz w:val="28"/>
        </w:rPr>
        <w:t>，至此，北京存量房已连续</w:t>
      </w:r>
      <w:r>
        <w:rPr>
          <w:rFonts w:ascii="Arial" w:hAnsi="Arial" w:cs="Arial" w:hint="eastAsia"/>
          <w:sz w:val="28"/>
        </w:rPr>
        <w:t>6</w:t>
      </w:r>
      <w:r>
        <w:rPr>
          <w:rFonts w:ascii="Arial" w:hAnsi="Arial" w:cs="Arial" w:hint="eastAsia"/>
          <w:sz w:val="28"/>
        </w:rPr>
        <w:t>个月环比上涨或持平。二季度以来，受存量房挂牌增加，学区需求下滑等因素影响，北京二手房价格</w:t>
      </w:r>
      <w:proofErr w:type="gramStart"/>
      <w:r>
        <w:rPr>
          <w:rFonts w:ascii="Arial" w:hAnsi="Arial" w:cs="Arial" w:hint="eastAsia"/>
          <w:sz w:val="28"/>
        </w:rPr>
        <w:t>指数环比持续</w:t>
      </w:r>
      <w:proofErr w:type="gramEnd"/>
      <w:r>
        <w:rPr>
          <w:rFonts w:ascii="Arial" w:hAnsi="Arial" w:cs="Arial" w:hint="eastAsia"/>
          <w:sz w:val="28"/>
        </w:rPr>
        <w:t>下跌。</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4230" cy="1601470"/>
            <wp:effectExtent l="0" t="0" r="0" b="0"/>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）各区县统计</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分区域来看，</w:t>
      </w:r>
      <w:r>
        <w:rPr>
          <w:rFonts w:ascii="Arial" w:hAnsi="Arial" w:cs="Arial" w:hint="eastAsia"/>
          <w:sz w:val="28"/>
        </w:rPr>
        <w:t>2025</w:t>
      </w:r>
      <w:r>
        <w:rPr>
          <w:rFonts w:ascii="Arial" w:hAnsi="Arial" w:cs="Arial" w:hint="eastAsia"/>
          <w:sz w:val="28"/>
        </w:rPr>
        <w:t>年上半年朝阳</w:t>
      </w:r>
      <w:bookmarkStart w:id="130" w:name="OLE_LINK4"/>
      <w:r>
        <w:rPr>
          <w:rFonts w:ascii="Arial" w:hAnsi="Arial" w:cs="Arial" w:hint="eastAsia"/>
          <w:sz w:val="28"/>
        </w:rPr>
        <w:t>区</w:t>
      </w:r>
      <w:bookmarkEnd w:id="130"/>
      <w:r>
        <w:rPr>
          <w:rFonts w:ascii="Arial" w:hAnsi="Arial" w:cs="Arial" w:hint="eastAsia"/>
          <w:sz w:val="28"/>
        </w:rPr>
        <w:t>存量</w:t>
      </w:r>
      <w:proofErr w:type="gramStart"/>
      <w:r>
        <w:rPr>
          <w:rFonts w:ascii="Arial" w:hAnsi="Arial" w:cs="Arial" w:hint="eastAsia"/>
          <w:sz w:val="28"/>
        </w:rPr>
        <w:t>房成交</w:t>
      </w:r>
      <w:proofErr w:type="gramEnd"/>
      <w:r>
        <w:rPr>
          <w:rFonts w:ascii="Arial" w:hAnsi="Arial" w:cs="Arial" w:hint="eastAsia"/>
          <w:sz w:val="28"/>
        </w:rPr>
        <w:t>规模较大，成交规模达</w:t>
      </w:r>
      <w:r>
        <w:rPr>
          <w:rFonts w:ascii="Arial" w:hAnsi="Arial" w:cs="Arial" w:hint="eastAsia"/>
          <w:sz w:val="28"/>
        </w:rPr>
        <w:t>201.77</w:t>
      </w:r>
      <w:r>
        <w:rPr>
          <w:rFonts w:ascii="Arial" w:hAnsi="Arial" w:cs="Arial" w:hint="eastAsia"/>
          <w:sz w:val="28"/>
        </w:rPr>
        <w:t>万平方米，居各区第一位；海淀区、丰台区、昌平区、</w:t>
      </w:r>
      <w:proofErr w:type="gramStart"/>
      <w:r>
        <w:rPr>
          <w:rFonts w:ascii="Arial" w:hAnsi="Arial" w:cs="Arial" w:hint="eastAsia"/>
          <w:sz w:val="28"/>
        </w:rPr>
        <w:t>大兴区成交</w:t>
      </w:r>
      <w:proofErr w:type="gramEnd"/>
      <w:r>
        <w:rPr>
          <w:rFonts w:ascii="Arial" w:hAnsi="Arial" w:cs="Arial" w:hint="eastAsia"/>
          <w:sz w:val="28"/>
        </w:rPr>
        <w:t>面积均超过</w:t>
      </w:r>
      <w:r>
        <w:rPr>
          <w:rFonts w:ascii="Arial" w:hAnsi="Arial" w:cs="Arial" w:hint="eastAsia"/>
          <w:sz w:val="28"/>
        </w:rPr>
        <w:t>60</w:t>
      </w:r>
      <w:r>
        <w:rPr>
          <w:rFonts w:ascii="Arial" w:hAnsi="Arial" w:cs="Arial" w:hint="eastAsia"/>
          <w:sz w:val="28"/>
        </w:rPr>
        <w:t>万平方米，成交规模居第二梯队；另外，远郊的平谷区、延庆区、怀柔区以及近郊的门头沟区存量房市场活跃度相对较低，成交规模均不足</w:t>
      </w:r>
      <w:r>
        <w:rPr>
          <w:rFonts w:ascii="Arial" w:hAnsi="Arial" w:cs="Arial" w:hint="eastAsia"/>
          <w:sz w:val="28"/>
        </w:rPr>
        <w:t>20</w:t>
      </w:r>
      <w:r>
        <w:rPr>
          <w:rFonts w:ascii="Arial" w:hAnsi="Arial" w:cs="Arial" w:hint="eastAsia"/>
          <w:sz w:val="28"/>
        </w:rPr>
        <w:t>万平方米。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从同比变化来看，</w:t>
      </w:r>
      <w:r>
        <w:rPr>
          <w:rFonts w:ascii="Arial" w:hAnsi="Arial" w:cs="Arial" w:hint="eastAsia"/>
          <w:sz w:val="28"/>
        </w:rPr>
        <w:t>2025</w:t>
      </w:r>
      <w:r>
        <w:rPr>
          <w:rFonts w:ascii="Arial" w:hAnsi="Arial" w:cs="Arial" w:hint="eastAsia"/>
          <w:sz w:val="28"/>
        </w:rPr>
        <w:t>年上半年各区县存量</w:t>
      </w:r>
      <w:proofErr w:type="gramStart"/>
      <w:r>
        <w:rPr>
          <w:rFonts w:ascii="Arial" w:hAnsi="Arial" w:cs="Arial" w:hint="eastAsia"/>
          <w:sz w:val="28"/>
        </w:rPr>
        <w:t>房成交</w:t>
      </w:r>
      <w:proofErr w:type="gramEnd"/>
      <w:r>
        <w:rPr>
          <w:rFonts w:ascii="Arial" w:hAnsi="Arial" w:cs="Arial" w:hint="eastAsia"/>
          <w:sz w:val="28"/>
        </w:rPr>
        <w:t>规模均同比上涨，其中门头沟区低基数下成交规模同比增加</w:t>
      </w:r>
      <w:r>
        <w:rPr>
          <w:rFonts w:ascii="Arial" w:hAnsi="Arial" w:cs="Arial" w:hint="eastAsia"/>
          <w:sz w:val="28"/>
        </w:rPr>
        <w:t>48%</w:t>
      </w:r>
      <w:r>
        <w:rPr>
          <w:rFonts w:ascii="Arial" w:hAnsi="Arial" w:cs="Arial" w:hint="eastAsia"/>
          <w:sz w:val="28"/>
        </w:rPr>
        <w:t>，朝阳区、东城</w:t>
      </w:r>
      <w:proofErr w:type="gramStart"/>
      <w:r>
        <w:rPr>
          <w:rFonts w:ascii="Arial" w:hAnsi="Arial" w:cs="Arial" w:hint="eastAsia"/>
          <w:sz w:val="28"/>
        </w:rPr>
        <w:t>区成交</w:t>
      </w:r>
      <w:proofErr w:type="gramEnd"/>
      <w:r>
        <w:rPr>
          <w:rFonts w:ascii="Arial" w:hAnsi="Arial" w:cs="Arial" w:hint="eastAsia"/>
          <w:sz w:val="28"/>
        </w:rPr>
        <w:t>规模同比</w:t>
      </w:r>
      <w:proofErr w:type="gramStart"/>
      <w:r>
        <w:rPr>
          <w:rFonts w:ascii="Arial" w:hAnsi="Arial" w:cs="Arial" w:hint="eastAsia"/>
          <w:sz w:val="28"/>
        </w:rPr>
        <w:t>增幅超</w:t>
      </w:r>
      <w:proofErr w:type="gramEnd"/>
      <w:r>
        <w:rPr>
          <w:rFonts w:ascii="Arial" w:hAnsi="Arial" w:cs="Arial" w:hint="eastAsia"/>
          <w:sz w:val="28"/>
        </w:rPr>
        <w:t>三成。成交价格方面，</w:t>
      </w:r>
      <w:r>
        <w:rPr>
          <w:rFonts w:ascii="Arial" w:hAnsi="Arial" w:cs="Arial" w:hint="eastAsia"/>
          <w:sz w:val="28"/>
        </w:rPr>
        <w:t>2025</w:t>
      </w:r>
      <w:r>
        <w:rPr>
          <w:rFonts w:ascii="Arial" w:hAnsi="Arial" w:cs="Arial" w:hint="eastAsia"/>
          <w:sz w:val="28"/>
        </w:rPr>
        <w:t>年上半年西城区成交价格最高，达</w:t>
      </w:r>
      <w:r>
        <w:rPr>
          <w:rFonts w:ascii="Arial" w:hAnsi="Arial" w:cs="Arial" w:hint="eastAsia"/>
          <w:sz w:val="28"/>
        </w:rPr>
        <w:t>115562</w:t>
      </w:r>
      <w:r>
        <w:rPr>
          <w:rFonts w:ascii="Arial" w:hAnsi="Arial" w:cs="Arial" w:hint="eastAsia"/>
          <w:sz w:val="28"/>
        </w:rPr>
        <w:t>元</w:t>
      </w:r>
      <w:r>
        <w:rPr>
          <w:rFonts w:ascii="Arial" w:hAnsi="Arial" w:cs="Arial" w:hint="eastAsia"/>
          <w:sz w:val="28"/>
        </w:rPr>
        <w:t>/</w:t>
      </w:r>
      <w:r>
        <w:rPr>
          <w:rFonts w:ascii="Arial" w:hAnsi="Arial" w:cs="Arial" w:hint="eastAsia"/>
          <w:sz w:val="28"/>
        </w:rPr>
        <w:t>平；其次为东城区，为</w:t>
      </w:r>
      <w:r>
        <w:rPr>
          <w:rFonts w:ascii="Arial" w:hAnsi="Arial" w:cs="Arial" w:hint="eastAsia"/>
          <w:sz w:val="28"/>
        </w:rPr>
        <w:t>98380</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119630"/>
            <wp:effectExtent l="0" t="0" r="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整体来看，北京市</w:t>
      </w:r>
      <w:bookmarkStart w:id="131" w:name="OLE_LINK5"/>
      <w:r>
        <w:rPr>
          <w:rFonts w:ascii="Arial" w:hAnsi="Arial" w:cs="Arial" w:hint="eastAsia"/>
          <w:sz w:val="28"/>
        </w:rPr>
        <w:t>存量</w:t>
      </w:r>
      <w:bookmarkEnd w:id="131"/>
      <w:r>
        <w:rPr>
          <w:rFonts w:ascii="Arial" w:hAnsi="Arial" w:cs="Arial" w:hint="eastAsia"/>
          <w:sz w:val="28"/>
        </w:rPr>
        <w:t>房对新房市场的分流效应逐步增强。</w:t>
      </w:r>
      <w:r>
        <w:rPr>
          <w:rFonts w:ascii="Arial" w:hAnsi="Arial" w:cs="Arial" w:hint="eastAsia"/>
          <w:sz w:val="28"/>
        </w:rPr>
        <w:t>2021</w:t>
      </w:r>
      <w:r>
        <w:rPr>
          <w:rFonts w:ascii="Arial" w:hAnsi="Arial" w:cs="Arial" w:hint="eastAsia"/>
          <w:sz w:val="28"/>
        </w:rPr>
        <w:t>年以来，北京市存量</w:t>
      </w:r>
      <w:proofErr w:type="gramStart"/>
      <w:r>
        <w:rPr>
          <w:rFonts w:ascii="Arial" w:hAnsi="Arial" w:cs="Arial" w:hint="eastAsia"/>
          <w:sz w:val="28"/>
        </w:rPr>
        <w:t>房成交</w:t>
      </w:r>
      <w:proofErr w:type="gramEnd"/>
      <w:r>
        <w:rPr>
          <w:rFonts w:ascii="Arial" w:hAnsi="Arial" w:cs="Arial" w:hint="eastAsia"/>
          <w:sz w:val="28"/>
        </w:rPr>
        <w:t>占比波动增加。</w:t>
      </w:r>
      <w:r>
        <w:rPr>
          <w:rFonts w:ascii="Arial" w:hAnsi="Arial" w:cs="Arial" w:hint="eastAsia"/>
          <w:sz w:val="28"/>
        </w:rPr>
        <w:t>2025</w:t>
      </w:r>
      <w:r>
        <w:rPr>
          <w:rFonts w:ascii="Arial" w:hAnsi="Arial" w:cs="Arial" w:hint="eastAsia"/>
          <w:sz w:val="28"/>
        </w:rPr>
        <w:t>年上半年，北京新房市场虽有海淀、朝阳等改善项目的局部高热现象，但整体市场持续承压；反观存量房，市场热度较高，二季度虽有所下滑，但上半年成交套数升至近三年新高。</w:t>
      </w:r>
      <w:r>
        <w:rPr>
          <w:rFonts w:ascii="Arial" w:hAnsi="Arial" w:cs="Arial" w:hint="eastAsia"/>
          <w:sz w:val="28"/>
        </w:rPr>
        <w:lastRenderedPageBreak/>
        <w:t>2025</w:t>
      </w:r>
      <w:r>
        <w:rPr>
          <w:rFonts w:ascii="Arial" w:hAnsi="Arial" w:cs="Arial" w:hint="eastAsia"/>
          <w:sz w:val="28"/>
        </w:rPr>
        <w:t>年上半年北京存量商品住宅累计成交套数占比升至</w:t>
      </w:r>
      <w:r>
        <w:rPr>
          <w:rFonts w:ascii="Arial" w:hAnsi="Arial" w:cs="Arial" w:hint="eastAsia"/>
          <w:sz w:val="28"/>
        </w:rPr>
        <w:t>80%</w:t>
      </w:r>
      <w:r>
        <w:rPr>
          <w:rFonts w:ascii="Arial" w:hAnsi="Arial" w:cs="Arial" w:hint="eastAsia"/>
          <w:sz w:val="28"/>
        </w:rPr>
        <w:t>，较上年同期提高</w:t>
      </w:r>
      <w:r>
        <w:rPr>
          <w:rFonts w:ascii="Arial" w:hAnsi="Arial" w:cs="Arial" w:hint="eastAsia"/>
          <w:sz w:val="28"/>
        </w:rPr>
        <w:t>3</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39925"/>
            <wp:effectExtent l="0" t="0" r="0" b="0"/>
            <wp:docPr id="2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）未来市场预期</w:t>
      </w:r>
    </w:p>
    <w:p w:rsidR="004935A9" w:rsidRDefault="00311723">
      <w:pPr>
        <w:spacing w:line="360" w:lineRule="auto"/>
        <w:ind w:firstLineChars="200" w:firstLine="560"/>
        <w:jc w:val="both"/>
        <w:rPr>
          <w:rFonts w:ascii="Arial" w:hAnsi="Arial" w:cs="Arial"/>
          <w:sz w:val="28"/>
        </w:rPr>
      </w:pPr>
      <w:bookmarkStart w:id="132" w:name="_Hlk204350337"/>
      <w:r>
        <w:rPr>
          <w:rFonts w:ascii="Arial" w:hAnsi="Arial" w:cs="Arial" w:hint="eastAsia"/>
          <w:sz w:val="28"/>
        </w:rPr>
        <w:t>北京市住宅市场正处于转型升级的关键阶段，未来将呈现“总量平稳、结构优化”的发展格局。从短期来看，</w:t>
      </w:r>
      <w:r>
        <w:rPr>
          <w:rFonts w:ascii="Arial" w:hAnsi="Arial" w:cs="Arial" w:hint="eastAsia"/>
          <w:sz w:val="28"/>
        </w:rPr>
        <w:t>2025</w:t>
      </w:r>
      <w:r>
        <w:rPr>
          <w:rFonts w:ascii="Arial" w:hAnsi="Arial" w:cs="Arial" w:hint="eastAsia"/>
          <w:sz w:val="28"/>
        </w:rPr>
        <w:t>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bookmarkEnd w:id="132"/>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3.</w:t>
      </w:r>
      <w:r>
        <w:rPr>
          <w:rFonts w:ascii="Arial" w:hAnsi="Arial" w:cs="Arial" w:hint="eastAsia"/>
          <w:sz w:val="28"/>
        </w:rPr>
        <w:t>产业政策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产业优惠政策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全国：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30</w:t>
      </w:r>
      <w:r>
        <w:rPr>
          <w:rFonts w:ascii="Arial" w:hAnsi="Arial" w:cs="Arial" w:hint="eastAsia"/>
          <w:sz w:val="28"/>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26</w:t>
      </w:r>
      <w:r>
        <w:rPr>
          <w:rFonts w:ascii="Arial" w:hAnsi="Arial" w:cs="Arial" w:hint="eastAsia"/>
          <w:sz w:val="28"/>
        </w:rPr>
        <w:t>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Pr>
          <w:rFonts w:ascii="Arial" w:hAnsi="Arial" w:cs="Arial" w:hint="eastAsia"/>
          <w:sz w:val="28"/>
        </w:rPr>
        <w:t>振市场</w:t>
      </w:r>
      <w:proofErr w:type="gramEnd"/>
      <w:r>
        <w:rPr>
          <w:rFonts w:ascii="Arial" w:hAnsi="Arial" w:cs="Arial" w:hint="eastAsia"/>
          <w:sz w:val="28"/>
        </w:rPr>
        <w:t>信心。三、项目贷款：</w:t>
      </w:r>
      <w:r>
        <w:rPr>
          <w:rFonts w:ascii="Arial" w:hAnsi="Arial" w:cs="Arial" w:hint="eastAsia"/>
          <w:sz w:val="28"/>
        </w:rPr>
        <w:lastRenderedPageBreak/>
        <w:t>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11</w:t>
      </w:r>
      <w:r>
        <w:rPr>
          <w:rFonts w:ascii="Arial" w:hAnsi="Arial" w:cs="Arial" w:hint="eastAsia"/>
          <w:sz w:val="28"/>
        </w:rPr>
        <w:t>日至</w:t>
      </w:r>
      <w:r>
        <w:rPr>
          <w:rFonts w:ascii="Arial" w:hAnsi="Arial" w:cs="Arial" w:hint="eastAsia"/>
          <w:sz w:val="28"/>
        </w:rPr>
        <w:t>12</w:t>
      </w:r>
      <w:r>
        <w:rPr>
          <w:rFonts w:ascii="Arial" w:hAnsi="Arial" w:cs="Arial" w:hint="eastAsia"/>
          <w:sz w:val="28"/>
        </w:rPr>
        <w:t>日，</w:t>
      </w:r>
      <w:r>
        <w:rPr>
          <w:rFonts w:ascii="Arial" w:hAnsi="Arial" w:cs="Arial" w:hint="eastAsia"/>
          <w:sz w:val="28"/>
        </w:rPr>
        <w:t>2024</w:t>
      </w:r>
      <w:r>
        <w:rPr>
          <w:rFonts w:ascii="Arial" w:hAnsi="Arial" w:cs="Arial" w:hint="eastAsia"/>
          <w:sz w:val="28"/>
        </w:rPr>
        <w:t>年中央经济工作会议举行。会议总结</w:t>
      </w:r>
      <w:r>
        <w:rPr>
          <w:rFonts w:ascii="Arial" w:hAnsi="Arial" w:cs="Arial" w:hint="eastAsia"/>
          <w:sz w:val="28"/>
        </w:rPr>
        <w:t>2024</w:t>
      </w:r>
      <w:r>
        <w:rPr>
          <w:rFonts w:ascii="Arial" w:hAnsi="Arial" w:cs="Arial" w:hint="eastAsia"/>
          <w:sz w:val="28"/>
        </w:rPr>
        <w:t>年经济工作，分析当前经济形势，部署</w:t>
      </w:r>
      <w:r>
        <w:rPr>
          <w:rFonts w:ascii="Arial" w:hAnsi="Arial" w:cs="Arial" w:hint="eastAsia"/>
          <w:sz w:val="28"/>
        </w:rPr>
        <w:t>2025</w:t>
      </w:r>
      <w:r>
        <w:rPr>
          <w:rFonts w:ascii="Arial" w:hAnsi="Arial" w:cs="Arial" w:hint="eastAsia"/>
          <w:sz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rsidR="004935A9" w:rsidRDefault="00311723">
      <w:pPr>
        <w:spacing w:line="360" w:lineRule="auto"/>
        <w:ind w:firstLineChars="200" w:firstLine="560"/>
        <w:jc w:val="both"/>
        <w:rPr>
          <w:rFonts w:ascii="Arial" w:hAnsi="Arial" w:cs="Arial"/>
          <w:sz w:val="28"/>
        </w:rPr>
      </w:pPr>
      <w:bookmarkStart w:id="133" w:name="OLE_LINK3"/>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24</w:t>
      </w:r>
      <w:r>
        <w:rPr>
          <w:rFonts w:ascii="Arial" w:hAnsi="Arial" w:cs="Arial" w:hint="eastAsia"/>
          <w:sz w:val="28"/>
        </w:rPr>
        <w:t>日至</w:t>
      </w:r>
      <w:r>
        <w:rPr>
          <w:rFonts w:ascii="Arial" w:hAnsi="Arial" w:cs="Arial" w:hint="eastAsia"/>
          <w:sz w:val="28"/>
        </w:rPr>
        <w:t>25</w:t>
      </w:r>
      <w:r>
        <w:rPr>
          <w:rFonts w:ascii="Arial" w:hAnsi="Arial" w:cs="Arial" w:hint="eastAsia"/>
          <w:sz w:val="28"/>
        </w:rPr>
        <w:t>日，全国住房城乡建设工作会议在北京召开。会议系统总结</w:t>
      </w:r>
      <w:r>
        <w:rPr>
          <w:rFonts w:ascii="Arial" w:hAnsi="Arial" w:cs="Arial" w:hint="eastAsia"/>
          <w:sz w:val="28"/>
        </w:rPr>
        <w:t>2024</w:t>
      </w:r>
      <w:r>
        <w:rPr>
          <w:rFonts w:ascii="Arial" w:hAnsi="Arial" w:cs="Arial" w:hint="eastAsia"/>
          <w:sz w:val="28"/>
        </w:rPr>
        <w:t>年工作，部署进一步全面深化住房城乡建设领域改革，明确</w:t>
      </w:r>
      <w:r>
        <w:rPr>
          <w:rFonts w:ascii="Arial" w:hAnsi="Arial" w:cs="Arial" w:hint="eastAsia"/>
          <w:sz w:val="28"/>
        </w:rPr>
        <w:t>2025</w:t>
      </w:r>
      <w:r>
        <w:rPr>
          <w:rFonts w:ascii="Arial" w:hAnsi="Arial" w:cs="Arial" w:hint="eastAsia"/>
          <w:sz w:val="28"/>
        </w:rPr>
        <w:t>年重点任务，奋力推进住房城乡建设事业高质量发展。会议强调，</w:t>
      </w:r>
      <w:r>
        <w:rPr>
          <w:rFonts w:ascii="Arial" w:hAnsi="Arial" w:cs="Arial" w:hint="eastAsia"/>
          <w:sz w:val="28"/>
        </w:rPr>
        <w:t>2025</w:t>
      </w:r>
      <w:r>
        <w:rPr>
          <w:rFonts w:ascii="Arial" w:hAnsi="Arial" w:cs="Arial" w:hint="eastAsia"/>
          <w:sz w:val="28"/>
        </w:rPr>
        <w:t>年的工作要重点抓好</w:t>
      </w:r>
      <w:r>
        <w:rPr>
          <w:rFonts w:ascii="Arial" w:hAnsi="Arial" w:cs="Arial" w:hint="eastAsia"/>
          <w:sz w:val="28"/>
        </w:rPr>
        <w:t>5</w:t>
      </w:r>
      <w:r>
        <w:rPr>
          <w:rFonts w:ascii="Arial" w:hAnsi="Arial" w:cs="Arial" w:hint="eastAsia"/>
          <w:sz w:val="28"/>
        </w:rPr>
        <w:t>大板块</w:t>
      </w:r>
      <w:r>
        <w:rPr>
          <w:rFonts w:ascii="Arial" w:hAnsi="Arial" w:cs="Arial" w:hint="eastAsia"/>
          <w:sz w:val="28"/>
        </w:rPr>
        <w:t>22</w:t>
      </w:r>
      <w:r>
        <w:rPr>
          <w:rFonts w:ascii="Arial" w:hAnsi="Arial" w:cs="Arial" w:hint="eastAsia"/>
          <w:sz w:val="28"/>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w:t>
      </w:r>
      <w:r>
        <w:rPr>
          <w:rFonts w:ascii="Arial" w:hAnsi="Arial" w:cs="Arial" w:hint="eastAsia"/>
          <w:sz w:val="28"/>
        </w:rPr>
        <w:lastRenderedPageBreak/>
        <w:t>质量的制度供给激发活力、整体提升工程建设标准、支持打造形成现代化建筑产业链和把绿色建筑培育发展成新的经济增长点五个方面，打造“中国建造”升级版。五、从提高住宅建设标准、构建支持住房品质提升的制度体系、</w:t>
      </w:r>
      <w:proofErr w:type="gramStart"/>
      <w:r>
        <w:rPr>
          <w:rFonts w:ascii="Arial" w:hAnsi="Arial" w:cs="Arial" w:hint="eastAsia"/>
          <w:sz w:val="28"/>
        </w:rPr>
        <w:t>支持房企打造</w:t>
      </w:r>
      <w:proofErr w:type="gramEnd"/>
      <w:r>
        <w:rPr>
          <w:rFonts w:ascii="Arial" w:hAnsi="Arial" w:cs="Arial" w:hint="eastAsia"/>
          <w:sz w:val="28"/>
        </w:rPr>
        <w:t>好房子样板、推进老旧住宅更新改造和大力实施物业服务质量提升行动五个方面，建设安全、舒适、绿色、智慧的好房子。</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3</w:t>
      </w:r>
      <w:r>
        <w:rPr>
          <w:rFonts w:ascii="Arial" w:hAnsi="Arial" w:cs="Arial" w:hint="eastAsia"/>
          <w:sz w:val="28"/>
        </w:rPr>
        <w:t>月</w:t>
      </w:r>
      <w:r>
        <w:rPr>
          <w:rFonts w:ascii="Arial" w:hAnsi="Arial" w:cs="Arial" w:hint="eastAsia"/>
          <w:sz w:val="28"/>
        </w:rPr>
        <w:t>5</w:t>
      </w:r>
      <w:r>
        <w:rPr>
          <w:rFonts w:ascii="Arial" w:hAnsi="Arial" w:cs="Arial" w:hint="eastAsia"/>
          <w:sz w:val="28"/>
        </w:rPr>
        <w:t>日全国两会召开。关于房地产的定调，政府工作报告延续了去年底中央经济工作会议基调，在</w:t>
      </w:r>
      <w:r>
        <w:rPr>
          <w:rFonts w:ascii="Arial" w:hAnsi="Arial" w:cs="Arial" w:hint="eastAsia"/>
          <w:sz w:val="28"/>
        </w:rPr>
        <w:t>2025</w:t>
      </w:r>
      <w:r>
        <w:rPr>
          <w:rFonts w:ascii="Arial" w:hAnsi="Arial" w:cs="Arial" w:hint="eastAsia"/>
          <w:sz w:val="28"/>
        </w:rPr>
        <w:t>年政府工作任务“有效防范化解重点领域风险</w:t>
      </w:r>
      <w:r>
        <w:rPr>
          <w:rFonts w:ascii="Arial" w:hAnsi="Arial" w:cs="Arial" w:hint="eastAsia"/>
          <w:sz w:val="28"/>
        </w:rPr>
        <w:t>,</w:t>
      </w:r>
      <w:r>
        <w:rPr>
          <w:rFonts w:ascii="Arial" w:hAnsi="Arial" w:cs="Arial" w:hint="eastAsia"/>
          <w:sz w:val="28"/>
        </w:rPr>
        <w:t>牢牢守住不发生系统性风险底线”中确立了“持续用力推动房地产市场止跌回稳”的政策目标，并从需求不断加力、供给持续调整、风险防范化解和行业长远发展四个方面给出了大段论述。</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3</w:t>
      </w:r>
      <w:r>
        <w:rPr>
          <w:rFonts w:ascii="Arial" w:hAnsi="Arial" w:cs="Arial" w:hint="eastAsia"/>
          <w:sz w:val="28"/>
        </w:rPr>
        <w:t>日，财政部办公厅、住房城乡建设部办公厅联合发布《关于开展</w:t>
      </w:r>
      <w:r>
        <w:rPr>
          <w:rFonts w:ascii="Arial" w:hAnsi="Arial" w:cs="Arial" w:hint="eastAsia"/>
          <w:sz w:val="28"/>
        </w:rPr>
        <w:t>2025</w:t>
      </w:r>
      <w:r>
        <w:rPr>
          <w:rFonts w:ascii="Arial" w:hAnsi="Arial" w:cs="Arial" w:hint="eastAsia"/>
          <w:sz w:val="28"/>
        </w:rPr>
        <w:t>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s="Arial" w:hint="eastAsia"/>
          <w:sz w:val="28"/>
        </w:rPr>
        <w:t>2</w:t>
      </w:r>
      <w:r>
        <w:rPr>
          <w:rFonts w:ascii="Arial" w:hAnsi="Arial" w:cs="Arial" w:hint="eastAsia"/>
          <w:sz w:val="28"/>
        </w:rPr>
        <w:t>个方向。</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s="Arial" w:hint="eastAsia"/>
          <w:sz w:val="28"/>
        </w:rPr>
        <w:t>适时降准降息</w:t>
      </w:r>
      <w:proofErr w:type="gramEnd"/>
      <w:r>
        <w:rPr>
          <w:rFonts w:ascii="Arial" w:hAnsi="Arial" w:cs="Arial" w:hint="eastAsia"/>
          <w:sz w:val="28"/>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s="Arial" w:hint="eastAsia"/>
          <w:sz w:val="28"/>
        </w:rPr>
        <w:t xml:space="preserve"> </w:t>
      </w:r>
      <w:r>
        <w:rPr>
          <w:rFonts w:ascii="Arial" w:hAnsi="Arial" w:cs="Arial" w:hint="eastAsia"/>
          <w:sz w:val="28"/>
        </w:rPr>
        <w:t>模式，加大高品质住房供给，优化存量商品房收购政策，持续巩固房地产市场稳定态势。</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日，中共中央办公厅与国务院办公厅公开发布《关于持</w:t>
      </w:r>
      <w:r>
        <w:rPr>
          <w:rFonts w:ascii="Arial" w:hAnsi="Arial" w:cs="Arial" w:hint="eastAsia"/>
          <w:sz w:val="28"/>
        </w:rPr>
        <w:lastRenderedPageBreak/>
        <w:t>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日国务院常务会议召开，其中重点部署了房地产相关政策，核心目标是“更大力度推动房地产市场止跌回稳”，并围绕构建房地产发展新模式、推进“好房子”建设、盘活存量资源等方面提出具体措施。</w:t>
      </w:r>
    </w:p>
    <w:bookmarkEnd w:id="133"/>
    <w:p w:rsidR="004935A9" w:rsidRDefault="00311723">
      <w:pPr>
        <w:spacing w:line="360" w:lineRule="auto"/>
        <w:ind w:firstLineChars="200" w:firstLine="560"/>
        <w:jc w:val="both"/>
        <w:rPr>
          <w:rFonts w:ascii="Arial" w:hAnsi="Arial" w:cs="Arial"/>
          <w:sz w:val="28"/>
        </w:rPr>
      </w:pPr>
      <w:r>
        <w:rPr>
          <w:rFonts w:ascii="Arial" w:hAnsi="Arial" w:cs="Arial" w:hint="eastAsia"/>
          <w:sz w:val="28"/>
        </w:rPr>
        <w:t>北京：</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31</w:t>
      </w:r>
      <w:r>
        <w:rPr>
          <w:rFonts w:ascii="Arial" w:hAnsi="Arial" w:cs="Arial" w:hint="eastAsia"/>
          <w:sz w:val="28"/>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Pr>
          <w:rFonts w:ascii="Arial" w:hAnsi="Arial" w:cs="Arial" w:hint="eastAsia"/>
          <w:sz w:val="28"/>
        </w:rPr>
        <w:t>3</w:t>
      </w:r>
      <w:r>
        <w:rPr>
          <w:rFonts w:ascii="Arial" w:hAnsi="Arial" w:cs="Arial" w:hint="eastAsia"/>
          <w:sz w:val="28"/>
        </w:rPr>
        <w:t>个月租金的，全部租金应当按合同约定的租金支付时间、金额存入用于租金监管的账户。承租人可通过住房租赁合同备案编号等信息查询账户余额。该办法将于</w:t>
      </w:r>
      <w:r>
        <w:rPr>
          <w:rFonts w:ascii="Arial" w:hAnsi="Arial" w:cs="Arial" w:hint="eastAsia"/>
          <w:sz w:val="28"/>
        </w:rPr>
        <w:t>2024</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日，北京市多部门联合发布《关于进一步优化调整本市</w:t>
      </w:r>
      <w:r>
        <w:rPr>
          <w:rFonts w:ascii="Arial" w:hAnsi="Arial" w:cs="Arial" w:hint="eastAsia"/>
          <w:sz w:val="28"/>
        </w:rPr>
        <w:lastRenderedPageBreak/>
        <w:t>房地产相关政策的通知》，自</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w:t>
      </w:r>
      <w:proofErr w:type="gramStart"/>
      <w:r>
        <w:rPr>
          <w:rFonts w:ascii="Arial" w:hAnsi="Arial" w:cs="Arial" w:hint="eastAsia"/>
          <w:sz w:val="28"/>
        </w:rPr>
        <w:t>振产生</w:t>
      </w:r>
      <w:proofErr w:type="gramEnd"/>
      <w:r>
        <w:rPr>
          <w:rFonts w:ascii="Arial" w:hAnsi="Arial" w:cs="Arial" w:hint="eastAsia"/>
          <w:sz w:val="28"/>
        </w:rPr>
        <w:t>积极影响，并预示着更多鼓励性政策的出台。</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18</w:t>
      </w:r>
      <w:r>
        <w:rPr>
          <w:rFonts w:ascii="Arial" w:hAnsi="Arial" w:cs="Arial" w:hint="eastAsia"/>
          <w:sz w:val="28"/>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s="Arial" w:hint="eastAsia"/>
          <w:sz w:val="28"/>
        </w:rPr>
        <w:t>2</w:t>
      </w:r>
      <w:r>
        <w:rPr>
          <w:rFonts w:ascii="Arial" w:hAnsi="Arial" w:cs="Arial" w:hint="eastAsia"/>
          <w:sz w:val="28"/>
        </w:rPr>
        <w:t>年及以上的住房将免征增值税，而持有不足</w:t>
      </w:r>
      <w:r>
        <w:rPr>
          <w:rFonts w:ascii="Arial" w:hAnsi="Arial" w:cs="Arial" w:hint="eastAsia"/>
          <w:sz w:val="28"/>
        </w:rPr>
        <w:t>2</w:t>
      </w:r>
      <w:r>
        <w:rPr>
          <w:rFonts w:ascii="Arial" w:hAnsi="Arial" w:cs="Arial" w:hint="eastAsia"/>
          <w:sz w:val="28"/>
        </w:rPr>
        <w:t>年的住房则需按</w:t>
      </w:r>
      <w:r>
        <w:rPr>
          <w:rFonts w:ascii="Arial" w:hAnsi="Arial" w:cs="Arial" w:hint="eastAsia"/>
          <w:sz w:val="28"/>
        </w:rPr>
        <w:t>5%</w:t>
      </w:r>
      <w:r>
        <w:rPr>
          <w:rFonts w:ascii="Arial" w:hAnsi="Arial" w:cs="Arial" w:hint="eastAsia"/>
          <w:sz w:val="28"/>
        </w:rPr>
        <w:t>的税率缴纳增值税。在契税方面，北京市与全国统一，对个人购买家庭唯一住房，面积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税率征收契税，超过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1.5%</w:t>
      </w:r>
      <w:r>
        <w:rPr>
          <w:rFonts w:ascii="Arial" w:hAnsi="Arial" w:cs="Arial" w:hint="eastAsia"/>
          <w:sz w:val="28"/>
        </w:rPr>
        <w:t>征收；对于家庭第二套住房，面积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征收，超过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2%</w:t>
      </w:r>
      <w:r>
        <w:rPr>
          <w:rFonts w:ascii="Arial" w:hAnsi="Arial" w:cs="Arial" w:hint="eastAsia"/>
          <w:sz w:val="28"/>
        </w:rPr>
        <w:t>征收。</w:t>
      </w:r>
    </w:p>
    <w:p w:rsidR="004935A9" w:rsidRDefault="00311723">
      <w:pPr>
        <w:spacing w:line="360" w:lineRule="auto"/>
        <w:ind w:firstLineChars="200" w:firstLine="560"/>
        <w:jc w:val="both"/>
        <w:rPr>
          <w:rFonts w:ascii="Arial" w:hAnsi="Arial" w:cs="Arial"/>
          <w:sz w:val="28"/>
        </w:rPr>
      </w:pPr>
      <w:bookmarkStart w:id="134" w:name="OLE_LINK2"/>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29</w:t>
      </w:r>
      <w:r>
        <w:rPr>
          <w:rFonts w:ascii="Arial" w:hAnsi="Arial" w:cs="Arial" w:hint="eastAsia"/>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cs="Arial" w:hint="eastAsia"/>
          <w:sz w:val="28"/>
        </w:rPr>
        <w:t>,</w:t>
      </w:r>
      <w:r>
        <w:rPr>
          <w:rFonts w:ascii="Arial" w:hAnsi="Arial" w:cs="Arial" w:hint="eastAsia"/>
          <w:sz w:val="28"/>
        </w:rPr>
        <w:t>充分激发多元主体的更新意愿，推动城市更新项目落地实施。</w:t>
      </w:r>
      <w:bookmarkEnd w:id="134"/>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12</w:t>
      </w:r>
      <w:r>
        <w:rPr>
          <w:rFonts w:ascii="Arial" w:hAnsi="Arial" w:cs="Arial" w:hint="eastAsia"/>
          <w:sz w:val="28"/>
        </w:rPr>
        <w:t>日，北京市规划和自然资源委员会发布《关于印发〈北京市平原多点地区“好房子”规划管理相关技术要点（试行）〉的通知》，</w:t>
      </w:r>
      <w:r>
        <w:rPr>
          <w:rFonts w:ascii="Arial" w:hAnsi="Arial" w:cs="Arial" w:hint="eastAsia"/>
          <w:sz w:val="28"/>
        </w:rPr>
        <w:lastRenderedPageBreak/>
        <w:t>旨在提升住房品质，满足多样化居住需求。主要内容包括：允许按需设置封闭或开敞阳台，面积不超过套内建筑面积的</w:t>
      </w:r>
      <w:r>
        <w:rPr>
          <w:rFonts w:ascii="Arial" w:hAnsi="Arial" w:cs="Arial" w:hint="eastAsia"/>
          <w:sz w:val="28"/>
        </w:rPr>
        <w:t>10%</w:t>
      </w:r>
      <w:r>
        <w:rPr>
          <w:rFonts w:ascii="Arial" w:hAnsi="Arial" w:cs="Arial" w:hint="eastAsia"/>
          <w:sz w:val="28"/>
        </w:rPr>
        <w:t>；鼓励在</w:t>
      </w:r>
      <w:r>
        <w:rPr>
          <w:rFonts w:ascii="Arial" w:hAnsi="Arial" w:cs="Arial" w:hint="eastAsia"/>
          <w:sz w:val="28"/>
        </w:rPr>
        <w:t>140</w:t>
      </w:r>
      <w:r>
        <w:rPr>
          <w:rFonts w:ascii="Arial" w:hAnsi="Arial" w:cs="Arial" w:hint="eastAsia"/>
          <w:sz w:val="28"/>
        </w:rPr>
        <w:t>平方米以上住宅设置挑空空间；合理利用底层架空空间作为公共活动区域；设置开敞式风雨连廊以方便居民活动；增配邻里共享公共空间，提供便民服务；允许</w:t>
      </w:r>
      <w:proofErr w:type="gramStart"/>
      <w:r>
        <w:rPr>
          <w:rFonts w:ascii="Arial" w:hAnsi="Arial" w:cs="Arial" w:hint="eastAsia"/>
          <w:sz w:val="28"/>
        </w:rPr>
        <w:t>跨城市</w:t>
      </w:r>
      <w:proofErr w:type="gramEnd"/>
      <w:r>
        <w:rPr>
          <w:rFonts w:ascii="Arial" w:hAnsi="Arial" w:cs="Arial" w:hint="eastAsia"/>
          <w:sz w:val="28"/>
        </w:rPr>
        <w:t>支路空间利用以优化布局；建筑高度可局部上浮以形成错落天际线；鼓励使用高品质材料提升立面品质。这些措施适用于顺义、大兴、亦庄、昌平、房山等平原多点地区，城市副中心可参照执行。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9</w:t>
      </w:r>
      <w:r>
        <w:rPr>
          <w:rFonts w:ascii="Arial" w:hAnsi="Arial" w:cs="Arial" w:hint="eastAsia"/>
          <w:sz w:val="28"/>
        </w:rPr>
        <w:t>日，北京市住房和城乡建设委员会发布《关于印发〈</w:t>
      </w:r>
      <w:r>
        <w:rPr>
          <w:rFonts w:ascii="Arial" w:hAnsi="Arial" w:cs="Arial" w:hint="eastAsia"/>
          <w:sz w:val="28"/>
        </w:rPr>
        <w:t>2025</w:t>
      </w:r>
      <w:r>
        <w:rPr>
          <w:rFonts w:ascii="Arial" w:hAnsi="Arial" w:cs="Arial" w:hint="eastAsia"/>
          <w:sz w:val="28"/>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税收政策：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月，国家税务总局</w:t>
      </w:r>
      <w:r>
        <w:rPr>
          <w:rFonts w:ascii="Arial" w:hAnsi="Arial" w:cs="Arial" w:hint="eastAsia"/>
          <w:sz w:val="28"/>
        </w:rPr>
        <w:t>12366</w:t>
      </w:r>
      <w:r>
        <w:rPr>
          <w:rFonts w:ascii="Arial" w:hAnsi="Arial" w:cs="Arial" w:hint="eastAsia"/>
          <w:sz w:val="28"/>
        </w:rPr>
        <w:t>纳税服务平台以热点问题答复形式回应：纳税人按照《关于降低存量首套住房贷款</w:t>
      </w:r>
      <w:r>
        <w:rPr>
          <w:rFonts w:ascii="Arial" w:hAnsi="Arial" w:cs="Arial" w:hint="eastAsia"/>
          <w:sz w:val="28"/>
        </w:rPr>
        <w:t xml:space="preserve"> </w:t>
      </w:r>
      <w:r>
        <w:rPr>
          <w:rFonts w:ascii="Arial" w:hAnsi="Arial" w:cs="Arial" w:hint="eastAsia"/>
          <w:sz w:val="28"/>
        </w:rPr>
        <w:t>利率有关事项的通知》规定“二套转首套”，其商业住房贷款部分已执行首套住房贷款利率的，符合《国务院</w:t>
      </w:r>
      <w:r>
        <w:rPr>
          <w:rFonts w:ascii="Arial" w:hAnsi="Arial" w:cs="Arial" w:hint="eastAsia"/>
          <w:sz w:val="28"/>
        </w:rPr>
        <w:t xml:space="preserve"> </w:t>
      </w:r>
      <w:r>
        <w:rPr>
          <w:rFonts w:ascii="Arial" w:hAnsi="Arial" w:cs="Arial" w:hint="eastAsia"/>
          <w:sz w:val="28"/>
        </w:rPr>
        <w:t>关于印发个人所得税专项附加扣除暂行办法的通知》</w:t>
      </w:r>
      <w:r>
        <w:rPr>
          <w:rFonts w:ascii="Arial" w:hAnsi="Arial" w:cs="Arial" w:hint="eastAsia"/>
          <w:sz w:val="28"/>
        </w:rPr>
        <w:t>(</w:t>
      </w:r>
      <w:r>
        <w:rPr>
          <w:rFonts w:ascii="Arial" w:hAnsi="Arial" w:cs="Arial" w:hint="eastAsia"/>
          <w:sz w:val="28"/>
        </w:rPr>
        <w:t>国发〔</w:t>
      </w:r>
      <w:r>
        <w:rPr>
          <w:rFonts w:ascii="Arial" w:hAnsi="Arial" w:cs="Arial" w:hint="eastAsia"/>
          <w:sz w:val="28"/>
        </w:rPr>
        <w:t>2018</w:t>
      </w:r>
      <w:r>
        <w:rPr>
          <w:rFonts w:ascii="Arial" w:hAnsi="Arial" w:cs="Arial" w:hint="eastAsia"/>
          <w:sz w:val="28"/>
        </w:rPr>
        <w:t>〕</w:t>
      </w:r>
      <w:r>
        <w:rPr>
          <w:rFonts w:ascii="Arial" w:hAnsi="Arial" w:cs="Arial" w:hint="eastAsia"/>
          <w:sz w:val="28"/>
        </w:rPr>
        <w:t>41</w:t>
      </w:r>
      <w:r>
        <w:rPr>
          <w:rFonts w:ascii="Arial" w:hAnsi="Arial" w:cs="Arial" w:hint="eastAsia"/>
          <w:sz w:val="28"/>
        </w:rPr>
        <w:t>号</w:t>
      </w:r>
      <w:r>
        <w:rPr>
          <w:rFonts w:ascii="Arial" w:hAnsi="Arial" w:cs="Arial" w:hint="eastAsia"/>
          <w:sz w:val="28"/>
        </w:rPr>
        <w:t>)</w:t>
      </w:r>
      <w:r>
        <w:rPr>
          <w:rFonts w:ascii="Arial" w:hAnsi="Arial" w:cs="Arial" w:hint="eastAsia"/>
          <w:sz w:val="28"/>
        </w:rPr>
        <w:t>有关住房贷款利息专项附加扣除的</w:t>
      </w:r>
      <w:r>
        <w:rPr>
          <w:rFonts w:ascii="Arial" w:hAnsi="Arial" w:cs="Arial" w:hint="eastAsia"/>
          <w:sz w:val="28"/>
        </w:rPr>
        <w:t xml:space="preserve"> </w:t>
      </w:r>
      <w:r>
        <w:rPr>
          <w:rFonts w:ascii="Arial" w:hAnsi="Arial" w:cs="Arial" w:hint="eastAsia"/>
          <w:sz w:val="28"/>
        </w:rPr>
        <w:t>规定</w:t>
      </w:r>
      <w:proofErr w:type="gramStart"/>
      <w:r>
        <w:rPr>
          <w:rFonts w:ascii="Arial" w:hAnsi="Arial" w:cs="Arial" w:hint="eastAsia"/>
          <w:sz w:val="28"/>
        </w:rPr>
        <w:t>且之前</w:t>
      </w:r>
      <w:proofErr w:type="gramEnd"/>
      <w:r>
        <w:rPr>
          <w:rFonts w:ascii="Arial" w:hAnsi="Arial" w:cs="Arial" w:hint="eastAsia"/>
          <w:sz w:val="28"/>
        </w:rPr>
        <w:t>未享受过住房贷款利息专项附加扣除的，可以自按照首套住房贷款利率开始还款的当月起享受住房贷款利息专项附加扣除。</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金融政策：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全国：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日，中国人民银行公告，下调金融机构存款准备金率、下调再贷款利率、下调个人住房公积金贷款利率：自</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日起，下调金融机构存款准备金率</w:t>
      </w:r>
      <w:r>
        <w:rPr>
          <w:rFonts w:ascii="Arial" w:hAnsi="Arial" w:cs="Arial" w:hint="eastAsia"/>
          <w:sz w:val="28"/>
        </w:rPr>
        <w:t>0.5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日起，下调再贷款利率</w:t>
      </w:r>
      <w:r>
        <w:rPr>
          <w:rFonts w:ascii="Arial" w:hAnsi="Arial" w:cs="Arial" w:hint="eastAsia"/>
          <w:sz w:val="28"/>
        </w:rPr>
        <w:t>0.25</w:t>
      </w:r>
      <w:r>
        <w:rPr>
          <w:rFonts w:ascii="Arial" w:hAnsi="Arial" w:cs="Arial" w:hint="eastAsia"/>
          <w:sz w:val="28"/>
        </w:rPr>
        <w:lastRenderedPageBreak/>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 xml:space="preserve"> 8</w:t>
      </w:r>
      <w:r>
        <w:rPr>
          <w:rFonts w:ascii="Arial" w:hAnsi="Arial" w:cs="Arial" w:hint="eastAsia"/>
          <w:sz w:val="28"/>
        </w:rPr>
        <w:t>日起，下调个人住房公积金贷款利率</w:t>
      </w:r>
      <w:r>
        <w:rPr>
          <w:rFonts w:ascii="Arial" w:hAnsi="Arial" w:cs="Arial" w:hint="eastAsia"/>
          <w:sz w:val="28"/>
        </w:rPr>
        <w:t>0.25</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北京：</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w:t>
      </w:r>
      <w:r>
        <w:rPr>
          <w:rFonts w:ascii="Arial" w:hAnsi="Arial" w:cs="Arial" w:hint="eastAsia"/>
          <w:sz w:val="28"/>
        </w:rPr>
        <w:t>20%</w:t>
      </w:r>
      <w:r>
        <w:rPr>
          <w:rFonts w:ascii="Arial" w:hAnsi="Arial" w:cs="Arial" w:hint="eastAsia"/>
          <w:sz w:val="28"/>
        </w:rPr>
        <w:t>。对于使用贷款购买二套商品住房的居民家庭，所购住房位于五环以内的，最低首付款比例不低于</w:t>
      </w:r>
      <w:r>
        <w:rPr>
          <w:rFonts w:ascii="Arial" w:hAnsi="Arial" w:cs="Arial" w:hint="eastAsia"/>
          <w:sz w:val="28"/>
        </w:rPr>
        <w:t>35%</w:t>
      </w:r>
      <w:r>
        <w:rPr>
          <w:rFonts w:ascii="Arial" w:hAnsi="Arial" w:cs="Arial" w:hint="eastAsia"/>
          <w:sz w:val="28"/>
        </w:rPr>
        <w:t>；所购商品住房位于五环以外的，最低首付款比例不低于</w:t>
      </w:r>
      <w:r>
        <w:rPr>
          <w:rFonts w:ascii="Arial" w:hAnsi="Arial" w:cs="Arial" w:hint="eastAsia"/>
          <w:sz w:val="28"/>
        </w:rPr>
        <w:t>30%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w:t>
      </w:r>
      <w:proofErr w:type="gramStart"/>
      <w:r>
        <w:rPr>
          <w:rFonts w:ascii="Arial" w:hAnsi="Arial" w:cs="Arial" w:hint="eastAsia"/>
          <w:sz w:val="28"/>
        </w:rPr>
        <w:t>调房贷首付款</w:t>
      </w:r>
      <w:proofErr w:type="gramEnd"/>
      <w:r>
        <w:rPr>
          <w:rFonts w:ascii="Arial" w:hAnsi="Arial" w:cs="Arial" w:hint="eastAsia"/>
          <w:sz w:val="28"/>
        </w:rPr>
        <w:t>比例。将商业性个人住房贷款首套房贷最低首付款比例由不低于</w:t>
      </w:r>
      <w:r>
        <w:rPr>
          <w:rFonts w:ascii="Arial" w:hAnsi="Arial" w:cs="Arial" w:hint="eastAsia"/>
          <w:sz w:val="28"/>
        </w:rPr>
        <w:t>20%</w:t>
      </w:r>
      <w:r>
        <w:rPr>
          <w:rFonts w:ascii="Arial" w:hAnsi="Arial" w:cs="Arial" w:hint="eastAsia"/>
          <w:sz w:val="28"/>
        </w:rPr>
        <w:t>下调至不低于</w:t>
      </w:r>
      <w:r>
        <w:rPr>
          <w:rFonts w:ascii="Arial" w:hAnsi="Arial" w:cs="Arial" w:hint="eastAsia"/>
          <w:sz w:val="28"/>
        </w:rPr>
        <w:t>15%</w:t>
      </w:r>
      <w:r>
        <w:rPr>
          <w:rFonts w:ascii="Arial" w:hAnsi="Arial" w:cs="Arial" w:hint="eastAsia"/>
          <w:sz w:val="28"/>
        </w:rPr>
        <w:t>，二</w:t>
      </w:r>
      <w:proofErr w:type="gramStart"/>
      <w:r>
        <w:rPr>
          <w:rFonts w:ascii="Arial" w:hAnsi="Arial" w:cs="Arial" w:hint="eastAsia"/>
          <w:sz w:val="28"/>
        </w:rPr>
        <w:t>套房贷由不</w:t>
      </w:r>
      <w:proofErr w:type="gramEnd"/>
      <w:r>
        <w:rPr>
          <w:rFonts w:ascii="Arial" w:hAnsi="Arial" w:cs="Arial" w:hint="eastAsia"/>
          <w:sz w:val="28"/>
        </w:rPr>
        <w:t>低于</w:t>
      </w:r>
      <w:r>
        <w:rPr>
          <w:rFonts w:ascii="Arial" w:hAnsi="Arial" w:cs="Arial" w:hint="eastAsia"/>
          <w:sz w:val="28"/>
        </w:rPr>
        <w:t>35%</w:t>
      </w:r>
      <w:r>
        <w:rPr>
          <w:rFonts w:ascii="Arial" w:hAnsi="Arial" w:cs="Arial" w:hint="eastAsia"/>
          <w:sz w:val="28"/>
        </w:rPr>
        <w:t>（购买五环内住房）、不低于</w:t>
      </w:r>
      <w:r>
        <w:rPr>
          <w:rFonts w:ascii="Arial" w:hAnsi="Arial" w:cs="Arial" w:hint="eastAsia"/>
          <w:sz w:val="28"/>
        </w:rPr>
        <w:t>30%</w:t>
      </w:r>
      <w:r>
        <w:rPr>
          <w:rFonts w:ascii="Arial" w:hAnsi="Arial" w:cs="Arial" w:hint="eastAsia"/>
          <w:sz w:val="28"/>
        </w:rPr>
        <w:t>（购买五环外住房）统一下调至不低于</w:t>
      </w:r>
      <w:r>
        <w:rPr>
          <w:rFonts w:ascii="Arial" w:hAnsi="Arial" w:cs="Arial" w:hint="eastAsia"/>
          <w:sz w:val="28"/>
        </w:rPr>
        <w:t>20%</w:t>
      </w:r>
      <w:r>
        <w:rPr>
          <w:rFonts w:ascii="Arial" w:hAnsi="Arial" w:cs="Arial" w:hint="eastAsia"/>
          <w:sz w:val="28"/>
        </w:rPr>
        <w:t>。三是更好发挥住房公积金贷款作用。京籍二</w:t>
      </w:r>
      <w:proofErr w:type="gramStart"/>
      <w:r>
        <w:rPr>
          <w:rFonts w:ascii="Arial" w:hAnsi="Arial" w:cs="Arial" w:hint="eastAsia"/>
          <w:sz w:val="28"/>
        </w:rPr>
        <w:t>孩以上</w:t>
      </w:r>
      <w:proofErr w:type="gramEnd"/>
      <w:r>
        <w:rPr>
          <w:rFonts w:ascii="Arial" w:hAnsi="Arial" w:cs="Arial" w:hint="eastAsia"/>
          <w:sz w:val="28"/>
        </w:rPr>
        <w:t>家庭购房的，公积金可贷款额度上浮</w:t>
      </w:r>
      <w:r>
        <w:rPr>
          <w:rFonts w:ascii="Arial" w:hAnsi="Arial" w:cs="Arial" w:hint="eastAsia"/>
          <w:sz w:val="28"/>
        </w:rPr>
        <w:t>40</w:t>
      </w:r>
      <w:r>
        <w:rPr>
          <w:rFonts w:ascii="Arial" w:hAnsi="Arial" w:cs="Arial" w:hint="eastAsia"/>
          <w:sz w:val="28"/>
        </w:rPr>
        <w:t>万元。</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31</w:t>
      </w:r>
      <w:r>
        <w:rPr>
          <w:rFonts w:ascii="Arial" w:hAnsi="Arial" w:cs="Arial" w:hint="eastAsia"/>
          <w:sz w:val="28"/>
        </w:rPr>
        <w:t>日，北京住房公积金管理中心发布《关于调整住房公积金个人住房贷款借款人年龄上限的通知》，将住房公积金个人住房贷款借款期限调整到可计算到借款申请人法定退休年龄后</w:t>
      </w:r>
      <w:r>
        <w:rPr>
          <w:rFonts w:ascii="Arial" w:hAnsi="Arial" w:cs="Arial" w:hint="eastAsia"/>
          <w:sz w:val="28"/>
        </w:rPr>
        <w:t>5</w:t>
      </w:r>
      <w:r>
        <w:rPr>
          <w:rFonts w:ascii="Arial" w:hAnsi="Arial" w:cs="Arial" w:hint="eastAsia"/>
          <w:sz w:val="28"/>
        </w:rPr>
        <w:t>年，原则上最高不超过</w:t>
      </w:r>
      <w:r>
        <w:rPr>
          <w:rFonts w:ascii="Arial" w:hAnsi="Arial" w:cs="Arial" w:hint="eastAsia"/>
          <w:sz w:val="28"/>
        </w:rPr>
        <w:t>68</w:t>
      </w:r>
      <w:r>
        <w:rPr>
          <w:rFonts w:ascii="Arial" w:hAnsi="Arial" w:cs="Arial" w:hint="eastAsia"/>
          <w:sz w:val="28"/>
        </w:rPr>
        <w:t>周岁，贷款期限最长为</w:t>
      </w:r>
      <w:r>
        <w:rPr>
          <w:rFonts w:ascii="Arial" w:hAnsi="Arial" w:cs="Arial" w:hint="eastAsia"/>
          <w:sz w:val="28"/>
        </w:rPr>
        <w:t>30</w:t>
      </w:r>
      <w:r>
        <w:rPr>
          <w:rFonts w:ascii="Arial" w:hAnsi="Arial" w:cs="Arial" w:hint="eastAsia"/>
          <w:sz w:val="28"/>
        </w:rPr>
        <w:t>年。《通知》自</w:t>
      </w: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w:t>
      </w:r>
      <w:r>
        <w:rPr>
          <w:rFonts w:ascii="Arial" w:hAnsi="Arial" w:cs="Arial" w:hint="eastAsia"/>
          <w:sz w:val="28"/>
        </w:rPr>
        <w:t>日起执行。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日，北京住房公积金管理中心发布《关于下调个人住房</w:t>
      </w:r>
      <w:r>
        <w:rPr>
          <w:rFonts w:ascii="Arial" w:hAnsi="Arial" w:cs="Arial" w:hint="eastAsia"/>
          <w:sz w:val="28"/>
        </w:rPr>
        <w:lastRenderedPageBreak/>
        <w:t>公积金贷款利率的公告》，</w:t>
      </w: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日（含）之后新发放的贷款，</w:t>
      </w:r>
      <w:r>
        <w:rPr>
          <w:rFonts w:ascii="Arial" w:hAnsi="Arial" w:cs="Arial" w:hint="eastAsia"/>
          <w:sz w:val="28"/>
        </w:rPr>
        <w:t>5</w:t>
      </w:r>
      <w:r>
        <w:rPr>
          <w:rFonts w:ascii="Arial" w:hAnsi="Arial" w:cs="Arial" w:hint="eastAsia"/>
          <w:sz w:val="28"/>
        </w:rPr>
        <w:t>年以下（含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年以上首</w:t>
      </w:r>
      <w:proofErr w:type="gramStart"/>
      <w:r>
        <w:rPr>
          <w:rFonts w:ascii="Arial" w:hAnsi="Arial" w:cs="Arial" w:hint="eastAsia"/>
          <w:sz w:val="28"/>
        </w:rPr>
        <w:t>套个人</w:t>
      </w:r>
      <w:proofErr w:type="gramEnd"/>
      <w:r>
        <w:rPr>
          <w:rFonts w:ascii="Arial" w:hAnsi="Arial" w:cs="Arial" w:hint="eastAsia"/>
          <w:sz w:val="28"/>
        </w:rPr>
        <w:t>住房公积金贷款利率分别为</w:t>
      </w:r>
      <w:r>
        <w:rPr>
          <w:rFonts w:ascii="Arial" w:hAnsi="Arial" w:cs="Arial" w:hint="eastAsia"/>
          <w:sz w:val="28"/>
        </w:rPr>
        <w:t>2.1</w:t>
      </w:r>
      <w:r>
        <w:rPr>
          <w:rFonts w:ascii="Arial" w:hAnsi="Arial" w:cs="Arial" w:hint="eastAsia"/>
          <w:sz w:val="28"/>
        </w:rPr>
        <w:t>％和</w:t>
      </w:r>
      <w:r>
        <w:rPr>
          <w:rFonts w:ascii="Arial" w:hAnsi="Arial" w:cs="Arial" w:hint="eastAsia"/>
          <w:sz w:val="28"/>
        </w:rPr>
        <w:t>2.6</w:t>
      </w:r>
      <w:r>
        <w:rPr>
          <w:rFonts w:ascii="Arial" w:hAnsi="Arial" w:cs="Arial" w:hint="eastAsia"/>
          <w:sz w:val="28"/>
        </w:rPr>
        <w:t>％，</w:t>
      </w:r>
      <w:r>
        <w:rPr>
          <w:rFonts w:ascii="Arial" w:hAnsi="Arial" w:cs="Arial" w:hint="eastAsia"/>
          <w:sz w:val="28"/>
        </w:rPr>
        <w:t>5</w:t>
      </w:r>
      <w:r>
        <w:rPr>
          <w:rFonts w:ascii="Arial" w:hAnsi="Arial" w:cs="Arial" w:hint="eastAsia"/>
          <w:sz w:val="28"/>
        </w:rPr>
        <w:t>年以下</w:t>
      </w:r>
      <w:r>
        <w:rPr>
          <w:rFonts w:ascii="Arial" w:hAnsi="Arial" w:cs="Arial" w:hint="eastAsia"/>
          <w:sz w:val="28"/>
        </w:rPr>
        <w:t xml:space="preserve"> </w:t>
      </w:r>
      <w:r>
        <w:rPr>
          <w:rFonts w:ascii="Arial" w:hAnsi="Arial" w:cs="Arial" w:hint="eastAsia"/>
          <w:sz w:val="28"/>
        </w:rPr>
        <w:t>（含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年以上第二套个人住房公积金贷款利率分别为</w:t>
      </w:r>
      <w:r>
        <w:rPr>
          <w:rFonts w:ascii="Arial" w:hAnsi="Arial" w:cs="Arial" w:hint="eastAsia"/>
          <w:sz w:val="28"/>
        </w:rPr>
        <w:t>2.525</w:t>
      </w:r>
      <w:r>
        <w:rPr>
          <w:rFonts w:ascii="Arial" w:hAnsi="Arial" w:cs="Arial" w:hint="eastAsia"/>
          <w:sz w:val="28"/>
        </w:rPr>
        <w:t>％和</w:t>
      </w:r>
      <w:r>
        <w:rPr>
          <w:rFonts w:ascii="Arial" w:hAnsi="Arial" w:cs="Arial" w:hint="eastAsia"/>
          <w:sz w:val="28"/>
        </w:rPr>
        <w:t>3.075</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城市规划与发展目标</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）《北京城市总体规划</w:t>
      </w:r>
      <w:r>
        <w:rPr>
          <w:rFonts w:ascii="Arial" w:hAnsi="Arial" w:cs="Arial" w:hint="eastAsia"/>
          <w:sz w:val="28"/>
        </w:rPr>
        <w:t>(2016</w:t>
      </w:r>
      <w:r>
        <w:rPr>
          <w:rFonts w:ascii="Arial" w:hAnsi="Arial" w:cs="Arial" w:hint="eastAsia"/>
          <w:sz w:val="28"/>
        </w:rPr>
        <w:t>年</w:t>
      </w:r>
      <w:r>
        <w:rPr>
          <w:rFonts w:ascii="Arial" w:hAnsi="Arial" w:cs="Arial" w:hint="eastAsia"/>
          <w:sz w:val="28"/>
        </w:rPr>
        <w:t>-2035</w:t>
      </w:r>
      <w:r>
        <w:rPr>
          <w:rFonts w:ascii="Arial" w:hAnsi="Arial" w:cs="Arial" w:hint="eastAsia"/>
          <w:sz w:val="28"/>
        </w:rPr>
        <w:t>年</w:t>
      </w:r>
      <w:r>
        <w:rPr>
          <w:rFonts w:ascii="Arial" w:hAnsi="Arial" w:cs="Arial" w:hint="eastAsia"/>
          <w:sz w:val="28"/>
        </w:rPr>
        <w:t>)</w:t>
      </w:r>
      <w:r>
        <w:rPr>
          <w:rFonts w:ascii="Arial" w:hAnsi="Arial" w:cs="Arial" w:hint="eastAsia"/>
          <w:sz w:val="28"/>
        </w:rPr>
        <w:t>》于</w:t>
      </w:r>
      <w:r>
        <w:rPr>
          <w:rFonts w:ascii="Arial" w:hAnsi="Arial" w:cs="Arial" w:hint="eastAsia"/>
          <w:sz w:val="28"/>
        </w:rPr>
        <w:t>2017</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29</w:t>
      </w:r>
      <w:r>
        <w:rPr>
          <w:rFonts w:ascii="Arial" w:hAnsi="Arial" w:cs="Arial" w:hint="eastAsia"/>
          <w:sz w:val="28"/>
        </w:rPr>
        <w:t>日正式发布。新版总体规划以资源环境为硬约束，确定了人口总量上限、生态控制线、城市开发边界“三条红线”。通过</w:t>
      </w:r>
      <w:proofErr w:type="gramStart"/>
      <w:r>
        <w:rPr>
          <w:rFonts w:ascii="Arial" w:hAnsi="Arial" w:cs="Arial" w:hint="eastAsia"/>
          <w:sz w:val="28"/>
        </w:rPr>
        <w:t>疏解非首都</w:t>
      </w:r>
      <w:proofErr w:type="gramEnd"/>
      <w:r>
        <w:rPr>
          <w:rFonts w:ascii="Arial" w:hAnsi="Arial" w:cs="Arial" w:hint="eastAsia"/>
          <w:sz w:val="28"/>
        </w:rPr>
        <w:t>功能，实现人</w:t>
      </w:r>
      <w:proofErr w:type="gramStart"/>
      <w:r>
        <w:rPr>
          <w:rFonts w:ascii="Arial" w:hAnsi="Arial" w:cs="Arial" w:hint="eastAsia"/>
          <w:sz w:val="28"/>
        </w:rPr>
        <w:t>随功能走</w:t>
      </w:r>
      <w:proofErr w:type="gramEnd"/>
      <w:r>
        <w:rPr>
          <w:rFonts w:ascii="Arial" w:hAnsi="Arial" w:cs="Arial" w:hint="eastAsia"/>
          <w:sz w:val="28"/>
        </w:rPr>
        <w:t>、人</w:t>
      </w:r>
      <w:proofErr w:type="gramStart"/>
      <w:r>
        <w:rPr>
          <w:rFonts w:ascii="Arial" w:hAnsi="Arial" w:cs="Arial" w:hint="eastAsia"/>
          <w:sz w:val="28"/>
        </w:rPr>
        <w:t>随产业</w:t>
      </w:r>
      <w:proofErr w:type="gramEnd"/>
      <w:r>
        <w:rPr>
          <w:rFonts w:ascii="Arial" w:hAnsi="Arial" w:cs="Arial" w:hint="eastAsia"/>
          <w:sz w:val="28"/>
        </w:rPr>
        <w:t>走。</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w:t>
      </w:r>
      <w:r>
        <w:rPr>
          <w:rFonts w:ascii="Arial" w:hAnsi="Arial" w:cs="Arial" w:hint="eastAsia"/>
          <w:sz w:val="28"/>
        </w:rPr>
        <w:t>2021</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27</w:t>
      </w:r>
      <w:r>
        <w:rPr>
          <w:rFonts w:ascii="Arial" w:hAnsi="Arial" w:cs="Arial" w:hint="eastAsia"/>
          <w:sz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hAnsi="Arial" w:cs="Arial" w:hint="eastAsia"/>
          <w:sz w:val="28"/>
        </w:rPr>
        <w:t>疏解非首都</w:t>
      </w:r>
      <w:proofErr w:type="gramEnd"/>
      <w:r>
        <w:rPr>
          <w:rFonts w:ascii="Arial" w:hAnsi="Arial" w:cs="Arial" w:hint="eastAsia"/>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w:t>
      </w:r>
      <w:r>
        <w:rPr>
          <w:rFonts w:ascii="Arial" w:hAnsi="Arial" w:cs="Arial" w:hint="eastAsia"/>
          <w:sz w:val="28"/>
        </w:rPr>
        <w:lastRenderedPageBreak/>
        <w:t>房发展科技研发、商务服务、文化创意等产业。</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cs="Arial" w:hint="eastAsia"/>
          <w:sz w:val="28"/>
        </w:rPr>
        <w:t>5000</w:t>
      </w:r>
      <w:r>
        <w:rPr>
          <w:rFonts w:ascii="Arial" w:hAnsi="Arial" w:cs="Arial" w:hint="eastAsia"/>
          <w:sz w:val="28"/>
        </w:rPr>
        <w:t>公顷、供应各类住房</w:t>
      </w:r>
      <w:r>
        <w:rPr>
          <w:rFonts w:ascii="Arial" w:hAnsi="Arial" w:cs="Arial" w:hint="eastAsia"/>
          <w:sz w:val="28"/>
        </w:rPr>
        <w:t>100</w:t>
      </w:r>
      <w:r>
        <w:rPr>
          <w:rFonts w:ascii="Arial" w:hAnsi="Arial" w:cs="Arial" w:hint="eastAsia"/>
          <w:sz w:val="28"/>
        </w:rPr>
        <w:t>万套左右，基本实现总体供需平衡。加大多层次保障性租赁住房供给，针对中低收入家庭自住需求，大力筹集建设各类租赁型住房，提高公共租赁住房备案家庭保障率，新增供应套数占比不低于</w:t>
      </w:r>
      <w:r>
        <w:rPr>
          <w:rFonts w:ascii="Arial" w:hAnsi="Arial" w:cs="Arial" w:hint="eastAsia"/>
          <w:sz w:val="28"/>
        </w:rPr>
        <w:t>40%</w:t>
      </w:r>
      <w:r>
        <w:rPr>
          <w:rFonts w:ascii="Arial" w:hAnsi="Arial" w:cs="Arial" w:hint="eastAsia"/>
          <w:sz w:val="28"/>
        </w:rPr>
        <w:t>。新增集体土地租赁住房等政策性租赁住房供地占比不低于供应总量的</w:t>
      </w:r>
      <w:r>
        <w:rPr>
          <w:rFonts w:ascii="Arial" w:hAnsi="Arial" w:cs="Arial" w:hint="eastAsia"/>
          <w:sz w:val="28"/>
        </w:rPr>
        <w:t>15%</w:t>
      </w:r>
      <w:r>
        <w:rPr>
          <w:rFonts w:ascii="Arial" w:hAnsi="Arial" w:cs="Arial" w:hint="eastAsia"/>
          <w:sz w:val="28"/>
        </w:rPr>
        <w:t>，鼓励存量低效商业、办公、厂房等建筑改造为租赁</w:t>
      </w:r>
      <w:proofErr w:type="gramStart"/>
      <w:r>
        <w:rPr>
          <w:rFonts w:ascii="Arial" w:hAnsi="Arial" w:cs="Arial" w:hint="eastAsia"/>
          <w:sz w:val="28"/>
        </w:rPr>
        <w:t>型职工</w:t>
      </w:r>
      <w:proofErr w:type="gramEnd"/>
      <w:r>
        <w:rPr>
          <w:rFonts w:ascii="Arial" w:hAnsi="Arial" w:cs="Arial" w:hint="eastAsia"/>
          <w:sz w:val="28"/>
        </w:rPr>
        <w:t>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w:t>
      </w:r>
      <w:r>
        <w:rPr>
          <w:rFonts w:ascii="Arial" w:hAnsi="Arial" w:cs="Arial" w:hint="eastAsia"/>
          <w:sz w:val="28"/>
        </w:rPr>
        <w:t>2022</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18</w:t>
      </w:r>
      <w:r>
        <w:rPr>
          <w:rFonts w:ascii="Arial" w:hAnsi="Arial" w:cs="Arial" w:hint="eastAsia"/>
          <w:sz w:val="28"/>
        </w:rPr>
        <w:t>日，北京市印发《北京市城市更新专项规划（“十四五”时期）》（以下简称‘《专项规划》’），严控大拆大建，采取小规模、渐进式、可持续的更新，依托新版《北京城市总规》确定的“</w:t>
      </w:r>
      <w:proofErr w:type="gramStart"/>
      <w:r>
        <w:rPr>
          <w:rFonts w:ascii="Arial" w:hAnsi="Arial" w:cs="Arial" w:hint="eastAsia"/>
          <w:sz w:val="28"/>
        </w:rPr>
        <w:t>一</w:t>
      </w:r>
      <w:proofErr w:type="gramEnd"/>
      <w:r>
        <w:rPr>
          <w:rFonts w:ascii="Arial" w:hAnsi="Arial" w:cs="Arial" w:hint="eastAsia"/>
          <w:sz w:val="28"/>
        </w:rPr>
        <w:t>核一主一副、两轴多点一区”的城市空间结构，分圈层差异</w:t>
      </w:r>
      <w:proofErr w:type="gramStart"/>
      <w:r>
        <w:rPr>
          <w:rFonts w:ascii="Arial" w:hAnsi="Arial" w:cs="Arial" w:hint="eastAsia"/>
          <w:sz w:val="28"/>
        </w:rPr>
        <w:t>化明确</w:t>
      </w:r>
      <w:proofErr w:type="gramEnd"/>
      <w:r>
        <w:rPr>
          <w:rFonts w:ascii="Arial" w:hAnsi="Arial" w:cs="Arial" w:hint="eastAsia"/>
          <w:sz w:val="28"/>
        </w:rPr>
        <w:t>更新方向，将首都功能核心区和城市副中心作为更新重点；划定近期</w:t>
      </w:r>
      <w:r>
        <w:rPr>
          <w:rFonts w:ascii="Arial" w:hAnsi="Arial" w:cs="Arial" w:hint="eastAsia"/>
          <w:sz w:val="28"/>
        </w:rPr>
        <w:t>178</w:t>
      </w:r>
      <w:r>
        <w:rPr>
          <w:rFonts w:ascii="Arial" w:hAnsi="Arial" w:cs="Arial" w:hint="eastAsia"/>
          <w:sz w:val="28"/>
        </w:rPr>
        <w:t>个城市更新重点街区，到</w:t>
      </w:r>
      <w:r>
        <w:rPr>
          <w:rFonts w:ascii="Arial" w:hAnsi="Arial" w:cs="Arial" w:hint="eastAsia"/>
          <w:sz w:val="28"/>
        </w:rPr>
        <w:t>2025</w:t>
      </w:r>
      <w:r>
        <w:rPr>
          <w:rFonts w:ascii="Arial" w:hAnsi="Arial" w:cs="Arial" w:hint="eastAsia"/>
          <w:sz w:val="28"/>
        </w:rPr>
        <w:t>年，将完成全市</w:t>
      </w:r>
      <w:r>
        <w:rPr>
          <w:rFonts w:ascii="Arial" w:hAnsi="Arial" w:cs="Arial" w:hint="eastAsia"/>
          <w:sz w:val="28"/>
        </w:rPr>
        <w:t>2000</w:t>
      </w:r>
      <w:r>
        <w:rPr>
          <w:rFonts w:ascii="Arial" w:hAnsi="Arial" w:cs="Arial" w:hint="eastAsia"/>
          <w:sz w:val="28"/>
        </w:rPr>
        <w:t>年底前建成需改造的</w:t>
      </w:r>
      <w:r>
        <w:rPr>
          <w:rFonts w:ascii="Arial" w:hAnsi="Arial" w:cs="Arial" w:hint="eastAsia"/>
          <w:sz w:val="28"/>
        </w:rPr>
        <w:t>1.6</w:t>
      </w:r>
      <w:r>
        <w:rPr>
          <w:rFonts w:ascii="Arial" w:hAnsi="Arial" w:cs="Arial" w:hint="eastAsia"/>
          <w:sz w:val="28"/>
        </w:rPr>
        <w:t>亿平方米老旧小区改造任务。</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《专项规划》要求健全完善多主体供给、多渠道保障、租购并举的住房制度和住房体系，增加保障性住房与共有产权住房供给；明确城市更新应坚</w:t>
      </w:r>
      <w:r>
        <w:rPr>
          <w:rFonts w:ascii="Arial" w:hAnsi="Arial" w:cs="Arial" w:hint="eastAsia"/>
          <w:sz w:val="28"/>
        </w:rPr>
        <w:lastRenderedPageBreak/>
        <w:t>持“留改拆”并举、以保留利用提升为主；要全面推进老旧小区更新改造；将老旧楼宇纳入城市更新范围；要塑造“两轴”沿线公共空间。</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hint="eastAsia"/>
          <w:sz w:val="28"/>
        </w:rPr>
        <w:t>城市经济发展运行状况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根据北京市统计局地区生产总值统一核算结果，</w:t>
      </w:r>
      <w:r>
        <w:rPr>
          <w:rFonts w:ascii="Arial" w:hAnsi="Arial" w:cs="Arial" w:hint="eastAsia"/>
          <w:sz w:val="28"/>
        </w:rPr>
        <w:t>2025</w:t>
      </w:r>
      <w:r>
        <w:rPr>
          <w:rFonts w:ascii="Arial" w:hAnsi="Arial" w:cs="Arial" w:hint="eastAsia"/>
          <w:sz w:val="28"/>
        </w:rPr>
        <w:t>年上半年，北京市实现地区生产总值</w:t>
      </w:r>
      <w:r>
        <w:rPr>
          <w:rFonts w:ascii="Arial" w:hAnsi="Arial" w:cs="Arial" w:hint="eastAsia"/>
          <w:sz w:val="28"/>
        </w:rPr>
        <w:t>25029.2</w:t>
      </w:r>
      <w:r>
        <w:rPr>
          <w:rFonts w:ascii="Arial" w:hAnsi="Arial" w:cs="Arial" w:hint="eastAsia"/>
          <w:sz w:val="28"/>
        </w:rPr>
        <w:t>亿元，按不变价格计算，同比增长</w:t>
      </w:r>
      <w:r>
        <w:rPr>
          <w:rFonts w:ascii="Arial" w:hAnsi="Arial" w:cs="Arial" w:hint="eastAsia"/>
          <w:sz w:val="28"/>
        </w:rPr>
        <w:t>5.5%</w:t>
      </w:r>
      <w:r>
        <w:rPr>
          <w:rFonts w:ascii="Arial" w:hAnsi="Arial" w:cs="Arial" w:hint="eastAsia"/>
          <w:sz w:val="28"/>
        </w:rPr>
        <w:t>。分产业看，第一产业实现增加值</w:t>
      </w:r>
      <w:r>
        <w:rPr>
          <w:rFonts w:ascii="Arial" w:hAnsi="Arial" w:cs="Arial" w:hint="eastAsia"/>
          <w:sz w:val="28"/>
        </w:rPr>
        <w:t>45.7</w:t>
      </w:r>
      <w:r>
        <w:rPr>
          <w:rFonts w:ascii="Arial" w:hAnsi="Arial" w:cs="Arial" w:hint="eastAsia"/>
          <w:sz w:val="28"/>
        </w:rPr>
        <w:t>亿元，增长</w:t>
      </w:r>
      <w:r>
        <w:rPr>
          <w:rFonts w:ascii="Arial" w:hAnsi="Arial" w:cs="Arial" w:hint="eastAsia"/>
          <w:sz w:val="28"/>
        </w:rPr>
        <w:t>1.5%</w:t>
      </w:r>
      <w:r>
        <w:rPr>
          <w:rFonts w:ascii="Arial" w:hAnsi="Arial" w:cs="Arial" w:hint="eastAsia"/>
          <w:sz w:val="28"/>
        </w:rPr>
        <w:t>；第二产业实现增加值</w:t>
      </w:r>
      <w:r>
        <w:rPr>
          <w:rFonts w:ascii="Arial" w:hAnsi="Arial" w:cs="Arial" w:hint="eastAsia"/>
          <w:sz w:val="28"/>
        </w:rPr>
        <w:t>3356.1</w:t>
      </w:r>
      <w:r>
        <w:rPr>
          <w:rFonts w:ascii="Arial" w:hAnsi="Arial" w:cs="Arial" w:hint="eastAsia"/>
          <w:sz w:val="28"/>
        </w:rPr>
        <w:t>亿元，增长</w:t>
      </w:r>
      <w:r>
        <w:rPr>
          <w:rFonts w:ascii="Arial" w:hAnsi="Arial" w:cs="Arial" w:hint="eastAsia"/>
          <w:sz w:val="28"/>
        </w:rPr>
        <w:t>4.7%</w:t>
      </w:r>
      <w:r>
        <w:rPr>
          <w:rFonts w:ascii="Arial" w:hAnsi="Arial" w:cs="Arial" w:hint="eastAsia"/>
          <w:sz w:val="28"/>
        </w:rPr>
        <w:t>；第三产业实现增加值</w:t>
      </w:r>
      <w:r>
        <w:rPr>
          <w:rFonts w:ascii="Arial" w:hAnsi="Arial" w:cs="Arial" w:hint="eastAsia"/>
          <w:sz w:val="28"/>
        </w:rPr>
        <w:t>21627.5</w:t>
      </w:r>
      <w:r>
        <w:rPr>
          <w:rFonts w:ascii="Arial" w:hAnsi="Arial" w:cs="Arial" w:hint="eastAsia"/>
          <w:sz w:val="28"/>
        </w:rPr>
        <w:t>亿元，增长</w:t>
      </w:r>
      <w:r>
        <w:rPr>
          <w:rFonts w:ascii="Arial" w:hAnsi="Arial" w:cs="Arial" w:hint="eastAsia"/>
          <w:sz w:val="28"/>
        </w:rPr>
        <w:t>5.6%</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）农业生产保持增长，乡村旅游升温向好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年上半年，北京市实现农林牧渔业总产值</w:t>
      </w:r>
      <w:r>
        <w:rPr>
          <w:rFonts w:ascii="Arial" w:hAnsi="Arial" w:cs="Arial" w:hint="eastAsia"/>
          <w:sz w:val="28"/>
        </w:rPr>
        <w:t>97.9</w:t>
      </w:r>
      <w:r>
        <w:rPr>
          <w:rFonts w:ascii="Arial" w:hAnsi="Arial" w:cs="Arial" w:hint="eastAsia"/>
          <w:sz w:val="28"/>
        </w:rPr>
        <w:t>亿元，按可比价格计算，同比增长</w:t>
      </w:r>
      <w:r>
        <w:rPr>
          <w:rFonts w:ascii="Arial" w:hAnsi="Arial" w:cs="Arial" w:hint="eastAsia"/>
          <w:sz w:val="28"/>
        </w:rPr>
        <w:t>2.2%</w:t>
      </w:r>
      <w:r>
        <w:rPr>
          <w:rFonts w:ascii="Arial" w:hAnsi="Arial" w:cs="Arial" w:hint="eastAsia"/>
          <w:sz w:val="28"/>
        </w:rPr>
        <w:t>。其中，实现农业（种植业）产值</w:t>
      </w:r>
      <w:r>
        <w:rPr>
          <w:rFonts w:ascii="Arial" w:hAnsi="Arial" w:cs="Arial" w:hint="eastAsia"/>
          <w:sz w:val="28"/>
        </w:rPr>
        <w:t>47</w:t>
      </w:r>
      <w:r>
        <w:rPr>
          <w:rFonts w:ascii="Arial" w:hAnsi="Arial" w:cs="Arial" w:hint="eastAsia"/>
          <w:sz w:val="28"/>
        </w:rPr>
        <w:t>亿元，增长</w:t>
      </w:r>
      <w:r>
        <w:rPr>
          <w:rFonts w:ascii="Arial" w:hAnsi="Arial" w:cs="Arial" w:hint="eastAsia"/>
          <w:sz w:val="28"/>
        </w:rPr>
        <w:t>3.9%</w:t>
      </w:r>
      <w:r>
        <w:rPr>
          <w:rFonts w:ascii="Arial" w:hAnsi="Arial" w:cs="Arial" w:hint="eastAsia"/>
          <w:sz w:val="28"/>
        </w:rPr>
        <w:t>，蔬菜（含食用菌）播种面积和产量分别增长</w:t>
      </w:r>
      <w:r>
        <w:rPr>
          <w:rFonts w:ascii="Arial" w:hAnsi="Arial" w:cs="Arial" w:hint="eastAsia"/>
          <w:sz w:val="28"/>
        </w:rPr>
        <w:t>4.3%</w:t>
      </w:r>
      <w:r>
        <w:rPr>
          <w:rFonts w:ascii="Arial" w:hAnsi="Arial" w:cs="Arial" w:hint="eastAsia"/>
          <w:sz w:val="28"/>
        </w:rPr>
        <w:t>和</w:t>
      </w:r>
      <w:r>
        <w:rPr>
          <w:rFonts w:ascii="Arial" w:hAnsi="Arial" w:cs="Arial" w:hint="eastAsia"/>
          <w:sz w:val="28"/>
        </w:rPr>
        <w:t>7.4%</w:t>
      </w:r>
      <w:r>
        <w:rPr>
          <w:rFonts w:ascii="Arial" w:hAnsi="Arial" w:cs="Arial" w:hint="eastAsia"/>
          <w:sz w:val="28"/>
        </w:rPr>
        <w:t>，夏粮播种面积持续扩大；实现林业产值</w:t>
      </w:r>
      <w:r>
        <w:rPr>
          <w:rFonts w:ascii="Arial" w:hAnsi="Arial" w:cs="Arial" w:hint="eastAsia"/>
          <w:sz w:val="28"/>
        </w:rPr>
        <w:t>23.6</w:t>
      </w:r>
      <w:r>
        <w:rPr>
          <w:rFonts w:ascii="Arial" w:hAnsi="Arial" w:cs="Arial" w:hint="eastAsia"/>
          <w:sz w:val="28"/>
        </w:rPr>
        <w:t>亿元，下降</w:t>
      </w:r>
      <w:r>
        <w:rPr>
          <w:rFonts w:ascii="Arial" w:hAnsi="Arial" w:cs="Arial" w:hint="eastAsia"/>
          <w:sz w:val="28"/>
        </w:rPr>
        <w:t>12.4%</w:t>
      </w:r>
      <w:r>
        <w:rPr>
          <w:rFonts w:ascii="Arial" w:hAnsi="Arial" w:cs="Arial" w:hint="eastAsia"/>
          <w:sz w:val="28"/>
        </w:rPr>
        <w:t>；实现牧业产值</w:t>
      </w:r>
      <w:r>
        <w:rPr>
          <w:rFonts w:ascii="Arial" w:hAnsi="Arial" w:cs="Arial" w:hint="eastAsia"/>
          <w:sz w:val="28"/>
        </w:rPr>
        <w:t>20.9</w:t>
      </w:r>
      <w:r>
        <w:rPr>
          <w:rFonts w:ascii="Arial" w:hAnsi="Arial" w:cs="Arial" w:hint="eastAsia"/>
          <w:sz w:val="28"/>
        </w:rPr>
        <w:t>亿元，增长</w:t>
      </w:r>
      <w:r>
        <w:rPr>
          <w:rFonts w:ascii="Arial" w:hAnsi="Arial" w:cs="Arial" w:hint="eastAsia"/>
          <w:sz w:val="28"/>
        </w:rPr>
        <w:t>11.8%</w:t>
      </w:r>
      <w:r>
        <w:rPr>
          <w:rFonts w:ascii="Arial" w:hAnsi="Arial" w:cs="Arial" w:hint="eastAsia"/>
          <w:sz w:val="28"/>
        </w:rPr>
        <w:t>，生猪、牛、禽出栏量分别增长</w:t>
      </w:r>
      <w:r>
        <w:rPr>
          <w:rFonts w:ascii="Arial" w:hAnsi="Arial" w:cs="Arial" w:hint="eastAsia"/>
          <w:sz w:val="28"/>
        </w:rPr>
        <w:t>22.4%</w:t>
      </w:r>
      <w:r>
        <w:rPr>
          <w:rFonts w:ascii="Arial" w:hAnsi="Arial" w:cs="Arial" w:hint="eastAsia"/>
          <w:sz w:val="28"/>
        </w:rPr>
        <w:t>、</w:t>
      </w:r>
      <w:r>
        <w:rPr>
          <w:rFonts w:ascii="Arial" w:hAnsi="Arial" w:cs="Arial" w:hint="eastAsia"/>
          <w:sz w:val="28"/>
        </w:rPr>
        <w:t>32.3%</w:t>
      </w:r>
      <w:r>
        <w:rPr>
          <w:rFonts w:ascii="Arial" w:hAnsi="Arial" w:cs="Arial" w:hint="eastAsia"/>
          <w:sz w:val="28"/>
        </w:rPr>
        <w:t>和</w:t>
      </w:r>
      <w:r>
        <w:rPr>
          <w:rFonts w:ascii="Arial" w:hAnsi="Arial" w:cs="Arial" w:hint="eastAsia"/>
          <w:sz w:val="28"/>
        </w:rPr>
        <w:t>14.1%</w:t>
      </w:r>
      <w:r>
        <w:rPr>
          <w:rFonts w:ascii="Arial" w:hAnsi="Arial" w:cs="Arial" w:hint="eastAsia"/>
          <w:sz w:val="28"/>
        </w:rPr>
        <w:t>。乡村休闲旅游接待</w:t>
      </w:r>
      <w:r>
        <w:rPr>
          <w:rFonts w:ascii="Arial" w:hAnsi="Arial" w:cs="Arial" w:hint="eastAsia"/>
          <w:sz w:val="28"/>
        </w:rPr>
        <w:t>1123</w:t>
      </w:r>
      <w:r>
        <w:rPr>
          <w:rFonts w:ascii="Arial" w:hAnsi="Arial" w:cs="Arial" w:hint="eastAsia"/>
          <w:sz w:val="28"/>
        </w:rPr>
        <w:t>万人次，同比增长</w:t>
      </w:r>
      <w:r>
        <w:rPr>
          <w:rFonts w:ascii="Arial" w:hAnsi="Arial" w:cs="Arial" w:hint="eastAsia"/>
          <w:sz w:val="28"/>
        </w:rPr>
        <w:t>4.7%</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）工业生产增速提升，高端制造加快布局</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年上半年，北京市规模以上工业增加值按可比价格计算，同比增长</w:t>
      </w:r>
      <w:r>
        <w:rPr>
          <w:rFonts w:ascii="Arial" w:hAnsi="Arial" w:cs="Arial" w:hint="eastAsia"/>
          <w:sz w:val="28"/>
        </w:rPr>
        <w:t>7.0%</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个百分点。重点行业中，计算机、通信和其他电子设备制造业增长</w:t>
      </w:r>
      <w:r>
        <w:rPr>
          <w:rFonts w:ascii="Arial" w:hAnsi="Arial" w:cs="Arial" w:hint="eastAsia"/>
          <w:sz w:val="28"/>
        </w:rPr>
        <w:t>24.6%</w:t>
      </w:r>
      <w:r>
        <w:rPr>
          <w:rFonts w:ascii="Arial" w:hAnsi="Arial" w:cs="Arial" w:hint="eastAsia"/>
          <w:sz w:val="28"/>
        </w:rPr>
        <w:t>，汽车制造业增长</w:t>
      </w:r>
      <w:r>
        <w:rPr>
          <w:rFonts w:ascii="Arial" w:hAnsi="Arial" w:cs="Arial" w:hint="eastAsia"/>
          <w:sz w:val="28"/>
        </w:rPr>
        <w:t>16.7%</w:t>
      </w:r>
      <w:r>
        <w:rPr>
          <w:rFonts w:ascii="Arial" w:hAnsi="Arial" w:cs="Arial" w:hint="eastAsia"/>
          <w:sz w:val="28"/>
        </w:rPr>
        <w:t>，电力、热力生产和供应业增长</w:t>
      </w:r>
      <w:r>
        <w:rPr>
          <w:rFonts w:ascii="Arial" w:hAnsi="Arial" w:cs="Arial" w:hint="eastAsia"/>
          <w:sz w:val="28"/>
        </w:rPr>
        <w:t>3.9%</w:t>
      </w:r>
      <w:r>
        <w:rPr>
          <w:rFonts w:ascii="Arial" w:hAnsi="Arial" w:cs="Arial" w:hint="eastAsia"/>
          <w:sz w:val="28"/>
        </w:rPr>
        <w:t>，医药制造业下降</w:t>
      </w:r>
      <w:r>
        <w:rPr>
          <w:rFonts w:ascii="Arial" w:hAnsi="Arial" w:cs="Arial" w:hint="eastAsia"/>
          <w:sz w:val="28"/>
        </w:rPr>
        <w:t>9.1%</w:t>
      </w:r>
      <w:r>
        <w:rPr>
          <w:rFonts w:ascii="Arial" w:hAnsi="Arial" w:cs="Arial" w:hint="eastAsia"/>
          <w:sz w:val="28"/>
        </w:rPr>
        <w:t>，五大装备制造业</w:t>
      </w:r>
      <w:r>
        <w:rPr>
          <w:rFonts w:ascii="Arial" w:hAnsi="Arial" w:cs="Arial" w:hint="eastAsia"/>
          <w:sz w:val="28"/>
        </w:rPr>
        <w:t>[1]</w:t>
      </w:r>
      <w:r>
        <w:rPr>
          <w:rFonts w:ascii="Arial" w:hAnsi="Arial" w:cs="Arial" w:hint="eastAsia"/>
          <w:sz w:val="28"/>
        </w:rPr>
        <w:t>延续回暖态势，增长</w:t>
      </w:r>
      <w:r>
        <w:rPr>
          <w:rFonts w:ascii="Arial" w:hAnsi="Arial" w:cs="Arial" w:hint="eastAsia"/>
          <w:sz w:val="28"/>
        </w:rPr>
        <w:t>9.7%</w:t>
      </w:r>
      <w:r>
        <w:rPr>
          <w:rFonts w:ascii="Arial" w:hAnsi="Arial" w:cs="Arial" w:hint="eastAsia"/>
          <w:sz w:val="28"/>
        </w:rPr>
        <w:t>。高端制造业表现活跃，规模以上工业战略性新兴产业、高技术制造业增加值分别增长</w:t>
      </w:r>
      <w:r>
        <w:rPr>
          <w:rFonts w:ascii="Arial" w:hAnsi="Arial" w:cs="Arial" w:hint="eastAsia"/>
          <w:sz w:val="28"/>
        </w:rPr>
        <w:t>16.8%</w:t>
      </w:r>
      <w:r>
        <w:rPr>
          <w:rFonts w:ascii="Arial" w:hAnsi="Arial" w:cs="Arial" w:hint="eastAsia"/>
          <w:sz w:val="28"/>
        </w:rPr>
        <w:t>和</w:t>
      </w:r>
      <w:r>
        <w:rPr>
          <w:rFonts w:ascii="Arial" w:hAnsi="Arial" w:cs="Arial" w:hint="eastAsia"/>
          <w:sz w:val="28"/>
        </w:rPr>
        <w:t>9.9%</w:t>
      </w:r>
      <w:r>
        <w:rPr>
          <w:rFonts w:ascii="Arial" w:hAnsi="Arial" w:cs="Arial" w:hint="eastAsia"/>
          <w:sz w:val="28"/>
        </w:rPr>
        <w:t>（二者有交叉），</w:t>
      </w:r>
      <w:proofErr w:type="gramStart"/>
      <w:r>
        <w:rPr>
          <w:rFonts w:ascii="Arial" w:hAnsi="Arial" w:cs="Arial" w:hint="eastAsia"/>
          <w:sz w:val="28"/>
        </w:rPr>
        <w:t>锂</w:t>
      </w:r>
      <w:proofErr w:type="gramEnd"/>
      <w:r>
        <w:rPr>
          <w:rFonts w:ascii="Arial" w:hAnsi="Arial" w:cs="Arial" w:hint="eastAsia"/>
          <w:sz w:val="28"/>
        </w:rPr>
        <w:t>电子电池、新能源汽车、医疗仪器设备及器械、集成电路等产品产量分别增长</w:t>
      </w:r>
      <w:r>
        <w:rPr>
          <w:rFonts w:ascii="Arial" w:hAnsi="Arial" w:cs="Arial" w:hint="eastAsia"/>
          <w:sz w:val="28"/>
        </w:rPr>
        <w:t>3.3</w:t>
      </w:r>
      <w:r>
        <w:rPr>
          <w:rFonts w:ascii="Arial" w:hAnsi="Arial" w:cs="Arial" w:hint="eastAsia"/>
          <w:sz w:val="28"/>
        </w:rPr>
        <w:t>倍、</w:t>
      </w:r>
      <w:r>
        <w:rPr>
          <w:rFonts w:ascii="Arial" w:hAnsi="Arial" w:cs="Arial" w:hint="eastAsia"/>
          <w:sz w:val="28"/>
        </w:rPr>
        <w:t>1.5</w:t>
      </w:r>
      <w:r>
        <w:rPr>
          <w:rFonts w:ascii="Arial" w:hAnsi="Arial" w:cs="Arial" w:hint="eastAsia"/>
          <w:sz w:val="28"/>
        </w:rPr>
        <w:t>倍、</w:t>
      </w:r>
      <w:r>
        <w:rPr>
          <w:rFonts w:ascii="Arial" w:hAnsi="Arial" w:cs="Arial" w:hint="eastAsia"/>
          <w:sz w:val="28"/>
        </w:rPr>
        <w:t>1.1</w:t>
      </w:r>
      <w:r>
        <w:rPr>
          <w:rFonts w:ascii="Arial" w:hAnsi="Arial" w:cs="Arial" w:hint="eastAsia"/>
          <w:sz w:val="28"/>
        </w:rPr>
        <w:t>倍和</w:t>
      </w:r>
      <w:r>
        <w:rPr>
          <w:rFonts w:ascii="Arial" w:hAnsi="Arial" w:cs="Arial" w:hint="eastAsia"/>
          <w:sz w:val="28"/>
        </w:rPr>
        <w:t>14.9%</w:t>
      </w:r>
      <w:r>
        <w:rPr>
          <w:rFonts w:ascii="Arial" w:hAnsi="Arial" w:cs="Arial" w:hint="eastAsia"/>
          <w:sz w:val="28"/>
        </w:rPr>
        <w:t>。规模以上工业实现销售产值</w:t>
      </w:r>
      <w:r>
        <w:rPr>
          <w:rFonts w:ascii="Arial" w:hAnsi="Arial" w:cs="Arial" w:hint="eastAsia"/>
          <w:sz w:val="28"/>
        </w:rPr>
        <w:t>13045.8</w:t>
      </w:r>
      <w:r>
        <w:rPr>
          <w:rFonts w:ascii="Arial" w:hAnsi="Arial" w:cs="Arial" w:hint="eastAsia"/>
          <w:sz w:val="28"/>
        </w:rPr>
        <w:t>亿元，增长</w:t>
      </w:r>
      <w:r>
        <w:rPr>
          <w:rFonts w:ascii="Arial" w:hAnsi="Arial" w:cs="Arial" w:hint="eastAsia"/>
          <w:sz w:val="28"/>
        </w:rPr>
        <w:t>5.9%</w:t>
      </w:r>
      <w:r>
        <w:rPr>
          <w:rFonts w:ascii="Arial" w:hAnsi="Arial" w:cs="Arial" w:hint="eastAsia"/>
          <w:sz w:val="28"/>
        </w:rPr>
        <w:t>；其中，内销产值</w:t>
      </w:r>
      <w:r>
        <w:rPr>
          <w:rFonts w:ascii="Arial" w:hAnsi="Arial" w:cs="Arial" w:hint="eastAsia"/>
          <w:sz w:val="28"/>
        </w:rPr>
        <w:t>12019.1</w:t>
      </w:r>
      <w:r>
        <w:rPr>
          <w:rFonts w:ascii="Arial" w:hAnsi="Arial" w:cs="Arial" w:hint="eastAsia"/>
          <w:sz w:val="28"/>
        </w:rPr>
        <w:t>亿元，增长</w:t>
      </w:r>
      <w:r>
        <w:rPr>
          <w:rFonts w:ascii="Arial" w:hAnsi="Arial" w:cs="Arial" w:hint="eastAsia"/>
          <w:sz w:val="28"/>
        </w:rPr>
        <w:t>6.1%</w:t>
      </w:r>
      <w:r>
        <w:rPr>
          <w:rFonts w:ascii="Arial" w:hAnsi="Arial" w:cs="Arial" w:hint="eastAsia"/>
          <w:sz w:val="28"/>
        </w:rPr>
        <w:t>，出口交货值</w:t>
      </w:r>
      <w:r>
        <w:rPr>
          <w:rFonts w:ascii="Arial" w:hAnsi="Arial" w:cs="Arial" w:hint="eastAsia"/>
          <w:sz w:val="28"/>
        </w:rPr>
        <w:t>1026.7</w:t>
      </w:r>
      <w:r>
        <w:rPr>
          <w:rFonts w:ascii="Arial" w:hAnsi="Arial" w:cs="Arial" w:hint="eastAsia"/>
          <w:sz w:val="28"/>
        </w:rPr>
        <w:t>亿元，增长</w:t>
      </w:r>
      <w:r>
        <w:rPr>
          <w:rFonts w:ascii="Arial" w:hAnsi="Arial" w:cs="Arial" w:hint="eastAsia"/>
          <w:sz w:val="28"/>
        </w:rPr>
        <w:t>4.1%</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w:t>
      </w:r>
      <w:r>
        <w:rPr>
          <w:rFonts w:ascii="Arial" w:hAnsi="Arial" w:cs="Arial" w:hint="eastAsia"/>
          <w:sz w:val="28"/>
        </w:rPr>
        <w:t>3</w:t>
      </w:r>
      <w:r>
        <w:rPr>
          <w:rFonts w:ascii="Arial" w:hAnsi="Arial" w:cs="Arial" w:hint="eastAsia"/>
          <w:sz w:val="28"/>
        </w:rPr>
        <w:t>）服务业发挥稳定器作用，优势行业有力支撑</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年上半年，北京市第三产业增加值按不变价格计算，同比增长</w:t>
      </w:r>
      <w:r>
        <w:rPr>
          <w:rFonts w:ascii="Arial" w:hAnsi="Arial" w:cs="Arial" w:hint="eastAsia"/>
          <w:sz w:val="28"/>
        </w:rPr>
        <w:t>5.6%</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个百分点。其中，信息传输、软件和信息技术服务业实现增加值</w:t>
      </w:r>
      <w:r>
        <w:rPr>
          <w:rFonts w:ascii="Arial" w:hAnsi="Arial" w:cs="Arial" w:hint="eastAsia"/>
          <w:sz w:val="28"/>
        </w:rPr>
        <w:t>6193.8</w:t>
      </w:r>
      <w:r>
        <w:rPr>
          <w:rFonts w:ascii="Arial" w:hAnsi="Arial" w:cs="Arial" w:hint="eastAsia"/>
          <w:sz w:val="28"/>
        </w:rPr>
        <w:t>亿元，增长</w:t>
      </w:r>
      <w:r>
        <w:rPr>
          <w:rFonts w:ascii="Arial" w:hAnsi="Arial" w:cs="Arial" w:hint="eastAsia"/>
          <w:sz w:val="28"/>
        </w:rPr>
        <w:t>11.1%</w:t>
      </w:r>
      <w:r>
        <w:rPr>
          <w:rFonts w:ascii="Arial" w:hAnsi="Arial" w:cs="Arial" w:hint="eastAsia"/>
          <w:sz w:val="28"/>
        </w:rPr>
        <w:t>；金融业实现增加值</w:t>
      </w:r>
      <w:r>
        <w:rPr>
          <w:rFonts w:ascii="Arial" w:hAnsi="Arial" w:cs="Arial" w:hint="eastAsia"/>
          <w:sz w:val="28"/>
        </w:rPr>
        <w:t>4362.8</w:t>
      </w:r>
      <w:r>
        <w:rPr>
          <w:rFonts w:ascii="Arial" w:hAnsi="Arial" w:cs="Arial" w:hint="eastAsia"/>
          <w:sz w:val="28"/>
        </w:rPr>
        <w:t>亿元，增长</w:t>
      </w:r>
      <w:r>
        <w:rPr>
          <w:rFonts w:ascii="Arial" w:hAnsi="Arial" w:cs="Arial" w:hint="eastAsia"/>
          <w:sz w:val="28"/>
        </w:rPr>
        <w:t>8.1%</w:t>
      </w:r>
      <w:r>
        <w:rPr>
          <w:rFonts w:ascii="Arial" w:hAnsi="Arial" w:cs="Arial" w:hint="eastAsia"/>
          <w:sz w:val="28"/>
        </w:rPr>
        <w:t>，两个行业对第三产业增长的贡献率超过八成；租赁和商务服务业实现增加值</w:t>
      </w:r>
      <w:r>
        <w:rPr>
          <w:rFonts w:ascii="Arial" w:hAnsi="Arial" w:cs="Arial" w:hint="eastAsia"/>
          <w:sz w:val="28"/>
        </w:rPr>
        <w:t>1341.3</w:t>
      </w:r>
      <w:r>
        <w:rPr>
          <w:rFonts w:ascii="Arial" w:hAnsi="Arial" w:cs="Arial" w:hint="eastAsia"/>
          <w:sz w:val="28"/>
        </w:rPr>
        <w:t>亿元，增长</w:t>
      </w:r>
      <w:r>
        <w:rPr>
          <w:rFonts w:ascii="Arial" w:hAnsi="Arial" w:cs="Arial" w:hint="eastAsia"/>
          <w:sz w:val="28"/>
        </w:rPr>
        <w:t>3.4%</w:t>
      </w:r>
      <w:r>
        <w:rPr>
          <w:rFonts w:ascii="Arial" w:hAnsi="Arial" w:cs="Arial" w:hint="eastAsia"/>
          <w:sz w:val="28"/>
        </w:rPr>
        <w:t>；交通运输、仓储和邮政业实现增加值</w:t>
      </w:r>
      <w:r>
        <w:rPr>
          <w:rFonts w:ascii="Arial" w:hAnsi="Arial" w:cs="Arial" w:hint="eastAsia"/>
          <w:sz w:val="28"/>
        </w:rPr>
        <w:t>646.8</w:t>
      </w:r>
      <w:r>
        <w:rPr>
          <w:rFonts w:ascii="Arial" w:hAnsi="Arial" w:cs="Arial" w:hint="eastAsia"/>
          <w:sz w:val="28"/>
        </w:rPr>
        <w:t>亿元，增长</w:t>
      </w:r>
      <w:r>
        <w:rPr>
          <w:rFonts w:ascii="Arial" w:hAnsi="Arial" w:cs="Arial" w:hint="eastAsia"/>
          <w:sz w:val="28"/>
        </w:rPr>
        <w:t>6.0%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）固定资产投资快速增长，设备购置投资带动明显</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年上半年，北京市固定资产投资（不含农户）同比增长</w:t>
      </w:r>
      <w:r>
        <w:rPr>
          <w:rFonts w:ascii="Arial" w:hAnsi="Arial" w:cs="Arial" w:hint="eastAsia"/>
          <w:sz w:val="28"/>
        </w:rPr>
        <w:t>14.1%</w:t>
      </w:r>
      <w:r>
        <w:rPr>
          <w:rFonts w:ascii="Arial" w:hAnsi="Arial" w:cs="Arial" w:hint="eastAsia"/>
          <w:sz w:val="28"/>
        </w:rPr>
        <w:t>。其中，反映企业扩大生产能力的设备购置投资增长</w:t>
      </w:r>
      <w:r>
        <w:rPr>
          <w:rFonts w:ascii="Arial" w:hAnsi="Arial" w:cs="Arial" w:hint="eastAsia"/>
          <w:sz w:val="28"/>
        </w:rPr>
        <w:t>99.0%</w:t>
      </w:r>
      <w:r>
        <w:rPr>
          <w:rFonts w:ascii="Arial" w:hAnsi="Arial" w:cs="Arial" w:hint="eastAsia"/>
          <w:sz w:val="28"/>
        </w:rPr>
        <w:t>，占全市固定资产投资的比重为</w:t>
      </w:r>
      <w:r>
        <w:rPr>
          <w:rFonts w:ascii="Arial" w:hAnsi="Arial" w:cs="Arial" w:hint="eastAsia"/>
          <w:sz w:val="28"/>
        </w:rPr>
        <w:t>28.2%</w:t>
      </w:r>
      <w:r>
        <w:rPr>
          <w:rFonts w:ascii="Arial" w:hAnsi="Arial" w:cs="Arial" w:hint="eastAsia"/>
          <w:sz w:val="28"/>
        </w:rPr>
        <w:t>，同比提高</w:t>
      </w:r>
      <w:r>
        <w:rPr>
          <w:rFonts w:ascii="Arial" w:hAnsi="Arial" w:cs="Arial" w:hint="eastAsia"/>
          <w:sz w:val="28"/>
        </w:rPr>
        <w:t>12</w:t>
      </w:r>
      <w:r>
        <w:rPr>
          <w:rFonts w:ascii="Arial" w:hAnsi="Arial" w:cs="Arial" w:hint="eastAsia"/>
          <w:sz w:val="28"/>
        </w:rPr>
        <w:t>个百分点。分领域看，基础设施投资增长</w:t>
      </w:r>
      <w:r>
        <w:rPr>
          <w:rFonts w:ascii="Arial" w:hAnsi="Arial" w:cs="Arial" w:hint="eastAsia"/>
          <w:sz w:val="28"/>
        </w:rPr>
        <w:t>2.0%</w:t>
      </w:r>
      <w:r>
        <w:rPr>
          <w:rFonts w:ascii="Arial" w:hAnsi="Arial" w:cs="Arial" w:hint="eastAsia"/>
          <w:sz w:val="28"/>
        </w:rPr>
        <w:t>，制造业投资增长</w:t>
      </w:r>
      <w:r>
        <w:rPr>
          <w:rFonts w:ascii="Arial" w:hAnsi="Arial" w:cs="Arial" w:hint="eastAsia"/>
          <w:sz w:val="28"/>
        </w:rPr>
        <w:t>8.9%</w:t>
      </w:r>
      <w:r>
        <w:rPr>
          <w:rFonts w:ascii="Arial" w:hAnsi="Arial" w:cs="Arial" w:hint="eastAsia"/>
          <w:sz w:val="28"/>
        </w:rPr>
        <w:t>，房地产开发投资下降</w:t>
      </w:r>
      <w:r>
        <w:rPr>
          <w:rFonts w:ascii="Arial" w:hAnsi="Arial" w:cs="Arial" w:hint="eastAsia"/>
          <w:sz w:val="28"/>
        </w:rPr>
        <w:t>7.5%</w:t>
      </w:r>
      <w:r>
        <w:rPr>
          <w:rFonts w:ascii="Arial" w:hAnsi="Arial" w:cs="Arial" w:hint="eastAsia"/>
          <w:sz w:val="28"/>
        </w:rPr>
        <w:t>。分产业看，第一产业投资增长</w:t>
      </w:r>
      <w:r>
        <w:rPr>
          <w:rFonts w:ascii="Arial" w:hAnsi="Arial" w:cs="Arial" w:hint="eastAsia"/>
          <w:sz w:val="28"/>
        </w:rPr>
        <w:t>80.0%</w:t>
      </w:r>
      <w:r>
        <w:rPr>
          <w:rFonts w:ascii="Arial" w:hAnsi="Arial" w:cs="Arial" w:hint="eastAsia"/>
          <w:sz w:val="28"/>
        </w:rPr>
        <w:t>，第二产业投资增长</w:t>
      </w:r>
      <w:r>
        <w:rPr>
          <w:rFonts w:ascii="Arial" w:hAnsi="Arial" w:cs="Arial" w:hint="eastAsia"/>
          <w:sz w:val="28"/>
        </w:rPr>
        <w:t>12.7%</w:t>
      </w:r>
      <w:r>
        <w:rPr>
          <w:rFonts w:ascii="Arial" w:hAnsi="Arial" w:cs="Arial" w:hint="eastAsia"/>
          <w:sz w:val="28"/>
        </w:rPr>
        <w:t>，第三产业投资增长</w:t>
      </w:r>
      <w:r>
        <w:rPr>
          <w:rFonts w:ascii="Arial" w:hAnsi="Arial" w:cs="Arial" w:hint="eastAsia"/>
          <w:sz w:val="28"/>
        </w:rPr>
        <w:t>14.2%</w:t>
      </w:r>
      <w:r>
        <w:rPr>
          <w:rFonts w:ascii="Arial" w:hAnsi="Arial" w:cs="Arial" w:hint="eastAsia"/>
          <w:sz w:val="28"/>
        </w:rPr>
        <w:t>。高技术产业投资保持活跃，增长</w:t>
      </w:r>
      <w:r>
        <w:rPr>
          <w:rFonts w:ascii="Arial" w:hAnsi="Arial" w:cs="Arial" w:hint="eastAsia"/>
          <w:sz w:val="28"/>
        </w:rPr>
        <w:t>72.9%</w:t>
      </w:r>
      <w:r>
        <w:rPr>
          <w:rFonts w:ascii="Arial" w:hAnsi="Arial" w:cs="Arial" w:hint="eastAsia"/>
          <w:sz w:val="28"/>
        </w:rPr>
        <w:t>，其中，信息传输、软件和信息技术服务业，汽车制造业，计算机、通信和其他电子设备制造业投资分别增长</w:t>
      </w:r>
      <w:r>
        <w:rPr>
          <w:rFonts w:ascii="Arial" w:hAnsi="Arial" w:cs="Arial" w:hint="eastAsia"/>
          <w:sz w:val="28"/>
        </w:rPr>
        <w:t>1.6</w:t>
      </w:r>
      <w:r>
        <w:rPr>
          <w:rFonts w:ascii="Arial" w:hAnsi="Arial" w:cs="Arial" w:hint="eastAsia"/>
          <w:sz w:val="28"/>
        </w:rPr>
        <w:t>倍、</w:t>
      </w:r>
      <w:r>
        <w:rPr>
          <w:rFonts w:ascii="Arial" w:hAnsi="Arial" w:cs="Arial" w:hint="eastAsia"/>
          <w:sz w:val="28"/>
        </w:rPr>
        <w:t>41.7%</w:t>
      </w:r>
      <w:r>
        <w:rPr>
          <w:rFonts w:ascii="Arial" w:hAnsi="Arial" w:cs="Arial" w:hint="eastAsia"/>
          <w:sz w:val="28"/>
        </w:rPr>
        <w:t>和</w:t>
      </w:r>
      <w:r>
        <w:rPr>
          <w:rFonts w:ascii="Arial" w:hAnsi="Arial" w:cs="Arial" w:hint="eastAsia"/>
          <w:sz w:val="28"/>
        </w:rPr>
        <w:t>9.4%</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年上半年，北京市房屋施工面积</w:t>
      </w:r>
      <w:r>
        <w:rPr>
          <w:rFonts w:ascii="Arial" w:hAnsi="Arial" w:cs="Arial" w:hint="eastAsia"/>
          <w:sz w:val="28"/>
        </w:rPr>
        <w:t>9896</w:t>
      </w:r>
      <w:r>
        <w:rPr>
          <w:rFonts w:ascii="Arial" w:hAnsi="Arial" w:cs="Arial" w:hint="eastAsia"/>
          <w:sz w:val="28"/>
        </w:rPr>
        <w:t>万平方米，同比下降</w:t>
      </w:r>
      <w:r>
        <w:rPr>
          <w:rFonts w:ascii="Arial" w:hAnsi="Arial" w:cs="Arial" w:hint="eastAsia"/>
          <w:sz w:val="28"/>
        </w:rPr>
        <w:t>8.0%</w:t>
      </w:r>
      <w:r>
        <w:rPr>
          <w:rFonts w:ascii="Arial" w:hAnsi="Arial" w:cs="Arial" w:hint="eastAsia"/>
          <w:sz w:val="28"/>
        </w:rPr>
        <w:t>，其中住宅施工面积</w:t>
      </w:r>
      <w:r>
        <w:rPr>
          <w:rFonts w:ascii="Arial" w:hAnsi="Arial" w:cs="Arial" w:hint="eastAsia"/>
          <w:sz w:val="28"/>
        </w:rPr>
        <w:t>4904.6</w:t>
      </w:r>
      <w:r>
        <w:rPr>
          <w:rFonts w:ascii="Arial" w:hAnsi="Arial" w:cs="Arial" w:hint="eastAsia"/>
          <w:sz w:val="28"/>
        </w:rPr>
        <w:t>万平方米，下降</w:t>
      </w:r>
      <w:r>
        <w:rPr>
          <w:rFonts w:ascii="Arial" w:hAnsi="Arial" w:cs="Arial" w:hint="eastAsia"/>
          <w:sz w:val="28"/>
        </w:rPr>
        <w:t>8.8%</w:t>
      </w:r>
      <w:r>
        <w:rPr>
          <w:rFonts w:ascii="Arial" w:hAnsi="Arial" w:cs="Arial" w:hint="eastAsia"/>
          <w:sz w:val="28"/>
        </w:rPr>
        <w:t>。全市新建商品房销售面积</w:t>
      </w:r>
      <w:r>
        <w:rPr>
          <w:rFonts w:ascii="Arial" w:hAnsi="Arial" w:cs="Arial" w:hint="eastAsia"/>
          <w:sz w:val="28"/>
        </w:rPr>
        <w:t>537.6</w:t>
      </w:r>
      <w:r>
        <w:rPr>
          <w:rFonts w:ascii="Arial" w:hAnsi="Arial" w:cs="Arial" w:hint="eastAsia"/>
          <w:sz w:val="28"/>
        </w:rPr>
        <w:t>万平方米，同比增长</w:t>
      </w:r>
      <w:r>
        <w:rPr>
          <w:rFonts w:ascii="Arial" w:hAnsi="Arial" w:cs="Arial" w:hint="eastAsia"/>
          <w:sz w:val="28"/>
        </w:rPr>
        <w:t>5.4%</w:t>
      </w:r>
      <w:r>
        <w:rPr>
          <w:rFonts w:ascii="Arial" w:hAnsi="Arial" w:cs="Arial" w:hint="eastAsia"/>
          <w:sz w:val="28"/>
        </w:rPr>
        <w:t>，其中住宅销售面积</w:t>
      </w:r>
      <w:r>
        <w:rPr>
          <w:rFonts w:ascii="Arial" w:hAnsi="Arial" w:cs="Arial" w:hint="eastAsia"/>
          <w:sz w:val="28"/>
        </w:rPr>
        <w:t>352.3</w:t>
      </w:r>
      <w:r>
        <w:rPr>
          <w:rFonts w:ascii="Arial" w:hAnsi="Arial" w:cs="Arial" w:hint="eastAsia"/>
          <w:sz w:val="28"/>
        </w:rPr>
        <w:t>万平方米，下降</w:t>
      </w:r>
      <w:r>
        <w:rPr>
          <w:rFonts w:ascii="Arial" w:hAnsi="Arial" w:cs="Arial" w:hint="eastAsia"/>
          <w:sz w:val="28"/>
        </w:rPr>
        <w:t>0.8%</w:t>
      </w:r>
      <w:r>
        <w:rPr>
          <w:rFonts w:ascii="Arial" w:hAnsi="Arial" w:cs="Arial" w:hint="eastAsia"/>
          <w:sz w:val="28"/>
        </w:rPr>
        <w:t>，住宅中的纯商品住宅销售面积增长</w:t>
      </w:r>
      <w:r>
        <w:rPr>
          <w:rFonts w:ascii="Arial" w:hAnsi="Arial" w:cs="Arial" w:hint="eastAsia"/>
          <w:sz w:val="28"/>
        </w:rPr>
        <w:t>33.8%</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5</w:t>
      </w:r>
      <w:r>
        <w:rPr>
          <w:rFonts w:ascii="Arial" w:hAnsi="Arial" w:cs="Arial" w:hint="eastAsia"/>
          <w:sz w:val="28"/>
        </w:rPr>
        <w:t>）服务性消费较为活跃，社会消费品零售总额仍呈降势</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年上半年，北京市市场总消费额同比增长</w:t>
      </w:r>
      <w:r>
        <w:rPr>
          <w:rFonts w:ascii="Arial" w:hAnsi="Arial" w:cs="Arial" w:hint="eastAsia"/>
          <w:sz w:val="28"/>
        </w:rPr>
        <w:t>0.9%</w:t>
      </w:r>
      <w:r>
        <w:rPr>
          <w:rFonts w:ascii="Arial" w:hAnsi="Arial" w:cs="Arial" w:hint="eastAsia"/>
          <w:sz w:val="28"/>
        </w:rPr>
        <w:t>。其中，服务性消费在信息、交通、文化娱乐等领域带动下增长</w:t>
      </w:r>
      <w:r>
        <w:rPr>
          <w:rFonts w:ascii="Arial" w:hAnsi="Arial" w:cs="Arial" w:hint="eastAsia"/>
          <w:sz w:val="28"/>
        </w:rPr>
        <w:t>4.7%</w:t>
      </w:r>
      <w:r>
        <w:rPr>
          <w:rFonts w:ascii="Arial" w:hAnsi="Arial" w:cs="Arial" w:hint="eastAsia"/>
          <w:sz w:val="28"/>
        </w:rPr>
        <w:t>；实现社会消费品零售总额</w:t>
      </w:r>
      <w:r>
        <w:rPr>
          <w:rFonts w:ascii="Arial" w:hAnsi="Arial" w:cs="Arial" w:hint="eastAsia"/>
          <w:sz w:val="28"/>
        </w:rPr>
        <w:t>6734.2</w:t>
      </w:r>
      <w:r>
        <w:rPr>
          <w:rFonts w:ascii="Arial" w:hAnsi="Arial" w:cs="Arial" w:hint="eastAsia"/>
          <w:sz w:val="28"/>
        </w:rPr>
        <w:t>亿元，下降</w:t>
      </w:r>
      <w:r>
        <w:rPr>
          <w:rFonts w:ascii="Arial" w:hAnsi="Arial" w:cs="Arial" w:hint="eastAsia"/>
          <w:sz w:val="28"/>
        </w:rPr>
        <w:t>3.8%</w:t>
      </w:r>
      <w:r>
        <w:rPr>
          <w:rFonts w:ascii="Arial" w:hAnsi="Arial" w:cs="Arial" w:hint="eastAsia"/>
          <w:sz w:val="28"/>
        </w:rPr>
        <w:t>。社会消费品零售总额中，按消费形态分，商品零售</w:t>
      </w:r>
      <w:r>
        <w:rPr>
          <w:rFonts w:ascii="Arial" w:hAnsi="Arial" w:cs="Arial" w:hint="eastAsia"/>
          <w:sz w:val="28"/>
        </w:rPr>
        <w:t>6061.6</w:t>
      </w:r>
      <w:r>
        <w:rPr>
          <w:rFonts w:ascii="Arial" w:hAnsi="Arial" w:cs="Arial" w:hint="eastAsia"/>
          <w:sz w:val="28"/>
        </w:rPr>
        <w:t>亿元，下降</w:t>
      </w:r>
      <w:r>
        <w:rPr>
          <w:rFonts w:ascii="Arial" w:hAnsi="Arial" w:cs="Arial" w:hint="eastAsia"/>
          <w:sz w:val="28"/>
        </w:rPr>
        <w:t>3.8%</w:t>
      </w:r>
      <w:r>
        <w:rPr>
          <w:rFonts w:ascii="Arial" w:hAnsi="Arial" w:cs="Arial" w:hint="eastAsia"/>
          <w:sz w:val="28"/>
        </w:rPr>
        <w:t>；餐饮收入</w:t>
      </w:r>
      <w:r>
        <w:rPr>
          <w:rFonts w:ascii="Arial" w:hAnsi="Arial" w:cs="Arial" w:hint="eastAsia"/>
          <w:sz w:val="28"/>
        </w:rPr>
        <w:t>672.6</w:t>
      </w:r>
      <w:r>
        <w:rPr>
          <w:rFonts w:ascii="Arial" w:hAnsi="Arial" w:cs="Arial" w:hint="eastAsia"/>
          <w:sz w:val="28"/>
        </w:rPr>
        <w:t>亿元，下降</w:t>
      </w:r>
      <w:r>
        <w:rPr>
          <w:rFonts w:ascii="Arial" w:hAnsi="Arial" w:cs="Arial" w:hint="eastAsia"/>
          <w:sz w:val="28"/>
        </w:rPr>
        <w:t>3.6%</w:t>
      </w:r>
      <w:r>
        <w:rPr>
          <w:rFonts w:ascii="Arial" w:hAnsi="Arial" w:cs="Arial" w:hint="eastAsia"/>
          <w:sz w:val="28"/>
        </w:rPr>
        <w:t>。从商</w:t>
      </w:r>
      <w:r>
        <w:rPr>
          <w:rFonts w:ascii="Arial" w:hAnsi="Arial" w:cs="Arial" w:hint="eastAsia"/>
          <w:sz w:val="28"/>
        </w:rPr>
        <w:lastRenderedPageBreak/>
        <w:t>品类别看，限额以上批发和零售业中，基本生活类和时尚类商品销售较好，粮油食品类、金银珠宝类、体育娱乐用品类、化妆品类商品零售额分别增长</w:t>
      </w:r>
      <w:r>
        <w:rPr>
          <w:rFonts w:ascii="Arial" w:hAnsi="Arial" w:cs="Arial" w:hint="eastAsia"/>
          <w:sz w:val="28"/>
        </w:rPr>
        <w:t>13.9%</w:t>
      </w:r>
      <w:r>
        <w:rPr>
          <w:rFonts w:ascii="Arial" w:hAnsi="Arial" w:cs="Arial" w:hint="eastAsia"/>
          <w:sz w:val="28"/>
        </w:rPr>
        <w:t>、</w:t>
      </w:r>
      <w:r>
        <w:rPr>
          <w:rFonts w:ascii="Arial" w:hAnsi="Arial" w:cs="Arial" w:hint="eastAsia"/>
          <w:sz w:val="28"/>
        </w:rPr>
        <w:t>36.1%</w:t>
      </w:r>
      <w:r>
        <w:rPr>
          <w:rFonts w:ascii="Arial" w:hAnsi="Arial" w:cs="Arial" w:hint="eastAsia"/>
          <w:sz w:val="28"/>
        </w:rPr>
        <w:t>、</w:t>
      </w:r>
      <w:r>
        <w:rPr>
          <w:rFonts w:ascii="Arial" w:hAnsi="Arial" w:cs="Arial" w:hint="eastAsia"/>
          <w:sz w:val="28"/>
        </w:rPr>
        <w:t>9.3%</w:t>
      </w:r>
      <w:r>
        <w:rPr>
          <w:rFonts w:ascii="Arial" w:hAnsi="Arial" w:cs="Arial" w:hint="eastAsia"/>
          <w:sz w:val="28"/>
        </w:rPr>
        <w:t>和</w:t>
      </w:r>
      <w:r>
        <w:rPr>
          <w:rFonts w:ascii="Arial" w:hAnsi="Arial" w:cs="Arial" w:hint="eastAsia"/>
          <w:sz w:val="28"/>
        </w:rPr>
        <w:t>7.6%</w:t>
      </w:r>
      <w:r>
        <w:rPr>
          <w:rFonts w:ascii="Arial" w:hAnsi="Arial" w:cs="Arial" w:hint="eastAsia"/>
          <w:sz w:val="28"/>
        </w:rPr>
        <w:t>；消费品“以旧换新”政策继续显效，家用电器和音像器材类、文化办公用品类商品零售额分别增长</w:t>
      </w:r>
      <w:r>
        <w:rPr>
          <w:rFonts w:ascii="Arial" w:hAnsi="Arial" w:cs="Arial" w:hint="eastAsia"/>
          <w:sz w:val="28"/>
        </w:rPr>
        <w:t>4.6%</w:t>
      </w:r>
      <w:r>
        <w:rPr>
          <w:rFonts w:ascii="Arial" w:hAnsi="Arial" w:cs="Arial" w:hint="eastAsia"/>
          <w:sz w:val="28"/>
        </w:rPr>
        <w:t>和</w:t>
      </w:r>
      <w:r>
        <w:rPr>
          <w:rFonts w:ascii="Arial" w:hAnsi="Arial" w:cs="Arial" w:hint="eastAsia"/>
          <w:sz w:val="28"/>
        </w:rPr>
        <w:t>3.1%</w:t>
      </w:r>
      <w:r>
        <w:rPr>
          <w:rFonts w:ascii="Arial" w:hAnsi="Arial" w:cs="Arial" w:hint="eastAsia"/>
          <w:sz w:val="28"/>
        </w:rPr>
        <w:t>；受市场竞争激烈、销售渠道更加多元影响，汽车类、通讯器材类商品零售额分别下降</w:t>
      </w:r>
      <w:r>
        <w:rPr>
          <w:rFonts w:ascii="Arial" w:hAnsi="Arial" w:cs="Arial" w:hint="eastAsia"/>
          <w:sz w:val="28"/>
        </w:rPr>
        <w:t>20.0%</w:t>
      </w:r>
      <w:r>
        <w:rPr>
          <w:rFonts w:ascii="Arial" w:hAnsi="Arial" w:cs="Arial" w:hint="eastAsia"/>
          <w:sz w:val="28"/>
        </w:rPr>
        <w:t>和</w:t>
      </w:r>
      <w:r>
        <w:rPr>
          <w:rFonts w:ascii="Arial" w:hAnsi="Arial" w:cs="Arial" w:hint="eastAsia"/>
          <w:sz w:val="28"/>
        </w:rPr>
        <w:t>24.0%</w:t>
      </w:r>
      <w:r>
        <w:rPr>
          <w:rFonts w:ascii="Arial" w:hAnsi="Arial" w:cs="Arial" w:hint="eastAsia"/>
          <w:sz w:val="28"/>
        </w:rPr>
        <w:t>，对社会消费品零售总额产生较大下拉作用。</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6</w:t>
      </w:r>
      <w:r>
        <w:rPr>
          <w:rFonts w:ascii="Arial" w:hAnsi="Arial" w:cs="Arial" w:hint="eastAsia"/>
          <w:sz w:val="28"/>
        </w:rPr>
        <w:t>）居民消费价格平稳运行，工业生产者出厂价格延续降势</w:t>
      </w:r>
      <w:r>
        <w:rPr>
          <w:rFonts w:ascii="Arial" w:hAnsi="Arial" w:cs="Arial" w:hint="eastAsia"/>
          <w:sz w:val="28"/>
        </w:rPr>
        <w:t> </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年上半年，北京市居民消费价格同比下降</w:t>
      </w:r>
      <w:r>
        <w:rPr>
          <w:rFonts w:ascii="Arial" w:hAnsi="Arial" w:cs="Arial" w:hint="eastAsia"/>
          <w:sz w:val="28"/>
        </w:rPr>
        <w:t>0.3%</w:t>
      </w:r>
      <w:r>
        <w:rPr>
          <w:rFonts w:ascii="Arial" w:hAnsi="Arial" w:cs="Arial" w:hint="eastAsia"/>
          <w:sz w:val="28"/>
        </w:rPr>
        <w:t>。其中，消费品价格下降</w:t>
      </w:r>
      <w:r>
        <w:rPr>
          <w:rFonts w:ascii="Arial" w:hAnsi="Arial" w:cs="Arial" w:hint="eastAsia"/>
          <w:sz w:val="28"/>
        </w:rPr>
        <w:t>0.7%</w:t>
      </w:r>
      <w:r>
        <w:rPr>
          <w:rFonts w:ascii="Arial" w:hAnsi="Arial" w:cs="Arial" w:hint="eastAsia"/>
          <w:sz w:val="28"/>
        </w:rPr>
        <w:t>，服务价格上涨</w:t>
      </w:r>
      <w:r>
        <w:rPr>
          <w:rFonts w:ascii="Arial" w:hAnsi="Arial" w:cs="Arial" w:hint="eastAsia"/>
          <w:sz w:val="28"/>
        </w:rPr>
        <w:t>0.1%</w:t>
      </w:r>
      <w:r>
        <w:rPr>
          <w:rFonts w:ascii="Arial" w:hAnsi="Arial" w:cs="Arial" w:hint="eastAsia"/>
          <w:sz w:val="28"/>
        </w:rPr>
        <w:t>。八大类商品和服务项目中，其他用品及服务类价格上涨</w:t>
      </w:r>
      <w:r>
        <w:rPr>
          <w:rFonts w:ascii="Arial" w:hAnsi="Arial" w:cs="Arial" w:hint="eastAsia"/>
          <w:sz w:val="28"/>
        </w:rPr>
        <w:t>9.8%</w:t>
      </w:r>
      <w:r>
        <w:rPr>
          <w:rFonts w:ascii="Arial" w:hAnsi="Arial" w:cs="Arial" w:hint="eastAsia"/>
          <w:sz w:val="28"/>
        </w:rPr>
        <w:t>，生活用品及服务类价格上涨</w:t>
      </w:r>
      <w:r>
        <w:rPr>
          <w:rFonts w:ascii="Arial" w:hAnsi="Arial" w:cs="Arial" w:hint="eastAsia"/>
          <w:sz w:val="28"/>
        </w:rPr>
        <w:t>0.9%</w:t>
      </w:r>
      <w:r>
        <w:rPr>
          <w:rFonts w:ascii="Arial" w:hAnsi="Arial" w:cs="Arial" w:hint="eastAsia"/>
          <w:sz w:val="28"/>
        </w:rPr>
        <w:t>，居住类价格上涨</w:t>
      </w:r>
      <w:r>
        <w:rPr>
          <w:rFonts w:ascii="Arial" w:hAnsi="Arial" w:cs="Arial" w:hint="eastAsia"/>
          <w:sz w:val="28"/>
        </w:rPr>
        <w:t>0.3%</w:t>
      </w:r>
      <w:r>
        <w:rPr>
          <w:rFonts w:ascii="Arial" w:hAnsi="Arial" w:cs="Arial" w:hint="eastAsia"/>
          <w:sz w:val="28"/>
        </w:rPr>
        <w:t>，衣着类价格上涨</w:t>
      </w:r>
      <w:r>
        <w:rPr>
          <w:rFonts w:ascii="Arial" w:hAnsi="Arial" w:cs="Arial" w:hint="eastAsia"/>
          <w:sz w:val="28"/>
        </w:rPr>
        <w:t>0.2%</w:t>
      </w:r>
      <w:r>
        <w:rPr>
          <w:rFonts w:ascii="Arial" w:hAnsi="Arial" w:cs="Arial" w:hint="eastAsia"/>
          <w:sz w:val="28"/>
        </w:rPr>
        <w:t>，食品烟酒类价格下降</w:t>
      </w:r>
      <w:r>
        <w:rPr>
          <w:rFonts w:ascii="Arial" w:hAnsi="Arial" w:cs="Arial" w:hint="eastAsia"/>
          <w:sz w:val="28"/>
        </w:rPr>
        <w:t>1.1%</w:t>
      </w:r>
      <w:r>
        <w:rPr>
          <w:rFonts w:ascii="Arial" w:hAnsi="Arial" w:cs="Arial" w:hint="eastAsia"/>
          <w:sz w:val="28"/>
        </w:rPr>
        <w:t>，交通通信类价格下降</w:t>
      </w:r>
      <w:r>
        <w:rPr>
          <w:rFonts w:ascii="Arial" w:hAnsi="Arial" w:cs="Arial" w:hint="eastAsia"/>
          <w:sz w:val="28"/>
        </w:rPr>
        <w:t>2.7%</w:t>
      </w:r>
      <w:r>
        <w:rPr>
          <w:rFonts w:ascii="Arial" w:hAnsi="Arial" w:cs="Arial" w:hint="eastAsia"/>
          <w:sz w:val="28"/>
        </w:rPr>
        <w:t>，教育文化娱乐类价格下降</w:t>
      </w:r>
      <w:r>
        <w:rPr>
          <w:rFonts w:ascii="Arial" w:hAnsi="Arial" w:cs="Arial" w:hint="eastAsia"/>
          <w:sz w:val="28"/>
        </w:rPr>
        <w:t>1.1%</w:t>
      </w:r>
      <w:r>
        <w:rPr>
          <w:rFonts w:ascii="Arial" w:hAnsi="Arial" w:cs="Arial" w:hint="eastAsia"/>
          <w:sz w:val="28"/>
        </w:rPr>
        <w:t>，医疗保健类价格下降</w:t>
      </w:r>
      <w:r>
        <w:rPr>
          <w:rFonts w:ascii="Arial" w:hAnsi="Arial" w:cs="Arial" w:hint="eastAsia"/>
          <w:sz w:val="28"/>
        </w:rPr>
        <w:t>0.6%</w:t>
      </w:r>
      <w:r>
        <w:rPr>
          <w:rFonts w:ascii="Arial" w:hAnsi="Arial" w:cs="Arial" w:hint="eastAsia"/>
          <w:sz w:val="28"/>
        </w:rPr>
        <w:t>。</w:t>
      </w:r>
      <w:r>
        <w:rPr>
          <w:rFonts w:ascii="Arial" w:hAnsi="Arial" w:cs="Arial" w:hint="eastAsia"/>
          <w:sz w:val="28"/>
        </w:rPr>
        <w:t>6</w:t>
      </w:r>
      <w:r>
        <w:rPr>
          <w:rFonts w:ascii="Arial" w:hAnsi="Arial" w:cs="Arial" w:hint="eastAsia"/>
          <w:sz w:val="28"/>
        </w:rPr>
        <w:t>月份，居民消费价格同比下降</w:t>
      </w:r>
      <w:r>
        <w:rPr>
          <w:rFonts w:ascii="Arial" w:hAnsi="Arial" w:cs="Arial" w:hint="eastAsia"/>
          <w:sz w:val="28"/>
        </w:rPr>
        <w:t>0.1%</w:t>
      </w:r>
      <w:r>
        <w:rPr>
          <w:rFonts w:ascii="Arial" w:hAnsi="Arial" w:cs="Arial" w:hint="eastAsia"/>
          <w:sz w:val="28"/>
        </w:rPr>
        <w:t>，环比下降</w:t>
      </w:r>
      <w:r>
        <w:rPr>
          <w:rFonts w:ascii="Arial" w:hAnsi="Arial" w:cs="Arial" w:hint="eastAsia"/>
          <w:sz w:val="28"/>
        </w:rPr>
        <w:t>0.4%</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年上半年，北京市工业生产者出厂价格同比下降</w:t>
      </w:r>
      <w:r>
        <w:rPr>
          <w:rFonts w:ascii="Arial" w:hAnsi="Arial" w:cs="Arial" w:hint="eastAsia"/>
          <w:sz w:val="28"/>
        </w:rPr>
        <w:t>1.8%</w:t>
      </w:r>
      <w:r>
        <w:rPr>
          <w:rFonts w:ascii="Arial" w:hAnsi="Arial" w:cs="Arial" w:hint="eastAsia"/>
          <w:sz w:val="28"/>
        </w:rPr>
        <w:t>，购进价格同比下降</w:t>
      </w:r>
      <w:r>
        <w:rPr>
          <w:rFonts w:ascii="Arial" w:hAnsi="Arial" w:cs="Arial" w:hint="eastAsia"/>
          <w:sz w:val="28"/>
        </w:rPr>
        <w:t>1.1%</w:t>
      </w:r>
      <w:r>
        <w:rPr>
          <w:rFonts w:ascii="Arial" w:hAnsi="Arial" w:cs="Arial" w:hint="eastAsia"/>
          <w:sz w:val="28"/>
        </w:rPr>
        <w:t>。</w:t>
      </w:r>
      <w:r>
        <w:rPr>
          <w:rFonts w:ascii="Arial" w:hAnsi="Arial" w:cs="Arial" w:hint="eastAsia"/>
          <w:sz w:val="28"/>
        </w:rPr>
        <w:t>6</w:t>
      </w:r>
      <w:r>
        <w:rPr>
          <w:rFonts w:ascii="Arial" w:hAnsi="Arial" w:cs="Arial" w:hint="eastAsia"/>
          <w:sz w:val="28"/>
        </w:rPr>
        <w:t>月份，工业生产者出厂价格同比下降</w:t>
      </w:r>
      <w:r>
        <w:rPr>
          <w:rFonts w:ascii="Arial" w:hAnsi="Arial" w:cs="Arial" w:hint="eastAsia"/>
          <w:sz w:val="28"/>
        </w:rPr>
        <w:t>1.7%</w:t>
      </w:r>
      <w:r>
        <w:rPr>
          <w:rFonts w:ascii="Arial" w:hAnsi="Arial" w:cs="Arial" w:hint="eastAsia"/>
          <w:sz w:val="28"/>
        </w:rPr>
        <w:t>，环比下降</w:t>
      </w:r>
      <w:r>
        <w:rPr>
          <w:rFonts w:ascii="Arial" w:hAnsi="Arial" w:cs="Arial" w:hint="eastAsia"/>
          <w:sz w:val="28"/>
        </w:rPr>
        <w:t>0.3%</w:t>
      </w:r>
      <w:r>
        <w:rPr>
          <w:rFonts w:ascii="Arial" w:hAnsi="Arial" w:cs="Arial" w:hint="eastAsia"/>
          <w:sz w:val="28"/>
        </w:rPr>
        <w:t>；购进价格同比下降</w:t>
      </w:r>
      <w:r>
        <w:rPr>
          <w:rFonts w:ascii="Arial" w:hAnsi="Arial" w:cs="Arial" w:hint="eastAsia"/>
          <w:sz w:val="28"/>
        </w:rPr>
        <w:t>2.3%</w:t>
      </w:r>
      <w:r>
        <w:rPr>
          <w:rFonts w:ascii="Arial" w:hAnsi="Arial" w:cs="Arial" w:hint="eastAsia"/>
          <w:sz w:val="28"/>
        </w:rPr>
        <w:t>，环比下降</w:t>
      </w:r>
      <w:r>
        <w:rPr>
          <w:rFonts w:ascii="Arial" w:hAnsi="Arial" w:cs="Arial" w:hint="eastAsia"/>
          <w:sz w:val="28"/>
        </w:rPr>
        <w:t>0.3%</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7</w:t>
      </w:r>
      <w:r>
        <w:rPr>
          <w:rFonts w:ascii="Arial" w:hAnsi="Arial" w:cs="Arial" w:hint="eastAsia"/>
          <w:sz w:val="28"/>
        </w:rPr>
        <w:t>）就业形势总体平稳，居民收入稳步增加</w:t>
      </w:r>
      <w:r>
        <w:rPr>
          <w:rFonts w:ascii="Arial" w:hAnsi="Arial" w:cs="Arial" w:hint="eastAsia"/>
          <w:sz w:val="28"/>
        </w:rPr>
        <w:t> </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年上半年，北京市城镇调查失业率均值为</w:t>
      </w:r>
      <w:r>
        <w:rPr>
          <w:rFonts w:ascii="Arial" w:hAnsi="Arial" w:cs="Arial" w:hint="eastAsia"/>
          <w:sz w:val="28"/>
        </w:rPr>
        <w:t>4.1%</w:t>
      </w:r>
      <w:r>
        <w:rPr>
          <w:rFonts w:ascii="Arial" w:hAnsi="Arial" w:cs="Arial" w:hint="eastAsia"/>
          <w:sz w:val="28"/>
        </w:rPr>
        <w:t>，与一季度持平；</w:t>
      </w:r>
      <w:r>
        <w:rPr>
          <w:rFonts w:ascii="Arial" w:hAnsi="Arial" w:cs="Arial" w:hint="eastAsia"/>
          <w:sz w:val="28"/>
        </w:rPr>
        <w:t>6</w:t>
      </w:r>
      <w:r>
        <w:rPr>
          <w:rFonts w:ascii="Arial" w:hAnsi="Arial" w:cs="Arial" w:hint="eastAsia"/>
          <w:sz w:val="28"/>
        </w:rPr>
        <w:t>月份，城镇调查失业率为</w:t>
      </w:r>
      <w:r>
        <w:rPr>
          <w:rFonts w:ascii="Arial" w:hAnsi="Arial" w:cs="Arial" w:hint="eastAsia"/>
          <w:sz w:val="28"/>
        </w:rPr>
        <w:t>4.1%</w:t>
      </w:r>
      <w:r>
        <w:rPr>
          <w:rFonts w:ascii="Arial" w:hAnsi="Arial" w:cs="Arial" w:hint="eastAsia"/>
          <w:sz w:val="28"/>
        </w:rPr>
        <w:t>，环比上升</w:t>
      </w:r>
      <w:r>
        <w:rPr>
          <w:rFonts w:ascii="Arial" w:hAnsi="Arial" w:cs="Arial" w:hint="eastAsia"/>
          <w:sz w:val="28"/>
        </w:rPr>
        <w:t>0.1</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年上半年，北京市居民人均可支配收入</w:t>
      </w:r>
      <w:r>
        <w:rPr>
          <w:rFonts w:ascii="Arial" w:hAnsi="Arial" w:cs="Arial" w:hint="eastAsia"/>
          <w:sz w:val="28"/>
        </w:rPr>
        <w:t>45144</w:t>
      </w:r>
      <w:r>
        <w:rPr>
          <w:rFonts w:ascii="Arial" w:hAnsi="Arial" w:cs="Arial" w:hint="eastAsia"/>
          <w:sz w:val="28"/>
        </w:rPr>
        <w:t>元，同比增长</w:t>
      </w:r>
      <w:r>
        <w:rPr>
          <w:rFonts w:ascii="Arial" w:hAnsi="Arial" w:cs="Arial" w:hint="eastAsia"/>
          <w:sz w:val="28"/>
        </w:rPr>
        <w:t>4.8%</w:t>
      </w:r>
      <w:r>
        <w:rPr>
          <w:rFonts w:ascii="Arial" w:hAnsi="Arial" w:cs="Arial" w:hint="eastAsia"/>
          <w:sz w:val="28"/>
        </w:rPr>
        <w:t>，扣除价格因素，实际增长</w:t>
      </w:r>
      <w:r>
        <w:rPr>
          <w:rFonts w:ascii="Arial" w:hAnsi="Arial" w:cs="Arial" w:hint="eastAsia"/>
          <w:sz w:val="28"/>
        </w:rPr>
        <w:t>5.1%</w:t>
      </w:r>
      <w:r>
        <w:rPr>
          <w:rFonts w:ascii="Arial" w:hAnsi="Arial" w:cs="Arial" w:hint="eastAsia"/>
          <w:sz w:val="28"/>
        </w:rPr>
        <w:t>。其中，工资性收入增长</w:t>
      </w:r>
      <w:r>
        <w:rPr>
          <w:rFonts w:ascii="Arial" w:hAnsi="Arial" w:cs="Arial" w:hint="eastAsia"/>
          <w:sz w:val="28"/>
        </w:rPr>
        <w:t>5.3%</w:t>
      </w:r>
      <w:r>
        <w:rPr>
          <w:rFonts w:ascii="Arial" w:hAnsi="Arial" w:cs="Arial" w:hint="eastAsia"/>
          <w:sz w:val="28"/>
        </w:rPr>
        <w:t>，经营净收入增长</w:t>
      </w:r>
      <w:r>
        <w:rPr>
          <w:rFonts w:ascii="Arial" w:hAnsi="Arial" w:cs="Arial" w:hint="eastAsia"/>
          <w:sz w:val="28"/>
        </w:rPr>
        <w:t>2.4%</w:t>
      </w:r>
      <w:r>
        <w:rPr>
          <w:rFonts w:ascii="Arial" w:hAnsi="Arial" w:cs="Arial" w:hint="eastAsia"/>
          <w:sz w:val="28"/>
        </w:rPr>
        <w:t>，财产净收入增长</w:t>
      </w:r>
      <w:r>
        <w:rPr>
          <w:rFonts w:ascii="Arial" w:hAnsi="Arial" w:cs="Arial" w:hint="eastAsia"/>
          <w:sz w:val="28"/>
        </w:rPr>
        <w:t>2.3%</w:t>
      </w:r>
      <w:r>
        <w:rPr>
          <w:rFonts w:ascii="Arial" w:hAnsi="Arial" w:cs="Arial" w:hint="eastAsia"/>
          <w:sz w:val="28"/>
        </w:rPr>
        <w:t>，转移净收入增长</w:t>
      </w:r>
      <w:r>
        <w:rPr>
          <w:rFonts w:ascii="Arial" w:hAnsi="Arial" w:cs="Arial" w:hint="eastAsia"/>
          <w:sz w:val="28"/>
        </w:rPr>
        <w:t>5.2%</w:t>
      </w:r>
      <w:r>
        <w:rPr>
          <w:rFonts w:ascii="Arial" w:hAnsi="Arial" w:cs="Arial" w:hint="eastAsia"/>
          <w:sz w:val="28"/>
        </w:rPr>
        <w:t>。城镇居民人均可支配收入</w:t>
      </w:r>
      <w:r>
        <w:rPr>
          <w:rFonts w:ascii="Arial" w:hAnsi="Arial" w:cs="Arial" w:hint="eastAsia"/>
          <w:sz w:val="28"/>
        </w:rPr>
        <w:t>48666</w:t>
      </w:r>
      <w:r>
        <w:rPr>
          <w:rFonts w:ascii="Arial" w:hAnsi="Arial" w:cs="Arial" w:hint="eastAsia"/>
          <w:sz w:val="28"/>
        </w:rPr>
        <w:t>元，同比增长</w:t>
      </w:r>
      <w:r>
        <w:rPr>
          <w:rFonts w:ascii="Arial" w:hAnsi="Arial" w:cs="Arial" w:hint="eastAsia"/>
          <w:sz w:val="28"/>
        </w:rPr>
        <w:t>4.6%</w:t>
      </w:r>
      <w:r>
        <w:rPr>
          <w:rFonts w:ascii="Arial" w:hAnsi="Arial" w:cs="Arial" w:hint="eastAsia"/>
          <w:sz w:val="28"/>
        </w:rPr>
        <w:t>，农村居民人均可支配收入</w:t>
      </w:r>
      <w:r>
        <w:rPr>
          <w:rFonts w:ascii="Arial" w:hAnsi="Arial" w:cs="Arial" w:hint="eastAsia"/>
          <w:sz w:val="28"/>
        </w:rPr>
        <w:t>22124</w:t>
      </w:r>
      <w:r>
        <w:rPr>
          <w:rFonts w:ascii="Arial" w:hAnsi="Arial" w:cs="Arial" w:hint="eastAsia"/>
          <w:sz w:val="28"/>
        </w:rPr>
        <w:t>元，同比增长</w:t>
      </w:r>
      <w:r>
        <w:rPr>
          <w:rFonts w:ascii="Arial" w:hAnsi="Arial" w:cs="Arial" w:hint="eastAsia"/>
          <w:sz w:val="28"/>
        </w:rPr>
        <w:t>6.1%</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总的来看，</w:t>
      </w:r>
      <w:r>
        <w:rPr>
          <w:rFonts w:ascii="Arial" w:hAnsi="Arial" w:cs="Arial" w:hint="eastAsia"/>
          <w:sz w:val="28"/>
        </w:rPr>
        <w:t>2025</w:t>
      </w:r>
      <w:r>
        <w:rPr>
          <w:rFonts w:ascii="Arial" w:hAnsi="Arial" w:cs="Arial" w:hint="eastAsia"/>
          <w:sz w:val="28"/>
        </w:rPr>
        <w:t>年上半年北京市经济保持平稳运行，高质量发展取得</w:t>
      </w:r>
      <w:r>
        <w:rPr>
          <w:rFonts w:ascii="Arial" w:hAnsi="Arial" w:cs="Arial" w:hint="eastAsia"/>
          <w:sz w:val="28"/>
        </w:rPr>
        <w:lastRenderedPageBreak/>
        <w:t>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rsidR="004935A9" w:rsidRDefault="00311723">
      <w:pPr>
        <w:spacing w:line="360" w:lineRule="auto"/>
        <w:jc w:val="both"/>
        <w:rPr>
          <w:rFonts w:ascii="Arial" w:hAnsi="Arial" w:cs="Arial"/>
          <w:sz w:val="28"/>
        </w:rPr>
      </w:pPr>
      <w:r>
        <w:rPr>
          <w:rFonts w:ascii="Arial" w:hAnsi="Arial" w:cs="Arial"/>
          <w:sz w:val="28"/>
        </w:rPr>
        <w:t>（二）区域因素</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区域概况</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百泉庄村位于北京市昌平城区西部，</w:t>
      </w:r>
      <w:proofErr w:type="gramStart"/>
      <w:r>
        <w:rPr>
          <w:rFonts w:ascii="Arial" w:hAnsi="Arial" w:cs="Arial" w:hint="eastAsia"/>
          <w:sz w:val="28"/>
        </w:rPr>
        <w:t>距离马</w:t>
      </w:r>
      <w:proofErr w:type="gramEnd"/>
      <w:r>
        <w:rPr>
          <w:rFonts w:ascii="Arial" w:hAnsi="Arial" w:cs="Arial" w:hint="eastAsia"/>
          <w:sz w:val="28"/>
        </w:rPr>
        <w:t>池口镇政府约</w:t>
      </w:r>
      <w:r>
        <w:rPr>
          <w:rFonts w:ascii="Arial" w:hAnsi="Arial" w:cs="Arial" w:hint="eastAsia"/>
          <w:sz w:val="28"/>
        </w:rPr>
        <w:t>4.7</w:t>
      </w:r>
      <w:r>
        <w:rPr>
          <w:rFonts w:ascii="Arial" w:hAnsi="Arial" w:cs="Arial" w:hint="eastAsia"/>
          <w:sz w:val="28"/>
        </w:rPr>
        <w:t>公里。东邻昌平城区，西接上念头村，南连宏道村，北邻昌平镇。村域面积</w:t>
      </w:r>
      <w:r>
        <w:rPr>
          <w:rFonts w:ascii="Arial" w:hAnsi="Arial" w:cs="Arial" w:hint="eastAsia"/>
          <w:sz w:val="28"/>
        </w:rPr>
        <w:t>286.07</w:t>
      </w:r>
      <w:r>
        <w:rPr>
          <w:rFonts w:ascii="Arial" w:hAnsi="Arial" w:cs="Arial" w:hint="eastAsia"/>
          <w:sz w:val="28"/>
        </w:rPr>
        <w:t>公顷（</w:t>
      </w:r>
      <w:r>
        <w:rPr>
          <w:rFonts w:ascii="Arial" w:hAnsi="Arial" w:cs="Arial" w:hint="eastAsia"/>
          <w:sz w:val="28"/>
        </w:rPr>
        <w:t>4291.05</w:t>
      </w:r>
      <w:r>
        <w:rPr>
          <w:rFonts w:ascii="Arial" w:hAnsi="Arial" w:cs="Arial" w:hint="eastAsia"/>
          <w:sz w:val="28"/>
        </w:rPr>
        <w:t>亩），村庄人口</w:t>
      </w:r>
      <w:r>
        <w:rPr>
          <w:rFonts w:ascii="Arial" w:hAnsi="Arial" w:cs="Arial" w:hint="eastAsia"/>
          <w:sz w:val="28"/>
        </w:rPr>
        <w:t xml:space="preserve"> 2000</w:t>
      </w:r>
      <w:r>
        <w:rPr>
          <w:rFonts w:ascii="Arial" w:hAnsi="Arial" w:cs="Arial" w:hint="eastAsia"/>
          <w:sz w:val="28"/>
        </w:rPr>
        <w:t>人，其中非农业人口</w:t>
      </w:r>
      <w:r>
        <w:rPr>
          <w:rFonts w:ascii="Arial" w:hAnsi="Arial" w:cs="Arial" w:hint="eastAsia"/>
          <w:sz w:val="28"/>
        </w:rPr>
        <w:t>427</w:t>
      </w:r>
      <w:r>
        <w:rPr>
          <w:rFonts w:ascii="Arial" w:hAnsi="Arial" w:cs="Arial" w:hint="eastAsia"/>
          <w:sz w:val="28"/>
        </w:rPr>
        <w:t>人，农业人口</w:t>
      </w:r>
      <w:r>
        <w:rPr>
          <w:rFonts w:ascii="Arial" w:hAnsi="Arial" w:cs="Arial" w:hint="eastAsia"/>
          <w:sz w:val="28"/>
        </w:rPr>
        <w:t>1573</w:t>
      </w:r>
      <w:r>
        <w:rPr>
          <w:rFonts w:ascii="Arial" w:hAnsi="Arial" w:cs="Arial" w:hint="eastAsia"/>
          <w:sz w:val="28"/>
        </w:rPr>
        <w:t>人。共</w:t>
      </w:r>
      <w:r>
        <w:rPr>
          <w:rFonts w:ascii="Arial" w:hAnsi="Arial" w:cs="Arial" w:hint="eastAsia"/>
          <w:sz w:val="28"/>
        </w:rPr>
        <w:t>818</w:t>
      </w:r>
      <w:r>
        <w:rPr>
          <w:rFonts w:ascii="Arial" w:hAnsi="Arial" w:cs="Arial" w:hint="eastAsia"/>
          <w:sz w:val="28"/>
        </w:rPr>
        <w:t>户，其中非农业户</w:t>
      </w:r>
      <w:r>
        <w:rPr>
          <w:rFonts w:ascii="Arial" w:hAnsi="Arial" w:cs="Arial" w:hint="eastAsia"/>
          <w:sz w:val="28"/>
        </w:rPr>
        <w:t>200</w:t>
      </w:r>
      <w:r>
        <w:rPr>
          <w:rFonts w:ascii="Arial" w:hAnsi="Arial" w:cs="Arial" w:hint="eastAsia"/>
          <w:sz w:val="28"/>
        </w:rPr>
        <w:t>户，农业户</w:t>
      </w:r>
      <w:r>
        <w:rPr>
          <w:rFonts w:ascii="Arial" w:hAnsi="Arial" w:cs="Arial" w:hint="eastAsia"/>
          <w:sz w:val="28"/>
        </w:rPr>
        <w:t>618</w:t>
      </w:r>
      <w:r>
        <w:rPr>
          <w:rFonts w:ascii="Arial" w:hAnsi="Arial" w:cs="Arial" w:hint="eastAsia"/>
          <w:sz w:val="28"/>
        </w:rPr>
        <w:t>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交通条件</w:t>
      </w:r>
    </w:p>
    <w:p w:rsidR="004935A9" w:rsidRDefault="00311723">
      <w:pPr>
        <w:spacing w:line="360" w:lineRule="auto"/>
        <w:ind w:firstLineChars="200" w:firstLine="560"/>
        <w:rPr>
          <w:rFonts w:ascii="Arial" w:hAnsi="Arial" w:cs="Arial"/>
          <w:sz w:val="28"/>
        </w:rPr>
      </w:pPr>
      <w:r>
        <w:rPr>
          <w:rFonts w:ascii="Arial" w:hAnsi="Arial" w:cs="Arial"/>
          <w:sz w:val="28"/>
        </w:rPr>
        <w:t>咨询对象</w:t>
      </w:r>
      <w:r>
        <w:rPr>
          <w:rFonts w:ascii="Arial" w:hAnsi="Arial" w:cs="Arial" w:hint="eastAsia"/>
          <w:sz w:val="28"/>
        </w:rPr>
        <w:t>北侧紧</w:t>
      </w:r>
      <w:proofErr w:type="gramStart"/>
      <w:r>
        <w:rPr>
          <w:rFonts w:ascii="Arial" w:hAnsi="Arial" w:cs="Arial" w:hint="eastAsia"/>
          <w:sz w:val="28"/>
        </w:rPr>
        <w:t>临</w:t>
      </w:r>
      <w:r>
        <w:rPr>
          <w:rFonts w:ascii="Arial" w:hAnsi="Arial" w:cs="Arial"/>
          <w:sz w:val="28"/>
        </w:rPr>
        <w:t>城市</w:t>
      </w:r>
      <w:proofErr w:type="gramEnd"/>
      <w:r>
        <w:rPr>
          <w:rFonts w:ascii="Arial" w:hAnsi="Arial" w:cs="Arial"/>
          <w:sz w:val="28"/>
        </w:rPr>
        <w:t>次干道</w:t>
      </w:r>
      <w:r>
        <w:rPr>
          <w:rFonts w:ascii="Arial" w:hAnsi="Arial" w:cs="Arial"/>
          <w:sz w:val="28"/>
        </w:rPr>
        <w:t>——</w:t>
      </w:r>
      <w:r>
        <w:rPr>
          <w:rFonts w:ascii="Arial" w:hAnsi="Arial" w:cs="Arial" w:hint="eastAsia"/>
          <w:sz w:val="28"/>
        </w:rPr>
        <w:t>水南路</w:t>
      </w:r>
      <w:r>
        <w:rPr>
          <w:rFonts w:ascii="Arial" w:hAnsi="Arial" w:cs="Arial"/>
          <w:sz w:val="28"/>
        </w:rPr>
        <w:t>，</w:t>
      </w:r>
      <w:proofErr w:type="gramStart"/>
      <w:r>
        <w:rPr>
          <w:rFonts w:ascii="Arial" w:hAnsi="Arial" w:cs="Arial" w:hint="eastAsia"/>
          <w:sz w:val="28"/>
        </w:rPr>
        <w:t>距京新高速</w:t>
      </w:r>
      <w:proofErr w:type="gramEnd"/>
      <w:r>
        <w:rPr>
          <w:rFonts w:ascii="Arial" w:hAnsi="Arial" w:cs="Arial" w:hint="eastAsia"/>
          <w:sz w:val="28"/>
        </w:rPr>
        <w:t>约</w:t>
      </w:r>
      <w:r>
        <w:rPr>
          <w:rFonts w:ascii="Arial" w:hAnsi="Arial" w:cs="Arial" w:hint="eastAsia"/>
          <w:sz w:val="28"/>
        </w:rPr>
        <w:t>1.5</w:t>
      </w:r>
      <w:r>
        <w:rPr>
          <w:rFonts w:ascii="Arial" w:hAnsi="Arial" w:cs="Arial" w:hint="eastAsia"/>
          <w:sz w:val="28"/>
        </w:rPr>
        <w:t>公里，</w:t>
      </w:r>
      <w:r>
        <w:rPr>
          <w:rFonts w:ascii="Arial" w:hAnsi="Arial" w:cs="Arial"/>
          <w:sz w:val="28"/>
        </w:rPr>
        <w:t>周边有</w:t>
      </w:r>
      <w:r>
        <w:rPr>
          <w:rFonts w:ascii="Arial" w:hAnsi="Arial" w:cs="Arial" w:hint="eastAsia"/>
          <w:sz w:val="28"/>
        </w:rPr>
        <w:t>559</w:t>
      </w:r>
      <w:r>
        <w:rPr>
          <w:rFonts w:ascii="Arial" w:hAnsi="Arial" w:cs="Arial"/>
          <w:sz w:val="28"/>
        </w:rPr>
        <w:t>路、</w:t>
      </w:r>
      <w:r>
        <w:rPr>
          <w:rFonts w:ascii="Arial" w:hAnsi="Arial" w:cs="Arial" w:hint="eastAsia"/>
          <w:sz w:val="28"/>
        </w:rPr>
        <w:t>590</w:t>
      </w:r>
      <w:r>
        <w:rPr>
          <w:rFonts w:ascii="Arial" w:hAnsi="Arial" w:cs="Arial"/>
          <w:sz w:val="28"/>
        </w:rPr>
        <w:t>路、</w:t>
      </w:r>
      <w:r>
        <w:rPr>
          <w:rFonts w:ascii="Arial" w:hAnsi="Arial" w:cs="Arial" w:hint="eastAsia"/>
          <w:sz w:val="28"/>
        </w:rPr>
        <w:t>昌</w:t>
      </w:r>
      <w:r>
        <w:rPr>
          <w:rFonts w:ascii="Arial" w:hAnsi="Arial" w:cs="Arial" w:hint="eastAsia"/>
          <w:sz w:val="28"/>
        </w:rPr>
        <w:t>13</w:t>
      </w:r>
      <w:r>
        <w:rPr>
          <w:rFonts w:ascii="Arial" w:hAnsi="Arial" w:cs="Arial"/>
          <w:sz w:val="28"/>
        </w:rPr>
        <w:t>路</w:t>
      </w:r>
      <w:r>
        <w:rPr>
          <w:rFonts w:ascii="Arial" w:hAnsi="Arial" w:cs="Arial" w:hint="eastAsia"/>
          <w:sz w:val="28"/>
        </w:rPr>
        <w:t>、昌</w:t>
      </w:r>
      <w:r>
        <w:rPr>
          <w:rFonts w:ascii="Arial" w:hAnsi="Arial" w:cs="Arial" w:hint="eastAsia"/>
          <w:sz w:val="28"/>
        </w:rPr>
        <w:t>3</w:t>
      </w:r>
      <w:r>
        <w:rPr>
          <w:rFonts w:ascii="Arial" w:hAnsi="Arial" w:cs="Arial" w:hint="eastAsia"/>
          <w:sz w:val="28"/>
        </w:rPr>
        <w:t>路</w:t>
      </w:r>
      <w:r>
        <w:rPr>
          <w:rFonts w:ascii="Arial" w:hAnsi="Arial" w:cs="Arial"/>
          <w:sz w:val="28"/>
        </w:rPr>
        <w:t>等公交线路，</w:t>
      </w:r>
      <w:r>
        <w:rPr>
          <w:rFonts w:ascii="Arial" w:hAnsi="Arial" w:cs="Arial" w:hint="eastAsia"/>
          <w:sz w:val="28"/>
        </w:rPr>
        <w:t>2</w:t>
      </w:r>
      <w:r>
        <w:rPr>
          <w:rFonts w:ascii="Arial" w:hAnsi="Arial" w:cs="Arial" w:hint="eastAsia"/>
          <w:sz w:val="28"/>
        </w:rPr>
        <w:t>公里范围内无轨道交通</w:t>
      </w:r>
      <w:r>
        <w:rPr>
          <w:rFonts w:ascii="Arial" w:hAnsi="Arial" w:cs="Arial"/>
          <w:sz w:val="28"/>
        </w:rPr>
        <w:t>，综合评价交通便捷度</w:t>
      </w:r>
      <w:r>
        <w:rPr>
          <w:rFonts w:ascii="Arial" w:hAnsi="Arial" w:cs="Arial" w:hint="eastAsia"/>
          <w:sz w:val="28"/>
        </w:rPr>
        <w:t>较差</w:t>
      </w:r>
      <w:r>
        <w:rPr>
          <w:rFonts w:ascii="Arial" w:hAnsi="Arial" w:cs="Arial"/>
          <w:sz w:val="28"/>
        </w:rPr>
        <w:t>。</w:t>
      </w:r>
    </w:p>
    <w:p w:rsidR="004935A9" w:rsidRDefault="00311723">
      <w:pPr>
        <w:spacing w:line="360" w:lineRule="auto"/>
        <w:ind w:firstLineChars="200" w:firstLine="560"/>
        <w:rPr>
          <w:rFonts w:ascii="Arial" w:hAnsi="Arial" w:cs="Arial"/>
          <w:sz w:val="28"/>
        </w:rPr>
      </w:pPr>
      <w:r>
        <w:rPr>
          <w:rFonts w:ascii="Arial" w:hAnsi="Arial" w:cs="Arial"/>
          <w:sz w:val="28"/>
        </w:rPr>
        <w:t>3.</w:t>
      </w:r>
      <w:r>
        <w:rPr>
          <w:rFonts w:ascii="Arial" w:hAnsi="Arial" w:cs="Arial"/>
          <w:sz w:val="28"/>
        </w:rPr>
        <w:t>环境条件</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w:t>
      </w:r>
      <w:r>
        <w:rPr>
          <w:rFonts w:ascii="Arial" w:hAnsi="Arial" w:cs="Arial" w:hint="eastAsia"/>
          <w:sz w:val="28"/>
        </w:rPr>
        <w:t>周边有京密引水渠等</w:t>
      </w:r>
      <w:r>
        <w:rPr>
          <w:rFonts w:ascii="Arial" w:hAnsi="Arial" w:cs="Arial"/>
          <w:sz w:val="28"/>
        </w:rPr>
        <w:t>自然环境；</w:t>
      </w:r>
      <w:r>
        <w:rPr>
          <w:rFonts w:ascii="Arial" w:hAnsi="Arial" w:cs="Arial" w:hint="eastAsia"/>
          <w:sz w:val="28"/>
        </w:rPr>
        <w:t>有中国石化石油化工科学研究院、中国标准化研究院、北京汇佳职业学院等人文场所。</w:t>
      </w:r>
      <w:r>
        <w:rPr>
          <w:rFonts w:ascii="Arial" w:hAnsi="Arial" w:cs="Arial"/>
          <w:sz w:val="28"/>
        </w:rPr>
        <w:t>综合评价环境状况一般。</w:t>
      </w:r>
    </w:p>
    <w:p w:rsidR="004935A9" w:rsidRDefault="00311723">
      <w:pPr>
        <w:spacing w:line="360" w:lineRule="auto"/>
        <w:ind w:firstLineChars="200" w:firstLine="560"/>
        <w:jc w:val="both"/>
        <w:rPr>
          <w:rFonts w:ascii="Arial" w:hAnsi="Arial" w:cs="Arial"/>
          <w:i/>
          <w:sz w:val="28"/>
        </w:rPr>
      </w:pPr>
      <w:r>
        <w:rPr>
          <w:rFonts w:ascii="Arial" w:hAnsi="Arial" w:cs="Arial"/>
          <w:sz w:val="28"/>
        </w:rPr>
        <w:t>4.</w:t>
      </w:r>
      <w:r>
        <w:rPr>
          <w:rFonts w:ascii="Arial" w:hAnsi="Arial" w:cs="Arial"/>
          <w:sz w:val="28"/>
        </w:rPr>
        <w:t>基础设施条件</w:t>
      </w:r>
    </w:p>
    <w:p w:rsidR="004935A9" w:rsidRDefault="00311723">
      <w:pPr>
        <w:spacing w:line="360" w:lineRule="auto"/>
        <w:ind w:firstLineChars="200" w:firstLine="560"/>
        <w:jc w:val="both"/>
        <w:rPr>
          <w:rFonts w:ascii="Arial" w:hAnsi="Arial" w:cs="Arial"/>
          <w:sz w:val="28"/>
        </w:rPr>
      </w:pPr>
      <w:proofErr w:type="gramStart"/>
      <w:r>
        <w:rPr>
          <w:rFonts w:ascii="Arial" w:hAnsi="Arial" w:cs="Arial" w:hint="eastAsia"/>
          <w:sz w:val="28"/>
        </w:rPr>
        <w:t>昌平</w:t>
      </w:r>
      <w:r>
        <w:rPr>
          <w:rFonts w:ascii="Arial" w:hAnsi="Arial" w:cs="Arial"/>
          <w:sz w:val="28"/>
        </w:rPr>
        <w:t>区</w:t>
      </w:r>
      <w:proofErr w:type="gramEnd"/>
      <w:r>
        <w:rPr>
          <w:rFonts w:ascii="Arial" w:hAnsi="Arial" w:cs="Arial"/>
          <w:sz w:val="28"/>
        </w:rPr>
        <w:t>目前已拥有完善的基础设施配套保障，区内大部分区域基础设施</w:t>
      </w:r>
      <w:r>
        <w:rPr>
          <w:rFonts w:ascii="Arial" w:hAnsi="Arial" w:cs="Arial"/>
          <w:sz w:val="28"/>
        </w:rPr>
        <w:lastRenderedPageBreak/>
        <w:t>配套目前可达到</w:t>
      </w:r>
      <w:r>
        <w:rPr>
          <w:rFonts w:ascii="Arial" w:hAnsi="Arial" w:cs="Arial"/>
          <w:sz w:val="28"/>
        </w:rPr>
        <w:t>“</w:t>
      </w:r>
      <w:r>
        <w:rPr>
          <w:rFonts w:ascii="Arial" w:hAnsi="Arial" w:cs="Arial"/>
          <w:sz w:val="28"/>
        </w:rPr>
        <w:t>七通</w:t>
      </w:r>
      <w:r>
        <w:rPr>
          <w:rFonts w:ascii="Arial" w:hAnsi="Arial" w:cs="Arial"/>
          <w:sz w:val="28"/>
        </w:rPr>
        <w:t>”</w:t>
      </w:r>
      <w:r>
        <w:rPr>
          <w:rFonts w:ascii="Arial" w:hAnsi="Arial" w:cs="Arial"/>
          <w:sz w:val="28"/>
        </w:rPr>
        <w:t>（即通路、通电、通讯、通上水、通下水、通燃气、通热）条件。</w:t>
      </w:r>
    </w:p>
    <w:p w:rsidR="004935A9" w:rsidRDefault="00311723">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居住社区成熟度</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华庭公寓</w:t>
      </w:r>
      <w:r>
        <w:rPr>
          <w:rFonts w:ascii="Arial" w:hAnsi="Arial" w:cs="Arial"/>
          <w:sz w:val="28"/>
        </w:rPr>
        <w:t>、</w:t>
      </w:r>
      <w:proofErr w:type="gramStart"/>
      <w:r>
        <w:rPr>
          <w:rFonts w:ascii="Arial" w:hAnsi="Arial" w:cs="Arial" w:hint="eastAsia"/>
          <w:sz w:val="28"/>
        </w:rPr>
        <w:t>水屯家园</w:t>
      </w:r>
      <w:proofErr w:type="gramEnd"/>
      <w:r>
        <w:rPr>
          <w:rFonts w:ascii="Arial" w:hAnsi="Arial" w:cs="Arial" w:hint="eastAsia"/>
          <w:sz w:val="28"/>
        </w:rPr>
        <w:t>、水南佳苑、龙山跃、百泉花园</w:t>
      </w:r>
      <w:r>
        <w:rPr>
          <w:rFonts w:ascii="Arial" w:hAnsi="Arial" w:cs="Arial"/>
          <w:sz w:val="28"/>
        </w:rPr>
        <w:t>等居住小区，</w:t>
      </w:r>
      <w:r>
        <w:rPr>
          <w:rFonts w:ascii="Arial" w:hAnsi="Arial" w:cs="Arial" w:hint="eastAsia"/>
          <w:sz w:val="28"/>
        </w:rPr>
        <w:t>规模较小，分布</w:t>
      </w:r>
      <w:r>
        <w:rPr>
          <w:rFonts w:ascii="Arial" w:hAnsi="Arial" w:cs="Arial"/>
          <w:sz w:val="28"/>
        </w:rPr>
        <w:t>较为分散，居住社区成熟度</w:t>
      </w:r>
      <w:r>
        <w:rPr>
          <w:rFonts w:ascii="Arial" w:hAnsi="Arial" w:cs="Arial" w:hint="eastAsia"/>
          <w:sz w:val="28"/>
        </w:rPr>
        <w:t>一般</w:t>
      </w:r>
      <w:r>
        <w:rPr>
          <w:rFonts w:ascii="Arial" w:hAnsi="Arial" w:cs="Arial"/>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hint="eastAsia"/>
          <w:sz w:val="28"/>
        </w:rPr>
        <w:t>商业繁华度</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零星住宅配套商业，商业繁华度一般。</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hint="eastAsia"/>
          <w:sz w:val="28"/>
        </w:rPr>
        <w:t>公共配套设施齐备度</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咨询对象所在区域周边</w:t>
      </w:r>
      <w:r>
        <w:rPr>
          <w:rFonts w:ascii="Arial" w:hAnsi="Arial" w:cs="Arial"/>
          <w:sz w:val="28"/>
        </w:rPr>
        <w:t>2</w:t>
      </w:r>
      <w:r>
        <w:rPr>
          <w:rFonts w:ascii="Arial" w:hAnsi="Arial" w:cs="Arial"/>
          <w:sz w:val="28"/>
        </w:rPr>
        <w:t>公里范围内</w:t>
      </w:r>
      <w:proofErr w:type="gramStart"/>
      <w:r>
        <w:rPr>
          <w:rFonts w:ascii="Arial" w:hAnsi="Arial" w:cs="Arial"/>
          <w:sz w:val="28"/>
        </w:rPr>
        <w:t>有</w:t>
      </w:r>
      <w:r>
        <w:rPr>
          <w:rFonts w:ascii="Arial" w:hAnsi="Arial" w:cs="Arial" w:hint="eastAsia"/>
          <w:sz w:val="28"/>
        </w:rPr>
        <w:t>汇蕾学校</w:t>
      </w:r>
      <w:proofErr w:type="gramEnd"/>
      <w:r>
        <w:rPr>
          <w:rFonts w:ascii="Arial" w:hAnsi="Arial" w:cs="Arial" w:hint="eastAsia"/>
          <w:sz w:val="28"/>
        </w:rPr>
        <w:t>、北京市</w:t>
      </w:r>
      <w:proofErr w:type="gramStart"/>
      <w:r>
        <w:rPr>
          <w:rFonts w:ascii="Arial" w:hAnsi="Arial" w:cs="Arial" w:hint="eastAsia"/>
          <w:sz w:val="28"/>
        </w:rPr>
        <w:t>昌平区马池口中心</w:t>
      </w:r>
      <w:proofErr w:type="gramEnd"/>
      <w:r>
        <w:rPr>
          <w:rFonts w:ascii="Arial" w:hAnsi="Arial" w:cs="Arial" w:hint="eastAsia"/>
          <w:sz w:val="28"/>
        </w:rPr>
        <w:t>百泉庄小学、马池口小学、北京博仁祥医院、</w:t>
      </w:r>
      <w:proofErr w:type="gramStart"/>
      <w:r>
        <w:rPr>
          <w:rFonts w:ascii="Arial" w:hAnsi="Arial" w:cs="Arial" w:hint="eastAsia"/>
          <w:sz w:val="28"/>
        </w:rPr>
        <w:t>昌平区城南</w:t>
      </w:r>
      <w:proofErr w:type="gramEnd"/>
      <w:r>
        <w:rPr>
          <w:rFonts w:ascii="Arial" w:hAnsi="Arial" w:cs="Arial" w:hint="eastAsia"/>
          <w:sz w:val="28"/>
        </w:rPr>
        <w:t>社区卫生</w:t>
      </w:r>
      <w:proofErr w:type="gramStart"/>
      <w:r>
        <w:rPr>
          <w:rFonts w:ascii="Arial" w:hAnsi="Arial" w:cs="Arial" w:hint="eastAsia"/>
          <w:sz w:val="28"/>
        </w:rPr>
        <w:t>服务中心水屯社区</w:t>
      </w:r>
      <w:proofErr w:type="gramEnd"/>
      <w:r>
        <w:rPr>
          <w:rFonts w:ascii="Arial" w:hAnsi="Arial" w:cs="Arial" w:hint="eastAsia"/>
          <w:sz w:val="28"/>
        </w:rPr>
        <w:t>卫生服务站、北京农商银行（水南路分理处）、中国邮政储蓄银行（</w:t>
      </w:r>
      <w:proofErr w:type="gramStart"/>
      <w:r>
        <w:rPr>
          <w:rFonts w:ascii="Arial" w:hAnsi="Arial" w:cs="Arial" w:hint="eastAsia"/>
          <w:sz w:val="28"/>
        </w:rPr>
        <w:t>水屯营业所</w:t>
      </w:r>
      <w:proofErr w:type="gramEnd"/>
      <w:r>
        <w:rPr>
          <w:rFonts w:ascii="Arial" w:hAnsi="Arial" w:cs="Arial" w:hint="eastAsia"/>
          <w:sz w:val="28"/>
        </w:rPr>
        <w:t>）、北京银行（水南路支行）</w:t>
      </w:r>
      <w:r>
        <w:rPr>
          <w:rFonts w:ascii="Arial" w:hAnsi="Arial" w:cs="Arial"/>
          <w:sz w:val="28"/>
        </w:rPr>
        <w:t>等，各类配套设施齐备程度</w:t>
      </w:r>
      <w:r>
        <w:rPr>
          <w:rFonts w:ascii="Arial" w:hAnsi="Arial" w:cs="Arial" w:hint="eastAsia"/>
          <w:sz w:val="28"/>
        </w:rPr>
        <w:t>一般</w:t>
      </w:r>
      <w:r>
        <w:rPr>
          <w:rFonts w:ascii="Arial" w:hAnsi="Arial" w:cs="Arial"/>
          <w:sz w:val="28"/>
        </w:rPr>
        <w:t>，故公共配套设施状况一般。</w:t>
      </w:r>
    </w:p>
    <w:p w:rsidR="004935A9" w:rsidRDefault="00311723">
      <w:pPr>
        <w:spacing w:line="360" w:lineRule="auto"/>
        <w:ind w:firstLineChars="200" w:firstLine="560"/>
        <w:jc w:val="both"/>
        <w:rPr>
          <w:rFonts w:ascii="Arial" w:hAnsi="Arial" w:cs="Arial"/>
          <w:sz w:val="28"/>
        </w:rPr>
      </w:pPr>
      <w:r>
        <w:rPr>
          <w:rFonts w:ascii="Arial" w:hAnsi="Arial" w:cs="Arial"/>
          <w:sz w:val="28"/>
        </w:rPr>
        <w:t>综上所述，咨询对象所处区域地理位置条件</w:t>
      </w:r>
      <w:r>
        <w:rPr>
          <w:rFonts w:ascii="Arial" w:hAnsi="Arial" w:cs="Arial" w:hint="eastAsia"/>
          <w:sz w:val="28"/>
        </w:rPr>
        <w:t>一般</w:t>
      </w:r>
      <w:r>
        <w:rPr>
          <w:rFonts w:ascii="Arial" w:hAnsi="Arial" w:cs="Arial"/>
          <w:sz w:val="28"/>
        </w:rPr>
        <w:t>、交通条件</w:t>
      </w:r>
      <w:r>
        <w:rPr>
          <w:rFonts w:ascii="Arial" w:hAnsi="Arial" w:cs="Arial" w:hint="eastAsia"/>
          <w:sz w:val="28"/>
        </w:rPr>
        <w:t>较差</w:t>
      </w:r>
      <w:r>
        <w:rPr>
          <w:rFonts w:ascii="Arial" w:hAnsi="Arial" w:cs="Arial"/>
          <w:sz w:val="28"/>
        </w:rPr>
        <w:t>，基础设施水平</w:t>
      </w:r>
      <w:r>
        <w:rPr>
          <w:rFonts w:ascii="Arial" w:hAnsi="Arial" w:cs="Arial" w:hint="eastAsia"/>
          <w:sz w:val="28"/>
        </w:rPr>
        <w:t>完善</w:t>
      </w:r>
      <w:r>
        <w:rPr>
          <w:rFonts w:ascii="Arial" w:hAnsi="Arial" w:cs="Arial"/>
          <w:sz w:val="28"/>
        </w:rPr>
        <w:t>，环境条件一般，</w:t>
      </w:r>
      <w:r>
        <w:rPr>
          <w:rFonts w:ascii="Arial" w:hAnsi="Arial" w:cs="Arial" w:hint="eastAsia"/>
          <w:sz w:val="28"/>
        </w:rPr>
        <w:t>居住社区成熟度一般、商业</w:t>
      </w:r>
      <w:r>
        <w:rPr>
          <w:rFonts w:ascii="Arial" w:hAnsi="Arial" w:cs="Arial"/>
          <w:sz w:val="28"/>
        </w:rPr>
        <w:t>繁华度情况一般</w:t>
      </w:r>
      <w:r>
        <w:rPr>
          <w:rFonts w:ascii="Arial" w:hAnsi="Arial" w:cs="Arial" w:hint="eastAsia"/>
          <w:sz w:val="28"/>
        </w:rPr>
        <w:t>、公共配套设施齐备度一般</w:t>
      </w:r>
      <w:r>
        <w:rPr>
          <w:rFonts w:ascii="Arial" w:hAnsi="Arial" w:cs="Arial"/>
          <w:sz w:val="28"/>
        </w:rPr>
        <w:t>。总体评价影响咨询对象的区域因素一般。</w:t>
      </w:r>
    </w:p>
    <w:p w:rsidR="004935A9" w:rsidRDefault="00311723">
      <w:pPr>
        <w:spacing w:line="360" w:lineRule="auto"/>
        <w:jc w:val="both"/>
        <w:rPr>
          <w:rFonts w:ascii="Arial" w:hAnsi="Arial" w:cs="Arial"/>
          <w:sz w:val="28"/>
        </w:rPr>
      </w:pPr>
      <w:r>
        <w:rPr>
          <w:rFonts w:ascii="Arial" w:hAnsi="Arial" w:cs="Arial"/>
          <w:sz w:val="28"/>
        </w:rPr>
        <w:t>（三）个别因素</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咨询对象位置：咨询对象位于北京市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拟</w:t>
      </w:r>
      <w:r>
        <w:rPr>
          <w:rFonts w:ascii="Arial" w:hAnsi="Arial" w:cs="Arial"/>
          <w:sz w:val="28"/>
        </w:rPr>
        <w:t>开发建设的集体土地租赁住房项目。</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宗地规划用途、面积</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咨询对象规划土地用途为</w:t>
      </w:r>
      <w:r>
        <w:rPr>
          <w:rFonts w:ascii="Arial" w:hAnsi="Arial" w:cs="Arial" w:hint="eastAsia"/>
          <w:sz w:val="28"/>
        </w:rPr>
        <w:t>公寓</w:t>
      </w:r>
      <w:r>
        <w:rPr>
          <w:rFonts w:ascii="Arial" w:hAnsi="Arial" w:cs="Arial"/>
          <w:sz w:val="28"/>
        </w:rPr>
        <w:t>、商业、地下车库，为</w:t>
      </w:r>
      <w:proofErr w:type="gramStart"/>
      <w:r>
        <w:rPr>
          <w:rFonts w:ascii="Arial" w:hAnsi="Arial" w:cs="Arial"/>
          <w:sz w:val="28"/>
        </w:rPr>
        <w:t>最佳最</w:t>
      </w:r>
      <w:proofErr w:type="gramEnd"/>
      <w:r>
        <w:rPr>
          <w:rFonts w:ascii="Arial" w:hAnsi="Arial" w:cs="Arial"/>
          <w:sz w:val="28"/>
        </w:rPr>
        <w:t>有效用途</w:t>
      </w:r>
      <w:r>
        <w:rPr>
          <w:rFonts w:ascii="Arial" w:hAnsi="Arial" w:cs="Arial" w:hint="eastAsia"/>
          <w:sz w:val="28"/>
        </w:rPr>
        <w:t>。</w:t>
      </w:r>
      <w:r>
        <w:rPr>
          <w:rFonts w:ascii="Arial" w:hAnsi="Arial" w:cs="Arial"/>
          <w:spacing w:val="-12"/>
          <w:sz w:val="28"/>
        </w:rPr>
        <w:t>咨询对象土地面积</w:t>
      </w:r>
      <w:r>
        <w:rPr>
          <w:rFonts w:ascii="Arial" w:hAnsi="Arial" w:cs="Arial"/>
          <w:bCs/>
          <w:kern w:val="2"/>
          <w:sz w:val="28"/>
        </w:rPr>
        <w:t>为</w:t>
      </w:r>
      <w:r>
        <w:rPr>
          <w:rFonts w:ascii="Arial" w:hAnsi="Arial" w:cs="Arial" w:hint="eastAsia"/>
          <w:sz w:val="28"/>
        </w:rPr>
        <w:t>18132</w:t>
      </w:r>
      <w:r>
        <w:rPr>
          <w:rFonts w:ascii="Arial" w:hAnsi="Arial" w:cs="Arial"/>
          <w:bCs/>
          <w:kern w:val="2"/>
          <w:sz w:val="28"/>
        </w:rPr>
        <w:t>平方</w:t>
      </w:r>
      <w:r>
        <w:rPr>
          <w:rFonts w:ascii="Arial" w:hAnsi="Arial" w:cs="Arial"/>
          <w:sz w:val="28"/>
        </w:rPr>
        <w:t>米。</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宗地容积率及可利用情况</w:t>
      </w:r>
    </w:p>
    <w:p w:rsidR="004935A9" w:rsidRDefault="00311723">
      <w:pPr>
        <w:spacing w:line="360" w:lineRule="auto"/>
        <w:ind w:firstLineChars="200" w:firstLine="560"/>
        <w:jc w:val="both"/>
        <w:rPr>
          <w:rFonts w:ascii="Arial" w:hAnsi="Arial" w:cs="Arial"/>
          <w:spacing w:val="-12"/>
          <w:sz w:val="28"/>
        </w:rPr>
      </w:pPr>
      <w:r>
        <w:rPr>
          <w:rFonts w:ascii="Arial" w:hAnsi="Arial" w:cs="Arial"/>
          <w:sz w:val="28"/>
        </w:rPr>
        <w:t>咨询对象规划建筑面积为</w:t>
      </w:r>
      <w:r>
        <w:rPr>
          <w:rFonts w:ascii="Arial" w:hAnsi="Arial" w:cs="Arial" w:hint="eastAsia"/>
          <w:sz w:val="28"/>
        </w:rPr>
        <w:t>43300</w:t>
      </w:r>
      <w:r>
        <w:rPr>
          <w:rFonts w:ascii="Arial" w:hAnsi="Arial" w:cs="Arial"/>
          <w:sz w:val="28"/>
        </w:rPr>
        <w:t>平方米，容积率为</w:t>
      </w:r>
      <w:r>
        <w:rPr>
          <w:rFonts w:ascii="Arial" w:hAnsi="Arial" w:cs="Arial"/>
          <w:sz w:val="28"/>
        </w:rPr>
        <w:t>1.8</w:t>
      </w:r>
      <w:r>
        <w:rPr>
          <w:rFonts w:ascii="Arial" w:hAnsi="Arial" w:cs="Arial"/>
          <w:sz w:val="28"/>
        </w:rPr>
        <w:t>。咨询对象宗地形状较规则、地形平坦、地质良好。综合评价咨询对象土地利用程度较好。</w:t>
      </w:r>
    </w:p>
    <w:p w:rsidR="004935A9" w:rsidRDefault="00311723">
      <w:pPr>
        <w:spacing w:line="360" w:lineRule="auto"/>
        <w:ind w:firstLineChars="200" w:firstLine="560"/>
        <w:jc w:val="both"/>
        <w:rPr>
          <w:rFonts w:ascii="Arial" w:hAnsi="Arial" w:cs="Arial"/>
          <w:sz w:val="28"/>
        </w:rPr>
      </w:pPr>
      <w:r>
        <w:rPr>
          <w:rFonts w:ascii="Arial" w:hAnsi="Arial" w:cs="Arial"/>
          <w:sz w:val="28"/>
        </w:rPr>
        <w:lastRenderedPageBreak/>
        <w:t>4.</w:t>
      </w:r>
      <w:r>
        <w:rPr>
          <w:rFonts w:ascii="Arial" w:hAnsi="Arial" w:cs="Arial"/>
          <w:sz w:val="28"/>
        </w:rPr>
        <w:t>宗地基础设施</w:t>
      </w:r>
      <w:r>
        <w:rPr>
          <w:rFonts w:ascii="Arial" w:hAnsi="Arial" w:cs="Arial"/>
          <w:sz w:val="28"/>
        </w:rPr>
        <w:t xml:space="preserve"> </w:t>
      </w:r>
    </w:p>
    <w:p w:rsidR="004935A9" w:rsidRDefault="00311723">
      <w:pPr>
        <w:spacing w:line="360" w:lineRule="auto"/>
        <w:ind w:firstLineChars="200" w:firstLine="528"/>
        <w:jc w:val="both"/>
        <w:rPr>
          <w:rFonts w:ascii="Arial" w:hAnsi="Arial" w:cs="Arial"/>
          <w:sz w:val="28"/>
        </w:rPr>
      </w:pPr>
      <w:r>
        <w:rPr>
          <w:rFonts w:ascii="Arial" w:hAnsi="Arial" w:cs="Arial"/>
          <w:spacing w:val="-8"/>
          <w:sz w:val="28"/>
        </w:rPr>
        <w:t>根据委托方提供的资料</w:t>
      </w:r>
      <w:r>
        <w:rPr>
          <w:rFonts w:ascii="Arial" w:hAnsi="Arial" w:cs="Arial" w:hint="eastAsia"/>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w:t>
      </w:r>
      <w:proofErr w:type="gramStart"/>
      <w:r>
        <w:rPr>
          <w:rFonts w:ascii="Arial" w:hAnsi="Arial" w:cs="Arial"/>
          <w:spacing w:val="-8"/>
          <w:sz w:val="28"/>
        </w:rPr>
        <w:t>”</w:t>
      </w:r>
      <w:proofErr w:type="gramEnd"/>
      <w:r>
        <w:rPr>
          <w:rFonts w:ascii="Arial" w:hAnsi="Arial" w:cs="Arial"/>
          <w:spacing w:val="-8"/>
          <w:sz w:val="28"/>
        </w:rPr>
        <w:t>，现状市政基础设施条件为红线外</w:t>
      </w:r>
      <w:r>
        <w:rPr>
          <w:rFonts w:ascii="Arial" w:hAnsi="Arial" w:cs="Arial"/>
          <w:spacing w:val="-8"/>
          <w:sz w:val="28"/>
        </w:rPr>
        <w:t>“</w:t>
      </w:r>
      <w:r>
        <w:rPr>
          <w:rFonts w:ascii="Arial" w:hAnsi="Arial" w:cs="Arial"/>
          <w:spacing w:val="-8"/>
          <w:sz w:val="28"/>
        </w:rPr>
        <w:t>三通</w:t>
      </w:r>
      <w:r>
        <w:rPr>
          <w:rFonts w:ascii="Arial" w:hAnsi="Arial" w:cs="Arial"/>
          <w:spacing w:val="-8"/>
          <w:sz w:val="28"/>
        </w:rPr>
        <w:t>”</w:t>
      </w:r>
      <w:r>
        <w:rPr>
          <w:rFonts w:ascii="Arial" w:hAnsi="Arial" w:cs="Arial"/>
          <w:sz w:val="28"/>
        </w:rPr>
        <w:t>。</w:t>
      </w:r>
    </w:p>
    <w:p w:rsidR="004935A9" w:rsidRDefault="004935A9">
      <w:pPr>
        <w:spacing w:line="360" w:lineRule="auto"/>
        <w:ind w:left="568"/>
        <w:jc w:val="both"/>
        <w:rPr>
          <w:rFonts w:ascii="Arial" w:hAnsi="Arial" w:cs="Arial"/>
          <w:sz w:val="28"/>
          <w:szCs w:val="18"/>
        </w:rPr>
      </w:pPr>
    </w:p>
    <w:p w:rsidR="004935A9" w:rsidRDefault="004935A9" w:rsidP="00A74041">
      <w:pPr>
        <w:spacing w:line="360" w:lineRule="auto"/>
        <w:ind w:firstLineChars="202" w:firstLine="566"/>
        <w:jc w:val="both"/>
        <w:rPr>
          <w:rFonts w:ascii="Arial" w:hAnsi="Arial" w:cs="Arial"/>
          <w:sz w:val="28"/>
          <w:szCs w:val="18"/>
        </w:rPr>
        <w:sectPr w:rsidR="004935A9">
          <w:headerReference w:type="default" r:id="rId43"/>
          <w:footerReference w:type="default" r:id="rId44"/>
          <w:headerReference w:type="first" r:id="rId45"/>
          <w:pgSz w:w="11907" w:h="16840"/>
          <w:pgMar w:top="1843" w:right="1304" w:bottom="1134" w:left="1304" w:header="1134" w:footer="907" w:gutter="0"/>
          <w:cols w:space="720"/>
          <w:titlePg/>
          <w:docGrid w:linePitch="326"/>
        </w:sectPr>
      </w:pPr>
    </w:p>
    <w:p w:rsidR="004935A9" w:rsidRDefault="00311723">
      <w:pPr>
        <w:spacing w:line="360" w:lineRule="auto"/>
        <w:jc w:val="center"/>
        <w:outlineLvl w:val="0"/>
        <w:rPr>
          <w:rFonts w:ascii="Arial" w:hAnsi="Arial" w:cs="Arial"/>
          <w:b/>
          <w:sz w:val="32"/>
        </w:rPr>
      </w:pPr>
      <w:bookmarkStart w:id="135" w:name="_Toc416783534"/>
      <w:bookmarkStart w:id="136" w:name="_Toc425250319"/>
      <w:bookmarkStart w:id="137" w:name="_Toc469066317"/>
      <w:bookmarkStart w:id="138" w:name="_Toc28988"/>
      <w:bookmarkStart w:id="139" w:name="_Toc14792"/>
      <w:bookmarkStart w:id="140" w:name="_Toc29073"/>
      <w:bookmarkStart w:id="141" w:name="_Toc418750897"/>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土地咨询结果及其使用</w:t>
      </w:r>
      <w:bookmarkEnd w:id="135"/>
      <w:bookmarkEnd w:id="136"/>
      <w:bookmarkEnd w:id="137"/>
      <w:bookmarkEnd w:id="138"/>
      <w:bookmarkEnd w:id="139"/>
      <w:bookmarkEnd w:id="140"/>
      <w:bookmarkEnd w:id="141"/>
    </w:p>
    <w:p w:rsidR="004935A9" w:rsidRDefault="004935A9">
      <w:pPr>
        <w:spacing w:line="360" w:lineRule="auto"/>
        <w:jc w:val="both"/>
        <w:rPr>
          <w:rFonts w:ascii="Arial" w:hAnsi="Arial" w:cs="Arial"/>
          <w:b/>
          <w:sz w:val="28"/>
        </w:rPr>
      </w:pPr>
    </w:p>
    <w:p w:rsidR="004935A9" w:rsidRDefault="00311723">
      <w:pPr>
        <w:spacing w:line="360" w:lineRule="auto"/>
        <w:outlineLvl w:val="1"/>
        <w:rPr>
          <w:rFonts w:ascii="Arial" w:hAnsi="Arial" w:cs="Arial"/>
          <w:b/>
          <w:sz w:val="28"/>
        </w:rPr>
      </w:pPr>
      <w:bookmarkStart w:id="142" w:name="_Toc418750898"/>
      <w:bookmarkStart w:id="143" w:name="_Toc469066318"/>
      <w:bookmarkStart w:id="144" w:name="_Toc425250320"/>
      <w:bookmarkStart w:id="145" w:name="_Toc23060"/>
      <w:bookmarkStart w:id="146" w:name="_Toc416783535"/>
      <w:bookmarkStart w:id="147" w:name="_Toc19079"/>
      <w:bookmarkStart w:id="148" w:name="_Toc10622"/>
      <w:r>
        <w:rPr>
          <w:rFonts w:ascii="Arial" w:hAnsi="Arial" w:cs="Arial"/>
          <w:b/>
          <w:sz w:val="28"/>
        </w:rPr>
        <w:t>一、估价依据</w:t>
      </w:r>
      <w:bookmarkEnd w:id="142"/>
      <w:bookmarkEnd w:id="143"/>
      <w:bookmarkEnd w:id="144"/>
      <w:bookmarkEnd w:id="145"/>
      <w:bookmarkEnd w:id="146"/>
      <w:bookmarkEnd w:id="147"/>
      <w:bookmarkEnd w:id="148"/>
    </w:p>
    <w:p w:rsidR="004935A9" w:rsidRDefault="00311723">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《中华人民共和国土地管理法》（</w:t>
      </w:r>
      <w:r>
        <w:rPr>
          <w:rFonts w:ascii="Arial" w:hAnsi="Arial" w:cs="Arial"/>
          <w:sz w:val="28"/>
        </w:rPr>
        <w:t>1986</w:t>
      </w:r>
      <w:r>
        <w:rPr>
          <w:rFonts w:ascii="Arial" w:hAnsi="Arial" w:cs="Arial"/>
          <w:sz w:val="28"/>
        </w:rPr>
        <w:t>年</w:t>
      </w:r>
      <w:r>
        <w:rPr>
          <w:rFonts w:ascii="Arial" w:hAnsi="Arial" w:cs="Arial"/>
          <w:sz w:val="28"/>
        </w:rPr>
        <w:t>6</w:t>
      </w:r>
      <w:r>
        <w:rPr>
          <w:rFonts w:ascii="Arial" w:hAnsi="Arial" w:cs="Arial"/>
          <w:sz w:val="28"/>
        </w:rPr>
        <w:t>月</w:t>
      </w:r>
      <w:r>
        <w:rPr>
          <w:rFonts w:ascii="Arial" w:hAnsi="Arial" w:cs="Arial"/>
          <w:sz w:val="28"/>
        </w:rPr>
        <w:t>25</w:t>
      </w:r>
      <w:r>
        <w:rPr>
          <w:rFonts w:ascii="Arial" w:hAnsi="Arial" w:cs="Arial"/>
          <w:sz w:val="28"/>
        </w:rPr>
        <w:t>日第六届全国人民代表大会常务委员会第十六次会议通过，中华人民共和国主席令第</w:t>
      </w:r>
      <w:r>
        <w:rPr>
          <w:rFonts w:ascii="Arial" w:hAnsi="Arial" w:cs="Arial"/>
          <w:sz w:val="28"/>
        </w:rPr>
        <w:t>41</w:t>
      </w:r>
      <w:r>
        <w:rPr>
          <w:rFonts w:ascii="Arial" w:hAnsi="Arial" w:cs="Arial"/>
          <w:sz w:val="28"/>
        </w:rPr>
        <w:t>号公布，</w:t>
      </w:r>
      <w:r>
        <w:rPr>
          <w:rFonts w:ascii="Arial" w:hAnsi="Arial" w:cs="Arial"/>
          <w:sz w:val="28"/>
        </w:rPr>
        <w:t>1987</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日第七届全国人民代表大会常务委员会第五次会议第一次修正通过，自</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日起施行；</w:t>
      </w:r>
      <w:r>
        <w:rPr>
          <w:rFonts w:ascii="Arial" w:hAnsi="Arial" w:cs="Arial"/>
          <w:sz w:val="28"/>
        </w:rPr>
        <w:t>1998</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29</w:t>
      </w:r>
      <w:r>
        <w:rPr>
          <w:rFonts w:ascii="Arial" w:hAnsi="Arial" w:cs="Arial"/>
          <w:sz w:val="28"/>
        </w:rPr>
        <w:t>日第九届全国人民代表大会常务委员会第四次会议修订通过，中华人民共和国主席令第</w:t>
      </w:r>
      <w:r>
        <w:rPr>
          <w:rFonts w:ascii="Arial" w:hAnsi="Arial" w:cs="Arial"/>
          <w:sz w:val="28"/>
        </w:rPr>
        <w:t>8</w:t>
      </w:r>
      <w:r>
        <w:rPr>
          <w:rFonts w:ascii="Arial" w:hAnsi="Arial" w:cs="Arial"/>
          <w:sz w:val="28"/>
        </w:rPr>
        <w:t>号公布，自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2004</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28</w:t>
      </w:r>
      <w:r>
        <w:rPr>
          <w:rFonts w:ascii="Arial" w:hAnsi="Arial" w:cs="Arial"/>
          <w:sz w:val="28"/>
        </w:rPr>
        <w:t>日第十届全国人民代表大会常务委员会第十一次会议第二次修正通过，中华人民共和国主席令第</w:t>
      </w:r>
      <w:r>
        <w:rPr>
          <w:rFonts w:ascii="Arial" w:hAnsi="Arial" w:cs="Arial"/>
          <w:sz w:val="28"/>
        </w:rPr>
        <w:t>28</w:t>
      </w:r>
      <w:r>
        <w:rPr>
          <w:rFonts w:ascii="Arial" w:hAnsi="Arial" w:cs="Arial"/>
          <w:sz w:val="28"/>
        </w:rPr>
        <w:t>号公布，自公布起日起施行；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日第十三届全国人民代表大会常务委员会第十二次会议第三次修正通过，自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《中华人民共和国城市房地产管理法》（</w:t>
      </w:r>
      <w:r>
        <w:rPr>
          <w:rFonts w:ascii="Arial" w:hAnsi="Arial" w:cs="Arial"/>
          <w:sz w:val="28"/>
        </w:rPr>
        <w:t>1994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5</w:t>
      </w:r>
      <w:r>
        <w:rPr>
          <w:rFonts w:ascii="Arial" w:hAnsi="Arial" w:cs="Arial"/>
          <w:sz w:val="28"/>
        </w:rPr>
        <w:t>日第八届全国人民代表大会常务委员会第八次会议通过，中华人民共和国主席令第</w:t>
      </w:r>
      <w:r>
        <w:rPr>
          <w:rFonts w:ascii="Arial" w:hAnsi="Arial" w:cs="Arial"/>
          <w:sz w:val="28"/>
        </w:rPr>
        <w:t>29</w:t>
      </w:r>
      <w:r>
        <w:rPr>
          <w:rFonts w:ascii="Arial" w:hAnsi="Arial" w:cs="Arial"/>
          <w:sz w:val="28"/>
        </w:rPr>
        <w:t>号公布，自</w:t>
      </w:r>
      <w:r>
        <w:rPr>
          <w:rFonts w:ascii="Arial" w:hAnsi="Arial" w:cs="Arial"/>
          <w:sz w:val="28"/>
        </w:rPr>
        <w:t>1995</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2007</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30</w:t>
      </w:r>
      <w:r>
        <w:rPr>
          <w:rFonts w:ascii="Arial" w:hAnsi="Arial" w:cs="Arial"/>
          <w:sz w:val="28"/>
        </w:rPr>
        <w:t>日第十届全国人民代表大会常务委员会第二十九次会议通过第一次修正通过，中华人民共和国主席令第</w:t>
      </w:r>
      <w:r>
        <w:rPr>
          <w:rFonts w:ascii="Arial" w:hAnsi="Arial" w:cs="Arial"/>
          <w:sz w:val="28"/>
        </w:rPr>
        <w:t>72</w:t>
      </w:r>
      <w:r>
        <w:rPr>
          <w:rFonts w:ascii="Arial" w:hAnsi="Arial" w:cs="Arial"/>
          <w:sz w:val="28"/>
        </w:rPr>
        <w:t>号公布，自公布之日起施行；</w:t>
      </w:r>
      <w:r>
        <w:rPr>
          <w:rFonts w:ascii="Arial" w:hAnsi="Arial" w:cs="Arial"/>
          <w:sz w:val="28"/>
        </w:rPr>
        <w:t>2009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27</w:t>
      </w:r>
      <w:r>
        <w:rPr>
          <w:rFonts w:ascii="Arial" w:hAnsi="Arial" w:cs="Arial"/>
          <w:sz w:val="28"/>
        </w:rPr>
        <w:t>日第十一届全国人民代表大会常务委员会第十次会议第二次修正通过，中华人民共和国主席令第</w:t>
      </w:r>
      <w:r>
        <w:rPr>
          <w:rFonts w:ascii="Arial" w:hAnsi="Arial" w:cs="Arial"/>
          <w:sz w:val="28"/>
        </w:rPr>
        <w:t>18</w:t>
      </w:r>
      <w:r>
        <w:rPr>
          <w:rFonts w:ascii="Arial" w:hAnsi="Arial" w:cs="Arial"/>
          <w:sz w:val="28"/>
        </w:rPr>
        <w:t>号公布，自公布之日起施行；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日第十三届全国人大常委会第十二次会议通过第三次修正，自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《中华人民共和国城乡规划法》（</w:t>
      </w:r>
      <w:r>
        <w:rPr>
          <w:rFonts w:ascii="Arial" w:hAnsi="Arial" w:cs="Arial"/>
          <w:sz w:val="28"/>
        </w:rPr>
        <w:t xml:space="preserve">2007 </w:t>
      </w:r>
      <w:r>
        <w:rPr>
          <w:rFonts w:ascii="Arial" w:hAnsi="Arial" w:cs="Arial"/>
          <w:sz w:val="28"/>
        </w:rPr>
        <w:t>年</w:t>
      </w:r>
      <w:r>
        <w:rPr>
          <w:rFonts w:ascii="Arial" w:hAnsi="Arial" w:cs="Arial"/>
          <w:sz w:val="28"/>
        </w:rPr>
        <w:t xml:space="preserve"> 10 </w:t>
      </w:r>
      <w:r>
        <w:rPr>
          <w:rFonts w:ascii="Arial" w:hAnsi="Arial" w:cs="Arial"/>
          <w:sz w:val="28"/>
        </w:rPr>
        <w:t>月</w:t>
      </w:r>
      <w:r>
        <w:rPr>
          <w:rFonts w:ascii="Arial" w:hAnsi="Arial" w:cs="Arial"/>
          <w:sz w:val="28"/>
        </w:rPr>
        <w:t xml:space="preserve"> 28 </w:t>
      </w:r>
      <w:r>
        <w:rPr>
          <w:rFonts w:ascii="Arial" w:hAnsi="Arial" w:cs="Arial"/>
          <w:sz w:val="28"/>
        </w:rPr>
        <w:t>日第十届全国人民代表大会常务委员会第三十次会议通过，中华人民共和国主席令第</w:t>
      </w:r>
      <w:r>
        <w:rPr>
          <w:rFonts w:ascii="Arial" w:hAnsi="Arial" w:cs="Arial"/>
          <w:sz w:val="28"/>
        </w:rPr>
        <w:t>74</w:t>
      </w:r>
      <w:r>
        <w:rPr>
          <w:rFonts w:ascii="Arial" w:hAnsi="Arial" w:cs="Arial"/>
          <w:sz w:val="28"/>
        </w:rPr>
        <w:lastRenderedPageBreak/>
        <w:t>号，自公布之日起施行；根据</w:t>
      </w:r>
      <w:r>
        <w:rPr>
          <w:rFonts w:ascii="Arial" w:hAnsi="Arial" w:cs="Arial"/>
          <w:sz w:val="28"/>
        </w:rPr>
        <w:t xml:space="preserve"> 2015 </w:t>
      </w:r>
      <w:r>
        <w:rPr>
          <w:rFonts w:ascii="Arial" w:hAnsi="Arial" w:cs="Arial"/>
          <w:sz w:val="28"/>
        </w:rPr>
        <w:t>年</w:t>
      </w:r>
      <w:r>
        <w:rPr>
          <w:rFonts w:ascii="Arial" w:hAnsi="Arial" w:cs="Arial"/>
          <w:sz w:val="28"/>
        </w:rPr>
        <w:t xml:space="preserve"> 4 </w:t>
      </w:r>
      <w:r>
        <w:rPr>
          <w:rFonts w:ascii="Arial" w:hAnsi="Arial" w:cs="Arial"/>
          <w:sz w:val="28"/>
        </w:rPr>
        <w:t>月</w:t>
      </w:r>
      <w:r>
        <w:rPr>
          <w:rFonts w:ascii="Arial" w:hAnsi="Arial" w:cs="Arial"/>
          <w:sz w:val="28"/>
        </w:rPr>
        <w:t xml:space="preserve"> 24 </w:t>
      </w:r>
      <w:r>
        <w:rPr>
          <w:rFonts w:ascii="Arial" w:hAnsi="Arial" w:cs="Arial"/>
          <w:sz w:val="28"/>
        </w:rPr>
        <w:t>日第十二届全国人民代表大会常务委员会第十四次会议通过第一次修正，中华人民共和国主席令第</w:t>
      </w:r>
      <w:r>
        <w:rPr>
          <w:rFonts w:ascii="Arial" w:hAnsi="Arial" w:cs="Arial"/>
          <w:sz w:val="28"/>
        </w:rPr>
        <w:t>23</w:t>
      </w:r>
      <w:r>
        <w:rPr>
          <w:rFonts w:ascii="Arial" w:hAnsi="Arial" w:cs="Arial"/>
          <w:sz w:val="28"/>
        </w:rPr>
        <w:t>号公布，自公布之日起施行；根据</w:t>
      </w:r>
      <w:r>
        <w:rPr>
          <w:rFonts w:ascii="Arial" w:hAnsi="Arial" w:cs="Arial"/>
          <w:sz w:val="28"/>
        </w:rPr>
        <w:t>2019</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23</w:t>
      </w:r>
      <w:r>
        <w:rPr>
          <w:rFonts w:ascii="Arial" w:hAnsi="Arial" w:cs="Arial"/>
          <w:sz w:val="28"/>
        </w:rPr>
        <w:t>日第十三届全国人民代表大会常务委员会第十次会议通过第二次修正，自公布之日起施行）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《中华人民共和国资产评估法》（</w:t>
      </w:r>
      <w:r>
        <w:rPr>
          <w:rFonts w:ascii="Arial" w:hAnsi="Arial" w:cs="Arial"/>
          <w:sz w:val="28"/>
        </w:rPr>
        <w:t>2016</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日第十二届全国人民代表大会常务委员会第二十一次会议通过，</w:t>
      </w:r>
      <w:r>
        <w:rPr>
          <w:rFonts w:ascii="Arial" w:hAnsi="Arial" w:cs="Arial"/>
          <w:sz w:val="28"/>
        </w:rPr>
        <w:t>2016</w:t>
      </w:r>
      <w:r>
        <w:rPr>
          <w:rFonts w:ascii="Arial" w:hAnsi="Arial" w:cs="Arial"/>
          <w:sz w:val="28"/>
        </w:rPr>
        <w:t>年</w:t>
      </w:r>
      <w:r>
        <w:rPr>
          <w:rFonts w:ascii="Arial" w:hAnsi="Arial" w:cs="Arial"/>
          <w:sz w:val="28"/>
        </w:rPr>
        <w:t>3</w:t>
      </w:r>
      <w:r>
        <w:rPr>
          <w:rFonts w:ascii="Arial" w:hAnsi="Arial" w:cs="Arial"/>
          <w:sz w:val="28"/>
        </w:rPr>
        <w:t>月</w:t>
      </w:r>
      <w:r>
        <w:rPr>
          <w:rFonts w:ascii="Arial" w:hAnsi="Arial" w:cs="Arial"/>
          <w:sz w:val="28"/>
        </w:rPr>
        <w:t>16</w:t>
      </w:r>
      <w:r>
        <w:rPr>
          <w:rFonts w:ascii="Arial" w:hAnsi="Arial" w:cs="Arial"/>
          <w:sz w:val="28"/>
        </w:rPr>
        <w:t>日中华人民共和国主席令第</w:t>
      </w:r>
      <w:r>
        <w:rPr>
          <w:rFonts w:ascii="Arial" w:hAnsi="Arial" w:cs="Arial"/>
          <w:sz w:val="28"/>
        </w:rPr>
        <w:t>46</w:t>
      </w:r>
      <w:r>
        <w:rPr>
          <w:rFonts w:ascii="Arial" w:hAnsi="Arial" w:cs="Arial"/>
          <w:sz w:val="28"/>
        </w:rPr>
        <w:t>号公布，自</w:t>
      </w:r>
      <w:r>
        <w:rPr>
          <w:rFonts w:ascii="Arial" w:hAnsi="Arial" w:cs="Arial"/>
          <w:sz w:val="28"/>
        </w:rPr>
        <w:t>2016</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《中华人民共和国民法典》（</w:t>
      </w:r>
      <w:r>
        <w:rPr>
          <w:rFonts w:ascii="Arial" w:hAnsi="Arial" w:cs="Arial"/>
          <w:sz w:val="28"/>
        </w:rPr>
        <w:t>2020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28</w:t>
      </w:r>
      <w:r>
        <w:rPr>
          <w:rFonts w:ascii="Arial" w:hAnsi="Arial" w:cs="Arial"/>
          <w:sz w:val="28"/>
        </w:rPr>
        <w:t>日第十三届全国人大三次会议表决通过，自</w:t>
      </w:r>
      <w:r>
        <w:rPr>
          <w:rFonts w:ascii="Arial" w:hAnsi="Arial" w:cs="Arial"/>
          <w:sz w:val="28"/>
        </w:rPr>
        <w:t>2021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sz w:val="28"/>
        </w:rPr>
        <w:t>《中华人民共和国城镇国有土地使用权出让和转让暂行条例》（</w:t>
      </w:r>
      <w:r>
        <w:rPr>
          <w:rFonts w:ascii="Arial" w:hAnsi="Arial" w:cs="Arial"/>
          <w:sz w:val="28"/>
        </w:rPr>
        <w:t>1990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19</w:t>
      </w:r>
      <w:r>
        <w:rPr>
          <w:rFonts w:ascii="Arial" w:hAnsi="Arial" w:cs="Arial"/>
          <w:sz w:val="28"/>
        </w:rPr>
        <w:t>日中华人民共和国国务院令第</w:t>
      </w:r>
      <w:r>
        <w:rPr>
          <w:rFonts w:ascii="Arial" w:hAnsi="Arial" w:cs="Arial"/>
          <w:sz w:val="28"/>
        </w:rPr>
        <w:t>55</w:t>
      </w:r>
      <w:r>
        <w:rPr>
          <w:rFonts w:ascii="Arial" w:hAnsi="Arial" w:cs="Arial"/>
          <w:sz w:val="28"/>
        </w:rPr>
        <w:t>号发布，自发布之日起施行）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7.</w:t>
      </w:r>
      <w:r>
        <w:rPr>
          <w:rFonts w:ascii="Arial" w:hAnsi="Arial" w:cs="Arial"/>
          <w:sz w:val="28"/>
        </w:rPr>
        <w:t>《中华人民共和国土地管理法实施条例》（</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24</w:t>
      </w:r>
      <w:r>
        <w:rPr>
          <w:rFonts w:ascii="Arial" w:hAnsi="Arial" w:cs="Arial"/>
          <w:sz w:val="28"/>
        </w:rPr>
        <w:t>日国务院第</w:t>
      </w:r>
      <w:r>
        <w:rPr>
          <w:rFonts w:ascii="Arial" w:hAnsi="Arial" w:cs="Arial"/>
          <w:sz w:val="28"/>
        </w:rPr>
        <w:t>12</w:t>
      </w:r>
      <w:r>
        <w:rPr>
          <w:rFonts w:ascii="Arial" w:hAnsi="Arial" w:cs="Arial"/>
          <w:sz w:val="28"/>
        </w:rPr>
        <w:t>次常务会议通过</w:t>
      </w:r>
      <w:r>
        <w:rPr>
          <w:rFonts w:ascii="Arial" w:hAnsi="Arial" w:cs="Arial"/>
          <w:sz w:val="28"/>
        </w:rPr>
        <w:t xml:space="preserve"> </w:t>
      </w:r>
      <w:r>
        <w:rPr>
          <w:rFonts w:ascii="Arial" w:hAnsi="Arial" w:cs="Arial"/>
          <w:sz w:val="28"/>
        </w:rPr>
        <w:t>，</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27</w:t>
      </w:r>
      <w:r>
        <w:rPr>
          <w:rFonts w:ascii="Arial" w:hAnsi="Arial" w:cs="Arial"/>
          <w:sz w:val="28"/>
        </w:rPr>
        <w:t>日中华人民共和国国务院令第</w:t>
      </w:r>
      <w:r>
        <w:rPr>
          <w:rFonts w:ascii="Arial" w:hAnsi="Arial" w:cs="Arial"/>
          <w:sz w:val="28"/>
        </w:rPr>
        <w:t>256</w:t>
      </w:r>
      <w:r>
        <w:rPr>
          <w:rFonts w:ascii="Arial" w:hAnsi="Arial" w:cs="Arial"/>
          <w:sz w:val="28"/>
        </w:rPr>
        <w:t>号发布，自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2010</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日国务院第</w:t>
      </w:r>
      <w:r>
        <w:rPr>
          <w:rFonts w:ascii="Arial" w:hAnsi="Arial" w:cs="Arial"/>
          <w:sz w:val="28"/>
        </w:rPr>
        <w:t>138</w:t>
      </w:r>
      <w:r>
        <w:rPr>
          <w:rFonts w:ascii="Arial" w:hAnsi="Arial" w:cs="Arial"/>
          <w:sz w:val="28"/>
        </w:rPr>
        <w:t>次常务会议第一次修正通过，</w:t>
      </w:r>
      <w:r>
        <w:rPr>
          <w:rFonts w:ascii="Arial" w:hAnsi="Arial" w:cs="Arial"/>
          <w:sz w:val="28"/>
        </w:rPr>
        <w:t>2011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8</w:t>
      </w:r>
      <w:r>
        <w:rPr>
          <w:rFonts w:ascii="Arial" w:hAnsi="Arial" w:cs="Arial"/>
          <w:sz w:val="28"/>
        </w:rPr>
        <w:t>日中华人民共和国国务院令第</w:t>
      </w:r>
      <w:r>
        <w:rPr>
          <w:rFonts w:ascii="Arial" w:hAnsi="Arial" w:cs="Arial"/>
          <w:sz w:val="28"/>
        </w:rPr>
        <w:t>588</w:t>
      </w:r>
      <w:r>
        <w:rPr>
          <w:rFonts w:ascii="Arial" w:hAnsi="Arial" w:cs="Arial"/>
          <w:sz w:val="28"/>
        </w:rPr>
        <w:t>号发布，自发布之日起施行；</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9</w:t>
      </w:r>
      <w:r>
        <w:rPr>
          <w:rFonts w:ascii="Arial" w:hAnsi="Arial" w:cs="Arial"/>
          <w:sz w:val="28"/>
        </w:rPr>
        <w:t>日国务院第</w:t>
      </w:r>
      <w:r>
        <w:rPr>
          <w:rFonts w:ascii="Arial" w:hAnsi="Arial" w:cs="Arial"/>
          <w:sz w:val="28"/>
        </w:rPr>
        <w:t>54</w:t>
      </w:r>
      <w:r>
        <w:rPr>
          <w:rFonts w:ascii="Arial" w:hAnsi="Arial" w:cs="Arial"/>
          <w:sz w:val="28"/>
        </w:rPr>
        <w:t>次常务会议第二次修正通过，</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29</w:t>
      </w:r>
      <w:r>
        <w:rPr>
          <w:rFonts w:ascii="Arial" w:hAnsi="Arial" w:cs="Arial"/>
          <w:sz w:val="28"/>
        </w:rPr>
        <w:t>日中华人民共和国国务院令第</w:t>
      </w:r>
      <w:r>
        <w:rPr>
          <w:rFonts w:ascii="Arial" w:hAnsi="Arial" w:cs="Arial"/>
          <w:sz w:val="28"/>
        </w:rPr>
        <w:t>653</w:t>
      </w:r>
      <w:r>
        <w:rPr>
          <w:rFonts w:ascii="Arial" w:hAnsi="Arial" w:cs="Arial"/>
          <w:sz w:val="28"/>
        </w:rPr>
        <w:t>号公布，自公布之日起施行；</w:t>
      </w:r>
      <w:r>
        <w:rPr>
          <w:rFonts w:ascii="Arial" w:hAnsi="Arial" w:cs="Arial"/>
          <w:sz w:val="28"/>
        </w:rPr>
        <w:t>2021</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21</w:t>
      </w:r>
      <w:r>
        <w:rPr>
          <w:rFonts w:ascii="Arial" w:hAnsi="Arial" w:cs="Arial"/>
          <w:sz w:val="28"/>
        </w:rPr>
        <w:t>日国务院第</w:t>
      </w:r>
      <w:r>
        <w:rPr>
          <w:rFonts w:ascii="Arial" w:hAnsi="Arial" w:cs="Arial"/>
          <w:sz w:val="28"/>
        </w:rPr>
        <w:t>132</w:t>
      </w:r>
      <w:r>
        <w:rPr>
          <w:rFonts w:ascii="Arial" w:hAnsi="Arial" w:cs="Arial"/>
          <w:sz w:val="28"/>
        </w:rPr>
        <w:t>次会议第三次修订通过，</w:t>
      </w:r>
      <w:r>
        <w:rPr>
          <w:rFonts w:ascii="Arial" w:hAnsi="Arial" w:cs="Arial"/>
          <w:sz w:val="28"/>
        </w:rPr>
        <w:t>2021</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日中华人民共和国国务院令第</w:t>
      </w:r>
      <w:r>
        <w:rPr>
          <w:rFonts w:ascii="Arial" w:hAnsi="Arial" w:cs="Arial"/>
          <w:sz w:val="28"/>
        </w:rPr>
        <w:t>743</w:t>
      </w:r>
      <w:r>
        <w:rPr>
          <w:rFonts w:ascii="Arial" w:hAnsi="Arial" w:cs="Arial"/>
          <w:sz w:val="28"/>
        </w:rPr>
        <w:t>号公布，自</w:t>
      </w:r>
      <w:r>
        <w:rPr>
          <w:rFonts w:ascii="Arial" w:hAnsi="Arial" w:cs="Arial"/>
          <w:sz w:val="28"/>
        </w:rPr>
        <w:t>2021</w:t>
      </w:r>
      <w:r>
        <w:rPr>
          <w:rFonts w:ascii="Arial" w:hAnsi="Arial" w:cs="Arial"/>
          <w:sz w:val="28"/>
        </w:rPr>
        <w:t>年</w:t>
      </w:r>
      <w:r>
        <w:rPr>
          <w:rFonts w:ascii="Arial" w:hAnsi="Arial" w:cs="Arial"/>
          <w:sz w:val="28"/>
        </w:rPr>
        <w:t>9</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pPr>
      <w:r>
        <w:rPr>
          <w:rFonts w:ascii="Arial" w:hAnsi="Arial" w:cs="Arial" w:hint="eastAsia"/>
          <w:sz w:val="28"/>
        </w:rPr>
        <w:t>8</w:t>
      </w:r>
      <w:r>
        <w:rPr>
          <w:rFonts w:ascii="Arial" w:hAnsi="Arial" w:cs="Arial"/>
          <w:sz w:val="28"/>
        </w:rPr>
        <w:t>.</w:t>
      </w:r>
      <w:r>
        <w:rPr>
          <w:rFonts w:ascii="Arial" w:hAnsi="Arial" w:cs="Arial"/>
          <w:sz w:val="28"/>
        </w:rPr>
        <w:t>《关于我市利用集体土地建设租赁住房相关政策的补充意见》</w:t>
      </w:r>
      <w:r>
        <w:rPr>
          <w:rFonts w:ascii="Arial" w:hAnsi="Arial" w:cs="Arial" w:hint="eastAsia"/>
          <w:sz w:val="28"/>
        </w:rPr>
        <w:t>[</w:t>
      </w:r>
      <w:r>
        <w:rPr>
          <w:rFonts w:ascii="Arial" w:hAnsi="Arial" w:cs="Arial" w:hint="eastAsia"/>
          <w:sz w:val="28"/>
        </w:rPr>
        <w:t>京</w:t>
      </w:r>
      <w:proofErr w:type="gramStart"/>
      <w:r>
        <w:rPr>
          <w:rFonts w:ascii="Arial" w:hAnsi="Arial" w:cs="Arial" w:hint="eastAsia"/>
          <w:sz w:val="28"/>
        </w:rPr>
        <w:t>规</w:t>
      </w:r>
      <w:proofErr w:type="gramEnd"/>
      <w:r>
        <w:rPr>
          <w:rFonts w:ascii="Arial" w:hAnsi="Arial" w:cs="Arial" w:hint="eastAsia"/>
          <w:sz w:val="28"/>
        </w:rPr>
        <w:t>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9.</w:t>
      </w:r>
      <w:r>
        <w:rPr>
          <w:rFonts w:ascii="Arial" w:hAnsi="Arial" w:cs="Arial"/>
          <w:sz w:val="28"/>
        </w:rPr>
        <w:t>《关于进一步加强全市集体土地租赁住房规划建设管理的意见》</w:t>
      </w:r>
      <w:r>
        <w:rPr>
          <w:rFonts w:ascii="Arial" w:hAnsi="Arial" w:cs="Arial"/>
          <w:sz w:val="28"/>
        </w:rPr>
        <w:t>[</w:t>
      </w:r>
      <w:r>
        <w:rPr>
          <w:rFonts w:ascii="Arial" w:hAnsi="Arial" w:cs="Arial"/>
          <w:sz w:val="28"/>
        </w:rPr>
        <w:t>京建发〔</w:t>
      </w:r>
      <w:r>
        <w:rPr>
          <w:rFonts w:ascii="Arial" w:hAnsi="Arial" w:cs="Arial"/>
          <w:sz w:val="28"/>
        </w:rPr>
        <w:t>2020</w:t>
      </w:r>
      <w:r>
        <w:rPr>
          <w:rFonts w:ascii="Arial" w:hAnsi="Arial" w:cs="Arial"/>
          <w:sz w:val="28"/>
        </w:rPr>
        <w:t>〕</w:t>
      </w:r>
      <w:r>
        <w:rPr>
          <w:rFonts w:ascii="Arial" w:hAnsi="Arial" w:cs="Arial"/>
          <w:sz w:val="28"/>
        </w:rPr>
        <w:t>365</w:t>
      </w:r>
      <w:r>
        <w:rPr>
          <w:rFonts w:ascii="Arial" w:hAnsi="Arial" w:cs="Arial"/>
          <w:sz w:val="28"/>
        </w:rPr>
        <w:t>号</w:t>
      </w:r>
      <w:r>
        <w:rPr>
          <w:rFonts w:ascii="Arial" w:hAnsi="Arial" w:cs="Arial"/>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10.</w:t>
      </w:r>
      <w:r>
        <w:rPr>
          <w:rFonts w:ascii="Arial" w:hAnsi="Arial" w:cs="Arial"/>
          <w:sz w:val="28"/>
        </w:rPr>
        <w:t>《北京市关于加快发展保障性租赁住房的实施方案》的通知</w:t>
      </w:r>
      <w:r>
        <w:rPr>
          <w:rFonts w:ascii="Arial" w:hAnsi="Arial" w:cs="Arial"/>
          <w:sz w:val="28"/>
        </w:rPr>
        <w:t>[</w:t>
      </w:r>
      <w:r>
        <w:rPr>
          <w:rFonts w:ascii="Arial" w:hAnsi="Arial" w:cs="Arial"/>
          <w:sz w:val="28"/>
        </w:rPr>
        <w:t>京政办</w:t>
      </w:r>
      <w:r>
        <w:rPr>
          <w:rFonts w:ascii="Arial" w:hAnsi="Arial" w:cs="Arial"/>
          <w:sz w:val="28"/>
        </w:rPr>
        <w:lastRenderedPageBreak/>
        <w:t>发〔</w:t>
      </w:r>
      <w:r>
        <w:rPr>
          <w:rFonts w:ascii="Arial" w:hAnsi="Arial" w:cs="Arial"/>
          <w:sz w:val="28"/>
        </w:rPr>
        <w:t>2022</w:t>
      </w:r>
      <w:r>
        <w:rPr>
          <w:rFonts w:ascii="Arial" w:hAnsi="Arial" w:cs="Arial"/>
          <w:sz w:val="28"/>
        </w:rPr>
        <w:t>〕</w:t>
      </w:r>
      <w:r>
        <w:rPr>
          <w:rFonts w:ascii="Arial" w:hAnsi="Arial" w:cs="Arial"/>
          <w:sz w:val="28"/>
        </w:rPr>
        <w:t>9</w:t>
      </w:r>
      <w:r>
        <w:rPr>
          <w:rFonts w:ascii="Arial" w:hAnsi="Arial" w:cs="Arial"/>
          <w:sz w:val="28"/>
        </w:rPr>
        <w:t>号</w:t>
      </w:r>
      <w:r>
        <w:rPr>
          <w:rFonts w:ascii="Arial" w:hAnsi="Arial" w:cs="Arial"/>
          <w:sz w:val="28"/>
        </w:rPr>
        <w:t>]</w:t>
      </w:r>
    </w:p>
    <w:p w:rsidR="004935A9" w:rsidRDefault="00311723">
      <w:pPr>
        <w:spacing w:line="360" w:lineRule="auto"/>
        <w:jc w:val="both"/>
        <w:rPr>
          <w:rFonts w:ascii="Arial" w:hAnsi="Arial" w:cs="Arial"/>
          <w:sz w:val="28"/>
        </w:rPr>
      </w:pPr>
      <w:r>
        <w:rPr>
          <w:rFonts w:ascii="Arial" w:hAnsi="Arial" w:cs="Arial"/>
          <w:sz w:val="28"/>
        </w:rPr>
        <w:t>（二）采用的技术标准</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《城镇土地估价规程》</w:t>
      </w:r>
      <w:r>
        <w:rPr>
          <w:rFonts w:ascii="Arial" w:hAnsi="Arial" w:cs="Arial"/>
          <w:sz w:val="28"/>
        </w:rPr>
        <w:t>[GB/T 18508-2014]</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《城镇土地分等定级规程》</w:t>
      </w:r>
      <w:hyperlink r:id="rId46" w:tgtFrame="_blank" w:history="1">
        <w:r>
          <w:rPr>
            <w:rFonts w:ascii="Arial" w:hAnsi="Arial" w:cs="Arial"/>
            <w:sz w:val="28"/>
          </w:rPr>
          <w:t>[GB/T 18507-2014]</w:t>
        </w:r>
      </w:hyperlink>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《土地利用现状分类》</w:t>
      </w:r>
      <w:r>
        <w:rPr>
          <w:rFonts w:ascii="Arial" w:hAnsi="Arial" w:cs="Arial"/>
          <w:sz w:val="28"/>
        </w:rPr>
        <w:t>[ GB/T 21010-2017]</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《城市用地分类与规划建设用地标准》</w:t>
      </w:r>
      <w:r>
        <w:rPr>
          <w:rFonts w:ascii="Arial" w:hAnsi="Arial" w:cs="Arial"/>
          <w:sz w:val="28"/>
        </w:rPr>
        <w:t>[GB50137-2011]</w:t>
      </w:r>
    </w:p>
    <w:p w:rsidR="004935A9" w:rsidRDefault="00311723">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hint="eastAsia"/>
          <w:sz w:val="28"/>
        </w:rPr>
        <w:t>.</w:t>
      </w:r>
      <w:r>
        <w:rPr>
          <w:rFonts w:ascii="Arial" w:hAnsi="Arial" w:cs="Arial" w:hint="eastAsia"/>
          <w:sz w:val="28"/>
        </w:rPr>
        <w:t>《农村集体土地价格评估技术指引》</w:t>
      </w:r>
      <w:r>
        <w:rPr>
          <w:rFonts w:ascii="Arial" w:hAnsi="Arial" w:cs="Arial" w:hint="eastAsia"/>
          <w:sz w:val="28"/>
        </w:rPr>
        <w:t>[</w:t>
      </w:r>
      <w:proofErr w:type="gramStart"/>
      <w:r>
        <w:rPr>
          <w:rFonts w:ascii="Arial" w:hAnsi="Arial" w:cs="Arial" w:hint="eastAsia"/>
          <w:sz w:val="28"/>
        </w:rPr>
        <w:t>中估协</w:t>
      </w:r>
      <w:proofErr w:type="gramEnd"/>
      <w:r>
        <w:rPr>
          <w:rFonts w:ascii="Arial" w:hAnsi="Arial" w:cs="Arial" w:hint="eastAsia"/>
          <w:sz w:val="28"/>
        </w:rPr>
        <w:t>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6.</w:t>
      </w:r>
      <w:r>
        <w:rPr>
          <w:rFonts w:ascii="Arial" w:hAnsi="Arial" w:cs="Arial" w:hint="eastAsia"/>
          <w:sz w:val="28"/>
        </w:rPr>
        <w:t>《北京市国土空间调查、规划、用途管制用地分类指南（试行）》（北京市规划和自然资源委员会</w:t>
      </w:r>
      <w:r>
        <w:rPr>
          <w:rFonts w:ascii="Arial" w:hAnsi="Arial" w:cs="Arial" w:hint="eastAsia"/>
          <w:sz w:val="28"/>
        </w:rPr>
        <w:t>2022</w:t>
      </w:r>
      <w:r>
        <w:rPr>
          <w:rFonts w:ascii="Arial" w:hAnsi="Arial" w:cs="Arial" w:hint="eastAsia"/>
          <w:sz w:val="28"/>
        </w:rPr>
        <w:t>年</w:t>
      </w:r>
      <w:r>
        <w:rPr>
          <w:rFonts w:ascii="Arial" w:hAnsi="Arial" w:cs="Arial" w:hint="eastAsia"/>
          <w:sz w:val="28"/>
        </w:rPr>
        <w:t>4</w:t>
      </w:r>
      <w:r>
        <w:rPr>
          <w:rFonts w:ascii="Arial" w:hAnsi="Arial" w:cs="Arial" w:hint="eastAsia"/>
          <w:sz w:val="28"/>
        </w:rPr>
        <w:t>月发布）</w:t>
      </w:r>
    </w:p>
    <w:p w:rsidR="004935A9" w:rsidRDefault="00311723">
      <w:pPr>
        <w:spacing w:line="360" w:lineRule="auto"/>
        <w:jc w:val="both"/>
        <w:rPr>
          <w:rFonts w:ascii="Arial" w:hAnsi="Arial" w:cs="Arial"/>
          <w:sz w:val="28"/>
        </w:rPr>
      </w:pPr>
      <w:r>
        <w:rPr>
          <w:rFonts w:ascii="Arial" w:hAnsi="Arial" w:cs="Arial"/>
          <w:sz w:val="28"/>
          <w:szCs w:val="18"/>
        </w:rPr>
        <w:t>（三）受托估价方掌握的有关资料和评估专业人员实地勘察、调查所获取的资料实地勘查</w:t>
      </w:r>
      <w:r>
        <w:rPr>
          <w:rFonts w:ascii="Arial" w:hAnsi="Arial" w:cs="Arial"/>
          <w:sz w:val="28"/>
        </w:rPr>
        <w:t>的有关资料</w:t>
      </w:r>
    </w:p>
    <w:p w:rsidR="004935A9" w:rsidRDefault="004935A9">
      <w:pPr>
        <w:spacing w:line="360" w:lineRule="auto"/>
        <w:jc w:val="both"/>
        <w:rPr>
          <w:rFonts w:ascii="Arial" w:hAnsi="Arial" w:cs="Arial"/>
          <w:sz w:val="28"/>
        </w:rPr>
      </w:pPr>
    </w:p>
    <w:p w:rsidR="004935A9" w:rsidRDefault="00311723">
      <w:pPr>
        <w:spacing w:line="360" w:lineRule="auto"/>
        <w:outlineLvl w:val="1"/>
        <w:rPr>
          <w:rFonts w:ascii="Arial" w:hAnsi="Arial" w:cs="Arial"/>
          <w:b/>
          <w:sz w:val="28"/>
        </w:rPr>
      </w:pPr>
      <w:bookmarkStart w:id="149" w:name="_Toc1"/>
      <w:bookmarkStart w:id="150" w:name="_Toc416783536"/>
      <w:bookmarkStart w:id="151" w:name="_Toc16580"/>
      <w:bookmarkStart w:id="152" w:name="_Toc469066319"/>
      <w:bookmarkStart w:id="153" w:name="_Toc418750899"/>
      <w:bookmarkStart w:id="154" w:name="_Toc20255"/>
      <w:bookmarkStart w:id="155" w:name="_Toc425250321"/>
      <w:r>
        <w:rPr>
          <w:rFonts w:ascii="Arial" w:hAnsi="Arial" w:cs="Arial"/>
          <w:b/>
          <w:sz w:val="28"/>
        </w:rPr>
        <w:t>二、土地估价</w:t>
      </w:r>
      <w:bookmarkEnd w:id="149"/>
      <w:bookmarkEnd w:id="150"/>
      <w:bookmarkEnd w:id="151"/>
      <w:bookmarkEnd w:id="152"/>
      <w:bookmarkEnd w:id="153"/>
      <w:bookmarkEnd w:id="154"/>
      <w:bookmarkEnd w:id="155"/>
    </w:p>
    <w:p w:rsidR="004935A9" w:rsidRDefault="00311723">
      <w:pPr>
        <w:spacing w:line="360" w:lineRule="auto"/>
        <w:jc w:val="both"/>
        <w:rPr>
          <w:rFonts w:ascii="Arial" w:hAnsi="Arial" w:cs="Arial"/>
          <w:sz w:val="28"/>
        </w:rPr>
      </w:pPr>
      <w:r>
        <w:rPr>
          <w:rFonts w:ascii="Arial" w:hAnsi="Arial" w:cs="Arial"/>
          <w:sz w:val="28"/>
        </w:rPr>
        <w:t>（一）估价原则</w:t>
      </w:r>
    </w:p>
    <w:p w:rsidR="004935A9" w:rsidRDefault="00311723">
      <w:pPr>
        <w:spacing w:line="360" w:lineRule="auto"/>
        <w:ind w:firstLineChars="200" w:firstLine="56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rsidR="004935A9" w:rsidRDefault="00311723">
      <w:pPr>
        <w:spacing w:beforeLines="25" w:before="60" w:afterLines="25" w:after="60"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替代原则</w:t>
      </w:r>
    </w:p>
    <w:p w:rsidR="004935A9" w:rsidRDefault="00311723">
      <w:pPr>
        <w:spacing w:line="360" w:lineRule="auto"/>
        <w:ind w:firstLineChars="200" w:firstLine="56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w:t>
      </w:r>
      <w:proofErr w:type="gramStart"/>
      <w:r>
        <w:rPr>
          <w:rFonts w:ascii="Arial" w:hAnsi="Arial" w:cs="Arial"/>
          <w:sz w:val="28"/>
        </w:rPr>
        <w:t>且咨询</w:t>
      </w:r>
      <w:proofErr w:type="gramEnd"/>
      <w:r>
        <w:rPr>
          <w:rFonts w:ascii="Arial" w:hAnsi="Arial" w:cs="Arial"/>
          <w:sz w:val="28"/>
        </w:rPr>
        <w:t>对象未来开发完成后的价格水平可参考周边项目的租售水平确定。</w:t>
      </w:r>
    </w:p>
    <w:p w:rsidR="004935A9" w:rsidRDefault="00311723">
      <w:pPr>
        <w:spacing w:beforeLines="25" w:before="60" w:afterLines="25" w:after="60"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最有效利用原则</w:t>
      </w:r>
    </w:p>
    <w:p w:rsidR="004935A9" w:rsidRDefault="00311723">
      <w:pPr>
        <w:spacing w:beforeLines="25" w:before="60" w:afterLines="25" w:after="60" w:line="360" w:lineRule="auto"/>
        <w:ind w:firstLineChars="200" w:firstLine="56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w:t>
      </w:r>
      <w:r>
        <w:rPr>
          <w:rFonts w:ascii="Arial" w:hAnsi="Arial" w:cs="Arial"/>
          <w:sz w:val="28"/>
        </w:rPr>
        <w:lastRenderedPageBreak/>
        <w:t>足这一目的为确定土地利用方式的依据。所以，土地估价应以宗地的最有效利用为前提的。本次评估以设定规划条件符合最有效使用原则为前提。</w:t>
      </w:r>
    </w:p>
    <w:p w:rsidR="004935A9" w:rsidRDefault="00311723">
      <w:pPr>
        <w:spacing w:beforeLines="25" w:before="60" w:afterLines="25" w:after="60"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预期收益原则</w:t>
      </w:r>
    </w:p>
    <w:p w:rsidR="004935A9" w:rsidRDefault="00311723">
      <w:pPr>
        <w:spacing w:beforeLines="25" w:before="60" w:afterLines="25" w:after="60" w:line="360" w:lineRule="auto"/>
        <w:ind w:firstLineChars="200" w:firstLine="56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hAnsi="Arial" w:cs="Arial"/>
          <w:sz w:val="28"/>
        </w:rPr>
        <w:t>待估宗</w:t>
      </w:r>
      <w:proofErr w:type="gramEnd"/>
      <w:r>
        <w:rPr>
          <w:rFonts w:ascii="Arial" w:hAnsi="Arial" w:cs="Arial"/>
          <w:sz w:val="28"/>
        </w:rPr>
        <w:t>地在正常利用条件下的未来客观有效的预期收益。本次评估在运用剩余法计算咨询对象土地价格时，就是以该原则为原理。</w:t>
      </w:r>
    </w:p>
    <w:p w:rsidR="004935A9" w:rsidRDefault="00311723">
      <w:pPr>
        <w:spacing w:beforeLines="25" w:before="60" w:afterLines="25" w:after="60"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供需原则</w:t>
      </w:r>
    </w:p>
    <w:p w:rsidR="004935A9" w:rsidRDefault="00311723">
      <w:pPr>
        <w:spacing w:line="360" w:lineRule="auto"/>
        <w:ind w:firstLineChars="200" w:firstLine="56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w:t>
      </w:r>
      <w:r>
        <w:rPr>
          <w:rFonts w:ascii="Arial" w:hAnsi="Arial" w:cs="Arial" w:hint="eastAsia"/>
          <w:sz w:val="28"/>
        </w:rPr>
        <w:t>，</w:t>
      </w:r>
      <w:r>
        <w:rPr>
          <w:rFonts w:ascii="Arial" w:hAnsi="Arial" w:cs="Arial"/>
          <w:sz w:val="28"/>
        </w:rPr>
        <w:t>土地性质为集体建设用地使用权。区域内土地资产存在一定增值潜力。评估中剩余法的运用主要考虑此项原则。</w:t>
      </w:r>
    </w:p>
    <w:p w:rsidR="004935A9" w:rsidRDefault="00311723">
      <w:pPr>
        <w:spacing w:beforeLines="25" w:before="60" w:afterLines="25" w:after="60"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贡献原则</w:t>
      </w:r>
    </w:p>
    <w:p w:rsidR="004935A9" w:rsidRDefault="00311723">
      <w:pPr>
        <w:spacing w:line="360" w:lineRule="auto"/>
        <w:ind w:firstLineChars="200" w:firstLine="56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4935A9" w:rsidRDefault="00311723">
      <w:pPr>
        <w:spacing w:line="360" w:lineRule="auto"/>
        <w:jc w:val="both"/>
        <w:rPr>
          <w:rFonts w:ascii="Arial" w:hAnsi="Arial" w:cs="Arial"/>
          <w:sz w:val="28"/>
        </w:rPr>
      </w:pPr>
      <w:r>
        <w:rPr>
          <w:rFonts w:ascii="Arial" w:hAnsi="Arial" w:cs="Arial"/>
          <w:sz w:val="28"/>
        </w:rPr>
        <w:lastRenderedPageBreak/>
        <w:t>（二）估价方法</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方法选择</w:t>
      </w:r>
    </w:p>
    <w:p w:rsidR="004935A9" w:rsidRDefault="00311723">
      <w:pPr>
        <w:spacing w:line="360" w:lineRule="auto"/>
        <w:ind w:firstLineChars="200" w:firstLine="560"/>
        <w:jc w:val="both"/>
        <w:rPr>
          <w:rFonts w:ascii="Arial" w:hAnsi="Arial" w:cs="Arial"/>
          <w:sz w:val="28"/>
        </w:rPr>
      </w:pPr>
      <w:r>
        <w:rPr>
          <w:rFonts w:ascii="Arial" w:hAnsi="Arial" w:cs="Arial"/>
          <w:sz w:val="28"/>
        </w:rPr>
        <w:t>根据《城镇土地估价规程》</w:t>
      </w:r>
      <w:r>
        <w:rPr>
          <w:rFonts w:ascii="Arial" w:hAnsi="Arial" w:cs="Arial"/>
          <w:sz w:val="28"/>
        </w:rPr>
        <w:t>[GB/T18508-2014]</w:t>
      </w:r>
      <w:r>
        <w:rPr>
          <w:rFonts w:ascii="Arial" w:hAnsi="Arial" w:cs="Arial" w:hint="eastAsia"/>
          <w:sz w:val="28"/>
        </w:rPr>
        <w:t>、《农村集体土地价格评估技术指引》</w:t>
      </w:r>
      <w:r>
        <w:rPr>
          <w:rFonts w:ascii="Arial" w:hAnsi="Arial" w:cs="Arial" w:hint="eastAsia"/>
          <w:sz w:val="28"/>
        </w:rPr>
        <w:t>[</w:t>
      </w:r>
      <w:proofErr w:type="gramStart"/>
      <w:r>
        <w:rPr>
          <w:rFonts w:ascii="Arial" w:hAnsi="Arial" w:cs="Arial" w:hint="eastAsia"/>
          <w:sz w:val="28"/>
        </w:rPr>
        <w:t>中估协</w:t>
      </w:r>
      <w:proofErr w:type="gramEnd"/>
      <w:r>
        <w:rPr>
          <w:rFonts w:ascii="Arial" w:hAnsi="Arial" w:cs="Arial" w:hint="eastAsia"/>
          <w:sz w:val="28"/>
        </w:rPr>
        <w:t>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r>
        <w:rPr>
          <w:rFonts w:ascii="Arial" w:hAnsi="Arial" w:cs="Arial"/>
          <w:sz w:val="28"/>
        </w:rPr>
        <w:t>，估价方法通常有市场比较法、收益还原法、成本逼近法、剩余法及基准地价系数修正法共五种估价方法。</w:t>
      </w:r>
    </w:p>
    <w:p w:rsidR="004935A9" w:rsidRDefault="00311723">
      <w:pPr>
        <w:pStyle w:val="11"/>
        <w:autoSpaceDE w:val="0"/>
        <w:autoSpaceDN w:val="0"/>
        <w:spacing w:line="360" w:lineRule="auto"/>
        <w:ind w:right="6" w:firstLineChars="200" w:firstLine="56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rsidR="004935A9" w:rsidRDefault="00311723">
      <w:pPr>
        <w:pStyle w:val="11"/>
        <w:autoSpaceDE w:val="0"/>
        <w:autoSpaceDN w:val="0"/>
        <w:spacing w:line="360" w:lineRule="auto"/>
        <w:ind w:right="6" w:firstLineChars="200" w:firstLine="56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rsidR="004935A9" w:rsidRDefault="00311723">
      <w:pPr>
        <w:spacing w:line="360" w:lineRule="auto"/>
        <w:ind w:firstLineChars="200" w:firstLine="56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rsidR="004935A9" w:rsidRDefault="00311723">
      <w:pPr>
        <w:spacing w:line="360" w:lineRule="auto"/>
        <w:ind w:leftChars="-1" w:left="-2" w:firstLineChars="200" w:firstLine="56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hyperlink r:id="rId47" w:tgtFrame="_blank" w:history="1">
        <w:r>
          <w:rPr>
            <w:rFonts w:ascii="Arial" w:hAnsi="Arial" w:cs="Arial"/>
            <w:sz w:val="28"/>
          </w:rPr>
          <w:t>土地所有权</w:t>
        </w:r>
      </w:hyperlink>
      <w:r>
        <w:rPr>
          <w:rFonts w:ascii="Arial" w:hAnsi="Arial" w:cs="Arial"/>
          <w:sz w:val="28"/>
        </w:rPr>
        <w:t>收益来确定</w:t>
      </w:r>
      <w:hyperlink r:id="rId48" w:tgtFrame="_blank" w:history="1">
        <w:r>
          <w:rPr>
            <w:rFonts w:ascii="Arial" w:hAnsi="Arial" w:cs="Arial"/>
            <w:sz w:val="28"/>
          </w:rPr>
          <w:t>土地价格</w:t>
        </w:r>
      </w:hyperlink>
      <w:r>
        <w:rPr>
          <w:rFonts w:ascii="Arial" w:hAnsi="Arial" w:cs="Arial"/>
          <w:sz w:val="28"/>
        </w:rPr>
        <w:t>的咨询方法。成本逼近法一般是用于新开发土地，或土地市场欠发育、交易实例少的地区的土地价格评估。</w:t>
      </w:r>
    </w:p>
    <w:p w:rsidR="004935A9" w:rsidRDefault="00311723">
      <w:pPr>
        <w:spacing w:line="360" w:lineRule="auto"/>
        <w:ind w:firstLineChars="200" w:firstLine="560"/>
        <w:jc w:val="both"/>
        <w:rPr>
          <w:rFonts w:ascii="Arial" w:hAnsi="Arial" w:cs="Arial"/>
          <w:sz w:val="28"/>
        </w:rPr>
      </w:pPr>
      <w:r>
        <w:rPr>
          <w:rFonts w:ascii="Arial" w:hAnsi="Arial" w:cs="Arial"/>
          <w:sz w:val="28"/>
        </w:rPr>
        <w:t>剩余（增值收益扣减）法</w:t>
      </w:r>
      <w:r>
        <w:rPr>
          <w:rFonts w:ascii="Arial" w:hAnsi="Arial" w:cs="Arial"/>
          <w:sz w:val="28"/>
        </w:rPr>
        <w:t>:</w:t>
      </w:r>
      <w:r>
        <w:rPr>
          <w:rFonts w:ascii="Arial" w:hAnsi="Arial" w:cs="Arial"/>
          <w:sz w:val="28"/>
        </w:rPr>
        <w:t>是在《城镇土地估价规程》剩余法</w:t>
      </w:r>
      <w:r>
        <w:rPr>
          <w:rFonts w:ascii="Arial" w:hAnsi="Arial" w:cs="Arial"/>
          <w:sz w:val="28"/>
        </w:rPr>
        <w:t xml:space="preserve"> </w:t>
      </w:r>
      <w:r>
        <w:rPr>
          <w:rFonts w:ascii="Arial" w:hAnsi="Arial" w:cs="Arial"/>
          <w:sz w:val="28"/>
        </w:rPr>
        <w:t>思路上衍生技术路线，通过出让土地使用权价格扣减土地增值收益的方</w:t>
      </w:r>
      <w:r>
        <w:rPr>
          <w:rFonts w:ascii="Arial" w:hAnsi="Arial" w:cs="Arial"/>
          <w:sz w:val="28"/>
        </w:rPr>
        <w:t xml:space="preserve"> </w:t>
      </w:r>
      <w:r>
        <w:rPr>
          <w:rFonts w:ascii="Arial" w:hAnsi="Arial" w:cs="Arial"/>
          <w:sz w:val="28"/>
        </w:rPr>
        <w:t>法评估划拨地价。咨询对象周边市场满足出让土地使用权价格评估，虽</w:t>
      </w:r>
      <w:r>
        <w:rPr>
          <w:rFonts w:ascii="Arial" w:hAnsi="Arial" w:cs="Arial"/>
          <w:sz w:val="28"/>
        </w:rPr>
        <w:t xml:space="preserve"> </w:t>
      </w:r>
      <w:r>
        <w:rPr>
          <w:rFonts w:ascii="Arial" w:hAnsi="Arial" w:cs="Arial"/>
          <w:sz w:val="28"/>
        </w:rPr>
        <w:t>然北京市暂未公布土地增值收益，但可以通</w:t>
      </w:r>
      <w:proofErr w:type="gramStart"/>
      <w:r>
        <w:rPr>
          <w:rFonts w:ascii="Arial" w:hAnsi="Arial" w:cs="Arial"/>
          <w:sz w:val="28"/>
        </w:rPr>
        <w:t>过招拍挂市场</w:t>
      </w:r>
      <w:proofErr w:type="gramEnd"/>
      <w:r>
        <w:rPr>
          <w:rFonts w:ascii="Arial" w:hAnsi="Arial" w:cs="Arial"/>
          <w:sz w:val="28"/>
        </w:rPr>
        <w:t>成交价与土地</w:t>
      </w:r>
      <w:r>
        <w:rPr>
          <w:rFonts w:ascii="Arial" w:hAnsi="Arial" w:cs="Arial"/>
          <w:sz w:val="28"/>
        </w:rPr>
        <w:t xml:space="preserve"> </w:t>
      </w:r>
      <w:r>
        <w:rPr>
          <w:rFonts w:ascii="Arial" w:hAnsi="Arial" w:cs="Arial"/>
          <w:sz w:val="28"/>
        </w:rPr>
        <w:t>一级开发成本差额计算土地增值收益。</w:t>
      </w:r>
    </w:p>
    <w:p w:rsidR="004935A9" w:rsidRDefault="00311723">
      <w:pPr>
        <w:spacing w:line="360" w:lineRule="auto"/>
        <w:ind w:firstLineChars="200" w:firstLine="560"/>
        <w:jc w:val="both"/>
        <w:rPr>
          <w:rFonts w:ascii="Arial" w:hAnsi="Arial" w:cs="Arial"/>
          <w:sz w:val="28"/>
        </w:rPr>
      </w:pPr>
      <w:r>
        <w:rPr>
          <w:rFonts w:ascii="Arial" w:hAnsi="Arial" w:cs="Arial"/>
          <w:sz w:val="28"/>
        </w:rPr>
        <w:t>基准地价系数修正法：该方法适用于政府或其有关部门已公布基准地价</w:t>
      </w:r>
      <w:r>
        <w:rPr>
          <w:rFonts w:ascii="Arial" w:hAnsi="Arial" w:cs="Arial"/>
          <w:sz w:val="28"/>
        </w:rPr>
        <w:lastRenderedPageBreak/>
        <w:t>地区的土地咨询。</w:t>
      </w:r>
    </w:p>
    <w:p w:rsidR="004935A9" w:rsidRDefault="00311723">
      <w:pPr>
        <w:spacing w:line="360" w:lineRule="auto"/>
        <w:ind w:firstLineChars="200" w:firstLine="560"/>
        <w:jc w:val="both"/>
        <w:rPr>
          <w:rFonts w:ascii="Arial" w:hAnsi="Arial" w:cs="Arial"/>
          <w:sz w:val="28"/>
        </w:rPr>
      </w:pPr>
      <w:r>
        <w:rPr>
          <w:rFonts w:ascii="Arial" w:hAnsi="Arial" w:cs="Arial"/>
          <w:sz w:val="28"/>
        </w:rPr>
        <w:t>本评估项目评估对象的性质为集体土地使用权，开发建设项目未来将以</w:t>
      </w:r>
      <w:r>
        <w:rPr>
          <w:rFonts w:ascii="Arial" w:hAnsi="Arial" w:cs="Arial" w:hint="eastAsia"/>
          <w:sz w:val="28"/>
        </w:rPr>
        <w:t>公寓</w:t>
      </w:r>
      <w:r>
        <w:rPr>
          <w:rFonts w:ascii="Arial" w:hAnsi="Arial" w:cs="Arial"/>
          <w:sz w:val="28"/>
        </w:rPr>
        <w:t>业</w:t>
      </w:r>
      <w:proofErr w:type="gramStart"/>
      <w:r>
        <w:rPr>
          <w:rFonts w:ascii="Arial" w:hAnsi="Arial" w:cs="Arial"/>
          <w:sz w:val="28"/>
        </w:rPr>
        <w:t>态为主</w:t>
      </w:r>
      <w:proofErr w:type="gramEnd"/>
      <w:r>
        <w:rPr>
          <w:rFonts w:ascii="Arial" w:hAnsi="Arial" w:cs="Arial"/>
          <w:sz w:val="28"/>
        </w:rPr>
        <w:t>并建设部分商业</w:t>
      </w:r>
      <w:r>
        <w:rPr>
          <w:rFonts w:ascii="Arial" w:hAnsi="Arial" w:cs="Arial" w:hint="eastAsia"/>
          <w:sz w:val="28"/>
        </w:rPr>
        <w:t>、地下车库</w:t>
      </w:r>
      <w:r>
        <w:rPr>
          <w:rFonts w:ascii="Arial" w:hAnsi="Arial" w:cs="Arial"/>
          <w:sz w:val="28"/>
        </w:rPr>
        <w:t>业</w:t>
      </w:r>
      <w:proofErr w:type="gramStart"/>
      <w:r>
        <w:rPr>
          <w:rFonts w:ascii="Arial" w:hAnsi="Arial" w:cs="Arial"/>
          <w:sz w:val="28"/>
        </w:rPr>
        <w:t>态采取</w:t>
      </w:r>
      <w:proofErr w:type="gramEnd"/>
      <w:r>
        <w:rPr>
          <w:rFonts w:ascii="Arial" w:hAnsi="Arial" w:cs="Arial"/>
          <w:sz w:val="28"/>
        </w:rPr>
        <w:t>出租收取租金的运营模式，该类开发建设项目属于新兴业</w:t>
      </w:r>
      <w:proofErr w:type="gramStart"/>
      <w:r>
        <w:rPr>
          <w:rFonts w:ascii="Arial" w:hAnsi="Arial" w:cs="Arial"/>
          <w:sz w:val="28"/>
        </w:rPr>
        <w:t>态目前</w:t>
      </w:r>
      <w:proofErr w:type="gramEnd"/>
      <w:r>
        <w:rPr>
          <w:rFonts w:ascii="Arial" w:hAnsi="Arial" w:cs="Arial"/>
          <w:sz w:val="28"/>
        </w:rPr>
        <w:t>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rsidR="004935A9" w:rsidRDefault="00311723">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w:t>
      </w:r>
      <w:proofErr w:type="gramStart"/>
      <w:r>
        <w:rPr>
          <w:rFonts w:ascii="Arial" w:hAnsi="Arial" w:cs="Arial"/>
          <w:sz w:val="28"/>
        </w:rPr>
        <w:t>出咨询</w:t>
      </w:r>
      <w:proofErr w:type="gramEnd"/>
      <w:r>
        <w:rPr>
          <w:rFonts w:ascii="Arial" w:hAnsi="Arial" w:cs="Arial"/>
          <w:sz w:val="28"/>
        </w:rPr>
        <w:t>对象的集体建设用地使用权价格。</w:t>
      </w:r>
    </w:p>
    <w:p w:rsidR="004935A9" w:rsidRDefault="00311723">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本次评估所采用的估价方法简述如下：</w:t>
      </w:r>
    </w:p>
    <w:p w:rsidR="004935A9" w:rsidRDefault="00311723" w:rsidP="00A74041">
      <w:pPr>
        <w:spacing w:line="360" w:lineRule="auto"/>
        <w:ind w:firstLineChars="192" w:firstLine="538"/>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w:t>
      </w:r>
      <w:proofErr w:type="gramStart"/>
      <w:r>
        <w:rPr>
          <w:rFonts w:ascii="Arial" w:hAnsi="Arial" w:cs="Arial"/>
          <w:sz w:val="28"/>
        </w:rPr>
        <w:t>待估宗</w:t>
      </w:r>
      <w:proofErr w:type="gramEnd"/>
      <w:r>
        <w:rPr>
          <w:rFonts w:ascii="Arial" w:hAnsi="Arial" w:cs="Arial"/>
          <w:sz w:val="28"/>
        </w:rPr>
        <w:t>地价格的方法。</w:t>
      </w:r>
    </w:p>
    <w:p w:rsidR="004935A9" w:rsidRDefault="00311723">
      <w:pPr>
        <w:spacing w:before="25" w:after="25" w:line="360" w:lineRule="auto"/>
        <w:ind w:firstLine="555"/>
        <w:rPr>
          <w:rFonts w:ascii="Arial" w:hAnsi="Arial" w:cs="Arial"/>
          <w:spacing w:val="10"/>
          <w:sz w:val="28"/>
        </w:rPr>
      </w:pPr>
      <w:r>
        <w:rPr>
          <w:rFonts w:ascii="Arial" w:hAnsi="Arial" w:cs="Arial"/>
          <w:spacing w:val="10"/>
          <w:sz w:val="28"/>
        </w:rPr>
        <w:t>其计算公式为：</w:t>
      </w:r>
    </w:p>
    <w:p w:rsidR="004935A9" w:rsidRDefault="00311723">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w:t>
      </w:r>
      <w:r>
        <w:rPr>
          <w:rFonts w:ascii="Arial" w:hAnsi="Arial" w:cs="Arial"/>
          <w:spacing w:val="10"/>
          <w:sz w:val="28"/>
        </w:rPr>
        <w:t>－</w:t>
      </w:r>
      <w:r>
        <w:rPr>
          <w:rFonts w:ascii="Arial" w:hAnsi="Arial" w:cs="Arial"/>
          <w:spacing w:val="10"/>
          <w:sz w:val="28"/>
        </w:rPr>
        <w:t>B</w:t>
      </w:r>
      <w:r>
        <w:rPr>
          <w:rFonts w:ascii="Arial" w:hAnsi="Arial" w:cs="Arial"/>
          <w:spacing w:val="10"/>
          <w:sz w:val="28"/>
        </w:rPr>
        <w:t>－</w:t>
      </w:r>
      <w:r>
        <w:rPr>
          <w:rFonts w:ascii="Arial" w:hAnsi="Arial" w:cs="Arial"/>
          <w:spacing w:val="10"/>
          <w:sz w:val="28"/>
        </w:rPr>
        <w:t>C</w:t>
      </w:r>
    </w:p>
    <w:p w:rsidR="004935A9" w:rsidRDefault="00311723">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rsidR="004935A9" w:rsidRDefault="00311723">
      <w:pPr>
        <w:spacing w:before="25" w:after="25" w:line="360" w:lineRule="auto"/>
        <w:ind w:firstLine="646"/>
        <w:rPr>
          <w:rFonts w:ascii="Arial" w:hAnsi="Arial" w:cs="Arial"/>
          <w:spacing w:val="10"/>
          <w:sz w:val="28"/>
        </w:rPr>
      </w:pPr>
      <w:r>
        <w:rPr>
          <w:rFonts w:ascii="Arial" w:hAnsi="Arial" w:cs="Arial"/>
          <w:spacing w:val="10"/>
          <w:sz w:val="28"/>
        </w:rPr>
        <w:t>P——</w:t>
      </w:r>
      <w:proofErr w:type="gramStart"/>
      <w:r>
        <w:rPr>
          <w:rFonts w:ascii="Arial" w:hAnsi="Arial" w:cs="Arial"/>
          <w:sz w:val="28"/>
        </w:rPr>
        <w:t>待估宗</w:t>
      </w:r>
      <w:proofErr w:type="gramEnd"/>
      <w:r>
        <w:rPr>
          <w:rFonts w:ascii="Arial" w:hAnsi="Arial" w:cs="Arial"/>
          <w:sz w:val="28"/>
        </w:rPr>
        <w:t>地价格</w:t>
      </w:r>
    </w:p>
    <w:p w:rsidR="004935A9" w:rsidRDefault="00311723">
      <w:pPr>
        <w:spacing w:before="25" w:after="25" w:line="360" w:lineRule="auto"/>
        <w:ind w:firstLine="646"/>
        <w:rPr>
          <w:rFonts w:ascii="Arial" w:hAnsi="Arial" w:cs="Arial"/>
          <w:sz w:val="28"/>
        </w:rPr>
      </w:pPr>
      <w:r>
        <w:rPr>
          <w:rFonts w:ascii="Arial" w:hAnsi="Arial" w:cs="Arial"/>
          <w:spacing w:val="10"/>
          <w:sz w:val="28"/>
        </w:rPr>
        <w:t>A——</w:t>
      </w:r>
      <w:r>
        <w:rPr>
          <w:rFonts w:ascii="Arial" w:hAnsi="Arial" w:cs="Arial"/>
          <w:spacing w:val="10"/>
          <w:sz w:val="28"/>
        </w:rPr>
        <w:t>不动产总价</w:t>
      </w:r>
    </w:p>
    <w:p w:rsidR="004935A9" w:rsidRDefault="00311723">
      <w:pPr>
        <w:spacing w:before="25" w:after="25" w:line="360" w:lineRule="auto"/>
        <w:ind w:firstLine="646"/>
        <w:rPr>
          <w:rFonts w:ascii="Arial" w:hAnsi="Arial" w:cs="Arial"/>
          <w:sz w:val="28"/>
        </w:rPr>
      </w:pPr>
      <w:r>
        <w:rPr>
          <w:rFonts w:ascii="Arial" w:hAnsi="Arial" w:cs="Arial"/>
          <w:spacing w:val="10"/>
          <w:sz w:val="28"/>
        </w:rPr>
        <w:t>B——</w:t>
      </w:r>
      <w:r>
        <w:rPr>
          <w:rFonts w:ascii="Arial" w:hAnsi="Arial" w:cs="Arial"/>
          <w:spacing w:val="10"/>
          <w:sz w:val="28"/>
        </w:rPr>
        <w:t>开发项目整体的开发成本</w:t>
      </w:r>
    </w:p>
    <w:p w:rsidR="004935A9" w:rsidRDefault="00311723">
      <w:pPr>
        <w:spacing w:line="360" w:lineRule="auto"/>
        <w:ind w:firstLineChars="225" w:firstLine="630"/>
        <w:textAlignment w:val="bottom"/>
        <w:rPr>
          <w:rFonts w:ascii="Arial" w:hAnsi="Arial" w:cs="Arial"/>
          <w:sz w:val="28"/>
        </w:rPr>
      </w:pPr>
      <w:r>
        <w:rPr>
          <w:rFonts w:ascii="Arial" w:hAnsi="Arial" w:cs="Arial"/>
          <w:sz w:val="28"/>
        </w:rPr>
        <w:t>C——</w:t>
      </w:r>
      <w:r>
        <w:rPr>
          <w:rFonts w:ascii="Arial" w:hAnsi="Arial" w:cs="Arial"/>
          <w:sz w:val="28"/>
        </w:rPr>
        <w:t>投资利润</w:t>
      </w:r>
    </w:p>
    <w:p w:rsidR="004935A9" w:rsidRDefault="00311723">
      <w:pPr>
        <w:spacing w:line="360" w:lineRule="auto"/>
        <w:ind w:firstLineChars="225" w:firstLine="630"/>
        <w:textAlignment w:val="bottom"/>
        <w:rPr>
          <w:rFonts w:ascii="Arial" w:hAnsi="Arial" w:cs="Arial"/>
          <w:spacing w:val="10"/>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rsidR="004935A9" w:rsidRDefault="00311723">
      <w:pPr>
        <w:spacing w:line="360" w:lineRule="auto"/>
        <w:jc w:val="both"/>
        <w:rPr>
          <w:rFonts w:ascii="Arial" w:hAnsi="Arial" w:cs="Arial"/>
          <w:sz w:val="28"/>
        </w:rPr>
      </w:pPr>
      <w:r>
        <w:rPr>
          <w:rFonts w:ascii="Arial" w:hAnsi="Arial" w:cs="Arial"/>
          <w:sz w:val="28"/>
        </w:rPr>
        <w:t>（三）咨询结果</w:t>
      </w:r>
    </w:p>
    <w:p w:rsidR="004935A9" w:rsidRDefault="00311723">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w:t>
      </w:r>
      <w:r>
        <w:rPr>
          <w:rFonts w:ascii="Arial" w:hAnsi="Arial" w:cs="Arial"/>
          <w:kern w:val="2"/>
          <w:sz w:val="28"/>
        </w:rPr>
        <w:lastRenderedPageBreak/>
        <w:t>（剩余法），在认真分析现有资料的基础上，通过仔细测算和认真分析各种影响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4935A9" w:rsidRDefault="00311723">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4935A9" w:rsidRDefault="00311723">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proofErr w:type="gramStart"/>
      <w:r>
        <w:rPr>
          <w:rFonts w:ascii="Arial" w:hAnsi="Arial" w:cs="Arial" w:hint="eastAsia"/>
          <w:sz w:val="28"/>
        </w:rPr>
        <w:t>壹仟捌佰零肆万伍仟肆佰</w:t>
      </w:r>
      <w:proofErr w:type="gramEnd"/>
      <w:r>
        <w:rPr>
          <w:rFonts w:ascii="Arial" w:hAnsi="Arial" w:cs="Arial"/>
          <w:sz w:val="28"/>
        </w:rPr>
        <w:fldChar w:fldCharType="end"/>
      </w:r>
      <w:r>
        <w:rPr>
          <w:rFonts w:ascii="Arial" w:hAnsi="Arial" w:cs="Arial"/>
          <w:sz w:val="28"/>
        </w:rPr>
        <w:t>元整</w:t>
      </w:r>
    </w:p>
    <w:p w:rsidR="004935A9" w:rsidRDefault="00311723">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sz w:val="28"/>
        </w:rPr>
        <w:t xml:space="preserve">  </w:t>
      </w:r>
      <w:r>
        <w:rPr>
          <w:rFonts w:ascii="Arial" w:hAnsi="Arial" w:cs="Arial"/>
          <w:sz w:val="28"/>
        </w:rPr>
        <w:t>备注：</w:t>
      </w:r>
    </w:p>
    <w:p w:rsidR="004935A9" w:rsidRDefault="00311723">
      <w:pPr>
        <w:spacing w:line="360" w:lineRule="auto"/>
        <w:ind w:firstLineChars="200" w:firstLine="560"/>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昌平区马池口百泉庄村经济组织</w:t>
      </w:r>
      <w:r>
        <w:rPr>
          <w:rFonts w:ascii="Arial" w:hAnsi="Arial" w:cs="Arial"/>
          <w:sz w:val="28"/>
        </w:rPr>
        <w:t>集体土地租赁住房项目核准的批复》等相关项目资料，本次评估过程中涉及的相关测算参数主要是依据委托方提供的《估价委托书》及介绍的情况测算，如上述数据发生变化，可能会对目前的评估结论产生影响。</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lastRenderedPageBreak/>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时相关政策行文件</w:t>
      </w:r>
      <w:proofErr w:type="gramEnd"/>
      <w:r>
        <w:rPr>
          <w:rFonts w:ascii="Arial" w:hAnsi="Arial" w:cs="Arial"/>
          <w:sz w:val="28"/>
        </w:rPr>
        <w:t>尚未正式出台，故届时将按照有关规定执行。综上所述，本次评估只考虑</w:t>
      </w:r>
      <w:r>
        <w:rPr>
          <w:rFonts w:ascii="Arial" w:hAnsi="Arial" w:cs="Arial"/>
          <w:sz w:val="28"/>
        </w:rPr>
        <w:t>50</w:t>
      </w:r>
      <w:r>
        <w:rPr>
          <w:rFonts w:ascii="Arial" w:hAnsi="Arial" w:cs="Arial"/>
          <w:sz w:val="28"/>
        </w:rPr>
        <w:t>年合作期限内的收益。</w:t>
      </w:r>
    </w:p>
    <w:p w:rsidR="004935A9" w:rsidRDefault="004935A9">
      <w:pPr>
        <w:spacing w:line="240" w:lineRule="exact"/>
        <w:rPr>
          <w:rFonts w:ascii="Arial" w:hAnsi="Arial" w:cs="Arial"/>
          <w:sz w:val="18"/>
          <w:szCs w:val="18"/>
        </w:rPr>
      </w:pPr>
    </w:p>
    <w:p w:rsidR="004935A9" w:rsidRDefault="004935A9">
      <w:pPr>
        <w:spacing w:line="360" w:lineRule="auto"/>
        <w:ind w:firstLine="570"/>
        <w:jc w:val="both"/>
        <w:rPr>
          <w:rFonts w:ascii="Arial" w:hAnsi="Arial" w:cs="Arial"/>
          <w:b/>
          <w:sz w:val="28"/>
        </w:rPr>
      </w:pPr>
    </w:p>
    <w:p w:rsidR="004935A9" w:rsidRDefault="00311723">
      <w:pPr>
        <w:spacing w:line="360" w:lineRule="auto"/>
        <w:outlineLvl w:val="1"/>
        <w:rPr>
          <w:rFonts w:ascii="Arial" w:hAnsi="Arial" w:cs="Arial"/>
          <w:b/>
          <w:sz w:val="28"/>
        </w:rPr>
      </w:pPr>
      <w:bookmarkStart w:id="156" w:name="_Toc469066320"/>
      <w:bookmarkStart w:id="157" w:name="_Toc25849"/>
      <w:bookmarkStart w:id="158" w:name="_Toc11765"/>
      <w:bookmarkStart w:id="159" w:name="_Toc425250322"/>
      <w:bookmarkStart w:id="160" w:name="_Toc418750900"/>
      <w:bookmarkStart w:id="161" w:name="_Toc416783537"/>
      <w:bookmarkStart w:id="162" w:name="_Toc20639"/>
      <w:r>
        <w:rPr>
          <w:rFonts w:ascii="Arial" w:hAnsi="Arial" w:cs="Arial"/>
          <w:b/>
          <w:sz w:val="28"/>
        </w:rPr>
        <w:t>三、咨询结果和咨询报告的使用</w:t>
      </w:r>
      <w:bookmarkEnd w:id="156"/>
      <w:bookmarkEnd w:id="157"/>
      <w:bookmarkEnd w:id="158"/>
      <w:bookmarkEnd w:id="159"/>
      <w:bookmarkEnd w:id="160"/>
      <w:bookmarkEnd w:id="161"/>
      <w:bookmarkEnd w:id="162"/>
    </w:p>
    <w:p w:rsidR="004935A9" w:rsidRDefault="00311723">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rsidR="004935A9" w:rsidRDefault="00311723">
      <w:pPr>
        <w:snapToGrid w:val="0"/>
        <w:spacing w:line="360" w:lineRule="auto"/>
        <w:ind w:firstLine="555"/>
        <w:jc w:val="both"/>
        <w:textAlignment w:val="bottom"/>
        <w:rPr>
          <w:rFonts w:ascii="Arial" w:hAnsi="Arial" w:cs="Arial"/>
          <w:sz w:val="28"/>
        </w:rPr>
      </w:pPr>
      <w:r>
        <w:rPr>
          <w:rFonts w:ascii="Arial" w:hAnsi="Arial" w:cs="Arial"/>
          <w:sz w:val="28"/>
        </w:rPr>
        <w:t>1.</w:t>
      </w:r>
      <w:r>
        <w:rPr>
          <w:rFonts w:ascii="Arial" w:hAnsi="Arial" w:cs="Arial"/>
          <w:sz w:val="28"/>
        </w:rPr>
        <w:t>咨询对象作为</w:t>
      </w:r>
      <w:r>
        <w:rPr>
          <w:rFonts w:ascii="Arial" w:hAnsi="Arial" w:cs="Arial" w:hint="eastAsia"/>
          <w:sz w:val="28"/>
        </w:rPr>
        <w:t>公寓</w:t>
      </w:r>
      <w:r>
        <w:rPr>
          <w:rFonts w:ascii="Arial" w:hAnsi="Arial" w:cs="Arial"/>
          <w:sz w:val="28"/>
        </w:rPr>
        <w:t>、商业</w:t>
      </w:r>
      <w:r>
        <w:rPr>
          <w:rFonts w:ascii="Arial" w:hAnsi="Arial" w:cs="Arial" w:hint="eastAsia"/>
          <w:sz w:val="28"/>
        </w:rPr>
        <w:t>、地下车库用途</w:t>
      </w:r>
      <w:r>
        <w:rPr>
          <w:rFonts w:ascii="Arial" w:hAnsi="Arial" w:cs="Arial"/>
          <w:sz w:val="28"/>
        </w:rPr>
        <w:t>为最有效利用方式。</w:t>
      </w:r>
    </w:p>
    <w:p w:rsidR="004935A9" w:rsidRDefault="00311723">
      <w:pPr>
        <w:snapToGrid w:val="0"/>
        <w:spacing w:line="360" w:lineRule="auto"/>
        <w:ind w:firstLine="555"/>
        <w:jc w:val="both"/>
        <w:textAlignment w:val="bottom"/>
        <w:rPr>
          <w:rFonts w:ascii="Arial" w:hAnsi="Arial" w:cs="Arial"/>
          <w:sz w:val="28"/>
        </w:rPr>
      </w:pPr>
      <w:r>
        <w:rPr>
          <w:rFonts w:ascii="Arial" w:hAnsi="Arial" w:cs="Arial"/>
          <w:sz w:val="28"/>
        </w:rPr>
        <w:t>2.</w:t>
      </w:r>
      <w:r>
        <w:rPr>
          <w:rFonts w:ascii="Arial" w:hAnsi="Arial" w:cs="Arial"/>
          <w:sz w:val="28"/>
        </w:rPr>
        <w:t>委托方提供的资料属实，没有保留及隐瞒。</w:t>
      </w:r>
    </w:p>
    <w:p w:rsidR="004935A9" w:rsidRDefault="00311723">
      <w:pPr>
        <w:snapToGrid w:val="0"/>
        <w:spacing w:line="360" w:lineRule="auto"/>
        <w:jc w:val="both"/>
        <w:textAlignment w:val="bottom"/>
        <w:rPr>
          <w:rFonts w:ascii="Arial" w:hAnsi="Arial" w:cs="Arial"/>
          <w:sz w:val="28"/>
        </w:rPr>
      </w:pPr>
      <w:r>
        <w:rPr>
          <w:rFonts w:ascii="Arial" w:hAnsi="Arial" w:cs="Arial"/>
          <w:sz w:val="28"/>
        </w:rPr>
        <w:t xml:space="preserve">    3.</w:t>
      </w:r>
      <w:r>
        <w:rPr>
          <w:rFonts w:ascii="Arial" w:hAnsi="Arial" w:cs="Arial"/>
          <w:sz w:val="28"/>
        </w:rPr>
        <w:t>在咨询期日的房地产市场为公开、平等、自愿的交易市场。</w:t>
      </w:r>
    </w:p>
    <w:p w:rsidR="004935A9" w:rsidRDefault="00311723">
      <w:pPr>
        <w:snapToGrid w:val="0"/>
        <w:spacing w:line="360" w:lineRule="auto"/>
        <w:jc w:val="both"/>
        <w:textAlignment w:val="bottom"/>
        <w:rPr>
          <w:rFonts w:ascii="Arial" w:hAnsi="Arial" w:cs="Arial"/>
          <w:sz w:val="28"/>
        </w:rPr>
      </w:pPr>
      <w:r>
        <w:rPr>
          <w:rFonts w:ascii="Arial" w:hAnsi="Arial" w:cs="Arial"/>
          <w:sz w:val="28"/>
        </w:rPr>
        <w:t xml:space="preserve">    4.</w:t>
      </w:r>
      <w:r>
        <w:rPr>
          <w:rFonts w:ascii="Arial" w:hAnsi="Arial" w:cs="Arial"/>
          <w:sz w:val="28"/>
        </w:rPr>
        <w:t>任何有关咨询对象的运作方式、程序符合国家、地方的有关法律、法规。</w:t>
      </w:r>
    </w:p>
    <w:p w:rsidR="004935A9" w:rsidRDefault="00311723">
      <w:pPr>
        <w:spacing w:line="360" w:lineRule="auto"/>
        <w:ind w:right="17" w:firstLineChars="200" w:firstLine="560"/>
        <w:jc w:val="both"/>
        <w:rPr>
          <w:rFonts w:ascii="Arial" w:hAnsi="Arial" w:cs="Arial"/>
          <w:sz w:val="28"/>
        </w:rPr>
      </w:pPr>
      <w:r>
        <w:rPr>
          <w:rFonts w:ascii="Arial" w:hAnsi="Arial" w:cs="Arial"/>
          <w:sz w:val="28"/>
        </w:rPr>
        <w:t>5.</w:t>
      </w:r>
      <w:r>
        <w:rPr>
          <w:rFonts w:ascii="Arial" w:hAnsi="Arial" w:cs="Arial"/>
          <w:sz w:val="28"/>
        </w:rPr>
        <w:t>委托方合法取得咨询对象集体建设用地使用权，并支付全部相关税费。</w:t>
      </w:r>
    </w:p>
    <w:p w:rsidR="004935A9" w:rsidRDefault="00311723">
      <w:pPr>
        <w:spacing w:line="360" w:lineRule="auto"/>
        <w:ind w:firstLineChars="200" w:firstLine="560"/>
        <w:jc w:val="both"/>
        <w:rPr>
          <w:rFonts w:ascii="Arial" w:hAnsi="Arial" w:cs="Arial"/>
          <w:i/>
          <w:sz w:val="28"/>
        </w:rPr>
      </w:pPr>
      <w:r>
        <w:rPr>
          <w:rFonts w:ascii="Arial" w:hAnsi="Arial" w:cs="Arial" w:hint="eastAsia"/>
          <w:sz w:val="28"/>
        </w:rPr>
        <w:t>6</w:t>
      </w:r>
      <w:r>
        <w:rPr>
          <w:rFonts w:ascii="Arial" w:hAnsi="Arial" w:cs="Arial"/>
          <w:sz w:val="28"/>
        </w:rPr>
        <w:t>.</w:t>
      </w: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sz w:val="28"/>
        </w:rPr>
        <w:t>.</w:t>
      </w:r>
      <w:r>
        <w:rPr>
          <w:rFonts w:ascii="Arial" w:hAnsi="Arial" w:cs="Arial"/>
          <w:sz w:val="28"/>
        </w:rPr>
        <w:t>本次评估咨询对象的规划利用条件以</w:t>
      </w:r>
      <w:r>
        <w:rPr>
          <w:rFonts w:ascii="Arial" w:hAnsi="Arial" w:cs="Arial" w:hint="eastAsia"/>
          <w:sz w:val="28"/>
        </w:rPr>
        <w:t>委托方介绍的</w:t>
      </w:r>
      <w:r>
        <w:rPr>
          <w:rFonts w:ascii="Arial" w:hAnsi="Arial" w:cs="Arial"/>
          <w:sz w:val="28"/>
        </w:rPr>
        <w:t>为依据。</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8</w:t>
      </w:r>
      <w:r>
        <w:rPr>
          <w:rFonts w:ascii="Arial" w:hAnsi="Arial" w:cs="Arial"/>
          <w:sz w:val="28"/>
        </w:rPr>
        <w:t>.</w:t>
      </w:r>
      <w:r>
        <w:rPr>
          <w:rFonts w:ascii="Arial" w:hAnsi="Arial" w:cs="Arial"/>
          <w:sz w:val="28"/>
        </w:rPr>
        <w:t>评估专业人员根据委托方所提供的资料，未发现有抵押、租赁的登记</w:t>
      </w:r>
      <w:r>
        <w:rPr>
          <w:rFonts w:ascii="Arial" w:hAnsi="Arial" w:cs="Arial"/>
          <w:sz w:val="28"/>
        </w:rPr>
        <w:lastRenderedPageBreak/>
        <w:t>信息，本次评估设定咨询对象不存在抵押、租赁等他项权利。</w:t>
      </w:r>
    </w:p>
    <w:p w:rsidR="004935A9" w:rsidRDefault="00311723">
      <w:pPr>
        <w:snapToGrid w:val="0"/>
        <w:spacing w:line="360" w:lineRule="auto"/>
        <w:ind w:firstLine="585"/>
        <w:jc w:val="both"/>
        <w:textAlignment w:val="bottom"/>
        <w:rPr>
          <w:rFonts w:ascii="Arial" w:hAnsi="Arial" w:cs="Arial"/>
          <w:sz w:val="28"/>
        </w:rPr>
      </w:pPr>
      <w:r>
        <w:rPr>
          <w:rFonts w:ascii="Arial" w:hAnsi="Arial" w:cs="Arial" w:hint="eastAsia"/>
          <w:sz w:val="28"/>
        </w:rPr>
        <w:t>9</w:t>
      </w:r>
      <w:r>
        <w:rPr>
          <w:rFonts w:ascii="Arial" w:hAnsi="Arial" w:cs="Arial"/>
          <w:sz w:val="28"/>
        </w:rPr>
        <w:t>.</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rsidR="004935A9" w:rsidRDefault="00311723">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1.</w:t>
      </w:r>
      <w:r>
        <w:rPr>
          <w:rFonts w:ascii="Arial" w:hAnsi="Arial" w:cs="Arial"/>
          <w:sz w:val="28"/>
        </w:rPr>
        <w:t>本咨询报告的依据为国务院、国土资源部、住建部、北京市人民政府及有关部门颁布的有关法律、法规、政策文件、委托方提供的资料、受托估价方掌握的有关资料以及评估专业人员实地勘察所获取的资料。</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3.</w:t>
      </w:r>
      <w:r>
        <w:rPr>
          <w:rFonts w:ascii="Arial" w:hAnsi="Arial" w:cs="Arial"/>
          <w:sz w:val="28"/>
        </w:rPr>
        <w:t>本报告咨询结果为咨询期日下的正常市场价格，随着时间的推移，该价格需要做相应的调整直至重新评估。</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4.</w:t>
      </w:r>
      <w:r>
        <w:rPr>
          <w:rFonts w:ascii="Arial" w:hAnsi="Arial" w:cs="Arial"/>
          <w:sz w:val="28"/>
        </w:rPr>
        <w:t>本咨询报告在估价机构盖章和土地估价师</w:t>
      </w:r>
      <w:r>
        <w:rPr>
          <w:rFonts w:ascii="Arial" w:hAnsi="Arial" w:cs="Arial" w:hint="eastAsia"/>
          <w:sz w:val="28"/>
        </w:rPr>
        <w:t>签字或</w:t>
      </w:r>
      <w:r>
        <w:rPr>
          <w:rFonts w:ascii="Arial" w:hAnsi="Arial" w:cs="Arial"/>
          <w:sz w:val="28"/>
        </w:rPr>
        <w:t>签</w:t>
      </w:r>
      <w:r>
        <w:rPr>
          <w:rFonts w:ascii="Arial" w:hAnsi="Arial" w:cs="Arial" w:hint="eastAsia"/>
          <w:sz w:val="28"/>
        </w:rPr>
        <w:t>章</w:t>
      </w:r>
      <w:r>
        <w:rPr>
          <w:rFonts w:ascii="Arial" w:hAnsi="Arial" w:cs="Arial"/>
          <w:sz w:val="28"/>
        </w:rPr>
        <w:t>的条件下有效。</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5.</w:t>
      </w:r>
      <w:r>
        <w:rPr>
          <w:rFonts w:ascii="Arial" w:hAnsi="Arial" w:cs="Arial"/>
          <w:sz w:val="28"/>
        </w:rPr>
        <w:t>本次评估咨询报告分为</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报告</w:t>
      </w:r>
      <w:r>
        <w:rPr>
          <w:rFonts w:ascii="Arial" w:hAnsi="Arial" w:cs="Arial"/>
          <w:sz w:val="28"/>
        </w:rPr>
        <w:t>”</w:t>
      </w:r>
      <w:r>
        <w:rPr>
          <w:rFonts w:ascii="Arial" w:hAnsi="Arial" w:cs="Arial"/>
          <w:sz w:val="28"/>
        </w:rPr>
        <w:t>和</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技术报告</w:t>
      </w:r>
      <w:r>
        <w:rPr>
          <w:rFonts w:ascii="Arial" w:hAnsi="Arial" w:cs="Arial"/>
          <w:sz w:val="28"/>
        </w:rPr>
        <w:t>”</w:t>
      </w:r>
      <w:r>
        <w:rPr>
          <w:rFonts w:ascii="Arial" w:hAnsi="Arial" w:cs="Arial"/>
          <w:sz w:val="28"/>
        </w:rPr>
        <w:t>两部分，</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报告</w:t>
      </w:r>
      <w:r>
        <w:rPr>
          <w:rFonts w:ascii="Arial" w:hAnsi="Arial" w:cs="Arial"/>
          <w:sz w:val="28"/>
        </w:rPr>
        <w:t>”</w:t>
      </w:r>
      <w:proofErr w:type="gramStart"/>
      <w:r>
        <w:rPr>
          <w:rFonts w:ascii="Arial" w:hAnsi="Arial" w:cs="Arial"/>
          <w:sz w:val="28"/>
        </w:rPr>
        <w:t>供委托</w:t>
      </w:r>
      <w:proofErr w:type="gramEnd"/>
      <w:r>
        <w:rPr>
          <w:rFonts w:ascii="Arial" w:hAnsi="Arial" w:cs="Arial"/>
          <w:sz w:val="28"/>
        </w:rPr>
        <w:t>方使用，</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技术报告</w:t>
      </w:r>
      <w:r>
        <w:rPr>
          <w:rFonts w:ascii="Arial" w:hAnsi="Arial" w:cs="Arial"/>
          <w:sz w:val="28"/>
        </w:rPr>
        <w:t>”</w:t>
      </w:r>
      <w:r>
        <w:rPr>
          <w:rFonts w:ascii="Arial" w:hAnsi="Arial" w:cs="Arial"/>
          <w:sz w:val="28"/>
        </w:rPr>
        <w:t>仅供估价机构存档和作为咨询结果提交房屋土地管理部门确认或备案时的附件。</w:t>
      </w:r>
    </w:p>
    <w:p w:rsidR="004935A9" w:rsidRDefault="00311723">
      <w:pPr>
        <w:snapToGrid w:val="0"/>
        <w:spacing w:line="360" w:lineRule="auto"/>
        <w:ind w:firstLine="570"/>
        <w:jc w:val="both"/>
        <w:rPr>
          <w:rFonts w:ascii="Arial" w:hAnsi="Arial" w:cs="Arial"/>
          <w:sz w:val="28"/>
        </w:rPr>
      </w:pPr>
      <w:r>
        <w:rPr>
          <w:rFonts w:ascii="Arial" w:hAnsi="Arial" w:cs="Arial"/>
          <w:sz w:val="28"/>
        </w:rPr>
        <w:t>6.</w:t>
      </w:r>
      <w:r>
        <w:rPr>
          <w:rFonts w:ascii="Arial" w:hAnsi="Arial" w:cs="Arial"/>
          <w:sz w:val="28"/>
        </w:rPr>
        <w:t>本咨询报告只能由咨询报告载明的报告使用者使用，且只能用于本报告载明的唯一咨询目的和用途。</w:t>
      </w:r>
    </w:p>
    <w:p w:rsidR="004935A9" w:rsidRDefault="00311723">
      <w:pPr>
        <w:snapToGrid w:val="0"/>
        <w:spacing w:line="360" w:lineRule="auto"/>
        <w:ind w:firstLine="570"/>
        <w:jc w:val="both"/>
        <w:rPr>
          <w:rFonts w:ascii="Arial" w:hAnsi="Arial" w:cs="Arial"/>
          <w:sz w:val="28"/>
        </w:rPr>
      </w:pPr>
      <w:r>
        <w:rPr>
          <w:rFonts w:ascii="Arial" w:hAnsi="Arial" w:cs="Arial"/>
          <w:sz w:val="28"/>
        </w:rPr>
        <w:t>7.</w:t>
      </w:r>
      <w:r>
        <w:rPr>
          <w:rFonts w:ascii="Arial" w:hAnsi="Arial" w:cs="Arial"/>
          <w:sz w:val="28"/>
        </w:rPr>
        <w:t>委托方或者本咨询报告使用人应按照法律规定和咨询报告载明的使用范围使用本咨询报告。委托方或者咨询报告使用人违反前述规定使用本咨询报告的，估价机构和评估专业人员不承担责任。</w:t>
      </w:r>
    </w:p>
    <w:p w:rsidR="004935A9" w:rsidRDefault="00311723">
      <w:pPr>
        <w:snapToGrid w:val="0"/>
        <w:spacing w:line="360" w:lineRule="auto"/>
        <w:ind w:firstLine="570"/>
        <w:jc w:val="both"/>
        <w:rPr>
          <w:rFonts w:ascii="Arial" w:hAnsi="Arial" w:cs="Arial"/>
          <w:sz w:val="28"/>
        </w:rPr>
      </w:pPr>
      <w:r>
        <w:rPr>
          <w:rFonts w:ascii="Arial" w:hAnsi="Arial" w:cs="Arial"/>
          <w:sz w:val="28"/>
        </w:rPr>
        <w:t>8.</w:t>
      </w:r>
      <w:r>
        <w:rPr>
          <w:rFonts w:ascii="Arial" w:hAnsi="Arial" w:cs="Arial"/>
          <w:sz w:val="28"/>
        </w:rPr>
        <w:t>除委托方、估价委托合同中约定的其他咨询报告使用人和法律、行政法规规定的咨询报告使用人之外，其他任何机构和个人不能成为咨询报告的</w:t>
      </w:r>
      <w:r>
        <w:rPr>
          <w:rFonts w:ascii="Arial" w:hAnsi="Arial" w:cs="Arial"/>
          <w:sz w:val="28"/>
        </w:rPr>
        <w:lastRenderedPageBreak/>
        <w:t>使用人。</w:t>
      </w:r>
    </w:p>
    <w:p w:rsidR="004935A9" w:rsidRDefault="00311723">
      <w:pPr>
        <w:snapToGrid w:val="0"/>
        <w:spacing w:line="360" w:lineRule="auto"/>
        <w:ind w:firstLine="570"/>
        <w:jc w:val="both"/>
        <w:rPr>
          <w:rFonts w:ascii="Arial" w:hAnsi="Arial" w:cs="Arial"/>
          <w:sz w:val="28"/>
        </w:rPr>
      </w:pPr>
      <w:r>
        <w:rPr>
          <w:rFonts w:ascii="Arial" w:hAnsi="Arial" w:cs="Arial"/>
          <w:sz w:val="28"/>
        </w:rPr>
        <w:t>9.</w:t>
      </w:r>
      <w:r>
        <w:rPr>
          <w:rFonts w:ascii="Arial" w:hAnsi="Arial" w:cs="Arial"/>
          <w:sz w:val="28"/>
        </w:rPr>
        <w:t>咨询报告使用人应当正确理解估价结论。估价结论不等同</w:t>
      </w:r>
      <w:proofErr w:type="gramStart"/>
      <w:r>
        <w:rPr>
          <w:rFonts w:ascii="Arial" w:hAnsi="Arial" w:cs="Arial"/>
          <w:sz w:val="28"/>
        </w:rPr>
        <w:t>于咨询</w:t>
      </w:r>
      <w:proofErr w:type="gramEnd"/>
      <w:r>
        <w:rPr>
          <w:rFonts w:ascii="Arial" w:hAnsi="Arial" w:cs="Arial"/>
          <w:sz w:val="28"/>
        </w:rPr>
        <w:t>对象可实现价格，估价结论不应当被认为是对咨询对象可实现价格的保证。</w:t>
      </w:r>
    </w:p>
    <w:p w:rsidR="004935A9" w:rsidRDefault="00311723">
      <w:pPr>
        <w:snapToGrid w:val="0"/>
        <w:spacing w:line="360" w:lineRule="auto"/>
        <w:ind w:firstLine="570"/>
        <w:jc w:val="both"/>
        <w:rPr>
          <w:rFonts w:ascii="Arial" w:hAnsi="Arial" w:cs="Arial"/>
          <w:sz w:val="28"/>
        </w:rPr>
      </w:pPr>
      <w:r>
        <w:rPr>
          <w:rFonts w:ascii="Arial" w:hAnsi="Arial" w:cs="Arial"/>
          <w:sz w:val="28"/>
        </w:rPr>
        <w:t>10.</w:t>
      </w:r>
      <w:r>
        <w:rPr>
          <w:rFonts w:ascii="Arial" w:hAnsi="Arial" w:cs="Arial"/>
          <w:sz w:val="28"/>
        </w:rPr>
        <w:t>本报告所确定的土地价格仅</w:t>
      </w:r>
      <w:proofErr w:type="gramStart"/>
      <w:r>
        <w:rPr>
          <w:rFonts w:ascii="Arial" w:hAnsi="Arial" w:cs="Arial"/>
          <w:sz w:val="28"/>
        </w:rPr>
        <w:t>供了解</w:t>
      </w:r>
      <w:proofErr w:type="gramEnd"/>
      <w:r>
        <w:rPr>
          <w:rFonts w:ascii="Arial" w:hAnsi="Arial" w:cs="Arial"/>
          <w:sz w:val="28"/>
        </w:rPr>
        <w:t>咨询对象作价入股价格参考，若违反特定用途使用本土地评估报告和咨询结果，由此引出的一切法律责任由使用者自负。</w:t>
      </w:r>
    </w:p>
    <w:p w:rsidR="004935A9" w:rsidRDefault="00311723">
      <w:pPr>
        <w:snapToGrid w:val="0"/>
        <w:spacing w:line="360" w:lineRule="auto"/>
        <w:ind w:firstLine="570"/>
        <w:jc w:val="both"/>
        <w:rPr>
          <w:rFonts w:ascii="Arial" w:hAnsi="Arial" w:cs="Arial"/>
          <w:sz w:val="28"/>
        </w:rPr>
      </w:pPr>
      <w:r>
        <w:rPr>
          <w:rFonts w:ascii="Arial" w:hAnsi="Arial" w:cs="Arial"/>
          <w:sz w:val="28"/>
        </w:rPr>
        <w:t>1</w:t>
      </w:r>
      <w:r>
        <w:rPr>
          <w:rFonts w:ascii="Arial" w:hAnsi="Arial" w:cs="Arial" w:hint="eastAsia"/>
          <w:sz w:val="28"/>
        </w:rPr>
        <w:t>1</w:t>
      </w:r>
      <w:r>
        <w:rPr>
          <w:rFonts w:ascii="Arial" w:hAnsi="Arial" w:cs="Arial"/>
          <w:sz w:val="28"/>
        </w:rPr>
        <w:t>.</w:t>
      </w:r>
      <w:r>
        <w:rPr>
          <w:rFonts w:ascii="Arial" w:hAnsi="Arial" w:cs="Arial"/>
          <w:sz w:val="28"/>
        </w:rPr>
        <w:t>报告有效期限为报告出具之日起壹年内有效。</w:t>
      </w:r>
    </w:p>
    <w:p w:rsidR="004935A9" w:rsidRDefault="00311723">
      <w:pPr>
        <w:snapToGrid w:val="0"/>
        <w:spacing w:line="360" w:lineRule="auto"/>
        <w:ind w:firstLine="570"/>
        <w:jc w:val="both"/>
        <w:rPr>
          <w:rFonts w:ascii="Arial" w:hAnsi="Arial" w:cs="Arial"/>
          <w:sz w:val="28"/>
        </w:rPr>
      </w:pPr>
      <w:r>
        <w:rPr>
          <w:rFonts w:ascii="Arial" w:hAnsi="Arial" w:cs="Arial"/>
          <w:kern w:val="2"/>
          <w:sz w:val="28"/>
        </w:rPr>
        <w:t>1</w:t>
      </w:r>
      <w:r>
        <w:rPr>
          <w:rFonts w:ascii="Arial" w:hAnsi="Arial" w:cs="Arial" w:hint="eastAsia"/>
          <w:kern w:val="2"/>
          <w:sz w:val="28"/>
        </w:rPr>
        <w:t>2</w:t>
      </w:r>
      <w:r>
        <w:rPr>
          <w:rFonts w:ascii="Arial" w:hAnsi="Arial" w:cs="Arial"/>
          <w:sz w:val="28"/>
        </w:rPr>
        <w:t>.</w:t>
      </w:r>
      <w:r>
        <w:rPr>
          <w:rFonts w:ascii="Arial" w:hAnsi="Arial" w:cs="Arial"/>
          <w:sz w:val="28"/>
        </w:rPr>
        <w:t>本次土地咨询报告的使用权归</w:t>
      </w:r>
      <w:r>
        <w:rPr>
          <w:rFonts w:ascii="Arial" w:hAnsi="Arial" w:cs="Arial" w:hint="eastAsia"/>
          <w:sz w:val="28"/>
        </w:rPr>
        <w:t>北京保障房中心有限公司</w:t>
      </w:r>
      <w:r>
        <w:rPr>
          <w:rFonts w:ascii="Arial" w:hAnsi="Arial" w:cs="Arial"/>
          <w:sz w:val="28"/>
        </w:rPr>
        <w:t>，土地咨询报告由</w:t>
      </w:r>
      <w:proofErr w:type="gramStart"/>
      <w:r>
        <w:rPr>
          <w:rFonts w:ascii="Arial" w:hAnsi="Arial" w:cs="Arial"/>
          <w:sz w:val="28"/>
        </w:rPr>
        <w:t>北京康正宏</w:t>
      </w:r>
      <w:proofErr w:type="gramEnd"/>
      <w:r>
        <w:rPr>
          <w:rFonts w:ascii="Arial" w:hAnsi="Arial" w:cs="Arial"/>
          <w:sz w:val="28"/>
        </w:rPr>
        <w:t>基房地产评估有限公司负责解释。</w:t>
      </w:r>
    </w:p>
    <w:p w:rsidR="004935A9" w:rsidRDefault="00311723">
      <w:pPr>
        <w:snapToGrid w:val="0"/>
        <w:spacing w:line="360" w:lineRule="auto"/>
        <w:jc w:val="both"/>
        <w:textAlignment w:val="bottom"/>
        <w:rPr>
          <w:rFonts w:ascii="Arial" w:hAnsi="Arial" w:cs="Arial"/>
          <w:sz w:val="28"/>
        </w:rPr>
      </w:pPr>
      <w:r>
        <w:rPr>
          <w:rFonts w:ascii="Arial" w:hAnsi="Arial" w:cs="Arial"/>
          <w:sz w:val="28"/>
        </w:rPr>
        <w:t>（三）需要特殊说明的事项</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1.</w:t>
      </w:r>
      <w:r>
        <w:rPr>
          <w:rFonts w:ascii="Arial" w:hAnsi="Arial" w:cs="Arial"/>
          <w:sz w:val="28"/>
        </w:rPr>
        <w:t>资料来源说明</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）咨询对象的土地、房屋权属资料、土地利用状况、评估项目相关资料由委托方提供。</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）土地区位条件、地产市场交易资料、土地利用现状照片等相关资料由评估专业人员实地调查取得。</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3</w:t>
      </w:r>
      <w:r>
        <w:rPr>
          <w:rFonts w:ascii="Arial" w:hAnsi="Arial" w:cs="Arial"/>
          <w:sz w:val="28"/>
        </w:rPr>
        <w:t>）区域经济发展状况、统计数据、城市规划资料、基准地价资料等由评估专业人员通过政府相关部门获取。</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4</w:t>
      </w:r>
      <w:r>
        <w:rPr>
          <w:rFonts w:ascii="Arial" w:hAnsi="Arial" w:cs="Arial"/>
          <w:sz w:val="28"/>
        </w:rPr>
        <w:t>）估价中的相关参数资料由评估专业人员通过政府部门相关文件规定、公开媒体等多种途径获取。</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5</w:t>
      </w:r>
      <w:r>
        <w:rPr>
          <w:rFonts w:ascii="Arial" w:hAnsi="Arial" w:cs="Arial"/>
          <w:sz w:val="28"/>
        </w:rPr>
        <w:t>）评估专业人员结合执业经验，对上述相关评估资料的真实性、合法性、有效性、适用性进行了尽职核实、专业判断。委托方对所提供资料的真实性负责，估价机构对所收集资料的真实性、准确性负责。</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有关参数确定及使用说明</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）本次评估咨询对象准确建筑面积应以委托</w:t>
      </w:r>
      <w:proofErr w:type="gramStart"/>
      <w:r>
        <w:rPr>
          <w:rFonts w:ascii="Arial" w:hAnsi="Arial" w:cs="Arial"/>
          <w:sz w:val="28"/>
        </w:rPr>
        <w:t>方最终</w:t>
      </w:r>
      <w:proofErr w:type="gramEnd"/>
      <w:r>
        <w:rPr>
          <w:rFonts w:ascii="Arial" w:hAnsi="Arial" w:cs="Arial"/>
          <w:sz w:val="28"/>
        </w:rPr>
        <w:t>取得的《集体土地所有权证》为准。如本次咨询报告采用的建筑面积与最终取得的《集体土</w:t>
      </w:r>
      <w:r>
        <w:rPr>
          <w:rFonts w:ascii="Arial" w:hAnsi="Arial" w:cs="Arial"/>
          <w:sz w:val="28"/>
        </w:rPr>
        <w:lastRenderedPageBreak/>
        <w:t>地所有权证》上所登记的咨询对象建筑面积不一致，咨询结果将进行相应调整。</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rsidR="004935A9" w:rsidRDefault="004935A9">
      <w:pPr>
        <w:snapToGrid w:val="0"/>
        <w:spacing w:line="360" w:lineRule="auto"/>
        <w:ind w:firstLineChars="200" w:firstLine="560"/>
        <w:jc w:val="both"/>
        <w:textAlignment w:val="bottom"/>
        <w:rPr>
          <w:rFonts w:ascii="Arial" w:hAnsi="Arial" w:cs="Arial"/>
          <w:sz w:val="28"/>
        </w:rPr>
      </w:pPr>
    </w:p>
    <w:p w:rsidR="004935A9" w:rsidRDefault="004935A9">
      <w:pPr>
        <w:snapToGrid w:val="0"/>
        <w:spacing w:line="360" w:lineRule="auto"/>
        <w:ind w:firstLine="570"/>
        <w:jc w:val="both"/>
        <w:rPr>
          <w:rFonts w:ascii="Arial" w:hAnsi="Arial" w:cs="Arial"/>
          <w:sz w:val="28"/>
        </w:rPr>
        <w:sectPr w:rsidR="004935A9">
          <w:pgSz w:w="11907" w:h="16840"/>
          <w:pgMar w:top="1843" w:right="1304" w:bottom="1134" w:left="1304" w:header="1134" w:footer="907" w:gutter="0"/>
          <w:cols w:space="720"/>
          <w:docGrid w:linePitch="326"/>
        </w:sectPr>
      </w:pPr>
    </w:p>
    <w:p w:rsidR="004935A9" w:rsidRDefault="00311723">
      <w:pPr>
        <w:spacing w:line="360" w:lineRule="auto"/>
        <w:jc w:val="center"/>
        <w:outlineLvl w:val="0"/>
        <w:rPr>
          <w:rFonts w:ascii="Arial" w:hAnsi="Arial" w:cs="Arial"/>
          <w:b/>
          <w:sz w:val="32"/>
        </w:rPr>
      </w:pPr>
      <w:bookmarkStart w:id="163" w:name="_Toc469066321"/>
      <w:bookmarkStart w:id="164" w:name="_Toc26703"/>
      <w:bookmarkStart w:id="165" w:name="_Toc418750901"/>
      <w:bookmarkStart w:id="166" w:name="_Toc416783538"/>
      <w:bookmarkStart w:id="167" w:name="_Toc1214"/>
      <w:bookmarkStart w:id="168" w:name="_Toc7225"/>
      <w:bookmarkStart w:id="169" w:name="_Toc425250323"/>
      <w:r>
        <w:rPr>
          <w:rFonts w:ascii="Arial" w:hAnsi="Arial" w:cs="Arial"/>
          <w:b/>
          <w:sz w:val="32"/>
        </w:rPr>
        <w:lastRenderedPageBreak/>
        <w:t>第四部分</w:t>
      </w:r>
      <w:r>
        <w:rPr>
          <w:rFonts w:ascii="Arial" w:hAnsi="Arial" w:cs="Arial"/>
          <w:b/>
          <w:sz w:val="32"/>
        </w:rPr>
        <w:t xml:space="preserve">  </w:t>
      </w:r>
      <w:r>
        <w:rPr>
          <w:rFonts w:ascii="Arial" w:hAnsi="Arial" w:cs="Arial"/>
          <w:b/>
          <w:sz w:val="32"/>
        </w:rPr>
        <w:t>附</w:t>
      </w:r>
      <w:r>
        <w:rPr>
          <w:rFonts w:ascii="Arial" w:hAnsi="Arial" w:cs="Arial"/>
          <w:b/>
          <w:sz w:val="32"/>
        </w:rPr>
        <w:t xml:space="preserve">  </w:t>
      </w:r>
      <w:r>
        <w:rPr>
          <w:rFonts w:ascii="Arial" w:hAnsi="Arial" w:cs="Arial"/>
          <w:b/>
          <w:sz w:val="32"/>
        </w:rPr>
        <w:t>件</w:t>
      </w:r>
      <w:bookmarkEnd w:id="163"/>
      <w:bookmarkEnd w:id="164"/>
      <w:bookmarkEnd w:id="165"/>
      <w:bookmarkEnd w:id="166"/>
      <w:bookmarkEnd w:id="167"/>
      <w:bookmarkEnd w:id="168"/>
      <w:bookmarkEnd w:id="169"/>
    </w:p>
    <w:p w:rsidR="004935A9" w:rsidRDefault="004935A9">
      <w:pPr>
        <w:spacing w:line="360" w:lineRule="auto"/>
        <w:ind w:firstLineChars="200" w:firstLine="560"/>
        <w:jc w:val="both"/>
        <w:rPr>
          <w:rFonts w:ascii="Arial" w:hAnsi="Arial" w:cs="Arial"/>
          <w:sz w:val="28"/>
        </w:rPr>
      </w:pP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咨询对象所在位置示意图</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sz w:val="28"/>
        </w:rPr>
        <w:t>.</w:t>
      </w:r>
      <w:r>
        <w:rPr>
          <w:rFonts w:ascii="Arial" w:hAnsi="Arial" w:cs="Arial"/>
          <w:sz w:val="28"/>
          <w:szCs w:val="28"/>
        </w:rPr>
        <w:t>咨询对象实地勘察相关照片</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sz w:val="28"/>
        </w:rPr>
        <w:t>.</w:t>
      </w:r>
      <w:r>
        <w:rPr>
          <w:rFonts w:ascii="Arial" w:hAnsi="Arial" w:cs="Arial"/>
          <w:sz w:val="28"/>
        </w:rPr>
        <w:t>委托方《营业执照（副本）》复印件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sz w:val="28"/>
        </w:rPr>
        <w:t>.</w:t>
      </w:r>
      <w:r>
        <w:rPr>
          <w:rFonts w:ascii="Arial" w:hAnsi="Arial" w:cs="Arial"/>
          <w:sz w:val="28"/>
        </w:rPr>
        <w:t>估价机构《营业执照（副本）》复印件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sz w:val="28"/>
        </w:rPr>
        <w:t>.</w:t>
      </w:r>
      <w:r>
        <w:rPr>
          <w:rFonts w:ascii="Arial" w:hAnsi="Arial" w:cs="Arial"/>
          <w:sz w:val="28"/>
        </w:rPr>
        <w:t>估价机构估价资格证书复印件</w:t>
      </w:r>
    </w:p>
    <w:p w:rsidR="004935A9" w:rsidRDefault="004935A9">
      <w:pPr>
        <w:spacing w:line="360" w:lineRule="auto"/>
        <w:ind w:firstLineChars="200" w:firstLine="560"/>
        <w:jc w:val="both"/>
        <w:rPr>
          <w:rFonts w:ascii="Arial" w:hAnsi="Arial" w:cs="Arial"/>
          <w:sz w:val="28"/>
        </w:rPr>
      </w:pPr>
    </w:p>
    <w:p w:rsidR="004935A9" w:rsidRDefault="004935A9">
      <w:pPr>
        <w:spacing w:line="360" w:lineRule="auto"/>
        <w:ind w:left="840" w:hangingChars="300" w:hanging="840"/>
        <w:jc w:val="both"/>
        <w:rPr>
          <w:rFonts w:ascii="Arial" w:hAnsi="Arial" w:cs="Arial"/>
          <w:sz w:val="28"/>
        </w:rPr>
        <w:sectPr w:rsidR="004935A9">
          <w:headerReference w:type="first" r:id="rId49"/>
          <w:pgSz w:w="11907" w:h="16840"/>
          <w:pgMar w:top="1843" w:right="1304" w:bottom="1134" w:left="1304" w:header="1134" w:footer="907" w:gutter="0"/>
          <w:cols w:space="720"/>
          <w:titlePg/>
          <w:docGrid w:linePitch="326"/>
        </w:sectPr>
      </w:pPr>
    </w:p>
    <w:p w:rsidR="004935A9" w:rsidRDefault="004935A9">
      <w:pPr>
        <w:spacing w:line="432" w:lineRule="auto"/>
        <w:ind w:left="840" w:hangingChars="300" w:hanging="840"/>
        <w:jc w:val="both"/>
        <w:rPr>
          <w:rFonts w:ascii="Arial" w:hAnsi="Arial" w:cs="Arial"/>
          <w:sz w:val="28"/>
        </w:rPr>
      </w:pPr>
    </w:p>
    <w:p w:rsidR="004935A9" w:rsidRDefault="00311723">
      <w:pPr>
        <w:spacing w:line="432" w:lineRule="auto"/>
        <w:jc w:val="center"/>
        <w:rPr>
          <w:rFonts w:ascii="Arial" w:hAnsi="Arial" w:cs="Arial"/>
          <w:sz w:val="44"/>
        </w:rPr>
      </w:pPr>
      <w:bookmarkStart w:id="170" w:name="_Toc416783539"/>
      <w:bookmarkStart w:id="171" w:name="_Toc418750902"/>
      <w:bookmarkStart w:id="172" w:name="_Toc416783635"/>
      <w:r>
        <w:rPr>
          <w:rFonts w:ascii="Arial" w:hAnsi="Arial" w:cs="Arial"/>
          <w:b/>
          <w:sz w:val="44"/>
        </w:rPr>
        <w:t>土</w:t>
      </w:r>
      <w:r>
        <w:rPr>
          <w:rFonts w:ascii="Arial" w:hAnsi="Arial" w:cs="Arial"/>
          <w:b/>
          <w:sz w:val="44"/>
        </w:rPr>
        <w:t xml:space="preserve"> </w:t>
      </w:r>
      <w:r>
        <w:rPr>
          <w:rFonts w:ascii="Arial" w:hAnsi="Arial" w:cs="Arial"/>
          <w:b/>
          <w:sz w:val="44"/>
        </w:rPr>
        <w:t>地</w:t>
      </w:r>
      <w:r>
        <w:rPr>
          <w:rFonts w:ascii="Arial" w:hAnsi="Arial" w:cs="Arial"/>
          <w:b/>
          <w:sz w:val="44"/>
        </w:rPr>
        <w:t xml:space="preserve"> </w:t>
      </w:r>
      <w:proofErr w:type="gramStart"/>
      <w:r>
        <w:rPr>
          <w:rFonts w:ascii="Arial" w:hAnsi="Arial" w:cs="Arial" w:hint="eastAsia"/>
          <w:b/>
          <w:sz w:val="44"/>
        </w:rPr>
        <w:t>咨</w:t>
      </w:r>
      <w:proofErr w:type="gramEnd"/>
      <w:r>
        <w:rPr>
          <w:rFonts w:ascii="Arial" w:hAnsi="Arial" w:cs="Arial" w:hint="eastAsia"/>
          <w:b/>
          <w:sz w:val="44"/>
        </w:rPr>
        <w:t xml:space="preserve"> </w:t>
      </w:r>
      <w:proofErr w:type="gramStart"/>
      <w:r>
        <w:rPr>
          <w:rFonts w:ascii="Arial" w:hAnsi="Arial" w:cs="Arial" w:hint="eastAsia"/>
          <w:b/>
          <w:sz w:val="44"/>
        </w:rPr>
        <w:t>询</w:t>
      </w:r>
      <w:proofErr w:type="gramEnd"/>
      <w:r>
        <w:rPr>
          <w:rFonts w:ascii="Arial" w:hAnsi="Arial" w:cs="Arial"/>
          <w:b/>
          <w:sz w:val="44"/>
        </w:rPr>
        <w:t xml:space="preserve"> </w:t>
      </w:r>
      <w:r>
        <w:rPr>
          <w:rFonts w:ascii="Arial" w:hAnsi="Arial" w:cs="Arial"/>
          <w:b/>
          <w:sz w:val="44"/>
        </w:rPr>
        <w:t>技</w:t>
      </w:r>
      <w:r>
        <w:rPr>
          <w:rFonts w:ascii="Arial" w:hAnsi="Arial" w:cs="Arial"/>
          <w:b/>
          <w:sz w:val="44"/>
        </w:rPr>
        <w:t xml:space="preserve"> </w:t>
      </w:r>
      <w:r>
        <w:rPr>
          <w:rFonts w:ascii="Arial" w:hAnsi="Arial" w:cs="Arial"/>
          <w:b/>
          <w:sz w:val="44"/>
        </w:rPr>
        <w:t>术</w:t>
      </w:r>
      <w:r>
        <w:rPr>
          <w:rFonts w:ascii="Arial" w:hAnsi="Arial" w:cs="Arial"/>
          <w:b/>
          <w:sz w:val="44"/>
        </w:rPr>
        <w:t xml:space="preserve"> </w:t>
      </w:r>
      <w:r>
        <w:rPr>
          <w:rFonts w:ascii="Arial" w:hAnsi="Arial" w:cs="Arial"/>
          <w:b/>
          <w:sz w:val="44"/>
        </w:rPr>
        <w:t>报</w:t>
      </w:r>
      <w:r>
        <w:rPr>
          <w:rFonts w:ascii="Arial" w:hAnsi="Arial" w:cs="Arial"/>
          <w:b/>
          <w:sz w:val="44"/>
        </w:rPr>
        <w:t xml:space="preserve"> </w:t>
      </w:r>
      <w:r>
        <w:rPr>
          <w:rFonts w:ascii="Arial" w:hAnsi="Arial" w:cs="Arial"/>
          <w:b/>
          <w:sz w:val="44"/>
        </w:rPr>
        <w:t>告</w:t>
      </w:r>
      <w:bookmarkEnd w:id="170"/>
      <w:bookmarkEnd w:id="171"/>
      <w:bookmarkEnd w:id="172"/>
    </w:p>
    <w:p w:rsidR="004935A9" w:rsidRDefault="004935A9">
      <w:pPr>
        <w:spacing w:line="432" w:lineRule="auto"/>
        <w:jc w:val="center"/>
        <w:rPr>
          <w:rFonts w:ascii="Arial" w:hAnsi="Arial" w:cs="Arial"/>
          <w:sz w:val="44"/>
        </w:rPr>
      </w:pPr>
    </w:p>
    <w:p w:rsidR="004935A9" w:rsidRDefault="004935A9">
      <w:pPr>
        <w:spacing w:line="432" w:lineRule="auto"/>
        <w:jc w:val="center"/>
        <w:rPr>
          <w:rFonts w:ascii="Arial" w:hAnsi="Arial" w:cs="Arial"/>
          <w:sz w:val="44"/>
        </w:rPr>
      </w:pPr>
    </w:p>
    <w:p w:rsidR="004935A9" w:rsidRDefault="004935A9">
      <w:pPr>
        <w:spacing w:line="432" w:lineRule="auto"/>
        <w:jc w:val="center"/>
        <w:rPr>
          <w:rFonts w:ascii="Arial" w:hAnsi="Arial" w:cs="Arial"/>
          <w:bCs/>
          <w:sz w:val="32"/>
        </w:rPr>
      </w:pPr>
    </w:p>
    <w:p w:rsidR="004935A9" w:rsidRDefault="00311723">
      <w:pPr>
        <w:spacing w:line="432" w:lineRule="auto"/>
        <w:ind w:left="2201" w:hangingChars="685" w:hanging="2201"/>
        <w:jc w:val="both"/>
        <w:rPr>
          <w:rFonts w:ascii="Arial" w:hAnsi="Arial" w:cs="Arial"/>
          <w:b/>
          <w:i/>
          <w:sz w:val="28"/>
          <w:szCs w:val="28"/>
        </w:rPr>
      </w:pPr>
      <w:r>
        <w:rPr>
          <w:rFonts w:ascii="Arial" w:hAnsi="Arial" w:cs="Arial"/>
          <w:b/>
          <w:sz w:val="32"/>
        </w:rPr>
        <w:t>项</w:t>
      </w:r>
      <w:r>
        <w:rPr>
          <w:rFonts w:ascii="Arial" w:hAnsi="Arial" w:cs="Arial"/>
          <w:b/>
          <w:sz w:val="32"/>
        </w:rPr>
        <w:t xml:space="preserve">  </w:t>
      </w:r>
      <w:r>
        <w:rPr>
          <w:rFonts w:ascii="Arial" w:hAnsi="Arial" w:cs="Arial"/>
          <w:b/>
          <w:sz w:val="32"/>
        </w:rPr>
        <w:t>目</w:t>
      </w:r>
      <w:r>
        <w:rPr>
          <w:rFonts w:ascii="Arial" w:hAnsi="Arial" w:cs="Arial"/>
          <w:b/>
          <w:sz w:val="32"/>
        </w:rPr>
        <w:t xml:space="preserve"> </w:t>
      </w:r>
      <w:r>
        <w:rPr>
          <w:rFonts w:ascii="Arial" w:hAnsi="Arial" w:cs="Arial"/>
          <w:b/>
          <w:sz w:val="32"/>
        </w:rPr>
        <w:t>名</w:t>
      </w:r>
      <w:r>
        <w:rPr>
          <w:rFonts w:ascii="Arial" w:hAnsi="Arial" w:cs="Arial"/>
          <w:b/>
          <w:sz w:val="32"/>
        </w:rPr>
        <w:t xml:space="preserve"> </w:t>
      </w:r>
      <w:r>
        <w:rPr>
          <w:rFonts w:ascii="Arial" w:hAnsi="Arial" w:cs="Arial"/>
          <w:b/>
          <w:sz w:val="32"/>
        </w:rPr>
        <w:t>称：</w:t>
      </w:r>
      <w:r>
        <w:rPr>
          <w:rFonts w:ascii="Arial" w:hAnsi="Arial" w:cs="Arial" w:hint="eastAsia"/>
          <w:b/>
          <w:sz w:val="32"/>
        </w:rPr>
        <w:t>北京市</w:t>
      </w:r>
      <w:proofErr w:type="gramStart"/>
      <w:r>
        <w:rPr>
          <w:rFonts w:ascii="Arial" w:hAnsi="Arial" w:cs="Arial" w:hint="eastAsia"/>
          <w:b/>
          <w:sz w:val="32"/>
        </w:rPr>
        <w:t>昌平区</w:t>
      </w:r>
      <w:proofErr w:type="gramEnd"/>
      <w:r>
        <w:rPr>
          <w:rFonts w:ascii="Arial" w:hAnsi="Arial" w:cs="Arial" w:hint="eastAsia"/>
          <w:b/>
          <w:sz w:val="32"/>
        </w:rPr>
        <w:t>马池口镇百泉庄村集体土地租赁住房项目集体经营性建设用地使用权地价评估</w:t>
      </w:r>
    </w:p>
    <w:p w:rsidR="004935A9" w:rsidRDefault="00311723">
      <w:pPr>
        <w:spacing w:line="432" w:lineRule="auto"/>
        <w:rPr>
          <w:rFonts w:ascii="Arial" w:hAnsi="Arial" w:cs="Arial"/>
          <w:b/>
          <w:bCs/>
          <w:sz w:val="32"/>
        </w:rPr>
      </w:pPr>
      <w:r>
        <w:rPr>
          <w:rFonts w:ascii="Arial" w:hAnsi="Arial" w:cs="Arial"/>
          <w:b/>
          <w:sz w:val="32"/>
        </w:rPr>
        <w:t>受托单位：</w:t>
      </w:r>
      <w:proofErr w:type="gramStart"/>
      <w:r>
        <w:rPr>
          <w:rFonts w:ascii="Arial" w:hAnsi="Arial" w:cs="Arial"/>
          <w:b/>
          <w:sz w:val="32"/>
        </w:rPr>
        <w:t>北京康正宏</w:t>
      </w:r>
      <w:proofErr w:type="gramEnd"/>
      <w:r>
        <w:rPr>
          <w:rFonts w:ascii="Arial" w:hAnsi="Arial" w:cs="Arial"/>
          <w:b/>
          <w:sz w:val="32"/>
        </w:rPr>
        <w:t>基房地产评估有限公司</w:t>
      </w:r>
    </w:p>
    <w:p w:rsidR="004935A9" w:rsidRDefault="00311723">
      <w:pPr>
        <w:spacing w:line="432" w:lineRule="auto"/>
        <w:ind w:right="-327"/>
        <w:rPr>
          <w:rFonts w:ascii="Arial" w:hAnsi="Arial" w:cs="Arial"/>
          <w:b/>
          <w:bCs/>
          <w:sz w:val="32"/>
        </w:rPr>
      </w:pPr>
      <w:bookmarkStart w:id="173" w:name="_Toc418750903"/>
      <w:r>
        <w:rPr>
          <w:rFonts w:ascii="Arial" w:hAnsi="Arial" w:cs="Arial"/>
          <w:b/>
          <w:sz w:val="32"/>
        </w:rPr>
        <w:t>报告编号：</w:t>
      </w:r>
      <w:proofErr w:type="gramStart"/>
      <w:r>
        <w:rPr>
          <w:rFonts w:ascii="Arial" w:hAnsi="Arial" w:cs="Arial"/>
          <w:b/>
          <w:sz w:val="32"/>
        </w:rPr>
        <w:t>康正评</w:t>
      </w:r>
      <w:proofErr w:type="gramEnd"/>
      <w:r>
        <w:rPr>
          <w:rFonts w:ascii="Arial" w:hAnsi="Arial" w:cs="Arial"/>
          <w:b/>
          <w:sz w:val="32"/>
        </w:rPr>
        <w:t>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sz w:val="32"/>
        </w:rPr>
        <w:t>号</w:t>
      </w:r>
      <w:bookmarkEnd w:id="173"/>
    </w:p>
    <w:p w:rsidR="004935A9" w:rsidRDefault="00311723">
      <w:pPr>
        <w:spacing w:line="432" w:lineRule="auto"/>
        <w:ind w:right="-207"/>
        <w:rPr>
          <w:rFonts w:ascii="Arial" w:hAnsi="Arial" w:cs="Arial"/>
          <w:b/>
          <w:bCs/>
          <w:spacing w:val="-10"/>
          <w:sz w:val="32"/>
        </w:rPr>
      </w:pPr>
      <w:bookmarkStart w:id="174" w:name="_Toc416783637"/>
      <w:bookmarkStart w:id="175" w:name="_Toc416783541"/>
      <w:bookmarkStart w:id="176" w:name="_Toc418750904"/>
      <w:r>
        <w:rPr>
          <w:rFonts w:ascii="Arial" w:hAnsi="Arial" w:cs="Arial"/>
          <w:b/>
          <w:bCs/>
          <w:spacing w:val="-10"/>
          <w:sz w:val="32"/>
        </w:rPr>
        <w:t>土地</w:t>
      </w:r>
      <w:r>
        <w:rPr>
          <w:rFonts w:ascii="Arial" w:hAnsi="Arial" w:cs="Arial" w:hint="eastAsia"/>
          <w:b/>
          <w:bCs/>
          <w:spacing w:val="-10"/>
          <w:sz w:val="32"/>
        </w:rPr>
        <w:t>咨询</w:t>
      </w:r>
      <w:r>
        <w:rPr>
          <w:rFonts w:ascii="Arial" w:hAnsi="Arial" w:cs="Arial"/>
          <w:b/>
          <w:bCs/>
          <w:spacing w:val="-10"/>
          <w:sz w:val="32"/>
        </w:rPr>
        <w:t>技术报告编号：</w:t>
      </w:r>
      <w:proofErr w:type="gramStart"/>
      <w:r>
        <w:rPr>
          <w:rFonts w:ascii="Arial" w:hAnsi="Arial" w:cs="Arial"/>
          <w:b/>
          <w:bCs/>
          <w:sz w:val="32"/>
        </w:rPr>
        <w:t>康正技评</w:t>
      </w:r>
      <w:proofErr w:type="gramEnd"/>
      <w:r>
        <w:rPr>
          <w:rFonts w:ascii="Arial" w:hAnsi="Arial" w:cs="Arial"/>
          <w:b/>
          <w:bCs/>
          <w:sz w:val="32"/>
        </w:rPr>
        <w:t>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bCs/>
          <w:sz w:val="32"/>
        </w:rPr>
        <w:t>号</w:t>
      </w:r>
      <w:bookmarkEnd w:id="174"/>
      <w:bookmarkEnd w:id="175"/>
      <w:bookmarkEnd w:id="176"/>
    </w:p>
    <w:p w:rsidR="004935A9" w:rsidRDefault="00311723">
      <w:pPr>
        <w:spacing w:line="432" w:lineRule="auto"/>
        <w:rPr>
          <w:rFonts w:ascii="Arial" w:hAnsi="Arial" w:cs="Arial"/>
          <w:b/>
          <w:bCs/>
          <w:spacing w:val="-20"/>
          <w:sz w:val="32"/>
        </w:rPr>
      </w:pPr>
      <w:r>
        <w:rPr>
          <w:rFonts w:ascii="Arial" w:hAnsi="Arial" w:cs="Arial"/>
          <w:b/>
          <w:bCs/>
          <w:sz w:val="32"/>
        </w:rPr>
        <w:t>提交报告日期：</w:t>
      </w:r>
      <w:r>
        <w:rPr>
          <w:rFonts w:ascii="Arial" w:hAnsi="Arial" w:cs="Arial" w:hint="eastAsia"/>
          <w:b/>
          <w:sz w:val="32"/>
        </w:rPr>
        <w:t>2025</w:t>
      </w:r>
      <w:r>
        <w:rPr>
          <w:rFonts w:ascii="Arial" w:hAnsi="Arial" w:cs="Arial" w:hint="eastAsia"/>
          <w:b/>
          <w:sz w:val="32"/>
        </w:rPr>
        <w:t>年</w:t>
      </w:r>
      <w:r>
        <w:rPr>
          <w:rFonts w:ascii="Arial" w:hAnsi="Arial" w:cs="Arial" w:hint="eastAsia"/>
          <w:b/>
          <w:sz w:val="32"/>
        </w:rPr>
        <w:t>7</w:t>
      </w:r>
      <w:r>
        <w:rPr>
          <w:rFonts w:ascii="Arial" w:hAnsi="Arial" w:cs="Arial" w:hint="eastAsia"/>
          <w:b/>
          <w:sz w:val="32"/>
        </w:rPr>
        <w:t>月</w:t>
      </w:r>
      <w:r>
        <w:rPr>
          <w:rFonts w:ascii="Arial" w:hAnsi="Arial" w:cs="Arial" w:hint="eastAsia"/>
          <w:b/>
          <w:sz w:val="32"/>
        </w:rPr>
        <w:t>1</w:t>
      </w:r>
      <w:r>
        <w:rPr>
          <w:rFonts w:ascii="Arial" w:hAnsi="Arial" w:cs="Arial" w:hint="eastAsia"/>
          <w:b/>
          <w:sz w:val="32"/>
        </w:rPr>
        <w:t>日</w:t>
      </w:r>
    </w:p>
    <w:p w:rsidR="004935A9" w:rsidRDefault="00311723">
      <w:pPr>
        <w:spacing w:line="240" w:lineRule="auto"/>
        <w:rPr>
          <w:rFonts w:ascii="Arial" w:hAnsi="Arial" w:cs="Arial"/>
          <w:b/>
          <w:bCs/>
          <w:sz w:val="32"/>
        </w:rPr>
      </w:pPr>
      <w:r>
        <w:rPr>
          <w:rFonts w:ascii="Arial" w:hAnsi="Arial" w:cs="Arial"/>
          <w:b/>
          <w:bCs/>
          <w:sz w:val="32"/>
        </w:rPr>
        <w:t>关键词：北京市、</w:t>
      </w:r>
      <w:r>
        <w:rPr>
          <w:rFonts w:ascii="Arial" w:hAnsi="Arial" w:cs="Arial" w:hint="eastAsia"/>
          <w:b/>
          <w:bCs/>
          <w:sz w:val="32"/>
        </w:rPr>
        <w:t>昌平</w:t>
      </w:r>
      <w:r>
        <w:rPr>
          <w:rFonts w:ascii="Arial" w:hAnsi="Arial" w:cs="Arial"/>
          <w:b/>
          <w:bCs/>
          <w:sz w:val="32"/>
        </w:rPr>
        <w:t>区</w:t>
      </w:r>
      <w:r>
        <w:rPr>
          <w:rFonts w:ascii="Arial" w:hAnsi="Arial" w:cs="Arial" w:hint="eastAsia"/>
          <w:b/>
          <w:bCs/>
          <w:sz w:val="32"/>
        </w:rPr>
        <w:t>、咨询</w:t>
      </w:r>
    </w:p>
    <w:p w:rsidR="004935A9" w:rsidRDefault="00311723">
      <w:pPr>
        <w:spacing w:line="240" w:lineRule="auto"/>
        <w:ind w:firstLineChars="400" w:firstLine="1285"/>
        <w:rPr>
          <w:rFonts w:ascii="Arial" w:hAnsi="Arial" w:cs="Arial"/>
          <w:b/>
          <w:bCs/>
          <w:sz w:val="32"/>
        </w:rPr>
      </w:pPr>
      <w:proofErr w:type="gramStart"/>
      <w:r>
        <w:rPr>
          <w:rFonts w:ascii="Arial" w:hAnsi="Arial" w:cs="Arial"/>
          <w:b/>
          <w:bCs/>
          <w:sz w:val="32"/>
        </w:rPr>
        <w:t>北京康正宏</w:t>
      </w:r>
      <w:proofErr w:type="gramEnd"/>
      <w:r>
        <w:rPr>
          <w:rFonts w:ascii="Arial" w:hAnsi="Arial" w:cs="Arial"/>
          <w:b/>
          <w:bCs/>
          <w:sz w:val="32"/>
        </w:rPr>
        <w:t>基房地产评估有限公司</w:t>
      </w:r>
    </w:p>
    <w:p w:rsidR="004935A9" w:rsidRDefault="00311723">
      <w:pPr>
        <w:spacing w:line="240" w:lineRule="auto"/>
        <w:rPr>
          <w:rFonts w:ascii="Arial" w:hAnsi="Arial" w:cs="Arial"/>
          <w:b/>
          <w:bCs/>
          <w:spacing w:val="-20"/>
          <w:sz w:val="32"/>
        </w:rPr>
      </w:pPr>
      <w:r>
        <w:rPr>
          <w:rFonts w:ascii="Arial" w:hAnsi="Arial" w:cs="Arial"/>
          <w:b/>
          <w:bCs/>
          <w:sz w:val="32"/>
        </w:rPr>
        <w:t xml:space="preserve">        </w:t>
      </w:r>
      <w:r>
        <w:rPr>
          <w:rFonts w:ascii="Arial" w:hAnsi="Arial" w:cs="Arial"/>
          <w:b/>
          <w:bCs/>
          <w:sz w:val="32"/>
        </w:rPr>
        <w:t>二Ｏ二</w:t>
      </w:r>
      <w:r>
        <w:rPr>
          <w:rFonts w:ascii="Arial" w:hAnsi="Arial" w:cs="Arial" w:hint="eastAsia"/>
          <w:b/>
          <w:bCs/>
          <w:sz w:val="32"/>
        </w:rPr>
        <w:t>五</w:t>
      </w:r>
      <w:r>
        <w:rPr>
          <w:rFonts w:ascii="Arial" w:hAnsi="Arial" w:cs="Arial"/>
          <w:b/>
          <w:bCs/>
          <w:sz w:val="32"/>
        </w:rPr>
        <w:t>年</w:t>
      </w:r>
    </w:p>
    <w:p w:rsidR="004935A9" w:rsidRDefault="004935A9">
      <w:pPr>
        <w:spacing w:line="360" w:lineRule="auto"/>
        <w:rPr>
          <w:rFonts w:ascii="Arial" w:hAnsi="Arial" w:cs="Arial"/>
          <w:bCs/>
          <w:sz w:val="32"/>
        </w:rPr>
      </w:pPr>
    </w:p>
    <w:p w:rsidR="004935A9" w:rsidRDefault="004935A9">
      <w:pPr>
        <w:spacing w:line="360" w:lineRule="auto"/>
        <w:rPr>
          <w:rFonts w:ascii="Arial" w:hAnsi="Arial" w:cs="Arial"/>
          <w:bCs/>
          <w:sz w:val="32"/>
        </w:rPr>
        <w:sectPr w:rsidR="004935A9">
          <w:headerReference w:type="first" r:id="rId50"/>
          <w:footerReference w:type="first" r:id="rId51"/>
          <w:pgSz w:w="11907" w:h="16840"/>
          <w:pgMar w:top="1843" w:right="1304" w:bottom="1134" w:left="1304" w:header="851" w:footer="1134" w:gutter="0"/>
          <w:pgNumType w:start="0"/>
          <w:cols w:space="720"/>
          <w:titlePg/>
          <w:docGrid w:linePitch="326"/>
        </w:sectPr>
      </w:pPr>
    </w:p>
    <w:p w:rsidR="004935A9" w:rsidRDefault="00311723">
      <w:pPr>
        <w:pStyle w:val="10"/>
        <w:rPr>
          <w:rFonts w:ascii="Arial" w:cs="Arial"/>
          <w:szCs w:val="24"/>
          <w:u w:val="single"/>
        </w:rPr>
      </w:pPr>
      <w:r>
        <w:rPr>
          <w:rFonts w:ascii="Arial" w:cs="Arial"/>
          <w:b/>
          <w:sz w:val="32"/>
          <w:szCs w:val="32"/>
        </w:rPr>
        <w:lastRenderedPageBreak/>
        <w:t>目录</w:t>
      </w:r>
      <w:r>
        <w:rPr>
          <w:rStyle w:val="af2"/>
          <w:rFonts w:ascii="Arial" w:cs="Arial"/>
          <w:color w:val="auto"/>
          <w:szCs w:val="24"/>
        </w:rPr>
        <w:fldChar w:fldCharType="begin"/>
      </w:r>
      <w:r>
        <w:rPr>
          <w:rStyle w:val="af2"/>
          <w:rFonts w:ascii="Arial" w:cs="Arial"/>
          <w:color w:val="auto"/>
          <w:szCs w:val="24"/>
        </w:rPr>
        <w:instrText xml:space="preserve"> TOC \o "1-2" \h \z \u </w:instrText>
      </w:r>
      <w:r>
        <w:rPr>
          <w:rStyle w:val="af2"/>
          <w:rFonts w:ascii="Arial" w:cs="Arial"/>
          <w:color w:val="auto"/>
          <w:szCs w:val="24"/>
        </w:rPr>
        <w:fldChar w:fldCharType="separate"/>
      </w:r>
    </w:p>
    <w:p w:rsidR="004935A9" w:rsidRDefault="004935A9">
      <w:pPr>
        <w:pStyle w:val="10"/>
        <w:tabs>
          <w:tab w:val="clear" w:pos="840"/>
          <w:tab w:val="clear" w:pos="8654"/>
          <w:tab w:val="right" w:leader="dot" w:pos="9299"/>
        </w:tabs>
      </w:pPr>
    </w:p>
    <w:p w:rsidR="004935A9" w:rsidRDefault="00311723">
      <w:pPr>
        <w:pStyle w:val="10"/>
        <w:tabs>
          <w:tab w:val="clear" w:pos="840"/>
          <w:tab w:val="clear" w:pos="8654"/>
          <w:tab w:val="right" w:leader="dot" w:pos="9299"/>
        </w:tabs>
      </w:pPr>
      <w:hyperlink w:anchor="_Toc3914" w:history="1">
        <w:r>
          <w:rPr>
            <w:rFonts w:ascii="Arial" w:cs="Arial"/>
          </w:rPr>
          <w:t>第一部分</w:t>
        </w:r>
        <w:r>
          <w:rPr>
            <w:rFonts w:ascii="Arial" w:cs="Arial"/>
          </w:rPr>
          <w:t xml:space="preserve">  </w:t>
        </w:r>
        <w:r>
          <w:rPr>
            <w:rFonts w:ascii="Arial" w:cs="Arial"/>
          </w:rPr>
          <w:t>总</w:t>
        </w:r>
        <w:r>
          <w:rPr>
            <w:rFonts w:ascii="Arial" w:cs="Arial"/>
          </w:rPr>
          <w:t xml:space="preserve">  </w:t>
        </w:r>
        <w:r>
          <w:rPr>
            <w:rFonts w:ascii="Arial" w:cs="Arial"/>
          </w:rPr>
          <w:t>述</w:t>
        </w:r>
        <w:r>
          <w:tab/>
        </w:r>
        <w:r>
          <w:fldChar w:fldCharType="begin"/>
        </w:r>
        <w:r>
          <w:instrText xml:space="preserve"> PAGEREF _Toc3914 \h </w:instrText>
        </w:r>
        <w:r>
          <w:fldChar w:fldCharType="separate"/>
        </w:r>
        <w:r>
          <w:t>1</w:t>
        </w:r>
        <w:r>
          <w:fldChar w:fldCharType="end"/>
        </w:r>
      </w:hyperlink>
    </w:p>
    <w:p w:rsidR="004935A9" w:rsidRDefault="00311723">
      <w:pPr>
        <w:pStyle w:val="21"/>
        <w:tabs>
          <w:tab w:val="clear" w:pos="8931"/>
          <w:tab w:val="right" w:leader="dot" w:pos="9299"/>
        </w:tabs>
      </w:pPr>
      <w:hyperlink w:anchor="_Toc8689" w:history="1">
        <w:r>
          <w:rPr>
            <w:rFonts w:ascii="Arial" w:hAnsi="Arial" w:cs="Arial"/>
          </w:rPr>
          <w:t>一、项目名称</w:t>
        </w:r>
        <w:r>
          <w:tab/>
        </w:r>
        <w:r>
          <w:fldChar w:fldCharType="begin"/>
        </w:r>
        <w:r>
          <w:instrText xml:space="preserve"> PAGEREF _Toc8689 \h </w:instrText>
        </w:r>
        <w:r>
          <w:fldChar w:fldCharType="separate"/>
        </w:r>
        <w:r>
          <w:t>1</w:t>
        </w:r>
        <w:r>
          <w:fldChar w:fldCharType="end"/>
        </w:r>
      </w:hyperlink>
    </w:p>
    <w:p w:rsidR="004935A9" w:rsidRDefault="00311723">
      <w:pPr>
        <w:pStyle w:val="21"/>
        <w:tabs>
          <w:tab w:val="clear" w:pos="8931"/>
          <w:tab w:val="right" w:leader="dot" w:pos="9299"/>
        </w:tabs>
      </w:pPr>
      <w:hyperlink w:anchor="_Toc7709" w:history="1">
        <w:r>
          <w:rPr>
            <w:rFonts w:ascii="Arial" w:hAnsi="Arial" w:cs="Arial"/>
          </w:rPr>
          <w:t>二、委托方</w:t>
        </w:r>
        <w:r>
          <w:tab/>
        </w:r>
        <w:r>
          <w:fldChar w:fldCharType="begin"/>
        </w:r>
        <w:r>
          <w:instrText xml:space="preserve"> PAGEREF _Toc7709 \h </w:instrText>
        </w:r>
        <w:r>
          <w:fldChar w:fldCharType="separate"/>
        </w:r>
        <w:r>
          <w:t>1</w:t>
        </w:r>
        <w:r>
          <w:fldChar w:fldCharType="end"/>
        </w:r>
      </w:hyperlink>
    </w:p>
    <w:p w:rsidR="004935A9" w:rsidRDefault="00311723">
      <w:pPr>
        <w:pStyle w:val="21"/>
        <w:tabs>
          <w:tab w:val="clear" w:pos="8931"/>
          <w:tab w:val="right" w:leader="dot" w:pos="9299"/>
        </w:tabs>
      </w:pPr>
      <w:hyperlink w:anchor="_Toc26149" w:history="1">
        <w:r>
          <w:rPr>
            <w:rFonts w:ascii="Arial" w:hAnsi="Arial" w:cs="Arial"/>
          </w:rPr>
          <w:t>三、受托估价方</w:t>
        </w:r>
        <w:r>
          <w:tab/>
        </w:r>
        <w:r>
          <w:fldChar w:fldCharType="begin"/>
        </w:r>
        <w:r>
          <w:instrText xml:space="preserve"> PAGEREF _Toc26149 \h </w:instrText>
        </w:r>
        <w:r>
          <w:fldChar w:fldCharType="separate"/>
        </w:r>
        <w:r>
          <w:t>1</w:t>
        </w:r>
        <w:r>
          <w:fldChar w:fldCharType="end"/>
        </w:r>
      </w:hyperlink>
    </w:p>
    <w:p w:rsidR="004935A9" w:rsidRDefault="00311723">
      <w:pPr>
        <w:pStyle w:val="21"/>
        <w:tabs>
          <w:tab w:val="clear" w:pos="8931"/>
          <w:tab w:val="right" w:leader="dot" w:pos="9299"/>
        </w:tabs>
      </w:pPr>
      <w:hyperlink w:anchor="_Toc3481" w:history="1">
        <w:r>
          <w:rPr>
            <w:rFonts w:ascii="Arial" w:hAnsi="Arial" w:cs="Arial"/>
          </w:rPr>
          <w:t>四、咨询目的</w:t>
        </w:r>
        <w:r>
          <w:tab/>
        </w:r>
        <w:r>
          <w:fldChar w:fldCharType="begin"/>
        </w:r>
        <w:r>
          <w:instrText xml:space="preserve"> PAGEREF _Toc3481 \h </w:instrText>
        </w:r>
        <w:r>
          <w:fldChar w:fldCharType="separate"/>
        </w:r>
        <w:r>
          <w:t>1</w:t>
        </w:r>
        <w:r>
          <w:fldChar w:fldCharType="end"/>
        </w:r>
      </w:hyperlink>
    </w:p>
    <w:p w:rsidR="004935A9" w:rsidRDefault="00311723">
      <w:pPr>
        <w:pStyle w:val="21"/>
        <w:tabs>
          <w:tab w:val="clear" w:pos="8931"/>
          <w:tab w:val="right" w:leader="dot" w:pos="9299"/>
        </w:tabs>
      </w:pPr>
      <w:hyperlink w:anchor="_Toc14597" w:history="1">
        <w:r>
          <w:rPr>
            <w:rFonts w:ascii="Arial" w:hAnsi="Arial" w:cs="Arial"/>
          </w:rPr>
          <w:t>五、估价依据</w:t>
        </w:r>
        <w:r>
          <w:tab/>
        </w:r>
        <w:r>
          <w:fldChar w:fldCharType="begin"/>
        </w:r>
        <w:r>
          <w:instrText xml:space="preserve"> PAGEREF _Toc14597 \h </w:instrText>
        </w:r>
        <w:r>
          <w:fldChar w:fldCharType="separate"/>
        </w:r>
        <w:r>
          <w:t>2</w:t>
        </w:r>
        <w:r>
          <w:fldChar w:fldCharType="end"/>
        </w:r>
      </w:hyperlink>
    </w:p>
    <w:p w:rsidR="004935A9" w:rsidRDefault="00311723">
      <w:pPr>
        <w:pStyle w:val="21"/>
        <w:tabs>
          <w:tab w:val="clear" w:pos="8931"/>
          <w:tab w:val="right" w:leader="dot" w:pos="9299"/>
        </w:tabs>
      </w:pPr>
      <w:hyperlink w:anchor="_Toc12314" w:history="1">
        <w:r>
          <w:rPr>
            <w:rFonts w:ascii="Arial" w:hAnsi="Arial" w:cs="Arial"/>
          </w:rPr>
          <w:t>六、咨询期日</w:t>
        </w:r>
        <w:r>
          <w:tab/>
        </w:r>
        <w:r>
          <w:fldChar w:fldCharType="begin"/>
        </w:r>
        <w:r>
          <w:instrText xml:space="preserve"> PAGEREF _Toc12314 \h </w:instrText>
        </w:r>
        <w:r>
          <w:fldChar w:fldCharType="separate"/>
        </w:r>
        <w:r>
          <w:t>4</w:t>
        </w:r>
        <w:r>
          <w:fldChar w:fldCharType="end"/>
        </w:r>
      </w:hyperlink>
    </w:p>
    <w:p w:rsidR="004935A9" w:rsidRDefault="00311723">
      <w:pPr>
        <w:pStyle w:val="21"/>
        <w:tabs>
          <w:tab w:val="clear" w:pos="8931"/>
          <w:tab w:val="right" w:leader="dot" w:pos="9299"/>
        </w:tabs>
      </w:pPr>
      <w:hyperlink w:anchor="_Toc705" w:history="1">
        <w:r>
          <w:rPr>
            <w:rFonts w:ascii="Arial" w:hAnsi="Arial" w:cs="Arial"/>
            <w:bCs/>
          </w:rPr>
          <w:t>七、咨询日期</w:t>
        </w:r>
        <w:r>
          <w:tab/>
        </w:r>
        <w:r>
          <w:fldChar w:fldCharType="begin"/>
        </w:r>
        <w:r>
          <w:instrText xml:space="preserve"> PAGEREF _Toc705 \h </w:instrText>
        </w:r>
        <w:r>
          <w:fldChar w:fldCharType="separate"/>
        </w:r>
        <w:r>
          <w:t>4</w:t>
        </w:r>
        <w:r>
          <w:fldChar w:fldCharType="end"/>
        </w:r>
      </w:hyperlink>
    </w:p>
    <w:p w:rsidR="004935A9" w:rsidRDefault="00311723">
      <w:pPr>
        <w:pStyle w:val="21"/>
        <w:tabs>
          <w:tab w:val="clear" w:pos="8931"/>
          <w:tab w:val="right" w:leader="dot" w:pos="9299"/>
        </w:tabs>
      </w:pPr>
      <w:hyperlink w:anchor="_Toc14150" w:history="1">
        <w:r>
          <w:rPr>
            <w:rFonts w:ascii="Arial" w:cs="Arial"/>
            <w:bCs/>
          </w:rPr>
          <w:t>八、地价定义</w:t>
        </w:r>
        <w:r>
          <w:tab/>
        </w:r>
        <w:r>
          <w:fldChar w:fldCharType="begin"/>
        </w:r>
        <w:r>
          <w:instrText xml:space="preserve"> PAGEREF _Toc14150 \h </w:instrText>
        </w:r>
        <w:r>
          <w:fldChar w:fldCharType="separate"/>
        </w:r>
        <w:r>
          <w:t>4</w:t>
        </w:r>
        <w:r>
          <w:fldChar w:fldCharType="end"/>
        </w:r>
      </w:hyperlink>
    </w:p>
    <w:p w:rsidR="004935A9" w:rsidRDefault="00311723">
      <w:pPr>
        <w:pStyle w:val="21"/>
        <w:tabs>
          <w:tab w:val="clear" w:pos="8931"/>
          <w:tab w:val="right" w:leader="dot" w:pos="9299"/>
        </w:tabs>
      </w:pPr>
      <w:hyperlink w:anchor="_Toc22458" w:history="1">
        <w:r>
          <w:rPr>
            <w:rFonts w:ascii="Arial" w:hAnsi="Arial" w:cs="Arial"/>
          </w:rPr>
          <w:t>九、咨询结果</w:t>
        </w:r>
        <w:r>
          <w:tab/>
        </w:r>
        <w:r>
          <w:fldChar w:fldCharType="begin"/>
        </w:r>
        <w:r>
          <w:instrText xml:space="preserve"> PAGEREF _Toc22458 \h </w:instrText>
        </w:r>
        <w:r>
          <w:fldChar w:fldCharType="separate"/>
        </w:r>
        <w:r>
          <w:t>6</w:t>
        </w:r>
        <w:r>
          <w:fldChar w:fldCharType="end"/>
        </w:r>
      </w:hyperlink>
    </w:p>
    <w:p w:rsidR="004935A9" w:rsidRDefault="00311723">
      <w:pPr>
        <w:pStyle w:val="21"/>
        <w:tabs>
          <w:tab w:val="clear" w:pos="8931"/>
          <w:tab w:val="right" w:leader="dot" w:pos="9299"/>
        </w:tabs>
      </w:pPr>
      <w:hyperlink w:anchor="_Toc20239" w:history="1">
        <w:r>
          <w:rPr>
            <w:rFonts w:ascii="Arial" w:hAnsi="Arial" w:cs="Arial"/>
          </w:rPr>
          <w:t>十、需要特殊说明的事项</w:t>
        </w:r>
        <w:r>
          <w:tab/>
        </w:r>
        <w:r>
          <w:fldChar w:fldCharType="begin"/>
        </w:r>
        <w:r>
          <w:instrText xml:space="preserve"> PAGEREF _Toc20239 \h </w:instrText>
        </w:r>
        <w:r>
          <w:fldChar w:fldCharType="separate"/>
        </w:r>
        <w:r>
          <w:t>9</w:t>
        </w:r>
        <w:r>
          <w:fldChar w:fldCharType="end"/>
        </w:r>
      </w:hyperlink>
    </w:p>
    <w:p w:rsidR="004935A9" w:rsidRDefault="00311723">
      <w:pPr>
        <w:pStyle w:val="21"/>
        <w:tabs>
          <w:tab w:val="clear" w:pos="8931"/>
          <w:tab w:val="right" w:leader="dot" w:pos="9299"/>
        </w:tabs>
      </w:pPr>
      <w:hyperlink w:anchor="_Toc5980" w:history="1">
        <w:r>
          <w:rPr>
            <w:rFonts w:ascii="Arial" w:hAnsi="Arial" w:cs="Arial"/>
          </w:rPr>
          <w:t>十</w:t>
        </w:r>
        <w:r>
          <w:rPr>
            <w:rFonts w:ascii="Arial" w:hAnsi="Arial" w:cs="Arial" w:hint="eastAsia"/>
          </w:rPr>
          <w:t>一</w:t>
        </w:r>
        <w:r>
          <w:rPr>
            <w:rFonts w:ascii="Arial" w:hAnsi="Arial" w:cs="Arial"/>
          </w:rPr>
          <w:t>、土地估价机构</w:t>
        </w:r>
        <w:r>
          <w:tab/>
        </w:r>
        <w:r>
          <w:fldChar w:fldCharType="begin"/>
        </w:r>
        <w:r>
          <w:instrText xml:space="preserve"> PAGEREF _Toc5980 \h </w:instrText>
        </w:r>
        <w:r>
          <w:fldChar w:fldCharType="separate"/>
        </w:r>
        <w:r>
          <w:t>11</w:t>
        </w:r>
        <w:r>
          <w:fldChar w:fldCharType="end"/>
        </w:r>
      </w:hyperlink>
    </w:p>
    <w:p w:rsidR="004935A9" w:rsidRDefault="00311723">
      <w:pPr>
        <w:pStyle w:val="10"/>
        <w:tabs>
          <w:tab w:val="clear" w:pos="840"/>
          <w:tab w:val="clear" w:pos="8654"/>
          <w:tab w:val="right" w:leader="dot" w:pos="9299"/>
        </w:tabs>
      </w:pPr>
      <w:hyperlink w:anchor="_Toc14013" w:history="1">
        <w:r>
          <w:rPr>
            <w:rFonts w:ascii="Arial" w:cs="Arial"/>
          </w:rPr>
          <w:t>第二部分</w:t>
        </w:r>
        <w:r>
          <w:rPr>
            <w:rFonts w:ascii="Arial" w:cs="Arial"/>
          </w:rPr>
          <w:t xml:space="preserve">  </w:t>
        </w:r>
        <w:r>
          <w:rPr>
            <w:rFonts w:ascii="Arial" w:cs="Arial"/>
          </w:rPr>
          <w:t>咨询对象描述及土地价格影响因素分析</w:t>
        </w:r>
        <w:r>
          <w:tab/>
        </w:r>
        <w:r>
          <w:fldChar w:fldCharType="begin"/>
        </w:r>
        <w:r>
          <w:instrText xml:space="preserve"> PAGEREF _Toc14013 \h </w:instrText>
        </w:r>
        <w:r>
          <w:fldChar w:fldCharType="separate"/>
        </w:r>
        <w:r>
          <w:t>12</w:t>
        </w:r>
        <w:r>
          <w:fldChar w:fldCharType="end"/>
        </w:r>
      </w:hyperlink>
    </w:p>
    <w:p w:rsidR="004935A9" w:rsidRDefault="00311723">
      <w:pPr>
        <w:pStyle w:val="21"/>
        <w:tabs>
          <w:tab w:val="clear" w:pos="8931"/>
          <w:tab w:val="right" w:leader="dot" w:pos="9299"/>
        </w:tabs>
      </w:pPr>
      <w:hyperlink w:anchor="_Toc11379" w:history="1">
        <w:r>
          <w:rPr>
            <w:rFonts w:ascii="Arial" w:hAnsi="Arial" w:cs="Arial"/>
          </w:rPr>
          <w:t>一、咨询对象描述</w:t>
        </w:r>
        <w:r>
          <w:tab/>
        </w:r>
        <w:r>
          <w:fldChar w:fldCharType="begin"/>
        </w:r>
        <w:r>
          <w:instrText xml:space="preserve"> PAGEREF _Toc11379 \h </w:instrText>
        </w:r>
        <w:r>
          <w:fldChar w:fldCharType="separate"/>
        </w:r>
        <w:r>
          <w:t>12</w:t>
        </w:r>
        <w:r>
          <w:fldChar w:fldCharType="end"/>
        </w:r>
      </w:hyperlink>
    </w:p>
    <w:p w:rsidR="004935A9" w:rsidRDefault="00311723">
      <w:pPr>
        <w:pStyle w:val="21"/>
        <w:tabs>
          <w:tab w:val="clear" w:pos="8931"/>
          <w:tab w:val="right" w:leader="dot" w:pos="9299"/>
        </w:tabs>
      </w:pPr>
      <w:hyperlink w:anchor="_Toc22964" w:history="1">
        <w:r>
          <w:rPr>
            <w:rFonts w:ascii="Arial" w:hAnsi="Arial" w:cs="Arial"/>
          </w:rPr>
          <w:t>二、地价影响因素分析</w:t>
        </w:r>
        <w:r>
          <w:tab/>
        </w:r>
        <w:r>
          <w:fldChar w:fldCharType="begin"/>
        </w:r>
        <w:r>
          <w:instrText xml:space="preserve"> PAGEREF _Toc22964 \h </w:instrText>
        </w:r>
        <w:r>
          <w:fldChar w:fldCharType="separate"/>
        </w:r>
        <w:r>
          <w:t>13</w:t>
        </w:r>
        <w:r>
          <w:fldChar w:fldCharType="end"/>
        </w:r>
      </w:hyperlink>
    </w:p>
    <w:p w:rsidR="004935A9" w:rsidRDefault="00311723">
      <w:pPr>
        <w:pStyle w:val="10"/>
        <w:tabs>
          <w:tab w:val="clear" w:pos="840"/>
          <w:tab w:val="clear" w:pos="8654"/>
          <w:tab w:val="right" w:leader="dot" w:pos="9299"/>
        </w:tabs>
      </w:pPr>
      <w:hyperlink w:anchor="_Toc18679" w:history="1">
        <w:r>
          <w:rPr>
            <w:rFonts w:ascii="Arial" w:cs="Arial"/>
          </w:rPr>
          <w:t>第三部分</w:t>
        </w:r>
        <w:r>
          <w:rPr>
            <w:rFonts w:ascii="Arial" w:cs="Arial"/>
          </w:rPr>
          <w:t xml:space="preserve">  </w:t>
        </w:r>
        <w:r>
          <w:rPr>
            <w:rFonts w:ascii="Arial" w:cs="Arial"/>
          </w:rPr>
          <w:t>土地估价</w:t>
        </w:r>
        <w:r>
          <w:tab/>
        </w:r>
        <w:r>
          <w:fldChar w:fldCharType="begin"/>
        </w:r>
        <w:r>
          <w:instrText xml:space="preserve"> PAGEREF _Toc18679 \h </w:instrText>
        </w:r>
        <w:r>
          <w:fldChar w:fldCharType="separate"/>
        </w:r>
        <w:r>
          <w:t>45</w:t>
        </w:r>
        <w:r>
          <w:fldChar w:fldCharType="end"/>
        </w:r>
      </w:hyperlink>
    </w:p>
    <w:p w:rsidR="004935A9" w:rsidRDefault="00311723">
      <w:pPr>
        <w:pStyle w:val="21"/>
        <w:tabs>
          <w:tab w:val="clear" w:pos="8931"/>
          <w:tab w:val="right" w:leader="dot" w:pos="9299"/>
        </w:tabs>
      </w:pPr>
      <w:hyperlink w:anchor="_Toc28551" w:history="1">
        <w:r>
          <w:rPr>
            <w:rFonts w:ascii="Arial" w:hAnsi="Arial" w:cs="Arial"/>
          </w:rPr>
          <w:t>一、估价原则</w:t>
        </w:r>
        <w:r>
          <w:tab/>
        </w:r>
        <w:r>
          <w:fldChar w:fldCharType="begin"/>
        </w:r>
        <w:r>
          <w:instrText xml:space="preserve"> PAGEREF _Toc28551 \h </w:instrText>
        </w:r>
        <w:r>
          <w:fldChar w:fldCharType="separate"/>
        </w:r>
        <w:r>
          <w:t>45</w:t>
        </w:r>
        <w:r>
          <w:fldChar w:fldCharType="end"/>
        </w:r>
      </w:hyperlink>
    </w:p>
    <w:p w:rsidR="004935A9" w:rsidRDefault="00311723">
      <w:pPr>
        <w:pStyle w:val="21"/>
        <w:tabs>
          <w:tab w:val="clear" w:pos="8931"/>
          <w:tab w:val="right" w:leader="dot" w:pos="9299"/>
        </w:tabs>
      </w:pPr>
      <w:hyperlink w:anchor="_Toc21116" w:history="1">
        <w:r>
          <w:rPr>
            <w:rFonts w:ascii="Arial" w:hAnsi="Arial" w:cs="Arial"/>
          </w:rPr>
          <w:t>二、估价方法与估价过程</w:t>
        </w:r>
        <w:r>
          <w:tab/>
        </w:r>
        <w:r>
          <w:fldChar w:fldCharType="begin"/>
        </w:r>
        <w:r>
          <w:instrText xml:space="preserve"> PAGEREF _Toc21116 \h </w:instrText>
        </w:r>
        <w:r>
          <w:fldChar w:fldCharType="separate"/>
        </w:r>
        <w:r>
          <w:t>46</w:t>
        </w:r>
        <w:r>
          <w:fldChar w:fldCharType="end"/>
        </w:r>
      </w:hyperlink>
    </w:p>
    <w:p w:rsidR="004935A9" w:rsidRDefault="00311723">
      <w:pPr>
        <w:pStyle w:val="21"/>
        <w:tabs>
          <w:tab w:val="clear" w:pos="8931"/>
          <w:tab w:val="right" w:leader="dot" w:pos="9299"/>
        </w:tabs>
      </w:pPr>
      <w:hyperlink w:anchor="_Toc19105" w:history="1">
        <w:r>
          <w:rPr>
            <w:rFonts w:ascii="Arial" w:hAnsi="Arial" w:cs="Arial"/>
            <w:bCs/>
          </w:rPr>
          <w:t>三、咨询结果的确定</w:t>
        </w:r>
        <w:r>
          <w:tab/>
        </w:r>
        <w:r>
          <w:fldChar w:fldCharType="begin"/>
        </w:r>
        <w:r>
          <w:instrText xml:space="preserve"> PAGEREF _Toc19105 \h </w:instrText>
        </w:r>
        <w:r>
          <w:fldChar w:fldCharType="separate"/>
        </w:r>
        <w:r>
          <w:t>55</w:t>
        </w:r>
        <w:r>
          <w:fldChar w:fldCharType="end"/>
        </w:r>
      </w:hyperlink>
    </w:p>
    <w:p w:rsidR="004935A9" w:rsidRDefault="00311723">
      <w:pPr>
        <w:pStyle w:val="10"/>
        <w:tabs>
          <w:tab w:val="clear" w:pos="840"/>
          <w:tab w:val="clear" w:pos="8654"/>
          <w:tab w:val="right" w:leader="dot" w:pos="9299"/>
        </w:tabs>
      </w:pPr>
      <w:hyperlink w:anchor="_Toc20569" w:history="1">
        <w:r>
          <w:rPr>
            <w:rFonts w:ascii="Arial" w:cs="Arial"/>
          </w:rPr>
          <w:t>第四部分</w:t>
        </w:r>
        <w:r>
          <w:rPr>
            <w:rFonts w:ascii="Arial" w:cs="Arial"/>
          </w:rPr>
          <w:t xml:space="preserve">  </w:t>
        </w:r>
        <w:r>
          <w:rPr>
            <w:rFonts w:ascii="Arial" w:cs="Arial"/>
          </w:rPr>
          <w:t>附</w:t>
        </w:r>
        <w:r>
          <w:rPr>
            <w:rFonts w:ascii="Arial" w:cs="Arial"/>
          </w:rPr>
          <w:t xml:space="preserve">  </w:t>
        </w:r>
        <w:r>
          <w:rPr>
            <w:rFonts w:ascii="Arial" w:cs="Arial"/>
          </w:rPr>
          <w:t>件</w:t>
        </w:r>
        <w:r>
          <w:tab/>
        </w:r>
        <w:r>
          <w:fldChar w:fldCharType="begin"/>
        </w:r>
        <w:r>
          <w:instrText xml:space="preserve"> PAGEREF _Toc20569 \h </w:instrText>
        </w:r>
        <w:r>
          <w:fldChar w:fldCharType="separate"/>
        </w:r>
        <w:r>
          <w:t>57</w:t>
        </w:r>
        <w:r>
          <w:fldChar w:fldCharType="end"/>
        </w:r>
      </w:hyperlink>
    </w:p>
    <w:p w:rsidR="004935A9" w:rsidRDefault="00311723">
      <w:pPr>
        <w:pStyle w:val="21"/>
        <w:jc w:val="center"/>
        <w:rPr>
          <w:rFonts w:ascii="Arial" w:cs="Arial"/>
          <w:sz w:val="32"/>
        </w:rPr>
        <w:sectPr w:rsidR="004935A9">
          <w:headerReference w:type="first" r:id="rId52"/>
          <w:pgSz w:w="11907" w:h="16840"/>
          <w:pgMar w:top="1843" w:right="1304" w:bottom="1134" w:left="1304" w:header="1134" w:footer="907" w:gutter="0"/>
          <w:pgNumType w:start="0"/>
          <w:cols w:space="720"/>
          <w:titlePg/>
          <w:docGrid w:linePitch="326"/>
        </w:sectPr>
      </w:pPr>
      <w:r>
        <w:rPr>
          <w:rStyle w:val="af2"/>
          <w:rFonts w:ascii="Arial" w:cs="Arial"/>
          <w:color w:val="auto"/>
          <w:szCs w:val="24"/>
        </w:rPr>
        <w:fldChar w:fldCharType="end"/>
      </w:r>
    </w:p>
    <w:p w:rsidR="004935A9" w:rsidRDefault="00311723">
      <w:pPr>
        <w:spacing w:line="360" w:lineRule="auto"/>
        <w:jc w:val="center"/>
        <w:rPr>
          <w:rFonts w:ascii="Arial" w:hAnsi="Arial" w:cs="Arial"/>
          <w:sz w:val="32"/>
        </w:rPr>
      </w:pPr>
      <w:bookmarkStart w:id="177" w:name="_Toc416783542"/>
      <w:bookmarkStart w:id="178" w:name="_Toc416783638"/>
      <w:r>
        <w:rPr>
          <w:rFonts w:ascii="Arial" w:hAnsi="Arial" w:cs="Arial"/>
          <w:b/>
          <w:sz w:val="32"/>
        </w:rPr>
        <w:lastRenderedPageBreak/>
        <w:t>土</w:t>
      </w:r>
      <w:r>
        <w:rPr>
          <w:rFonts w:ascii="Arial" w:hAnsi="Arial" w:cs="Arial"/>
          <w:b/>
          <w:sz w:val="32"/>
        </w:rPr>
        <w:t xml:space="preserve"> </w:t>
      </w:r>
      <w:r>
        <w:rPr>
          <w:rFonts w:ascii="Arial" w:hAnsi="Arial" w:cs="Arial"/>
          <w:b/>
          <w:sz w:val="32"/>
        </w:rPr>
        <w:t>地</w:t>
      </w:r>
      <w:r>
        <w:rPr>
          <w:rFonts w:ascii="Arial" w:hAnsi="Arial" w:cs="Arial"/>
          <w:b/>
          <w:sz w:val="32"/>
        </w:rPr>
        <w:t xml:space="preserve"> </w:t>
      </w:r>
      <w:proofErr w:type="gramStart"/>
      <w:r>
        <w:rPr>
          <w:rFonts w:ascii="Arial" w:hAnsi="Arial" w:cs="Arial" w:hint="eastAsia"/>
          <w:b/>
          <w:sz w:val="32"/>
        </w:rPr>
        <w:t>咨</w:t>
      </w:r>
      <w:proofErr w:type="gramEnd"/>
      <w:r>
        <w:rPr>
          <w:rFonts w:ascii="Arial" w:hAnsi="Arial" w:cs="Arial" w:hint="eastAsia"/>
          <w:b/>
          <w:sz w:val="32"/>
        </w:rPr>
        <w:t xml:space="preserve"> </w:t>
      </w:r>
      <w:proofErr w:type="gramStart"/>
      <w:r>
        <w:rPr>
          <w:rFonts w:ascii="Arial" w:hAnsi="Arial" w:cs="Arial" w:hint="eastAsia"/>
          <w:b/>
          <w:sz w:val="32"/>
        </w:rPr>
        <w:t>询</w:t>
      </w:r>
      <w:proofErr w:type="gramEnd"/>
      <w:r>
        <w:rPr>
          <w:rFonts w:ascii="Arial" w:hAnsi="Arial" w:cs="Arial"/>
          <w:b/>
          <w:sz w:val="32"/>
        </w:rPr>
        <w:t xml:space="preserve"> </w:t>
      </w:r>
      <w:r>
        <w:rPr>
          <w:rFonts w:ascii="Arial" w:hAnsi="Arial" w:cs="Arial"/>
          <w:b/>
          <w:sz w:val="32"/>
        </w:rPr>
        <w:t>技</w:t>
      </w:r>
      <w:r>
        <w:rPr>
          <w:rFonts w:ascii="Arial" w:hAnsi="Arial" w:cs="Arial"/>
          <w:b/>
          <w:sz w:val="32"/>
        </w:rPr>
        <w:t xml:space="preserve"> </w:t>
      </w:r>
      <w:r>
        <w:rPr>
          <w:rFonts w:ascii="Arial" w:hAnsi="Arial" w:cs="Arial"/>
          <w:b/>
          <w:sz w:val="32"/>
        </w:rPr>
        <w:t>术</w:t>
      </w:r>
      <w:r>
        <w:rPr>
          <w:rFonts w:ascii="Arial" w:hAnsi="Arial" w:cs="Arial"/>
          <w:b/>
          <w:sz w:val="32"/>
        </w:rPr>
        <w:t xml:space="preserve"> </w:t>
      </w:r>
      <w:r>
        <w:rPr>
          <w:rFonts w:ascii="Arial" w:hAnsi="Arial" w:cs="Arial"/>
          <w:b/>
          <w:sz w:val="32"/>
        </w:rPr>
        <w:t>报</w:t>
      </w:r>
      <w:r>
        <w:rPr>
          <w:rFonts w:ascii="Arial" w:hAnsi="Arial" w:cs="Arial"/>
          <w:b/>
          <w:sz w:val="32"/>
        </w:rPr>
        <w:t xml:space="preserve"> </w:t>
      </w:r>
      <w:r>
        <w:rPr>
          <w:rFonts w:ascii="Arial" w:hAnsi="Arial" w:cs="Arial"/>
          <w:b/>
          <w:sz w:val="32"/>
        </w:rPr>
        <w:t>告</w:t>
      </w:r>
      <w:bookmarkEnd w:id="177"/>
      <w:bookmarkEnd w:id="178"/>
    </w:p>
    <w:p w:rsidR="004935A9" w:rsidRDefault="004935A9">
      <w:pPr>
        <w:spacing w:line="360" w:lineRule="auto"/>
        <w:jc w:val="center"/>
        <w:rPr>
          <w:rFonts w:ascii="Arial" w:hAnsi="Arial" w:cs="Arial"/>
          <w:sz w:val="32"/>
        </w:rPr>
      </w:pPr>
    </w:p>
    <w:p w:rsidR="004935A9" w:rsidRDefault="00311723">
      <w:pPr>
        <w:spacing w:line="360" w:lineRule="auto"/>
        <w:jc w:val="center"/>
        <w:outlineLvl w:val="0"/>
        <w:rPr>
          <w:rFonts w:ascii="Arial" w:hAnsi="Arial" w:cs="Arial"/>
          <w:sz w:val="32"/>
        </w:rPr>
      </w:pPr>
      <w:bookmarkStart w:id="179" w:name="_Toc6054"/>
      <w:bookmarkStart w:id="180" w:name="_Toc8851"/>
      <w:bookmarkStart w:id="181" w:name="_Toc469066149"/>
      <w:bookmarkStart w:id="182" w:name="_Toc97732751"/>
      <w:bookmarkStart w:id="183" w:name="_Toc416783543"/>
      <w:bookmarkStart w:id="184" w:name="_Toc416783639"/>
      <w:bookmarkStart w:id="185" w:name="_Toc3914"/>
      <w:bookmarkStart w:id="186" w:name="_Toc97732869"/>
      <w:r>
        <w:rPr>
          <w:rFonts w:ascii="Arial" w:hAnsi="Arial" w:cs="Arial"/>
          <w:b/>
          <w:sz w:val="32"/>
        </w:rPr>
        <w:t>第一部分</w:t>
      </w:r>
      <w:r>
        <w:rPr>
          <w:rFonts w:ascii="Arial" w:hAnsi="Arial" w:cs="Arial"/>
          <w:b/>
          <w:sz w:val="32"/>
        </w:rPr>
        <w:t xml:space="preserve">  </w:t>
      </w:r>
      <w:r>
        <w:rPr>
          <w:rFonts w:ascii="Arial" w:hAnsi="Arial" w:cs="Arial"/>
          <w:b/>
          <w:sz w:val="32"/>
        </w:rPr>
        <w:t>总</w:t>
      </w:r>
      <w:r>
        <w:rPr>
          <w:rFonts w:ascii="Arial" w:hAnsi="Arial" w:cs="Arial"/>
          <w:b/>
          <w:sz w:val="32"/>
        </w:rPr>
        <w:t xml:space="preserve">  </w:t>
      </w:r>
      <w:r>
        <w:rPr>
          <w:rFonts w:ascii="Arial" w:hAnsi="Arial" w:cs="Arial"/>
          <w:b/>
          <w:sz w:val="32"/>
        </w:rPr>
        <w:t>述</w:t>
      </w:r>
      <w:bookmarkEnd w:id="179"/>
      <w:bookmarkEnd w:id="180"/>
      <w:bookmarkEnd w:id="181"/>
      <w:bookmarkEnd w:id="182"/>
      <w:bookmarkEnd w:id="183"/>
      <w:bookmarkEnd w:id="184"/>
      <w:bookmarkEnd w:id="185"/>
      <w:bookmarkEnd w:id="186"/>
    </w:p>
    <w:p w:rsidR="004935A9" w:rsidRDefault="004935A9">
      <w:pPr>
        <w:spacing w:line="360" w:lineRule="auto"/>
        <w:jc w:val="center"/>
        <w:rPr>
          <w:rFonts w:ascii="Arial" w:hAnsi="Arial" w:cs="Arial"/>
          <w:sz w:val="28"/>
        </w:rPr>
      </w:pPr>
    </w:p>
    <w:p w:rsidR="004935A9" w:rsidRDefault="00311723">
      <w:pPr>
        <w:spacing w:line="360" w:lineRule="auto"/>
        <w:outlineLvl w:val="1"/>
        <w:rPr>
          <w:rFonts w:ascii="Arial" w:hAnsi="Arial" w:cs="Arial"/>
          <w:b/>
          <w:sz w:val="28"/>
        </w:rPr>
      </w:pPr>
      <w:bookmarkStart w:id="187" w:name="_Toc8689"/>
      <w:bookmarkStart w:id="188" w:name="_Toc23877"/>
      <w:bookmarkStart w:id="189" w:name="_Toc416783544"/>
      <w:bookmarkStart w:id="190" w:name="_Toc97732752"/>
      <w:bookmarkStart w:id="191" w:name="_Toc97732870"/>
      <w:bookmarkStart w:id="192" w:name="_Toc22016"/>
      <w:bookmarkStart w:id="193" w:name="_Toc469066150"/>
      <w:bookmarkStart w:id="194" w:name="_Toc416783640"/>
      <w:r>
        <w:rPr>
          <w:rFonts w:ascii="Arial" w:hAnsi="Arial" w:cs="Arial"/>
          <w:b/>
          <w:sz w:val="28"/>
        </w:rPr>
        <w:t>一、项目名称</w:t>
      </w:r>
      <w:bookmarkEnd w:id="187"/>
      <w:bookmarkEnd w:id="188"/>
      <w:bookmarkEnd w:id="189"/>
      <w:bookmarkEnd w:id="190"/>
      <w:bookmarkEnd w:id="191"/>
      <w:bookmarkEnd w:id="192"/>
      <w:bookmarkEnd w:id="193"/>
      <w:bookmarkEnd w:id="194"/>
    </w:p>
    <w:p w:rsidR="004935A9" w:rsidRDefault="00311723">
      <w:pPr>
        <w:spacing w:line="360" w:lineRule="auto"/>
        <w:ind w:firstLineChars="199" w:firstLine="557"/>
        <w:rPr>
          <w:rFonts w:ascii="Arial" w:hAnsi="Arial" w:cs="Arial"/>
          <w:bCs/>
          <w:sz w:val="28"/>
        </w:rPr>
      </w:pPr>
      <w:r>
        <w:rPr>
          <w:rFonts w:ascii="Arial" w:hAnsi="Arial" w:cs="Arial" w:hint="eastAsia"/>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马池口镇百泉庄村集体土地租赁住房项目集体经营性建设用地使用权地价评估</w:t>
      </w:r>
    </w:p>
    <w:p w:rsidR="004935A9" w:rsidRDefault="004935A9">
      <w:pPr>
        <w:spacing w:line="360" w:lineRule="auto"/>
        <w:ind w:right="-327"/>
        <w:rPr>
          <w:rFonts w:ascii="Arial" w:hAnsi="Arial" w:cs="Arial"/>
          <w:sz w:val="28"/>
        </w:rPr>
      </w:pPr>
    </w:p>
    <w:p w:rsidR="004935A9" w:rsidRDefault="00311723">
      <w:pPr>
        <w:spacing w:line="360" w:lineRule="auto"/>
        <w:outlineLvl w:val="1"/>
        <w:rPr>
          <w:rFonts w:ascii="Arial" w:hAnsi="Arial" w:cs="Arial"/>
          <w:b/>
          <w:sz w:val="28"/>
        </w:rPr>
      </w:pPr>
      <w:bookmarkStart w:id="195" w:name="_Toc7709"/>
      <w:bookmarkStart w:id="196" w:name="_Toc10531"/>
      <w:bookmarkStart w:id="197" w:name="_Toc416783642"/>
      <w:bookmarkStart w:id="198" w:name="_Toc97732753"/>
      <w:bookmarkStart w:id="199" w:name="_Toc469066151"/>
      <w:bookmarkStart w:id="200" w:name="_Toc97732871"/>
      <w:bookmarkStart w:id="201" w:name="_Toc416783546"/>
      <w:bookmarkStart w:id="202" w:name="_Toc31355"/>
      <w:r>
        <w:rPr>
          <w:rFonts w:ascii="Arial" w:hAnsi="Arial" w:cs="Arial"/>
          <w:b/>
          <w:sz w:val="28"/>
        </w:rPr>
        <w:t>二、委托方</w:t>
      </w:r>
      <w:bookmarkEnd w:id="195"/>
      <w:bookmarkEnd w:id="196"/>
      <w:bookmarkEnd w:id="197"/>
      <w:bookmarkEnd w:id="198"/>
      <w:bookmarkEnd w:id="199"/>
      <w:bookmarkEnd w:id="200"/>
      <w:bookmarkEnd w:id="201"/>
      <w:bookmarkEnd w:id="202"/>
    </w:p>
    <w:p w:rsidR="004935A9" w:rsidRDefault="00311723">
      <w:pPr>
        <w:spacing w:line="360" w:lineRule="auto"/>
        <w:ind w:left="1" w:right="-85" w:firstLineChars="200" w:firstLine="560"/>
        <w:jc w:val="both"/>
        <w:rPr>
          <w:rFonts w:ascii="Arial" w:hAnsi="Arial" w:cs="Arial"/>
          <w:bCs/>
          <w:sz w:val="28"/>
        </w:rPr>
      </w:pPr>
      <w:r>
        <w:rPr>
          <w:rFonts w:ascii="Arial" w:hAnsi="Arial" w:cs="Arial" w:hint="eastAsia"/>
          <w:bCs/>
          <w:sz w:val="28"/>
        </w:rPr>
        <w:t>北京保障房中心有限公司</w:t>
      </w:r>
    </w:p>
    <w:p w:rsidR="004935A9" w:rsidRDefault="004935A9">
      <w:pPr>
        <w:spacing w:line="360" w:lineRule="auto"/>
        <w:rPr>
          <w:rFonts w:ascii="Arial" w:hAnsi="Arial" w:cs="Arial"/>
          <w:b/>
          <w:sz w:val="28"/>
        </w:rPr>
      </w:pPr>
    </w:p>
    <w:p w:rsidR="004935A9" w:rsidRDefault="00311723">
      <w:pPr>
        <w:spacing w:line="360" w:lineRule="auto"/>
        <w:outlineLvl w:val="1"/>
        <w:rPr>
          <w:rFonts w:ascii="Arial" w:hAnsi="Arial" w:cs="Arial"/>
          <w:b/>
          <w:sz w:val="28"/>
        </w:rPr>
      </w:pPr>
      <w:bookmarkStart w:id="203" w:name="_Toc416783643"/>
      <w:bookmarkStart w:id="204" w:name="_Toc24392"/>
      <w:bookmarkStart w:id="205" w:name="_Toc97732872"/>
      <w:bookmarkStart w:id="206" w:name="_Toc26149"/>
      <w:bookmarkStart w:id="207" w:name="_Toc97732754"/>
      <w:bookmarkStart w:id="208" w:name="_Toc416783547"/>
      <w:bookmarkStart w:id="209" w:name="_Toc469066152"/>
      <w:bookmarkStart w:id="210" w:name="_Toc24698"/>
      <w:r>
        <w:rPr>
          <w:rFonts w:ascii="Arial" w:hAnsi="Arial" w:cs="Arial"/>
          <w:b/>
          <w:sz w:val="28"/>
        </w:rPr>
        <w:t>三、受托估价方</w:t>
      </w:r>
      <w:bookmarkEnd w:id="203"/>
      <w:bookmarkEnd w:id="204"/>
      <w:bookmarkEnd w:id="205"/>
      <w:bookmarkEnd w:id="206"/>
      <w:bookmarkEnd w:id="207"/>
      <w:bookmarkEnd w:id="208"/>
      <w:bookmarkEnd w:id="209"/>
      <w:bookmarkEnd w:id="210"/>
    </w:p>
    <w:p w:rsidR="004935A9" w:rsidRDefault="00311723">
      <w:pPr>
        <w:spacing w:line="360" w:lineRule="auto"/>
        <w:ind w:firstLine="570"/>
        <w:jc w:val="both"/>
        <w:rPr>
          <w:rFonts w:ascii="Arial" w:hAnsi="Arial" w:cs="Arial"/>
          <w:sz w:val="28"/>
        </w:rPr>
      </w:pPr>
      <w:bookmarkStart w:id="211" w:name="_Toc416783644"/>
      <w:bookmarkStart w:id="212" w:name="_Toc416783548"/>
      <w:r>
        <w:rPr>
          <w:rFonts w:ascii="Arial" w:hAnsi="Arial" w:cs="Arial"/>
          <w:sz w:val="28"/>
        </w:rPr>
        <w:t>受托机构：</w:t>
      </w:r>
      <w:proofErr w:type="gramStart"/>
      <w:r>
        <w:rPr>
          <w:rFonts w:ascii="Arial" w:hAnsi="Arial" w:cs="Arial"/>
          <w:sz w:val="28"/>
        </w:rPr>
        <w:t>北京康正宏</w:t>
      </w:r>
      <w:proofErr w:type="gramEnd"/>
      <w:r>
        <w:rPr>
          <w:rFonts w:ascii="Arial" w:hAnsi="Arial" w:cs="Arial"/>
          <w:sz w:val="28"/>
        </w:rPr>
        <w:t>基房地产评估有限公司</w:t>
      </w:r>
      <w:bookmarkEnd w:id="211"/>
      <w:bookmarkEnd w:id="212"/>
    </w:p>
    <w:p w:rsidR="004935A9" w:rsidRDefault="00311723">
      <w:pPr>
        <w:spacing w:line="360" w:lineRule="auto"/>
        <w:ind w:left="1960" w:hangingChars="700" w:hanging="1960"/>
        <w:rPr>
          <w:rFonts w:ascii="Arial" w:hAnsi="Arial" w:cs="Arial"/>
          <w:sz w:val="28"/>
        </w:rPr>
      </w:pPr>
      <w:r>
        <w:rPr>
          <w:rFonts w:ascii="Arial" w:hAnsi="Arial" w:cs="Arial"/>
          <w:sz w:val="28"/>
        </w:rPr>
        <w:t xml:space="preserve">    </w:t>
      </w:r>
      <w:r>
        <w:rPr>
          <w:rFonts w:ascii="Arial" w:hAnsi="Arial" w:cs="Arial"/>
          <w:sz w:val="28"/>
        </w:rPr>
        <w:t>地</w:t>
      </w:r>
      <w:r>
        <w:rPr>
          <w:rFonts w:ascii="Arial" w:hAnsi="Arial" w:cs="Arial"/>
          <w:sz w:val="28"/>
        </w:rPr>
        <w:t xml:space="preserve">    </w:t>
      </w:r>
      <w:r>
        <w:rPr>
          <w:rFonts w:ascii="Arial" w:hAnsi="Arial" w:cs="Arial"/>
          <w:sz w:val="28"/>
        </w:rPr>
        <w:t>址：北京市朝阳区裕民路</w:t>
      </w:r>
      <w:r>
        <w:rPr>
          <w:rFonts w:ascii="Arial" w:hAnsi="Arial" w:cs="Arial"/>
          <w:sz w:val="28"/>
        </w:rPr>
        <w:t>12</w:t>
      </w:r>
      <w:r>
        <w:rPr>
          <w:rFonts w:ascii="Arial" w:hAnsi="Arial" w:cs="Arial"/>
          <w:sz w:val="28"/>
        </w:rPr>
        <w:t>号中国国际科技会展中心</w:t>
      </w:r>
      <w:r>
        <w:rPr>
          <w:rFonts w:ascii="Arial" w:hAnsi="Arial" w:cs="Arial"/>
          <w:sz w:val="28"/>
        </w:rPr>
        <w:t xml:space="preserve">B </w:t>
      </w:r>
      <w:r>
        <w:rPr>
          <w:rFonts w:ascii="Arial" w:hAnsi="Arial" w:cs="Arial"/>
          <w:sz w:val="28"/>
        </w:rPr>
        <w:t>座</w:t>
      </w:r>
      <w:r>
        <w:rPr>
          <w:rFonts w:ascii="Arial" w:hAnsi="Arial" w:cs="Arial"/>
          <w:sz w:val="28"/>
        </w:rPr>
        <w:t>10</w:t>
      </w:r>
      <w:r>
        <w:rPr>
          <w:rFonts w:ascii="Arial" w:hAnsi="Arial" w:cs="Arial"/>
          <w:sz w:val="28"/>
        </w:rPr>
        <w:t>层</w:t>
      </w:r>
      <w:r>
        <w:rPr>
          <w:rFonts w:ascii="Arial" w:hAnsi="Arial" w:cs="Arial"/>
          <w:sz w:val="28"/>
        </w:rPr>
        <w:t>1003</w:t>
      </w:r>
      <w:r>
        <w:rPr>
          <w:rFonts w:ascii="Arial" w:hAnsi="Arial" w:cs="Arial"/>
          <w:sz w:val="28"/>
        </w:rPr>
        <w:t>室</w:t>
      </w:r>
    </w:p>
    <w:p w:rsidR="004935A9" w:rsidRDefault="00311723">
      <w:pPr>
        <w:spacing w:line="360" w:lineRule="auto"/>
        <w:rPr>
          <w:rFonts w:ascii="Arial" w:hAnsi="Arial" w:cs="Arial"/>
          <w:sz w:val="28"/>
        </w:rPr>
      </w:pPr>
      <w:r>
        <w:rPr>
          <w:rFonts w:ascii="Arial" w:hAnsi="Arial" w:cs="Arial"/>
          <w:sz w:val="28"/>
        </w:rPr>
        <w:t xml:space="preserve">    </w:t>
      </w:r>
      <w:r>
        <w:rPr>
          <w:rFonts w:ascii="Arial" w:hAnsi="Arial" w:cs="Arial"/>
          <w:sz w:val="28"/>
        </w:rPr>
        <w:t>资信等级：</w:t>
      </w:r>
      <w:r>
        <w:rPr>
          <w:rFonts w:ascii="Arial" w:hAnsi="Arial" w:cs="Arial"/>
          <w:sz w:val="28"/>
        </w:rPr>
        <w:t>A</w:t>
      </w:r>
      <w:r>
        <w:rPr>
          <w:rFonts w:ascii="Arial" w:hAnsi="Arial" w:cs="Arial"/>
          <w:sz w:val="28"/>
        </w:rPr>
        <w:t>级</w:t>
      </w:r>
    </w:p>
    <w:p w:rsidR="004935A9" w:rsidRDefault="00311723">
      <w:pPr>
        <w:spacing w:line="360" w:lineRule="auto"/>
        <w:rPr>
          <w:rFonts w:ascii="Arial" w:hAnsi="Arial" w:cs="Arial"/>
          <w:sz w:val="28"/>
        </w:rPr>
      </w:pPr>
      <w:r>
        <w:rPr>
          <w:rFonts w:ascii="Arial" w:hAnsi="Arial" w:cs="Arial"/>
          <w:sz w:val="28"/>
        </w:rPr>
        <w:t xml:space="preserve">    </w:t>
      </w:r>
      <w:r>
        <w:rPr>
          <w:rFonts w:ascii="Arial" w:hAnsi="Arial" w:cs="Arial"/>
          <w:sz w:val="28"/>
        </w:rPr>
        <w:t>备案编号：</w:t>
      </w:r>
      <w:r>
        <w:rPr>
          <w:rFonts w:ascii="Arial" w:hAnsi="Arial" w:cs="Arial"/>
          <w:sz w:val="28"/>
        </w:rPr>
        <w:t>2020110057</w:t>
      </w:r>
    </w:p>
    <w:p w:rsidR="004935A9" w:rsidRDefault="00311723">
      <w:pPr>
        <w:spacing w:line="360" w:lineRule="auto"/>
        <w:rPr>
          <w:rFonts w:ascii="Arial" w:hAnsi="Arial" w:cs="Arial"/>
          <w:sz w:val="28"/>
        </w:rPr>
      </w:pPr>
      <w:r>
        <w:rPr>
          <w:rFonts w:ascii="Arial" w:hAnsi="Arial" w:cs="Arial"/>
          <w:sz w:val="28"/>
        </w:rPr>
        <w:t xml:space="preserve">    </w:t>
      </w:r>
      <w:r>
        <w:rPr>
          <w:rFonts w:ascii="Arial" w:hAnsi="Arial" w:cs="Arial"/>
          <w:sz w:val="28"/>
        </w:rPr>
        <w:t>法人代表：齐</w:t>
      </w:r>
      <w:r>
        <w:rPr>
          <w:rFonts w:ascii="Arial" w:hAnsi="Arial" w:cs="Arial"/>
          <w:sz w:val="28"/>
        </w:rPr>
        <w:t xml:space="preserve">  </w:t>
      </w:r>
      <w:r>
        <w:rPr>
          <w:rFonts w:ascii="Arial" w:hAnsi="Arial" w:cs="Arial"/>
          <w:sz w:val="28"/>
        </w:rPr>
        <w:t>宏</w:t>
      </w:r>
    </w:p>
    <w:p w:rsidR="004935A9" w:rsidRDefault="00311723">
      <w:pPr>
        <w:spacing w:line="360" w:lineRule="auto"/>
        <w:rPr>
          <w:rFonts w:ascii="Arial" w:hAnsi="Arial" w:cs="Arial"/>
          <w:sz w:val="28"/>
        </w:rPr>
      </w:pPr>
      <w:r>
        <w:rPr>
          <w:rFonts w:ascii="Arial" w:hAnsi="Arial" w:cs="Arial"/>
          <w:sz w:val="28"/>
        </w:rPr>
        <w:t xml:space="preserve">    </w:t>
      </w:r>
      <w:r>
        <w:rPr>
          <w:rFonts w:ascii="Arial" w:hAnsi="Arial" w:cs="Arial"/>
          <w:spacing w:val="38"/>
          <w:sz w:val="28"/>
        </w:rPr>
        <w:t>联系人：</w:t>
      </w:r>
      <w:r>
        <w:rPr>
          <w:rFonts w:ascii="Arial" w:hAnsi="Arial" w:cs="Arial"/>
          <w:sz w:val="28"/>
        </w:rPr>
        <w:t>常</w:t>
      </w:r>
      <w:r>
        <w:rPr>
          <w:rFonts w:ascii="Arial" w:hAnsi="Arial" w:cs="Arial" w:hint="eastAsia"/>
          <w:sz w:val="28"/>
        </w:rPr>
        <w:t xml:space="preserve">  </w:t>
      </w:r>
      <w:proofErr w:type="gramStart"/>
      <w:r>
        <w:rPr>
          <w:rFonts w:ascii="Arial" w:hAnsi="Arial" w:cs="Arial"/>
          <w:sz w:val="28"/>
        </w:rPr>
        <w:t>畅</w:t>
      </w:r>
      <w:proofErr w:type="gramEnd"/>
    </w:p>
    <w:p w:rsidR="004935A9" w:rsidRDefault="00311723">
      <w:pPr>
        <w:spacing w:line="360" w:lineRule="auto"/>
        <w:ind w:firstLine="600"/>
        <w:jc w:val="both"/>
        <w:rPr>
          <w:rFonts w:ascii="Arial" w:hAnsi="Arial" w:cs="Arial"/>
          <w:sz w:val="28"/>
        </w:rPr>
      </w:pPr>
      <w:r>
        <w:rPr>
          <w:rFonts w:ascii="Arial" w:hAnsi="Arial" w:cs="Arial"/>
          <w:sz w:val="28"/>
        </w:rPr>
        <w:t>联系电话：</w:t>
      </w:r>
      <w:r>
        <w:rPr>
          <w:rFonts w:ascii="Arial" w:hAnsi="Arial" w:cs="Arial"/>
          <w:sz w:val="28"/>
        </w:rPr>
        <w:t>010-82253558-237</w:t>
      </w:r>
    </w:p>
    <w:p w:rsidR="004935A9" w:rsidRDefault="004935A9">
      <w:pPr>
        <w:spacing w:line="360" w:lineRule="auto"/>
        <w:ind w:firstLine="600"/>
        <w:jc w:val="both"/>
        <w:rPr>
          <w:rFonts w:ascii="Arial" w:hAnsi="Arial" w:cs="Arial"/>
          <w:sz w:val="28"/>
        </w:rPr>
      </w:pPr>
    </w:p>
    <w:p w:rsidR="004935A9" w:rsidRDefault="00311723">
      <w:pPr>
        <w:spacing w:line="360" w:lineRule="auto"/>
        <w:outlineLvl w:val="1"/>
        <w:rPr>
          <w:rFonts w:ascii="Arial" w:hAnsi="Arial" w:cs="Arial"/>
          <w:b/>
          <w:sz w:val="28"/>
        </w:rPr>
      </w:pPr>
      <w:bookmarkStart w:id="213" w:name="_Toc17694"/>
      <w:bookmarkStart w:id="214" w:name="_Toc24527"/>
      <w:bookmarkStart w:id="215" w:name="_Toc3481"/>
      <w:bookmarkStart w:id="216" w:name="_Toc97732873"/>
      <w:bookmarkStart w:id="217" w:name="_Toc416783549"/>
      <w:bookmarkStart w:id="218" w:name="_Toc469066153"/>
      <w:bookmarkStart w:id="219" w:name="_Toc416783645"/>
      <w:bookmarkStart w:id="220" w:name="_Toc97732755"/>
      <w:r>
        <w:rPr>
          <w:rFonts w:ascii="Arial" w:hAnsi="Arial" w:cs="Arial"/>
          <w:b/>
          <w:sz w:val="28"/>
        </w:rPr>
        <w:t>四、咨询目的</w:t>
      </w:r>
      <w:bookmarkEnd w:id="213"/>
      <w:bookmarkEnd w:id="214"/>
      <w:bookmarkEnd w:id="215"/>
      <w:bookmarkEnd w:id="216"/>
      <w:bookmarkEnd w:id="217"/>
      <w:bookmarkEnd w:id="218"/>
      <w:bookmarkEnd w:id="219"/>
      <w:bookmarkEnd w:id="220"/>
    </w:p>
    <w:p w:rsidR="004935A9" w:rsidRDefault="00311723">
      <w:pPr>
        <w:spacing w:line="360" w:lineRule="auto"/>
        <w:ind w:firstLineChars="199" w:firstLine="557"/>
        <w:rPr>
          <w:rFonts w:ascii="Arial" w:hAnsi="Arial" w:cs="Arial"/>
          <w:sz w:val="28"/>
        </w:rPr>
      </w:pPr>
      <w:r>
        <w:rPr>
          <w:rFonts w:ascii="Arial" w:hAnsi="Arial" w:cs="Arial" w:hint="eastAsia"/>
          <w:sz w:val="28"/>
        </w:rPr>
        <w:t>百泉庄</w:t>
      </w:r>
      <w:r>
        <w:rPr>
          <w:rFonts w:ascii="Arial" w:hAnsi="Arial" w:cs="Arial"/>
          <w:sz w:val="28"/>
        </w:rPr>
        <w:t>村经济</w:t>
      </w:r>
      <w:r>
        <w:rPr>
          <w:rFonts w:ascii="Arial" w:hAnsi="Arial" w:cs="Arial" w:hint="eastAsia"/>
          <w:sz w:val="28"/>
        </w:rPr>
        <w:t>组织</w:t>
      </w:r>
      <w:r>
        <w:rPr>
          <w:rFonts w:ascii="Arial" w:hAnsi="Arial" w:cs="Arial"/>
          <w:sz w:val="28"/>
        </w:rPr>
        <w:t>拟使用咨询对象集体土地作价入股，本次评估是为委托方了解咨询对象作价入股价格提供参考依据。</w:t>
      </w:r>
    </w:p>
    <w:p w:rsidR="004935A9" w:rsidRDefault="004935A9">
      <w:pPr>
        <w:spacing w:line="360" w:lineRule="auto"/>
        <w:jc w:val="both"/>
        <w:rPr>
          <w:rFonts w:ascii="Arial" w:hAnsi="Arial" w:cs="Arial"/>
          <w:sz w:val="28"/>
        </w:rPr>
      </w:pPr>
    </w:p>
    <w:p w:rsidR="004935A9" w:rsidRDefault="00311723">
      <w:pPr>
        <w:spacing w:line="360" w:lineRule="auto"/>
        <w:outlineLvl w:val="1"/>
        <w:rPr>
          <w:rFonts w:ascii="Arial" w:hAnsi="Arial" w:cs="Arial"/>
          <w:b/>
          <w:sz w:val="28"/>
        </w:rPr>
      </w:pPr>
      <w:bookmarkStart w:id="221" w:name="_Toc97732756"/>
      <w:bookmarkStart w:id="222" w:name="_Toc97732874"/>
      <w:bookmarkStart w:id="223" w:name="_Toc469066154"/>
      <w:bookmarkStart w:id="224" w:name="_Toc24702"/>
      <w:bookmarkStart w:id="225" w:name="_Toc14597"/>
      <w:bookmarkStart w:id="226" w:name="_Toc416783553"/>
      <w:bookmarkStart w:id="227" w:name="_Toc25802"/>
      <w:bookmarkStart w:id="228" w:name="_Toc416783649"/>
      <w:r>
        <w:rPr>
          <w:rFonts w:ascii="Arial" w:hAnsi="Arial" w:cs="Arial"/>
          <w:b/>
          <w:sz w:val="28"/>
        </w:rPr>
        <w:lastRenderedPageBreak/>
        <w:t>五、估价依据</w:t>
      </w:r>
      <w:bookmarkEnd w:id="221"/>
      <w:bookmarkEnd w:id="222"/>
      <w:bookmarkEnd w:id="223"/>
      <w:bookmarkEnd w:id="224"/>
      <w:bookmarkEnd w:id="225"/>
      <w:bookmarkEnd w:id="226"/>
      <w:bookmarkEnd w:id="227"/>
      <w:bookmarkEnd w:id="228"/>
    </w:p>
    <w:p w:rsidR="004935A9" w:rsidRDefault="00311723">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《中华人民共和国土地管理法》（</w:t>
      </w:r>
      <w:r>
        <w:rPr>
          <w:rFonts w:ascii="Arial" w:hAnsi="Arial" w:cs="Arial"/>
          <w:sz w:val="28"/>
        </w:rPr>
        <w:t>1986</w:t>
      </w:r>
      <w:r>
        <w:rPr>
          <w:rFonts w:ascii="Arial" w:hAnsi="Arial" w:cs="Arial"/>
          <w:sz w:val="28"/>
        </w:rPr>
        <w:t>年</w:t>
      </w:r>
      <w:r>
        <w:rPr>
          <w:rFonts w:ascii="Arial" w:hAnsi="Arial" w:cs="Arial"/>
          <w:sz w:val="28"/>
        </w:rPr>
        <w:t>6</w:t>
      </w:r>
      <w:r>
        <w:rPr>
          <w:rFonts w:ascii="Arial" w:hAnsi="Arial" w:cs="Arial"/>
          <w:sz w:val="28"/>
        </w:rPr>
        <w:t>月</w:t>
      </w:r>
      <w:r>
        <w:rPr>
          <w:rFonts w:ascii="Arial" w:hAnsi="Arial" w:cs="Arial"/>
          <w:sz w:val="28"/>
        </w:rPr>
        <w:t>25</w:t>
      </w:r>
      <w:r>
        <w:rPr>
          <w:rFonts w:ascii="Arial" w:hAnsi="Arial" w:cs="Arial"/>
          <w:sz w:val="28"/>
        </w:rPr>
        <w:t>日第六届全国人民代表大会常务委员会第十六次会议通过，中华人民共和国主席令第</w:t>
      </w:r>
      <w:r>
        <w:rPr>
          <w:rFonts w:ascii="Arial" w:hAnsi="Arial" w:cs="Arial"/>
          <w:sz w:val="28"/>
        </w:rPr>
        <w:t>41</w:t>
      </w:r>
      <w:r>
        <w:rPr>
          <w:rFonts w:ascii="Arial" w:hAnsi="Arial" w:cs="Arial"/>
          <w:sz w:val="28"/>
        </w:rPr>
        <w:t>号公布，</w:t>
      </w:r>
      <w:r>
        <w:rPr>
          <w:rFonts w:ascii="Arial" w:hAnsi="Arial" w:cs="Arial"/>
          <w:sz w:val="28"/>
        </w:rPr>
        <w:t>1987</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日第七届全国人民代表大会常务委员会第五次会议第一次修正通过，自</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日起施行；</w:t>
      </w:r>
      <w:r>
        <w:rPr>
          <w:rFonts w:ascii="Arial" w:hAnsi="Arial" w:cs="Arial"/>
          <w:sz w:val="28"/>
        </w:rPr>
        <w:t>1998</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29</w:t>
      </w:r>
      <w:r>
        <w:rPr>
          <w:rFonts w:ascii="Arial" w:hAnsi="Arial" w:cs="Arial"/>
          <w:sz w:val="28"/>
        </w:rPr>
        <w:t>日第九届全国人民代表大会常务委员会第四次会议修订通过，中华人民共和国主席令第</w:t>
      </w:r>
      <w:r>
        <w:rPr>
          <w:rFonts w:ascii="Arial" w:hAnsi="Arial" w:cs="Arial"/>
          <w:sz w:val="28"/>
        </w:rPr>
        <w:t>8</w:t>
      </w:r>
      <w:r>
        <w:rPr>
          <w:rFonts w:ascii="Arial" w:hAnsi="Arial" w:cs="Arial"/>
          <w:sz w:val="28"/>
        </w:rPr>
        <w:t>号公布，自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2004</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28</w:t>
      </w:r>
      <w:r>
        <w:rPr>
          <w:rFonts w:ascii="Arial" w:hAnsi="Arial" w:cs="Arial"/>
          <w:sz w:val="28"/>
        </w:rPr>
        <w:t>日第十届全国人民代表大会常务委员会第十一次会议第二次修正通过，中华人民共和国主席令第</w:t>
      </w:r>
      <w:r>
        <w:rPr>
          <w:rFonts w:ascii="Arial" w:hAnsi="Arial" w:cs="Arial"/>
          <w:sz w:val="28"/>
        </w:rPr>
        <w:t>28</w:t>
      </w:r>
      <w:r>
        <w:rPr>
          <w:rFonts w:ascii="Arial" w:hAnsi="Arial" w:cs="Arial"/>
          <w:sz w:val="28"/>
        </w:rPr>
        <w:t>号公布，自公布起日起施行；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日第十三届全国人民代表大会常务委员会第十二次会议第三次修正通过，自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《中华人民共和国城市房地产管理法》（</w:t>
      </w:r>
      <w:r>
        <w:rPr>
          <w:rFonts w:ascii="Arial" w:hAnsi="Arial" w:cs="Arial"/>
          <w:sz w:val="28"/>
        </w:rPr>
        <w:t>1994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5</w:t>
      </w:r>
      <w:r>
        <w:rPr>
          <w:rFonts w:ascii="Arial" w:hAnsi="Arial" w:cs="Arial"/>
          <w:sz w:val="28"/>
        </w:rPr>
        <w:t>日第八届全国人民代表大会常务委员会第八次会议通过，中华人民共和国主席令第</w:t>
      </w:r>
      <w:r>
        <w:rPr>
          <w:rFonts w:ascii="Arial" w:hAnsi="Arial" w:cs="Arial"/>
          <w:sz w:val="28"/>
        </w:rPr>
        <w:t>29</w:t>
      </w:r>
      <w:r>
        <w:rPr>
          <w:rFonts w:ascii="Arial" w:hAnsi="Arial" w:cs="Arial"/>
          <w:sz w:val="28"/>
        </w:rPr>
        <w:t>号公布，自</w:t>
      </w:r>
      <w:r>
        <w:rPr>
          <w:rFonts w:ascii="Arial" w:hAnsi="Arial" w:cs="Arial"/>
          <w:sz w:val="28"/>
        </w:rPr>
        <w:t>1995</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2007</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30</w:t>
      </w:r>
      <w:r>
        <w:rPr>
          <w:rFonts w:ascii="Arial" w:hAnsi="Arial" w:cs="Arial"/>
          <w:sz w:val="28"/>
        </w:rPr>
        <w:t>日第十届全国人民代表大会常务委员会第二十九次会议通过第一次修正通过，中华人民共和国主席令第</w:t>
      </w:r>
      <w:r>
        <w:rPr>
          <w:rFonts w:ascii="Arial" w:hAnsi="Arial" w:cs="Arial"/>
          <w:sz w:val="28"/>
        </w:rPr>
        <w:t>72</w:t>
      </w:r>
      <w:r>
        <w:rPr>
          <w:rFonts w:ascii="Arial" w:hAnsi="Arial" w:cs="Arial"/>
          <w:sz w:val="28"/>
        </w:rPr>
        <w:t>号公布，自公布之日起施行；</w:t>
      </w:r>
      <w:r>
        <w:rPr>
          <w:rFonts w:ascii="Arial" w:hAnsi="Arial" w:cs="Arial"/>
          <w:sz w:val="28"/>
        </w:rPr>
        <w:t>2009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27</w:t>
      </w:r>
      <w:r>
        <w:rPr>
          <w:rFonts w:ascii="Arial" w:hAnsi="Arial" w:cs="Arial"/>
          <w:sz w:val="28"/>
        </w:rPr>
        <w:t>日第十一届全国人民代表大会常务委员会第十次会议第二次修正通过，中华人民共和国主席令第</w:t>
      </w:r>
      <w:r>
        <w:rPr>
          <w:rFonts w:ascii="Arial" w:hAnsi="Arial" w:cs="Arial"/>
          <w:sz w:val="28"/>
        </w:rPr>
        <w:t>18</w:t>
      </w:r>
      <w:r>
        <w:rPr>
          <w:rFonts w:ascii="Arial" w:hAnsi="Arial" w:cs="Arial"/>
          <w:sz w:val="28"/>
        </w:rPr>
        <w:t>号公布，自公布之日起施行；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日第十三届全国人大常委会第十二次会议通过第三次修正，自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《中华人民共和国城乡规划法》（</w:t>
      </w:r>
      <w:r>
        <w:rPr>
          <w:rFonts w:ascii="Arial" w:hAnsi="Arial" w:cs="Arial"/>
          <w:sz w:val="28"/>
        </w:rPr>
        <w:t xml:space="preserve">2007 </w:t>
      </w:r>
      <w:r>
        <w:rPr>
          <w:rFonts w:ascii="Arial" w:hAnsi="Arial" w:cs="Arial"/>
          <w:sz w:val="28"/>
        </w:rPr>
        <w:t>年</w:t>
      </w:r>
      <w:r>
        <w:rPr>
          <w:rFonts w:ascii="Arial" w:hAnsi="Arial" w:cs="Arial"/>
          <w:sz w:val="28"/>
        </w:rPr>
        <w:t xml:space="preserve"> 10 </w:t>
      </w:r>
      <w:r>
        <w:rPr>
          <w:rFonts w:ascii="Arial" w:hAnsi="Arial" w:cs="Arial"/>
          <w:sz w:val="28"/>
        </w:rPr>
        <w:t>月</w:t>
      </w:r>
      <w:r>
        <w:rPr>
          <w:rFonts w:ascii="Arial" w:hAnsi="Arial" w:cs="Arial"/>
          <w:sz w:val="28"/>
        </w:rPr>
        <w:t xml:space="preserve"> 28 </w:t>
      </w:r>
      <w:r>
        <w:rPr>
          <w:rFonts w:ascii="Arial" w:hAnsi="Arial" w:cs="Arial"/>
          <w:sz w:val="28"/>
        </w:rPr>
        <w:t>日第十届全国人民代表大会常务委员会第三十次会议通过，中华人民共和国主席令第</w:t>
      </w:r>
      <w:r>
        <w:rPr>
          <w:rFonts w:ascii="Arial" w:hAnsi="Arial" w:cs="Arial"/>
          <w:sz w:val="28"/>
        </w:rPr>
        <w:t>74</w:t>
      </w:r>
      <w:r>
        <w:rPr>
          <w:rFonts w:ascii="Arial" w:hAnsi="Arial" w:cs="Arial"/>
          <w:sz w:val="28"/>
        </w:rPr>
        <w:t>号，自公布之日起施行；根据</w:t>
      </w:r>
      <w:r>
        <w:rPr>
          <w:rFonts w:ascii="Arial" w:hAnsi="Arial" w:cs="Arial"/>
          <w:sz w:val="28"/>
        </w:rPr>
        <w:t xml:space="preserve"> 2015 </w:t>
      </w:r>
      <w:r>
        <w:rPr>
          <w:rFonts w:ascii="Arial" w:hAnsi="Arial" w:cs="Arial"/>
          <w:sz w:val="28"/>
        </w:rPr>
        <w:t>年</w:t>
      </w:r>
      <w:r>
        <w:rPr>
          <w:rFonts w:ascii="Arial" w:hAnsi="Arial" w:cs="Arial"/>
          <w:sz w:val="28"/>
        </w:rPr>
        <w:t xml:space="preserve"> 4 </w:t>
      </w:r>
      <w:r>
        <w:rPr>
          <w:rFonts w:ascii="Arial" w:hAnsi="Arial" w:cs="Arial"/>
          <w:sz w:val="28"/>
        </w:rPr>
        <w:t>月</w:t>
      </w:r>
      <w:r>
        <w:rPr>
          <w:rFonts w:ascii="Arial" w:hAnsi="Arial" w:cs="Arial"/>
          <w:sz w:val="28"/>
        </w:rPr>
        <w:t xml:space="preserve"> 24 </w:t>
      </w:r>
      <w:r>
        <w:rPr>
          <w:rFonts w:ascii="Arial" w:hAnsi="Arial" w:cs="Arial"/>
          <w:sz w:val="28"/>
        </w:rPr>
        <w:t>日第十二届全国人民代表大会常务委员会第十四次会议通过第一次修正，中华人民共和国主席令第</w:t>
      </w:r>
      <w:r>
        <w:rPr>
          <w:rFonts w:ascii="Arial" w:hAnsi="Arial" w:cs="Arial"/>
          <w:sz w:val="28"/>
        </w:rPr>
        <w:lastRenderedPageBreak/>
        <w:t>23</w:t>
      </w:r>
      <w:r>
        <w:rPr>
          <w:rFonts w:ascii="Arial" w:hAnsi="Arial" w:cs="Arial"/>
          <w:sz w:val="28"/>
        </w:rPr>
        <w:t>号公布，自公布之日起施行；根据</w:t>
      </w:r>
      <w:r>
        <w:rPr>
          <w:rFonts w:ascii="Arial" w:hAnsi="Arial" w:cs="Arial"/>
          <w:sz w:val="28"/>
        </w:rPr>
        <w:t>2019</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23</w:t>
      </w:r>
      <w:r>
        <w:rPr>
          <w:rFonts w:ascii="Arial" w:hAnsi="Arial" w:cs="Arial"/>
          <w:sz w:val="28"/>
        </w:rPr>
        <w:t>日第十三届全国人民代表大会常务委员会第十次会议通过第二次修正，自公布之日起施行）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《中华人民共和国资产评估法》（</w:t>
      </w:r>
      <w:r>
        <w:rPr>
          <w:rFonts w:ascii="Arial" w:hAnsi="Arial" w:cs="Arial"/>
          <w:sz w:val="28"/>
        </w:rPr>
        <w:t>2016</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日第十二届全国人民代表大会常务委员会第二十一次会议通过，</w:t>
      </w:r>
      <w:r>
        <w:rPr>
          <w:rFonts w:ascii="Arial" w:hAnsi="Arial" w:cs="Arial"/>
          <w:sz w:val="28"/>
        </w:rPr>
        <w:t>2016</w:t>
      </w:r>
      <w:r>
        <w:rPr>
          <w:rFonts w:ascii="Arial" w:hAnsi="Arial" w:cs="Arial"/>
          <w:sz w:val="28"/>
        </w:rPr>
        <w:t>年</w:t>
      </w:r>
      <w:r>
        <w:rPr>
          <w:rFonts w:ascii="Arial" w:hAnsi="Arial" w:cs="Arial"/>
          <w:sz w:val="28"/>
        </w:rPr>
        <w:t>3</w:t>
      </w:r>
      <w:r>
        <w:rPr>
          <w:rFonts w:ascii="Arial" w:hAnsi="Arial" w:cs="Arial"/>
          <w:sz w:val="28"/>
        </w:rPr>
        <w:t>月</w:t>
      </w:r>
      <w:r>
        <w:rPr>
          <w:rFonts w:ascii="Arial" w:hAnsi="Arial" w:cs="Arial"/>
          <w:sz w:val="28"/>
        </w:rPr>
        <w:t>16</w:t>
      </w:r>
      <w:r>
        <w:rPr>
          <w:rFonts w:ascii="Arial" w:hAnsi="Arial" w:cs="Arial"/>
          <w:sz w:val="28"/>
        </w:rPr>
        <w:t>日中华人民共和国主席令第</w:t>
      </w:r>
      <w:r>
        <w:rPr>
          <w:rFonts w:ascii="Arial" w:hAnsi="Arial" w:cs="Arial"/>
          <w:sz w:val="28"/>
        </w:rPr>
        <w:t>46</w:t>
      </w:r>
      <w:r>
        <w:rPr>
          <w:rFonts w:ascii="Arial" w:hAnsi="Arial" w:cs="Arial"/>
          <w:sz w:val="28"/>
        </w:rPr>
        <w:t>号公布，自</w:t>
      </w:r>
      <w:r>
        <w:rPr>
          <w:rFonts w:ascii="Arial" w:hAnsi="Arial" w:cs="Arial"/>
          <w:sz w:val="28"/>
        </w:rPr>
        <w:t>2016</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《中华人民共和国民法典》（</w:t>
      </w:r>
      <w:r>
        <w:rPr>
          <w:rFonts w:ascii="Arial" w:hAnsi="Arial" w:cs="Arial"/>
          <w:sz w:val="28"/>
        </w:rPr>
        <w:t>2020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28</w:t>
      </w:r>
      <w:r>
        <w:rPr>
          <w:rFonts w:ascii="Arial" w:hAnsi="Arial" w:cs="Arial"/>
          <w:sz w:val="28"/>
        </w:rPr>
        <w:t>日第十三届全国人大三次会议表决通过，自</w:t>
      </w:r>
      <w:r>
        <w:rPr>
          <w:rFonts w:ascii="Arial" w:hAnsi="Arial" w:cs="Arial"/>
          <w:sz w:val="28"/>
        </w:rPr>
        <w:t>2021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sz w:val="28"/>
        </w:rPr>
        <w:t>《中华人民共和国城镇国有土地使用权出让和转让暂行条例》（</w:t>
      </w:r>
      <w:r>
        <w:rPr>
          <w:rFonts w:ascii="Arial" w:hAnsi="Arial" w:cs="Arial"/>
          <w:sz w:val="28"/>
        </w:rPr>
        <w:t>1990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19</w:t>
      </w:r>
      <w:r>
        <w:rPr>
          <w:rFonts w:ascii="Arial" w:hAnsi="Arial" w:cs="Arial"/>
          <w:sz w:val="28"/>
        </w:rPr>
        <w:t>日中华人民共和国国务院令第</w:t>
      </w:r>
      <w:r>
        <w:rPr>
          <w:rFonts w:ascii="Arial" w:hAnsi="Arial" w:cs="Arial"/>
          <w:sz w:val="28"/>
        </w:rPr>
        <w:t>55</w:t>
      </w:r>
      <w:r>
        <w:rPr>
          <w:rFonts w:ascii="Arial" w:hAnsi="Arial" w:cs="Arial"/>
          <w:sz w:val="28"/>
        </w:rPr>
        <w:t>号发布，自发布之日起施行）</w:t>
      </w:r>
    </w:p>
    <w:p w:rsidR="004935A9" w:rsidRDefault="00311723">
      <w:pPr>
        <w:spacing w:line="360" w:lineRule="auto"/>
        <w:ind w:firstLineChars="200" w:firstLine="560"/>
        <w:jc w:val="both"/>
        <w:rPr>
          <w:rFonts w:ascii="Arial" w:hAnsi="Arial" w:cs="Arial"/>
          <w:sz w:val="28"/>
        </w:rPr>
      </w:pPr>
      <w:r>
        <w:rPr>
          <w:rFonts w:ascii="Arial" w:hAnsi="Arial" w:cs="Arial"/>
          <w:sz w:val="28"/>
        </w:rPr>
        <w:t>7.</w:t>
      </w:r>
      <w:r>
        <w:rPr>
          <w:rFonts w:ascii="Arial" w:hAnsi="Arial" w:cs="Arial"/>
          <w:sz w:val="28"/>
        </w:rPr>
        <w:t>《中华人民共和国土地管理法实施条例》（</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24</w:t>
      </w:r>
      <w:r>
        <w:rPr>
          <w:rFonts w:ascii="Arial" w:hAnsi="Arial" w:cs="Arial"/>
          <w:sz w:val="28"/>
        </w:rPr>
        <w:t>日国务院第</w:t>
      </w:r>
      <w:r>
        <w:rPr>
          <w:rFonts w:ascii="Arial" w:hAnsi="Arial" w:cs="Arial"/>
          <w:sz w:val="28"/>
        </w:rPr>
        <w:t>12</w:t>
      </w:r>
      <w:r>
        <w:rPr>
          <w:rFonts w:ascii="Arial" w:hAnsi="Arial" w:cs="Arial"/>
          <w:sz w:val="28"/>
        </w:rPr>
        <w:t>次常务会议通过</w:t>
      </w:r>
      <w:r>
        <w:rPr>
          <w:rFonts w:ascii="Arial" w:hAnsi="Arial" w:cs="Arial"/>
          <w:sz w:val="28"/>
        </w:rPr>
        <w:t xml:space="preserve"> </w:t>
      </w:r>
      <w:r>
        <w:rPr>
          <w:rFonts w:ascii="Arial" w:hAnsi="Arial" w:cs="Arial"/>
          <w:sz w:val="28"/>
        </w:rPr>
        <w:t>，</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27</w:t>
      </w:r>
      <w:r>
        <w:rPr>
          <w:rFonts w:ascii="Arial" w:hAnsi="Arial" w:cs="Arial"/>
          <w:sz w:val="28"/>
        </w:rPr>
        <w:t>日中华人民共和国国务院令第</w:t>
      </w:r>
      <w:r>
        <w:rPr>
          <w:rFonts w:ascii="Arial" w:hAnsi="Arial" w:cs="Arial"/>
          <w:sz w:val="28"/>
        </w:rPr>
        <w:t>256</w:t>
      </w:r>
      <w:r>
        <w:rPr>
          <w:rFonts w:ascii="Arial" w:hAnsi="Arial" w:cs="Arial"/>
          <w:sz w:val="28"/>
        </w:rPr>
        <w:t>号发布，自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2010</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日国务院第</w:t>
      </w:r>
      <w:r>
        <w:rPr>
          <w:rFonts w:ascii="Arial" w:hAnsi="Arial" w:cs="Arial"/>
          <w:sz w:val="28"/>
        </w:rPr>
        <w:t>138</w:t>
      </w:r>
      <w:r>
        <w:rPr>
          <w:rFonts w:ascii="Arial" w:hAnsi="Arial" w:cs="Arial"/>
          <w:sz w:val="28"/>
        </w:rPr>
        <w:t>次常务会议第一次修正通过，</w:t>
      </w:r>
      <w:r>
        <w:rPr>
          <w:rFonts w:ascii="Arial" w:hAnsi="Arial" w:cs="Arial"/>
          <w:sz w:val="28"/>
        </w:rPr>
        <w:t>2011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8</w:t>
      </w:r>
      <w:r>
        <w:rPr>
          <w:rFonts w:ascii="Arial" w:hAnsi="Arial" w:cs="Arial"/>
          <w:sz w:val="28"/>
        </w:rPr>
        <w:t>日中华人民共和国国务院令第</w:t>
      </w:r>
      <w:r>
        <w:rPr>
          <w:rFonts w:ascii="Arial" w:hAnsi="Arial" w:cs="Arial"/>
          <w:sz w:val="28"/>
        </w:rPr>
        <w:t>588</w:t>
      </w:r>
      <w:r>
        <w:rPr>
          <w:rFonts w:ascii="Arial" w:hAnsi="Arial" w:cs="Arial"/>
          <w:sz w:val="28"/>
        </w:rPr>
        <w:t>号发布，自发布之日起施行；</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9</w:t>
      </w:r>
      <w:r>
        <w:rPr>
          <w:rFonts w:ascii="Arial" w:hAnsi="Arial" w:cs="Arial"/>
          <w:sz w:val="28"/>
        </w:rPr>
        <w:t>日国务院第</w:t>
      </w:r>
      <w:r>
        <w:rPr>
          <w:rFonts w:ascii="Arial" w:hAnsi="Arial" w:cs="Arial"/>
          <w:sz w:val="28"/>
        </w:rPr>
        <w:t>54</w:t>
      </w:r>
      <w:r>
        <w:rPr>
          <w:rFonts w:ascii="Arial" w:hAnsi="Arial" w:cs="Arial"/>
          <w:sz w:val="28"/>
        </w:rPr>
        <w:t>次常务会议第二次修正通过，</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29</w:t>
      </w:r>
      <w:r>
        <w:rPr>
          <w:rFonts w:ascii="Arial" w:hAnsi="Arial" w:cs="Arial"/>
          <w:sz w:val="28"/>
        </w:rPr>
        <w:t>日中华人民共和国国务院令第</w:t>
      </w:r>
      <w:r>
        <w:rPr>
          <w:rFonts w:ascii="Arial" w:hAnsi="Arial" w:cs="Arial"/>
          <w:sz w:val="28"/>
        </w:rPr>
        <w:t>653</w:t>
      </w:r>
      <w:r>
        <w:rPr>
          <w:rFonts w:ascii="Arial" w:hAnsi="Arial" w:cs="Arial"/>
          <w:sz w:val="28"/>
        </w:rPr>
        <w:t>号公布，自公布之日起施行；</w:t>
      </w:r>
      <w:r>
        <w:rPr>
          <w:rFonts w:ascii="Arial" w:hAnsi="Arial" w:cs="Arial"/>
          <w:sz w:val="28"/>
        </w:rPr>
        <w:t>2021</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21</w:t>
      </w:r>
      <w:r>
        <w:rPr>
          <w:rFonts w:ascii="Arial" w:hAnsi="Arial" w:cs="Arial"/>
          <w:sz w:val="28"/>
        </w:rPr>
        <w:t>日国务院第</w:t>
      </w:r>
      <w:r>
        <w:rPr>
          <w:rFonts w:ascii="Arial" w:hAnsi="Arial" w:cs="Arial"/>
          <w:sz w:val="28"/>
        </w:rPr>
        <w:t>132</w:t>
      </w:r>
      <w:r>
        <w:rPr>
          <w:rFonts w:ascii="Arial" w:hAnsi="Arial" w:cs="Arial"/>
          <w:sz w:val="28"/>
        </w:rPr>
        <w:t>次会议第三次修订通过，</w:t>
      </w:r>
      <w:r>
        <w:rPr>
          <w:rFonts w:ascii="Arial" w:hAnsi="Arial" w:cs="Arial"/>
          <w:sz w:val="28"/>
        </w:rPr>
        <w:t>2021</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日中华人民共和国国务院令第</w:t>
      </w:r>
      <w:r>
        <w:rPr>
          <w:rFonts w:ascii="Arial" w:hAnsi="Arial" w:cs="Arial"/>
          <w:sz w:val="28"/>
        </w:rPr>
        <w:t>743</w:t>
      </w:r>
      <w:r>
        <w:rPr>
          <w:rFonts w:ascii="Arial" w:hAnsi="Arial" w:cs="Arial"/>
          <w:sz w:val="28"/>
        </w:rPr>
        <w:t>号公布，自</w:t>
      </w:r>
      <w:r>
        <w:rPr>
          <w:rFonts w:ascii="Arial" w:hAnsi="Arial" w:cs="Arial"/>
          <w:sz w:val="28"/>
        </w:rPr>
        <w:t>2021</w:t>
      </w:r>
      <w:r>
        <w:rPr>
          <w:rFonts w:ascii="Arial" w:hAnsi="Arial" w:cs="Arial"/>
          <w:sz w:val="28"/>
        </w:rPr>
        <w:t>年</w:t>
      </w:r>
      <w:r>
        <w:rPr>
          <w:rFonts w:ascii="Arial" w:hAnsi="Arial" w:cs="Arial"/>
          <w:sz w:val="28"/>
        </w:rPr>
        <w:t>9</w:t>
      </w:r>
      <w:r>
        <w:rPr>
          <w:rFonts w:ascii="Arial" w:hAnsi="Arial" w:cs="Arial"/>
          <w:sz w:val="28"/>
        </w:rPr>
        <w:t>月</w:t>
      </w:r>
      <w:r>
        <w:rPr>
          <w:rFonts w:ascii="Arial" w:hAnsi="Arial" w:cs="Arial"/>
          <w:sz w:val="28"/>
        </w:rPr>
        <w:t>1</w:t>
      </w:r>
      <w:r>
        <w:rPr>
          <w:rFonts w:ascii="Arial" w:hAnsi="Arial" w:cs="Arial"/>
          <w:sz w:val="28"/>
        </w:rPr>
        <w:t>日起施行）</w:t>
      </w:r>
    </w:p>
    <w:p w:rsidR="004935A9" w:rsidRDefault="00311723">
      <w:pPr>
        <w:spacing w:line="360" w:lineRule="auto"/>
        <w:ind w:firstLineChars="200" w:firstLine="560"/>
        <w:jc w:val="both"/>
      </w:pPr>
      <w:r>
        <w:rPr>
          <w:rFonts w:ascii="Arial" w:hAnsi="Arial" w:cs="Arial" w:hint="eastAsia"/>
          <w:sz w:val="28"/>
        </w:rPr>
        <w:t>8</w:t>
      </w:r>
      <w:r>
        <w:rPr>
          <w:rFonts w:ascii="Arial" w:hAnsi="Arial" w:cs="Arial"/>
          <w:sz w:val="28"/>
        </w:rPr>
        <w:t>.</w:t>
      </w:r>
      <w:r>
        <w:rPr>
          <w:rFonts w:ascii="Arial" w:hAnsi="Arial" w:cs="Arial"/>
          <w:sz w:val="28"/>
        </w:rPr>
        <w:t>《关于我市利用集体土地建设租赁住房相关政策的补充意见》</w:t>
      </w:r>
      <w:r>
        <w:rPr>
          <w:rFonts w:ascii="Arial" w:hAnsi="Arial" w:cs="Arial" w:hint="eastAsia"/>
          <w:sz w:val="28"/>
        </w:rPr>
        <w:t>[</w:t>
      </w:r>
      <w:r>
        <w:rPr>
          <w:rFonts w:ascii="Arial" w:hAnsi="Arial" w:cs="Arial" w:hint="eastAsia"/>
          <w:sz w:val="28"/>
        </w:rPr>
        <w:t>京</w:t>
      </w:r>
      <w:proofErr w:type="gramStart"/>
      <w:r>
        <w:rPr>
          <w:rFonts w:ascii="Arial" w:hAnsi="Arial" w:cs="Arial" w:hint="eastAsia"/>
          <w:sz w:val="28"/>
        </w:rPr>
        <w:t>规</w:t>
      </w:r>
      <w:proofErr w:type="gramEnd"/>
      <w:r>
        <w:rPr>
          <w:rFonts w:ascii="Arial" w:hAnsi="Arial" w:cs="Arial" w:hint="eastAsia"/>
          <w:sz w:val="28"/>
        </w:rPr>
        <w:t>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9.</w:t>
      </w:r>
      <w:r>
        <w:rPr>
          <w:rFonts w:ascii="Arial" w:hAnsi="Arial" w:cs="Arial"/>
          <w:sz w:val="28"/>
        </w:rPr>
        <w:t>《关于进一步加强全市集体土地租赁住房规划建设管理的意见》</w:t>
      </w:r>
      <w:r>
        <w:rPr>
          <w:rFonts w:ascii="Arial" w:hAnsi="Arial" w:cs="Arial"/>
          <w:sz w:val="28"/>
        </w:rPr>
        <w:t>[</w:t>
      </w:r>
      <w:r>
        <w:rPr>
          <w:rFonts w:ascii="Arial" w:hAnsi="Arial" w:cs="Arial"/>
          <w:sz w:val="28"/>
        </w:rPr>
        <w:t>京建发〔</w:t>
      </w:r>
      <w:r>
        <w:rPr>
          <w:rFonts w:ascii="Arial" w:hAnsi="Arial" w:cs="Arial"/>
          <w:sz w:val="28"/>
        </w:rPr>
        <w:t>2020</w:t>
      </w:r>
      <w:r>
        <w:rPr>
          <w:rFonts w:ascii="Arial" w:hAnsi="Arial" w:cs="Arial"/>
          <w:sz w:val="28"/>
        </w:rPr>
        <w:t>〕</w:t>
      </w:r>
      <w:r>
        <w:rPr>
          <w:rFonts w:ascii="Arial" w:hAnsi="Arial" w:cs="Arial"/>
          <w:sz w:val="28"/>
        </w:rPr>
        <w:t>365</w:t>
      </w:r>
      <w:r>
        <w:rPr>
          <w:rFonts w:ascii="Arial" w:hAnsi="Arial" w:cs="Arial"/>
          <w:sz w:val="28"/>
        </w:rPr>
        <w:t>号</w:t>
      </w:r>
      <w:r>
        <w:rPr>
          <w:rFonts w:ascii="Arial" w:hAnsi="Arial" w:cs="Arial"/>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10.</w:t>
      </w:r>
      <w:r>
        <w:rPr>
          <w:rFonts w:ascii="Arial" w:hAnsi="Arial" w:cs="Arial"/>
          <w:sz w:val="28"/>
        </w:rPr>
        <w:t>《北京市关于加快发展保障性租赁住房的实施方案》的通知</w:t>
      </w:r>
      <w:r>
        <w:rPr>
          <w:rFonts w:ascii="Arial" w:hAnsi="Arial" w:cs="Arial"/>
          <w:sz w:val="28"/>
        </w:rPr>
        <w:t>[</w:t>
      </w:r>
      <w:r>
        <w:rPr>
          <w:rFonts w:ascii="Arial" w:hAnsi="Arial" w:cs="Arial"/>
          <w:sz w:val="28"/>
        </w:rPr>
        <w:t>京政办发〔</w:t>
      </w:r>
      <w:r>
        <w:rPr>
          <w:rFonts w:ascii="Arial" w:hAnsi="Arial" w:cs="Arial"/>
          <w:sz w:val="28"/>
        </w:rPr>
        <w:t>2022</w:t>
      </w:r>
      <w:r>
        <w:rPr>
          <w:rFonts w:ascii="Arial" w:hAnsi="Arial" w:cs="Arial"/>
          <w:sz w:val="28"/>
        </w:rPr>
        <w:t>〕</w:t>
      </w:r>
      <w:r>
        <w:rPr>
          <w:rFonts w:ascii="Arial" w:hAnsi="Arial" w:cs="Arial"/>
          <w:sz w:val="28"/>
        </w:rPr>
        <w:t>9</w:t>
      </w:r>
      <w:r>
        <w:rPr>
          <w:rFonts w:ascii="Arial" w:hAnsi="Arial" w:cs="Arial"/>
          <w:sz w:val="28"/>
        </w:rPr>
        <w:t>号</w:t>
      </w:r>
      <w:r>
        <w:rPr>
          <w:rFonts w:ascii="Arial" w:hAnsi="Arial" w:cs="Arial"/>
          <w:sz w:val="28"/>
        </w:rPr>
        <w:t>]</w:t>
      </w:r>
    </w:p>
    <w:p w:rsidR="004935A9" w:rsidRDefault="00311723">
      <w:pPr>
        <w:spacing w:line="360" w:lineRule="auto"/>
        <w:jc w:val="both"/>
        <w:rPr>
          <w:rFonts w:ascii="Arial" w:hAnsi="Arial" w:cs="Arial"/>
          <w:sz w:val="28"/>
        </w:rPr>
      </w:pPr>
      <w:r>
        <w:rPr>
          <w:rFonts w:ascii="Arial" w:hAnsi="Arial" w:cs="Arial"/>
          <w:sz w:val="28"/>
        </w:rPr>
        <w:t>（二）采用的技术标准</w:t>
      </w:r>
    </w:p>
    <w:p w:rsidR="004935A9" w:rsidRDefault="00311723">
      <w:pPr>
        <w:spacing w:line="360" w:lineRule="auto"/>
        <w:ind w:firstLineChars="200" w:firstLine="560"/>
        <w:jc w:val="both"/>
        <w:rPr>
          <w:rFonts w:ascii="Arial" w:hAnsi="Arial" w:cs="Arial"/>
          <w:sz w:val="28"/>
        </w:rPr>
      </w:pPr>
      <w:r>
        <w:rPr>
          <w:rFonts w:ascii="Arial" w:hAnsi="Arial" w:cs="Arial"/>
          <w:sz w:val="28"/>
        </w:rPr>
        <w:lastRenderedPageBreak/>
        <w:t>1.</w:t>
      </w:r>
      <w:r>
        <w:rPr>
          <w:rFonts w:ascii="Arial" w:hAnsi="Arial" w:cs="Arial"/>
          <w:sz w:val="28"/>
        </w:rPr>
        <w:t>《城镇土地估价规程》</w:t>
      </w:r>
      <w:r>
        <w:rPr>
          <w:rFonts w:ascii="Arial" w:hAnsi="Arial" w:cs="Arial"/>
          <w:sz w:val="28"/>
        </w:rPr>
        <w:t>[GB/T 18508-2014]</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《城镇土地分等定级规程》</w:t>
      </w:r>
      <w:hyperlink r:id="rId53" w:tgtFrame="_blank" w:history="1">
        <w:r>
          <w:rPr>
            <w:rFonts w:ascii="Arial" w:hAnsi="Arial" w:cs="Arial"/>
            <w:sz w:val="28"/>
          </w:rPr>
          <w:t>[GB/T 18507-2014]</w:t>
        </w:r>
      </w:hyperlink>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《土地利用现状分类》</w:t>
      </w:r>
      <w:r>
        <w:rPr>
          <w:rFonts w:ascii="Arial" w:hAnsi="Arial" w:cs="Arial"/>
          <w:sz w:val="28"/>
        </w:rPr>
        <w:t>[ GB/T 21010-2017]</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《城市用地分类与规划建设用地标准》</w:t>
      </w:r>
      <w:r>
        <w:rPr>
          <w:rFonts w:ascii="Arial" w:hAnsi="Arial" w:cs="Arial"/>
          <w:sz w:val="28"/>
        </w:rPr>
        <w:t>[GB50137-2011]</w:t>
      </w:r>
    </w:p>
    <w:p w:rsidR="004935A9" w:rsidRDefault="00311723">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hint="eastAsia"/>
          <w:sz w:val="28"/>
        </w:rPr>
        <w:t>.</w:t>
      </w:r>
      <w:r>
        <w:rPr>
          <w:rFonts w:ascii="Arial" w:hAnsi="Arial" w:cs="Arial" w:hint="eastAsia"/>
          <w:sz w:val="28"/>
        </w:rPr>
        <w:t>《农村集体土地价格评估技术指引》</w:t>
      </w:r>
      <w:r>
        <w:rPr>
          <w:rFonts w:ascii="Arial" w:hAnsi="Arial" w:cs="Arial" w:hint="eastAsia"/>
          <w:sz w:val="28"/>
        </w:rPr>
        <w:t>[</w:t>
      </w:r>
      <w:proofErr w:type="gramStart"/>
      <w:r>
        <w:rPr>
          <w:rFonts w:ascii="Arial" w:hAnsi="Arial" w:cs="Arial" w:hint="eastAsia"/>
          <w:sz w:val="28"/>
        </w:rPr>
        <w:t>中估协</w:t>
      </w:r>
      <w:proofErr w:type="gramEnd"/>
      <w:r>
        <w:rPr>
          <w:rFonts w:ascii="Arial" w:hAnsi="Arial" w:cs="Arial" w:hint="eastAsia"/>
          <w:sz w:val="28"/>
        </w:rPr>
        <w:t>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p>
    <w:p w:rsidR="004935A9" w:rsidRDefault="00311723">
      <w:pPr>
        <w:spacing w:line="360" w:lineRule="auto"/>
        <w:jc w:val="both"/>
        <w:rPr>
          <w:rFonts w:ascii="Arial" w:hAnsi="Arial" w:cs="Arial"/>
          <w:sz w:val="28"/>
        </w:rPr>
      </w:pPr>
      <w:r>
        <w:rPr>
          <w:rFonts w:ascii="Arial" w:hAnsi="Arial" w:cs="Arial"/>
          <w:sz w:val="28"/>
          <w:szCs w:val="18"/>
        </w:rPr>
        <w:t>（三）</w:t>
      </w:r>
      <w:r>
        <w:rPr>
          <w:rFonts w:ascii="Arial" w:hAnsi="Arial" w:cs="Arial"/>
          <w:sz w:val="28"/>
          <w:szCs w:val="18"/>
        </w:rPr>
        <w:t xml:space="preserve"> </w:t>
      </w:r>
      <w:r>
        <w:rPr>
          <w:rFonts w:ascii="Arial" w:hAnsi="Arial" w:cs="Arial"/>
          <w:sz w:val="28"/>
          <w:szCs w:val="18"/>
        </w:rPr>
        <w:t>受托估价方掌握的有关资料和评估专业人员实地勘察、调查所获取的资料实地勘查</w:t>
      </w:r>
      <w:r>
        <w:rPr>
          <w:rFonts w:ascii="Arial" w:hAnsi="Arial" w:cs="Arial"/>
          <w:sz w:val="28"/>
        </w:rPr>
        <w:t>的有关资料</w:t>
      </w:r>
    </w:p>
    <w:p w:rsidR="004935A9" w:rsidRDefault="004935A9">
      <w:pPr>
        <w:spacing w:line="360" w:lineRule="auto"/>
        <w:jc w:val="both"/>
        <w:rPr>
          <w:rFonts w:ascii="Arial" w:hAnsi="Arial" w:cs="Arial"/>
          <w:sz w:val="28"/>
        </w:rPr>
      </w:pPr>
    </w:p>
    <w:p w:rsidR="004935A9" w:rsidRDefault="00311723">
      <w:pPr>
        <w:spacing w:line="360" w:lineRule="auto"/>
        <w:outlineLvl w:val="1"/>
        <w:rPr>
          <w:rFonts w:ascii="Arial" w:hAnsi="Arial" w:cs="Arial"/>
          <w:b/>
          <w:sz w:val="28"/>
        </w:rPr>
      </w:pPr>
      <w:bookmarkStart w:id="229" w:name="_Toc97732757"/>
      <w:bookmarkStart w:id="230" w:name="_Toc13271"/>
      <w:bookmarkStart w:id="231" w:name="_Toc469066155"/>
      <w:bookmarkStart w:id="232" w:name="_Toc97732875"/>
      <w:bookmarkStart w:id="233" w:name="_Toc19179"/>
      <w:bookmarkStart w:id="234" w:name="_Toc12314"/>
      <w:bookmarkStart w:id="235" w:name="_Toc416783670"/>
      <w:bookmarkStart w:id="236" w:name="_Toc416783574"/>
      <w:r>
        <w:rPr>
          <w:rFonts w:ascii="Arial" w:hAnsi="Arial" w:cs="Arial"/>
          <w:b/>
          <w:sz w:val="28"/>
        </w:rPr>
        <w:t>六、咨询期日</w:t>
      </w:r>
      <w:bookmarkEnd w:id="229"/>
      <w:bookmarkEnd w:id="230"/>
      <w:bookmarkEnd w:id="231"/>
      <w:bookmarkEnd w:id="232"/>
      <w:bookmarkEnd w:id="233"/>
      <w:bookmarkEnd w:id="234"/>
    </w:p>
    <w:bookmarkEnd w:id="235"/>
    <w:bookmarkEnd w:id="236"/>
    <w:p w:rsidR="004935A9" w:rsidRDefault="00311723">
      <w:pPr>
        <w:spacing w:line="360" w:lineRule="auto"/>
        <w:ind w:firstLineChars="200" w:firstLine="560"/>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（评估专业人员勘察现场之日）</w:t>
      </w:r>
    </w:p>
    <w:p w:rsidR="004935A9" w:rsidRDefault="004935A9">
      <w:pPr>
        <w:spacing w:line="360" w:lineRule="auto"/>
        <w:rPr>
          <w:rFonts w:ascii="Arial" w:hAnsi="Arial" w:cs="Arial"/>
          <w:b/>
          <w:bCs/>
          <w:sz w:val="28"/>
        </w:rPr>
      </w:pPr>
    </w:p>
    <w:p w:rsidR="004935A9" w:rsidRDefault="00311723">
      <w:pPr>
        <w:spacing w:line="360" w:lineRule="auto"/>
        <w:outlineLvl w:val="1"/>
        <w:rPr>
          <w:rFonts w:ascii="Arial" w:hAnsi="Arial" w:cs="Arial"/>
          <w:b/>
          <w:bCs/>
          <w:sz w:val="28"/>
        </w:rPr>
      </w:pPr>
      <w:bookmarkStart w:id="237" w:name="_Toc469066156"/>
      <w:bookmarkStart w:id="238" w:name="_Toc97732876"/>
      <w:bookmarkStart w:id="239" w:name="_Toc97732758"/>
      <w:bookmarkStart w:id="240" w:name="_Toc705"/>
      <w:bookmarkStart w:id="241" w:name="_Toc19624"/>
      <w:bookmarkStart w:id="242" w:name="_Toc30853"/>
      <w:bookmarkStart w:id="243" w:name="_Toc416783671"/>
      <w:bookmarkStart w:id="244" w:name="_Toc416783575"/>
      <w:r>
        <w:rPr>
          <w:rFonts w:ascii="Arial" w:hAnsi="Arial" w:cs="Arial"/>
          <w:b/>
          <w:bCs/>
          <w:sz w:val="28"/>
        </w:rPr>
        <w:t>七、咨询日期</w:t>
      </w:r>
      <w:bookmarkEnd w:id="237"/>
      <w:bookmarkEnd w:id="238"/>
      <w:bookmarkEnd w:id="239"/>
      <w:bookmarkEnd w:id="240"/>
      <w:bookmarkEnd w:id="241"/>
      <w:bookmarkEnd w:id="242"/>
    </w:p>
    <w:bookmarkEnd w:id="243"/>
    <w:bookmarkEnd w:id="244"/>
    <w:p w:rsidR="004935A9" w:rsidRDefault="00311723">
      <w:pPr>
        <w:spacing w:line="360" w:lineRule="auto"/>
        <w:ind w:firstLineChars="200" w:firstLine="560"/>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至</w:t>
      </w:r>
      <w:r>
        <w:rPr>
          <w:rFonts w:ascii="Arial" w:hAnsi="Arial" w:cs="Arial" w:hint="eastAsia"/>
          <w:sz w:val="28"/>
        </w:rPr>
        <w:t>2025</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1</w:t>
      </w:r>
      <w:r>
        <w:rPr>
          <w:rFonts w:ascii="Arial" w:hAnsi="Arial" w:cs="Arial" w:hint="eastAsia"/>
          <w:sz w:val="28"/>
        </w:rPr>
        <w:t>日</w:t>
      </w:r>
    </w:p>
    <w:p w:rsidR="004935A9" w:rsidRDefault="004935A9">
      <w:pPr>
        <w:pStyle w:val="30"/>
        <w:spacing w:line="360" w:lineRule="auto"/>
        <w:ind w:left="1405" w:hangingChars="500" w:hanging="1405"/>
        <w:jc w:val="left"/>
        <w:rPr>
          <w:rFonts w:ascii="Arial" w:eastAsia="宋体" w:cs="Arial"/>
          <w:b/>
          <w:bCs/>
          <w:sz w:val="28"/>
        </w:rPr>
      </w:pPr>
    </w:p>
    <w:p w:rsidR="004935A9" w:rsidRDefault="00311723">
      <w:pPr>
        <w:pStyle w:val="30"/>
        <w:spacing w:line="360" w:lineRule="auto"/>
        <w:ind w:left="1405" w:hangingChars="500" w:hanging="1405"/>
        <w:jc w:val="left"/>
        <w:outlineLvl w:val="1"/>
        <w:rPr>
          <w:rFonts w:ascii="Arial" w:eastAsia="宋体" w:cs="Arial"/>
          <w:b/>
          <w:bCs/>
          <w:sz w:val="28"/>
        </w:rPr>
      </w:pPr>
      <w:bookmarkStart w:id="245" w:name="_Toc29551"/>
      <w:bookmarkStart w:id="246" w:name="_Toc14150"/>
      <w:bookmarkStart w:id="247" w:name="_Toc97732877"/>
      <w:bookmarkStart w:id="248" w:name="_Toc469066157"/>
      <w:bookmarkStart w:id="249" w:name="_Toc97732759"/>
      <w:bookmarkStart w:id="250" w:name="_Toc24654"/>
      <w:r>
        <w:rPr>
          <w:rFonts w:ascii="Arial" w:eastAsia="宋体" w:cs="Arial"/>
          <w:b/>
          <w:bCs/>
          <w:sz w:val="28"/>
        </w:rPr>
        <w:t>八、地价定义</w:t>
      </w:r>
      <w:bookmarkEnd w:id="245"/>
      <w:bookmarkEnd w:id="246"/>
      <w:bookmarkEnd w:id="247"/>
      <w:bookmarkEnd w:id="248"/>
      <w:bookmarkEnd w:id="249"/>
      <w:bookmarkEnd w:id="250"/>
    </w:p>
    <w:p w:rsidR="004935A9" w:rsidRDefault="00311723">
      <w:pPr>
        <w:spacing w:line="360" w:lineRule="auto"/>
        <w:jc w:val="both"/>
        <w:rPr>
          <w:rFonts w:ascii="Arial" w:hAnsi="Arial" w:cs="Arial"/>
          <w:sz w:val="28"/>
        </w:rPr>
      </w:pPr>
      <w:r>
        <w:rPr>
          <w:rFonts w:ascii="Arial" w:hAnsi="Arial" w:cs="Arial"/>
          <w:sz w:val="28"/>
        </w:rPr>
        <w:t>（一）用途</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经委托方介绍，拟与百泉庄</w:t>
      </w:r>
      <w:r>
        <w:rPr>
          <w:rFonts w:ascii="Arial" w:hAnsi="Arial" w:cs="Arial"/>
          <w:sz w:val="28"/>
        </w:rPr>
        <w:t>村经济</w:t>
      </w:r>
      <w:r>
        <w:rPr>
          <w:rFonts w:ascii="Arial" w:hAnsi="Arial" w:cs="Arial" w:hint="eastAsia"/>
          <w:sz w:val="28"/>
        </w:rPr>
        <w:t>组织采用股权合作模式开发建设</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马池口镇百泉庄村集体土地租赁住房项目，总</w:t>
      </w:r>
      <w:r>
        <w:rPr>
          <w:rFonts w:ascii="Arial" w:hAnsi="Arial" w:cs="Arial"/>
          <w:sz w:val="28"/>
        </w:rPr>
        <w:t>建设用地</w:t>
      </w:r>
      <w:r>
        <w:rPr>
          <w:rFonts w:ascii="Arial" w:hAnsi="Arial" w:cs="Arial" w:hint="eastAsia"/>
          <w:sz w:val="28"/>
        </w:rPr>
        <w:t>18132</w:t>
      </w:r>
      <w:r>
        <w:rPr>
          <w:rFonts w:ascii="Arial" w:hAnsi="Arial" w:cs="Arial" w:hint="eastAsia"/>
          <w:sz w:val="28"/>
        </w:rPr>
        <w:t>平方米</w:t>
      </w:r>
      <w:r>
        <w:rPr>
          <w:rFonts w:ascii="Arial" w:hAnsi="Arial" w:cs="Arial"/>
          <w:sz w:val="28"/>
        </w:rPr>
        <w:t>（</w:t>
      </w:r>
      <w:r>
        <w:rPr>
          <w:rFonts w:ascii="Arial" w:hAnsi="Arial" w:cs="Arial" w:hint="eastAsia"/>
          <w:sz w:val="28"/>
        </w:rPr>
        <w:t>27.20</w:t>
      </w:r>
      <w:r>
        <w:rPr>
          <w:rFonts w:ascii="Arial" w:hAnsi="Arial" w:cs="Arial"/>
          <w:sz w:val="28"/>
        </w:rPr>
        <w:t>亩）。</w:t>
      </w:r>
    </w:p>
    <w:p w:rsidR="004935A9" w:rsidRDefault="00311723">
      <w:pPr>
        <w:spacing w:line="360" w:lineRule="auto"/>
        <w:jc w:val="both"/>
        <w:rPr>
          <w:rFonts w:ascii="Arial" w:hAnsi="Arial" w:cs="Arial"/>
          <w:sz w:val="28"/>
        </w:rPr>
      </w:pPr>
      <w:r>
        <w:rPr>
          <w:rFonts w:ascii="Arial" w:hAnsi="Arial" w:cs="Arial"/>
          <w:sz w:val="28"/>
        </w:rPr>
        <w:t>（二）土地开发程度</w:t>
      </w:r>
    </w:p>
    <w:p w:rsidR="004935A9" w:rsidRDefault="00311723">
      <w:pPr>
        <w:spacing w:line="360" w:lineRule="auto"/>
        <w:ind w:firstLineChars="200" w:firstLine="56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rsidR="004935A9" w:rsidRDefault="00311723">
      <w:pPr>
        <w:spacing w:line="360" w:lineRule="auto"/>
        <w:jc w:val="both"/>
        <w:rPr>
          <w:rFonts w:ascii="Arial" w:hAnsi="Arial" w:cs="Arial"/>
          <w:sz w:val="28"/>
        </w:rPr>
      </w:pPr>
      <w:r>
        <w:rPr>
          <w:rFonts w:ascii="Arial" w:hAnsi="Arial" w:cs="Arial"/>
          <w:sz w:val="28"/>
        </w:rPr>
        <w:t>（三）规划利用条件</w:t>
      </w:r>
    </w:p>
    <w:p w:rsidR="004935A9" w:rsidRDefault="00311723">
      <w:pPr>
        <w:spacing w:line="360" w:lineRule="auto"/>
        <w:jc w:val="both"/>
        <w:rPr>
          <w:rFonts w:ascii="Arial" w:hAnsi="Arial" w:cs="Arial"/>
          <w:sz w:val="28"/>
        </w:rPr>
      </w:pPr>
      <w:r>
        <w:rPr>
          <w:rFonts w:ascii="Arial" w:hAnsi="Arial" w:cs="Arial" w:hint="eastAsia"/>
          <w:sz w:val="28"/>
        </w:rPr>
        <w:lastRenderedPageBreak/>
        <w:t xml:space="preserve">    </w:t>
      </w:r>
      <w:r>
        <w:rPr>
          <w:rFonts w:ascii="Arial" w:hAnsi="Arial" w:cs="Arial" w:hint="eastAsia"/>
          <w:sz w:val="28"/>
        </w:rPr>
        <w:t>根据委托方介绍</w:t>
      </w:r>
      <w:r>
        <w:rPr>
          <w:rFonts w:ascii="Arial" w:hAnsi="Arial" w:cs="Arial" w:hint="eastAsia"/>
          <w:sz w:val="28"/>
        </w:rPr>
        <w:t>,</w:t>
      </w:r>
      <w:r>
        <w:rPr>
          <w:rFonts w:ascii="Arial" w:hAnsi="Arial" w:cs="Arial"/>
          <w:sz w:val="28"/>
        </w:rPr>
        <w:t>咨询对象为</w:t>
      </w:r>
      <w:r>
        <w:rPr>
          <w:rFonts w:ascii="Arial" w:hAnsi="Arial" w:cs="Arial" w:hint="eastAsia"/>
          <w:sz w:val="28"/>
        </w:rPr>
        <w:t>北京保障房中心有限公司拟</w:t>
      </w:r>
      <w:r>
        <w:rPr>
          <w:rFonts w:ascii="Arial" w:hAnsi="Arial" w:cs="Arial"/>
          <w:sz w:val="28"/>
        </w:rPr>
        <w:t>使用的集体建设用地。咨询对象土地面积为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4935A9">
        <w:trPr>
          <w:trHeight w:val="280"/>
        </w:trPr>
        <w:tc>
          <w:tcPr>
            <w:tcW w:w="5526" w:type="dxa"/>
            <w:gridSpan w:val="3"/>
            <w:tcBorders>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数量</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4935A9">
        <w:trPr>
          <w:trHeight w:val="280"/>
        </w:trPr>
        <w:tc>
          <w:tcPr>
            <w:tcW w:w="1165" w:type="dxa"/>
            <w:vMerge w:val="restart"/>
            <w:tcBorders>
              <w:top w:val="nil"/>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4935A9" w:rsidRDefault="00311723">
      <w:pPr>
        <w:spacing w:beforeLines="100" w:before="240" w:line="360" w:lineRule="auto"/>
        <w:jc w:val="both"/>
        <w:rPr>
          <w:rFonts w:ascii="Arial" w:hAnsi="Arial" w:cs="Arial"/>
          <w:sz w:val="28"/>
        </w:rPr>
      </w:pPr>
      <w:r>
        <w:rPr>
          <w:rFonts w:ascii="Arial" w:hAnsi="Arial" w:cs="Arial"/>
          <w:sz w:val="28"/>
        </w:rPr>
        <w:t>（四）土地使用年限</w:t>
      </w:r>
    </w:p>
    <w:p w:rsidR="004935A9" w:rsidRDefault="00311723">
      <w:pPr>
        <w:spacing w:line="360" w:lineRule="auto"/>
        <w:ind w:firstLineChars="200" w:firstLine="56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w:t>
      </w:r>
      <w:r>
        <w:rPr>
          <w:rFonts w:ascii="Arial" w:hAnsi="Arial" w:cs="Arial"/>
          <w:sz w:val="28"/>
        </w:rPr>
        <w:lastRenderedPageBreak/>
        <w:t>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w:t>
      </w:r>
    </w:p>
    <w:p w:rsidR="004935A9" w:rsidRDefault="00311723">
      <w:pPr>
        <w:spacing w:line="360" w:lineRule="auto"/>
        <w:ind w:firstLineChars="200" w:firstLine="560"/>
        <w:jc w:val="both"/>
        <w:rPr>
          <w:rFonts w:ascii="Arial" w:hAnsi="Arial" w:cs="Arial"/>
          <w:sz w:val="28"/>
        </w:rPr>
      </w:pPr>
      <w:r>
        <w:rPr>
          <w:rFonts w:ascii="Arial" w:hAnsi="Arial" w:cs="Arial"/>
          <w:sz w:val="28"/>
        </w:rPr>
        <w:t>本次估价的</w:t>
      </w:r>
      <w:r>
        <w:rPr>
          <w:rFonts w:ascii="Arial" w:hAnsi="Arial" w:cs="Arial"/>
          <w:sz w:val="28"/>
        </w:rPr>
        <w:t>“</w:t>
      </w:r>
      <w:r>
        <w:rPr>
          <w:rFonts w:ascii="Arial" w:hAnsi="Arial" w:cs="Arial"/>
          <w:sz w:val="28"/>
        </w:rPr>
        <w:t>集体建设用地使用权价格</w:t>
      </w:r>
      <w:r>
        <w:rPr>
          <w:rFonts w:ascii="Arial" w:hAnsi="Arial" w:cs="Arial"/>
          <w:sz w:val="28"/>
        </w:rPr>
        <w:t>”</w:t>
      </w:r>
      <w:r>
        <w:rPr>
          <w:rFonts w:ascii="Arial" w:hAnsi="Arial" w:cs="Arial"/>
          <w:sz w:val="28"/>
        </w:rPr>
        <w:t>是</w:t>
      </w:r>
      <w:proofErr w:type="gramStart"/>
      <w:r>
        <w:rPr>
          <w:rFonts w:ascii="Arial" w:hAnsi="Arial" w:cs="Arial"/>
          <w:sz w:val="28"/>
        </w:rPr>
        <w:t>指咨询</w:t>
      </w:r>
      <w:proofErr w:type="gramEnd"/>
      <w:r>
        <w:rPr>
          <w:rFonts w:ascii="Arial" w:hAnsi="Arial" w:cs="Arial"/>
          <w:sz w:val="28"/>
        </w:rPr>
        <w:t>对象土地所有权为集体所有，在公开市场条件下，</w:t>
      </w:r>
      <w:proofErr w:type="gramStart"/>
      <w:r>
        <w:rPr>
          <w:rFonts w:ascii="Arial" w:hAnsi="Arial" w:cs="Arial"/>
          <w:sz w:val="28"/>
        </w:rPr>
        <w:t>于咨询</w:t>
      </w:r>
      <w:proofErr w:type="gramEnd"/>
      <w:r>
        <w:rPr>
          <w:rFonts w:ascii="Arial" w:hAnsi="Arial" w:cs="Arial"/>
          <w:sz w:val="28"/>
        </w:rPr>
        <w:t>期日</w:t>
      </w: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，在规划利用条件下，设定土地开发程度为宗地红线外市政基础设施达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（即通路、通上水、通下水）、宗地红线内场地平整，设定用途为住宅、商业、地下车库，剩余土地使用年限为</w:t>
      </w:r>
      <w:r>
        <w:rPr>
          <w:rFonts w:ascii="Arial" w:hAnsi="Arial" w:cs="Arial"/>
          <w:sz w:val="28"/>
        </w:rPr>
        <w:t>50</w:t>
      </w:r>
      <w:r>
        <w:rPr>
          <w:rFonts w:ascii="Arial" w:hAnsi="Arial" w:cs="Arial"/>
          <w:sz w:val="28"/>
        </w:rPr>
        <w:t>年的集体建设用地使用权价格。</w:t>
      </w:r>
    </w:p>
    <w:p w:rsidR="004935A9" w:rsidRDefault="004935A9">
      <w:pPr>
        <w:spacing w:line="360" w:lineRule="auto"/>
        <w:jc w:val="both"/>
        <w:rPr>
          <w:rFonts w:ascii="Arial" w:hAnsi="Arial" w:cs="Arial"/>
          <w:sz w:val="28"/>
        </w:rPr>
      </w:pPr>
    </w:p>
    <w:p w:rsidR="004935A9" w:rsidRDefault="00311723">
      <w:pPr>
        <w:spacing w:line="360" w:lineRule="auto"/>
        <w:jc w:val="both"/>
        <w:outlineLvl w:val="1"/>
        <w:rPr>
          <w:rFonts w:ascii="Arial" w:hAnsi="Arial" w:cs="Arial"/>
          <w:sz w:val="28"/>
        </w:rPr>
      </w:pPr>
      <w:bookmarkStart w:id="251" w:name="_Toc22458"/>
      <w:bookmarkStart w:id="252" w:name="_Toc469066158"/>
      <w:bookmarkStart w:id="253" w:name="_Toc8911"/>
      <w:bookmarkStart w:id="254" w:name="_Toc97732878"/>
      <w:bookmarkStart w:id="255" w:name="_Toc416783576"/>
      <w:bookmarkStart w:id="256" w:name="_Toc416783672"/>
      <w:bookmarkStart w:id="257" w:name="_Toc1781"/>
      <w:bookmarkStart w:id="258" w:name="_Toc97732760"/>
      <w:r>
        <w:rPr>
          <w:rFonts w:ascii="Arial" w:hAnsi="Arial" w:cs="Arial"/>
          <w:b/>
          <w:sz w:val="28"/>
        </w:rPr>
        <w:t>九、咨询结果</w:t>
      </w:r>
      <w:bookmarkEnd w:id="251"/>
      <w:bookmarkEnd w:id="252"/>
      <w:bookmarkEnd w:id="253"/>
      <w:bookmarkEnd w:id="254"/>
      <w:bookmarkEnd w:id="255"/>
      <w:bookmarkEnd w:id="256"/>
      <w:bookmarkEnd w:id="257"/>
      <w:bookmarkEnd w:id="258"/>
    </w:p>
    <w:p w:rsidR="004935A9" w:rsidRDefault="00311723">
      <w:pPr>
        <w:spacing w:line="360" w:lineRule="auto"/>
        <w:ind w:firstLineChars="200" w:firstLine="560"/>
        <w:jc w:val="both"/>
        <w:rPr>
          <w:rFonts w:ascii="Arial" w:hAnsi="Arial" w:cs="Arial"/>
          <w:kern w:val="2"/>
          <w:sz w:val="28"/>
        </w:rPr>
      </w:pPr>
      <w:bookmarkStart w:id="259" w:name="_Toc416783676"/>
      <w:bookmarkStart w:id="260" w:name="_Toc416783580"/>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4935A9" w:rsidRDefault="00311723">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4935A9" w:rsidRDefault="00311723">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proofErr w:type="gramStart"/>
      <w:r>
        <w:rPr>
          <w:rFonts w:ascii="Arial" w:hAnsi="Arial" w:cs="Arial" w:hint="eastAsia"/>
          <w:sz w:val="28"/>
        </w:rPr>
        <w:t>壹仟捌佰零肆万伍仟肆佰</w:t>
      </w:r>
      <w:proofErr w:type="gramEnd"/>
      <w:r>
        <w:rPr>
          <w:rFonts w:ascii="Arial" w:hAnsi="Arial" w:cs="Arial"/>
          <w:sz w:val="28"/>
        </w:rPr>
        <w:fldChar w:fldCharType="end"/>
      </w:r>
      <w:r>
        <w:rPr>
          <w:rFonts w:ascii="Arial" w:hAnsi="Arial" w:cs="Arial"/>
          <w:sz w:val="28"/>
        </w:rPr>
        <w:t>元整</w:t>
      </w:r>
    </w:p>
    <w:p w:rsidR="004935A9" w:rsidRDefault="00311723">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sz w:val="28"/>
        </w:rPr>
        <w:t>备注：</w:t>
      </w:r>
    </w:p>
    <w:p w:rsidR="004935A9" w:rsidRDefault="00311723">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协同平台初审意见的函》、《北京市发展和改革委员会关于顺义区南法信镇</w:t>
      </w:r>
      <w:r>
        <w:rPr>
          <w:rFonts w:ascii="Arial" w:hAnsi="Arial" w:cs="Arial" w:hint="eastAsia"/>
          <w:sz w:val="28"/>
        </w:rPr>
        <w:t>百泉庄村经济组织</w:t>
      </w:r>
      <w:r>
        <w:rPr>
          <w:rFonts w:ascii="Arial" w:hAnsi="Arial" w:cs="Arial"/>
          <w:sz w:val="28"/>
        </w:rPr>
        <w:t>集体土地租赁住房项目核准的批复》等相关项目资料，本次评估过程中涉及的相关测算参数主要是依据《北京市规划和自然资源委员会关于北京市</w:t>
      </w:r>
      <w:r>
        <w:rPr>
          <w:rFonts w:ascii="Arial" w:hAnsi="Arial" w:cs="Arial" w:hint="eastAsia"/>
          <w:sz w:val="28"/>
        </w:rPr>
        <w:t>昌平区马池口镇百泉庄村集体土地租赁住房项目</w:t>
      </w:r>
      <w:r>
        <w:rPr>
          <w:rFonts w:ascii="Arial" w:hAnsi="Arial" w:cs="Arial"/>
          <w:sz w:val="28"/>
        </w:rPr>
        <w:t>控制性详细规划的批复》</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自函（</w:t>
      </w:r>
      <w:r>
        <w:rPr>
          <w:rFonts w:ascii="Arial" w:hAnsi="Arial" w:cs="Arial"/>
          <w:sz w:val="28"/>
        </w:rPr>
        <w:t>2020</w:t>
      </w:r>
      <w:r>
        <w:rPr>
          <w:rFonts w:ascii="Arial" w:hAnsi="Arial" w:cs="Arial"/>
          <w:sz w:val="28"/>
        </w:rPr>
        <w:t>）</w:t>
      </w:r>
      <w:r>
        <w:rPr>
          <w:rFonts w:ascii="Arial" w:hAnsi="Arial" w:cs="Arial"/>
          <w:sz w:val="28"/>
        </w:rPr>
        <w:t>22</w:t>
      </w:r>
      <w:r>
        <w:rPr>
          <w:rFonts w:ascii="Arial" w:hAnsi="Arial" w:cs="Arial"/>
          <w:sz w:val="28"/>
        </w:rPr>
        <w:t>号</w:t>
      </w:r>
      <w:r>
        <w:rPr>
          <w:rFonts w:ascii="Arial" w:hAnsi="Arial" w:cs="Arial"/>
          <w:sz w:val="28"/>
        </w:rPr>
        <w:t>]</w:t>
      </w:r>
      <w:r>
        <w:rPr>
          <w:rFonts w:ascii="Arial" w:hAnsi="Arial" w:cs="Arial"/>
          <w:sz w:val="28"/>
        </w:rPr>
        <w:t>中的数据、委托方提供的《估价委托书》及介绍的情况测算，如上述数据发生变化，可能会对目前的评估结论产生影响。</w:t>
      </w:r>
    </w:p>
    <w:p w:rsidR="004935A9" w:rsidRDefault="00311723">
      <w:pPr>
        <w:spacing w:line="360" w:lineRule="auto"/>
        <w:ind w:firstLineChars="200" w:firstLine="560"/>
        <w:jc w:val="both"/>
        <w:rPr>
          <w:rFonts w:ascii="Arial" w:hAnsi="Arial" w:cs="Arial"/>
          <w:sz w:val="28"/>
        </w:rPr>
      </w:pPr>
      <w:r>
        <w:rPr>
          <w:rFonts w:ascii="Arial" w:hAnsi="Arial" w:cs="Arial"/>
          <w:sz w:val="28"/>
        </w:rPr>
        <w:lastRenderedPageBreak/>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时相关政策行文件</w:t>
      </w:r>
      <w:proofErr w:type="gramEnd"/>
      <w:r>
        <w:rPr>
          <w:rFonts w:ascii="Arial" w:hAnsi="Arial" w:cs="Arial"/>
          <w:sz w:val="28"/>
        </w:rPr>
        <w:t>尚未正式出台，故届时将按照有关规定执行。综上所述，本次评估只考虑</w:t>
      </w:r>
      <w:r>
        <w:rPr>
          <w:rFonts w:ascii="Arial" w:hAnsi="Arial" w:cs="Arial"/>
          <w:sz w:val="28"/>
        </w:rPr>
        <w:t>50</w:t>
      </w:r>
      <w:r>
        <w:rPr>
          <w:rFonts w:ascii="Arial" w:hAnsi="Arial" w:cs="Arial"/>
          <w:sz w:val="28"/>
        </w:rPr>
        <w:t>年合作期限内的收益。</w:t>
      </w:r>
    </w:p>
    <w:p w:rsidR="004935A9" w:rsidRDefault="004935A9">
      <w:pPr>
        <w:spacing w:line="360" w:lineRule="auto"/>
        <w:ind w:firstLineChars="200" w:firstLine="560"/>
        <w:jc w:val="both"/>
        <w:rPr>
          <w:rFonts w:ascii="Arial" w:hAnsi="Arial" w:cs="Arial"/>
          <w:sz w:val="28"/>
        </w:rPr>
      </w:pPr>
    </w:p>
    <w:p w:rsidR="004935A9" w:rsidRDefault="004935A9">
      <w:pPr>
        <w:spacing w:line="360" w:lineRule="auto"/>
        <w:ind w:firstLineChars="200" w:firstLine="560"/>
        <w:jc w:val="both"/>
        <w:rPr>
          <w:rFonts w:ascii="Arial" w:hAnsi="Arial" w:cs="Arial"/>
          <w:sz w:val="28"/>
        </w:rPr>
        <w:sectPr w:rsidR="004935A9">
          <w:footerReference w:type="first" r:id="rId54"/>
          <w:pgSz w:w="11907" w:h="16840"/>
          <w:pgMar w:top="1843" w:right="1304" w:bottom="1134" w:left="1304" w:header="1134" w:footer="907" w:gutter="0"/>
          <w:cols w:space="720"/>
          <w:titlePg/>
          <w:docGrid w:linePitch="326"/>
        </w:sectPr>
      </w:pPr>
    </w:p>
    <w:p w:rsidR="004935A9" w:rsidRDefault="00311723">
      <w:pPr>
        <w:spacing w:line="240" w:lineRule="auto"/>
        <w:outlineLvl w:val="1"/>
        <w:rPr>
          <w:rFonts w:ascii="Arial" w:hAnsi="Arial" w:cs="Arial"/>
          <w:b/>
          <w:sz w:val="28"/>
        </w:rPr>
      </w:pPr>
      <w:bookmarkStart w:id="261" w:name="_Toc30535"/>
      <w:bookmarkStart w:id="262" w:name="_Toc2632"/>
      <w:bookmarkStart w:id="263" w:name="_Toc10665"/>
      <w:bookmarkStart w:id="264" w:name="_Toc12807"/>
      <w:r>
        <w:rPr>
          <w:rFonts w:ascii="Arial" w:hAnsi="Arial" w:cs="Arial"/>
          <w:bCs/>
          <w:sz w:val="28"/>
        </w:rPr>
        <w:lastRenderedPageBreak/>
        <w:t>附</w:t>
      </w:r>
      <w:r>
        <w:rPr>
          <w:rFonts w:ascii="Arial" w:hAnsi="Arial" w:cs="Arial"/>
          <w:b/>
          <w:sz w:val="28"/>
        </w:rPr>
        <w:t xml:space="preserve">                                           </w:t>
      </w:r>
      <w:r>
        <w:rPr>
          <w:rFonts w:ascii="Arial" w:hAnsi="Arial" w:cs="Arial"/>
          <w:b/>
          <w:sz w:val="28"/>
        </w:rPr>
        <w:t>咨询结果一览表</w:t>
      </w:r>
      <w:bookmarkEnd w:id="261"/>
      <w:bookmarkEnd w:id="262"/>
      <w:bookmarkEnd w:id="263"/>
      <w:bookmarkEnd w:id="264"/>
    </w:p>
    <w:p w:rsidR="004935A9" w:rsidRDefault="00311723">
      <w:pPr>
        <w:spacing w:line="240" w:lineRule="auto"/>
        <w:rPr>
          <w:rFonts w:ascii="Arial" w:hAnsi="Arial" w:cs="Arial"/>
          <w:bCs/>
          <w:sz w:val="18"/>
        </w:rPr>
      </w:pPr>
      <w:r>
        <w:rPr>
          <w:rFonts w:ascii="Arial" w:hAnsi="Arial" w:cs="Arial"/>
          <w:bCs/>
          <w:sz w:val="18"/>
        </w:rPr>
        <w:t>估价机构：</w:t>
      </w:r>
      <w:proofErr w:type="gramStart"/>
      <w:r>
        <w:rPr>
          <w:rFonts w:ascii="Arial" w:hAnsi="Arial" w:cs="Arial"/>
          <w:sz w:val="18"/>
        </w:rPr>
        <w:t>北京康正宏</w:t>
      </w:r>
      <w:proofErr w:type="gramEnd"/>
      <w:r>
        <w:rPr>
          <w:rFonts w:ascii="Arial" w:hAnsi="Arial" w:cs="Arial"/>
          <w:sz w:val="18"/>
        </w:rPr>
        <w:t>基房地产评估有限公司</w:t>
      </w:r>
      <w:r>
        <w:rPr>
          <w:rFonts w:ascii="Arial" w:hAnsi="Arial" w:cs="Arial"/>
          <w:sz w:val="18"/>
        </w:rPr>
        <w:t xml:space="preserve"> </w:t>
      </w:r>
      <w:r>
        <w:rPr>
          <w:rFonts w:ascii="Arial" w:hAnsi="Arial" w:cs="Arial"/>
          <w:bCs/>
          <w:sz w:val="18"/>
        </w:rPr>
        <w:t xml:space="preserve">  </w:t>
      </w:r>
      <w:r>
        <w:rPr>
          <w:rFonts w:ascii="Arial" w:hAnsi="Arial" w:cs="Arial"/>
          <w:bCs/>
          <w:sz w:val="18"/>
        </w:rPr>
        <w:t>咨询报告编号：</w:t>
      </w:r>
      <w:proofErr w:type="gramStart"/>
      <w:r>
        <w:rPr>
          <w:rFonts w:ascii="Arial" w:hAnsi="Arial" w:cs="Arial"/>
          <w:bCs/>
          <w:sz w:val="18"/>
        </w:rPr>
        <w:t>康正评</w:t>
      </w:r>
      <w:proofErr w:type="gramEnd"/>
      <w:r>
        <w:rPr>
          <w:rFonts w:ascii="Arial" w:hAnsi="Arial" w:cs="Arial"/>
          <w:bCs/>
          <w:sz w:val="18"/>
        </w:rPr>
        <w:t>字</w:t>
      </w:r>
      <w:r>
        <w:rPr>
          <w:rFonts w:ascii="Arial" w:hAnsi="Arial" w:cs="Arial"/>
          <w:bCs/>
          <w:sz w:val="18"/>
        </w:rPr>
        <w:t>2022-1-0152-F02TDCR6</w:t>
      </w:r>
      <w:r>
        <w:rPr>
          <w:rFonts w:ascii="Arial" w:hAnsi="Arial" w:cs="Arial"/>
          <w:bCs/>
          <w:sz w:val="18"/>
        </w:rPr>
        <w:t>号</w:t>
      </w:r>
      <w:r>
        <w:rPr>
          <w:rFonts w:ascii="Arial" w:hAnsi="Arial" w:cs="Arial"/>
          <w:bCs/>
          <w:sz w:val="18"/>
        </w:rPr>
        <w:t xml:space="preserve">   </w:t>
      </w:r>
      <w:r>
        <w:rPr>
          <w:rFonts w:ascii="Arial" w:hAnsi="Arial" w:cs="Arial"/>
          <w:bCs/>
          <w:sz w:val="18"/>
        </w:rPr>
        <w:t>咨询期日：</w:t>
      </w:r>
      <w:r>
        <w:rPr>
          <w:rFonts w:ascii="Arial" w:hAnsi="Arial" w:cs="Arial" w:hint="eastAsia"/>
          <w:bCs/>
          <w:sz w:val="18"/>
        </w:rPr>
        <w:t>2025</w:t>
      </w:r>
      <w:r>
        <w:rPr>
          <w:rFonts w:ascii="Arial" w:hAnsi="Arial" w:cs="Arial" w:hint="eastAsia"/>
          <w:bCs/>
          <w:sz w:val="18"/>
        </w:rPr>
        <w:t>年</w:t>
      </w:r>
      <w:r>
        <w:rPr>
          <w:rFonts w:ascii="Arial" w:hAnsi="Arial" w:cs="Arial" w:hint="eastAsia"/>
          <w:bCs/>
          <w:sz w:val="18"/>
        </w:rPr>
        <w:t>6</w:t>
      </w:r>
      <w:r>
        <w:rPr>
          <w:rFonts w:ascii="Arial" w:hAnsi="Arial" w:cs="Arial" w:hint="eastAsia"/>
          <w:bCs/>
          <w:sz w:val="18"/>
        </w:rPr>
        <w:t>月</w:t>
      </w:r>
      <w:r>
        <w:rPr>
          <w:rFonts w:ascii="Arial" w:hAnsi="Arial" w:cs="Arial" w:hint="eastAsia"/>
          <w:bCs/>
          <w:sz w:val="18"/>
        </w:rPr>
        <w:t>22</w:t>
      </w:r>
      <w:r>
        <w:rPr>
          <w:rFonts w:ascii="Arial" w:hAnsi="Arial" w:cs="Arial" w:hint="eastAsia"/>
          <w:bCs/>
          <w:sz w:val="18"/>
        </w:rPr>
        <w:t>日</w:t>
      </w:r>
      <w:r>
        <w:rPr>
          <w:rFonts w:ascii="Arial" w:hAnsi="Arial" w:cs="Arial"/>
          <w:bCs/>
          <w:sz w:val="18"/>
        </w:rPr>
        <w:t xml:space="preserve">   </w:t>
      </w:r>
      <w:r>
        <w:rPr>
          <w:rFonts w:ascii="Arial" w:hAnsi="Arial" w:cs="Arial"/>
          <w:bCs/>
          <w:sz w:val="18"/>
        </w:rPr>
        <w:t>咨询期日的集体建设用地使用权性质：</w:t>
      </w:r>
      <w:r>
        <w:rPr>
          <w:rFonts w:ascii="Arial" w:hAnsi="Arial" w:cs="Arial"/>
          <w:bCs/>
          <w:sz w:val="18"/>
        </w:rPr>
        <w:t xml:space="preserve"> </w:t>
      </w:r>
    </w:p>
    <w:tbl>
      <w:tblPr>
        <w:tblW w:w="15876"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rsidR="004935A9">
        <w:trPr>
          <w:cantSplit/>
          <w:jc w:val="center"/>
        </w:trPr>
        <w:tc>
          <w:tcPr>
            <w:tcW w:w="991"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咨询期日土地使用</w:t>
            </w:r>
            <w:r>
              <w:rPr>
                <w:rFonts w:ascii="Arial" w:hAnsi="Arial" w:cs="Arial" w:hint="eastAsia"/>
                <w:bCs/>
                <w:sz w:val="18"/>
                <w:szCs w:val="18"/>
              </w:rPr>
              <w:t>权人</w:t>
            </w:r>
          </w:p>
        </w:tc>
        <w:tc>
          <w:tcPr>
            <w:tcW w:w="795"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rsidR="004935A9" w:rsidRDefault="00311723">
            <w:pPr>
              <w:spacing w:line="240" w:lineRule="exact"/>
              <w:ind w:rightChars="-45" w:right="-108"/>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rsidR="004935A9" w:rsidRDefault="00311723">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土地使用年限</w:t>
            </w:r>
            <w:r>
              <w:rPr>
                <w:rFonts w:ascii="Arial" w:hAnsi="Arial" w:cs="Arial"/>
                <w:bCs/>
                <w:sz w:val="18"/>
                <w:szCs w:val="18"/>
              </w:rPr>
              <w:t>/</w:t>
            </w:r>
            <w:r>
              <w:rPr>
                <w:rFonts w:ascii="Arial" w:hAnsi="Arial" w:cs="Arial"/>
                <w:bCs/>
                <w:sz w:val="18"/>
                <w:szCs w:val="18"/>
              </w:rPr>
              <w:t>年</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土地面积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规划建筑面积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单位面积地价</w:t>
            </w:r>
            <w:r>
              <w:rPr>
                <w:rFonts w:ascii="Arial" w:hAnsi="Arial" w:cs="Arial"/>
                <w:bCs/>
                <w:sz w:val="18"/>
                <w:szCs w:val="18"/>
              </w:rPr>
              <w:t>/</w:t>
            </w:r>
          </w:p>
          <w:p w:rsidR="004935A9" w:rsidRDefault="00311723">
            <w:pPr>
              <w:spacing w:line="240" w:lineRule="exact"/>
              <w:rPr>
                <w:rFonts w:ascii="Arial" w:hAnsi="Arial" w:cs="Arial"/>
                <w:bCs/>
                <w:sz w:val="18"/>
                <w:szCs w:val="18"/>
              </w:rPr>
            </w:pP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楼面地价</w:t>
            </w:r>
            <w:r>
              <w:rPr>
                <w:rFonts w:ascii="Arial" w:hAnsi="Arial" w:cs="Arial"/>
                <w:bCs/>
                <w:sz w:val="18"/>
                <w:szCs w:val="18"/>
              </w:rPr>
              <w:t>/</w:t>
            </w: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4935A9" w:rsidRDefault="00311723">
            <w:pPr>
              <w:spacing w:line="240" w:lineRule="exact"/>
              <w:rPr>
                <w:rFonts w:ascii="Arial" w:hAnsi="Arial" w:cs="Arial"/>
                <w:bCs/>
                <w:sz w:val="18"/>
                <w:szCs w:val="18"/>
              </w:rPr>
            </w:pPr>
            <w:r>
              <w:rPr>
                <w:rFonts w:ascii="Arial" w:hAnsi="Arial" w:cs="Arial"/>
                <w:bCs/>
                <w:sz w:val="18"/>
                <w:szCs w:val="18"/>
              </w:rPr>
              <w:t>总地价</w:t>
            </w:r>
            <w:r>
              <w:rPr>
                <w:rFonts w:ascii="Arial" w:hAnsi="Arial" w:cs="Arial"/>
                <w:bCs/>
                <w:sz w:val="18"/>
                <w:szCs w:val="18"/>
              </w:rPr>
              <w:t>/</w:t>
            </w:r>
            <w:r>
              <w:rPr>
                <w:rFonts w:ascii="Arial" w:hAnsi="Arial" w:cs="Arial"/>
                <w:bCs/>
                <w:sz w:val="18"/>
                <w:szCs w:val="18"/>
              </w:rPr>
              <w:t>万元</w:t>
            </w:r>
          </w:p>
        </w:tc>
      </w:tr>
      <w:tr w:rsidR="004935A9">
        <w:trPr>
          <w:cantSplit/>
          <w:jc w:val="center"/>
        </w:trPr>
        <w:tc>
          <w:tcPr>
            <w:tcW w:w="991" w:type="dxa"/>
            <w:vMerge/>
            <w:vAlign w:val="center"/>
          </w:tcPr>
          <w:p w:rsidR="004935A9" w:rsidRDefault="004935A9">
            <w:pPr>
              <w:spacing w:line="240" w:lineRule="exact"/>
              <w:rPr>
                <w:rFonts w:ascii="Arial" w:hAnsi="Arial" w:cs="Arial"/>
                <w:bCs/>
                <w:sz w:val="18"/>
                <w:szCs w:val="18"/>
              </w:rPr>
            </w:pPr>
          </w:p>
        </w:tc>
        <w:tc>
          <w:tcPr>
            <w:tcW w:w="795" w:type="dxa"/>
            <w:vMerge/>
          </w:tcPr>
          <w:p w:rsidR="004935A9" w:rsidRDefault="004935A9">
            <w:pPr>
              <w:spacing w:line="240" w:lineRule="exact"/>
              <w:rPr>
                <w:rFonts w:ascii="Arial" w:hAnsi="Arial" w:cs="Arial"/>
                <w:bCs/>
                <w:sz w:val="18"/>
                <w:szCs w:val="18"/>
              </w:rPr>
            </w:pPr>
          </w:p>
        </w:tc>
        <w:tc>
          <w:tcPr>
            <w:tcW w:w="1187" w:type="dxa"/>
            <w:vMerge/>
            <w:vAlign w:val="center"/>
          </w:tcPr>
          <w:p w:rsidR="004935A9" w:rsidRDefault="004935A9">
            <w:pPr>
              <w:spacing w:line="240" w:lineRule="exact"/>
              <w:rPr>
                <w:rFonts w:ascii="Arial" w:hAnsi="Arial" w:cs="Arial"/>
                <w:bCs/>
                <w:sz w:val="18"/>
                <w:szCs w:val="18"/>
              </w:rPr>
            </w:pPr>
          </w:p>
        </w:tc>
        <w:tc>
          <w:tcPr>
            <w:tcW w:w="1148" w:type="dxa"/>
            <w:vMerge/>
            <w:vAlign w:val="center"/>
          </w:tcPr>
          <w:p w:rsidR="004935A9" w:rsidRDefault="004935A9">
            <w:pPr>
              <w:spacing w:line="240" w:lineRule="exact"/>
              <w:rPr>
                <w:rFonts w:ascii="Arial" w:hAnsi="Arial" w:cs="Arial"/>
                <w:bCs/>
                <w:sz w:val="18"/>
                <w:szCs w:val="18"/>
              </w:rPr>
            </w:pPr>
          </w:p>
        </w:tc>
        <w:tc>
          <w:tcPr>
            <w:tcW w:w="1039" w:type="dxa"/>
            <w:vAlign w:val="center"/>
          </w:tcPr>
          <w:p w:rsidR="004935A9" w:rsidRDefault="00311723">
            <w:pPr>
              <w:spacing w:line="240" w:lineRule="exact"/>
              <w:rPr>
                <w:rFonts w:ascii="Arial" w:hAnsi="Arial" w:cs="Arial"/>
                <w:bCs/>
                <w:sz w:val="18"/>
                <w:szCs w:val="18"/>
              </w:rPr>
            </w:pPr>
            <w:proofErr w:type="gramStart"/>
            <w:r>
              <w:rPr>
                <w:rFonts w:ascii="Arial" w:hAnsi="Arial" w:cs="Arial"/>
                <w:bCs/>
                <w:sz w:val="18"/>
                <w:szCs w:val="18"/>
              </w:rPr>
              <w:t>证载</w:t>
            </w:r>
            <w:proofErr w:type="gramEnd"/>
          </w:p>
        </w:tc>
        <w:tc>
          <w:tcPr>
            <w:tcW w:w="747"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rsidR="004935A9" w:rsidRDefault="00311723">
            <w:pPr>
              <w:spacing w:line="240" w:lineRule="exact"/>
              <w:ind w:rightChars="-45" w:right="-108"/>
              <w:rPr>
                <w:rFonts w:ascii="Arial" w:hAnsi="Arial" w:cs="Arial"/>
                <w:bCs/>
                <w:sz w:val="18"/>
                <w:szCs w:val="18"/>
              </w:rPr>
            </w:pPr>
            <w:r>
              <w:rPr>
                <w:rFonts w:ascii="Arial" w:hAnsi="Arial" w:cs="Arial"/>
                <w:bCs/>
                <w:sz w:val="18"/>
                <w:szCs w:val="18"/>
              </w:rPr>
              <w:t>设定</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设定</w:t>
            </w:r>
          </w:p>
        </w:tc>
        <w:tc>
          <w:tcPr>
            <w:tcW w:w="862" w:type="dxa"/>
            <w:vMerge/>
            <w:vAlign w:val="center"/>
          </w:tcPr>
          <w:p w:rsidR="004935A9" w:rsidRDefault="004935A9">
            <w:pPr>
              <w:spacing w:line="240" w:lineRule="exact"/>
              <w:rPr>
                <w:rFonts w:ascii="Arial" w:hAnsi="Arial" w:cs="Arial"/>
                <w:bCs/>
                <w:sz w:val="18"/>
                <w:szCs w:val="18"/>
              </w:rPr>
            </w:pPr>
          </w:p>
        </w:tc>
        <w:tc>
          <w:tcPr>
            <w:tcW w:w="862" w:type="dxa"/>
            <w:vMerge/>
            <w:vAlign w:val="center"/>
          </w:tcPr>
          <w:p w:rsidR="004935A9" w:rsidRDefault="004935A9">
            <w:pPr>
              <w:spacing w:line="240" w:lineRule="exact"/>
              <w:rPr>
                <w:rFonts w:ascii="Arial" w:hAnsi="Arial" w:cs="Arial"/>
                <w:bCs/>
                <w:sz w:val="18"/>
                <w:szCs w:val="18"/>
              </w:rPr>
            </w:pPr>
          </w:p>
        </w:tc>
        <w:tc>
          <w:tcPr>
            <w:tcW w:w="1005"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c>
          <w:tcPr>
            <w:tcW w:w="953" w:type="dxa"/>
            <w:vMerge/>
            <w:vAlign w:val="center"/>
          </w:tcPr>
          <w:p w:rsidR="004935A9" w:rsidRDefault="004935A9">
            <w:pPr>
              <w:spacing w:line="240" w:lineRule="exact"/>
              <w:rPr>
                <w:rFonts w:ascii="Arial" w:hAnsi="Arial" w:cs="Arial"/>
                <w:bCs/>
                <w:sz w:val="18"/>
                <w:szCs w:val="18"/>
              </w:rPr>
            </w:pPr>
          </w:p>
        </w:tc>
      </w:tr>
      <w:tr w:rsidR="004935A9">
        <w:trPr>
          <w:cantSplit/>
          <w:jc w:val="center"/>
        </w:trPr>
        <w:tc>
          <w:tcPr>
            <w:tcW w:w="991"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百泉庄村经济组织</w:t>
            </w:r>
          </w:p>
        </w:tc>
        <w:tc>
          <w:tcPr>
            <w:tcW w:w="795"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1187"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北京市</w:t>
            </w:r>
            <w:proofErr w:type="gramStart"/>
            <w:r>
              <w:rPr>
                <w:rFonts w:ascii="Arial" w:hAnsi="Arial" w:cs="Arial" w:hint="eastAsia"/>
                <w:bCs/>
                <w:sz w:val="18"/>
                <w:szCs w:val="18"/>
              </w:rPr>
              <w:t>昌平区</w:t>
            </w:r>
            <w:proofErr w:type="gramEnd"/>
            <w:r>
              <w:rPr>
                <w:rFonts w:ascii="Arial" w:hAnsi="Arial" w:cs="Arial" w:hint="eastAsia"/>
                <w:bCs/>
                <w:sz w:val="18"/>
                <w:szCs w:val="18"/>
              </w:rPr>
              <w:t>马池口镇百泉庄村集体土地租赁住房项目集体经营性建设用地使用权</w:t>
            </w:r>
          </w:p>
        </w:tc>
        <w:tc>
          <w:tcPr>
            <w:tcW w:w="1148"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1039"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集租房</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w:t>
            </w:r>
          </w:p>
        </w:tc>
        <w:tc>
          <w:tcPr>
            <w:tcW w:w="576"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三通</w:t>
            </w:r>
            <w:r>
              <w:rPr>
                <w:rFonts w:ascii="Arial" w:hAnsi="Arial" w:cs="Arial" w:hint="eastAsia"/>
                <w:bCs/>
                <w:sz w:val="18"/>
                <w:szCs w:val="18"/>
              </w:rPr>
              <w:t>、宗地红线内场地未平整，宗地内有需要移除的树木</w:t>
            </w:r>
            <w:r>
              <w:rPr>
                <w:rFonts w:ascii="Arial" w:hAnsi="Arial" w:cs="Arial"/>
                <w:bCs/>
                <w:sz w:val="18"/>
                <w:szCs w:val="18"/>
              </w:rPr>
              <w:t>一平</w:t>
            </w:r>
          </w:p>
        </w:tc>
        <w:tc>
          <w:tcPr>
            <w:tcW w:w="862"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rsidR="004935A9" w:rsidRDefault="00311723">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18132</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43300</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1065</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446</w:t>
            </w:r>
          </w:p>
        </w:tc>
        <w:tc>
          <w:tcPr>
            <w:tcW w:w="953" w:type="dxa"/>
            <w:vAlign w:val="center"/>
          </w:tcPr>
          <w:p w:rsidR="004935A9" w:rsidRDefault="00311723">
            <w:pPr>
              <w:spacing w:line="240" w:lineRule="exact"/>
              <w:rPr>
                <w:rFonts w:ascii="Arial" w:hAnsi="Arial" w:cs="Arial"/>
                <w:bCs/>
                <w:sz w:val="18"/>
                <w:szCs w:val="18"/>
              </w:rPr>
            </w:pPr>
            <w:r>
              <w:rPr>
                <w:rFonts w:ascii="Arial" w:hAnsi="Arial" w:cs="Arial" w:hint="eastAsia"/>
                <w:bCs/>
                <w:sz w:val="18"/>
                <w:szCs w:val="18"/>
              </w:rPr>
              <w:t>1804.54</w:t>
            </w:r>
          </w:p>
        </w:tc>
      </w:tr>
      <w:tr w:rsidR="004935A9">
        <w:trPr>
          <w:cantSplit/>
          <w:jc w:val="center"/>
        </w:trPr>
        <w:tc>
          <w:tcPr>
            <w:tcW w:w="14923" w:type="dxa"/>
            <w:gridSpan w:val="17"/>
            <w:tcBorders>
              <w:left w:val="nil"/>
              <w:bottom w:val="nil"/>
              <w:right w:val="nil"/>
            </w:tcBorders>
            <w:vAlign w:val="center"/>
          </w:tcPr>
          <w:p w:rsidR="004935A9" w:rsidRDefault="00311723">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rsidR="004935A9" w:rsidRDefault="004935A9">
            <w:pPr>
              <w:spacing w:line="240" w:lineRule="exact"/>
              <w:rPr>
                <w:rFonts w:ascii="Arial" w:hAnsi="Arial" w:cs="Arial"/>
                <w:b/>
                <w:bCs/>
                <w:sz w:val="18"/>
                <w:szCs w:val="18"/>
                <w:u w:val="single"/>
              </w:rPr>
            </w:pPr>
          </w:p>
        </w:tc>
      </w:tr>
    </w:tbl>
    <w:p w:rsidR="004935A9" w:rsidRDefault="004935A9">
      <w:pPr>
        <w:spacing w:line="360" w:lineRule="auto"/>
        <w:ind w:firstLineChars="200" w:firstLine="560"/>
        <w:jc w:val="both"/>
        <w:rPr>
          <w:rFonts w:ascii="Arial" w:hAnsi="Arial" w:cs="Arial"/>
          <w:sz w:val="28"/>
        </w:rPr>
        <w:sectPr w:rsidR="004935A9">
          <w:headerReference w:type="first" r:id="rId55"/>
          <w:pgSz w:w="16840" w:h="11907" w:orient="landscape"/>
          <w:pgMar w:top="2041" w:right="1134" w:bottom="1134" w:left="1134" w:header="1304" w:footer="1020" w:gutter="0"/>
          <w:cols w:space="720"/>
          <w:titlePg/>
          <w:docGrid w:linePitch="326"/>
        </w:sectPr>
      </w:pPr>
    </w:p>
    <w:p w:rsidR="004935A9" w:rsidRDefault="00311723">
      <w:pPr>
        <w:spacing w:line="360" w:lineRule="auto"/>
        <w:outlineLvl w:val="1"/>
        <w:rPr>
          <w:rFonts w:ascii="Arial" w:hAnsi="Arial" w:cs="Arial"/>
          <w:b/>
          <w:sz w:val="28"/>
        </w:rPr>
      </w:pPr>
      <w:bookmarkStart w:id="265" w:name="_Toc97732880"/>
      <w:bookmarkStart w:id="266" w:name="_Toc469066160"/>
      <w:bookmarkStart w:id="267" w:name="_Toc97732762"/>
      <w:bookmarkStart w:id="268" w:name="_Toc2884"/>
      <w:bookmarkStart w:id="269" w:name="_Toc20239"/>
      <w:bookmarkStart w:id="270" w:name="_Toc12607"/>
      <w:r>
        <w:rPr>
          <w:rFonts w:ascii="Arial" w:hAnsi="Arial" w:cs="Arial"/>
          <w:b/>
          <w:sz w:val="28"/>
        </w:rPr>
        <w:lastRenderedPageBreak/>
        <w:t>十、需要特殊说明的事项</w:t>
      </w:r>
      <w:bookmarkEnd w:id="259"/>
      <w:bookmarkEnd w:id="260"/>
      <w:bookmarkEnd w:id="265"/>
      <w:bookmarkEnd w:id="266"/>
      <w:bookmarkEnd w:id="267"/>
      <w:bookmarkEnd w:id="268"/>
      <w:bookmarkEnd w:id="269"/>
      <w:bookmarkEnd w:id="270"/>
    </w:p>
    <w:p w:rsidR="004935A9" w:rsidRDefault="00311723">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rsidR="004935A9" w:rsidRDefault="00311723">
      <w:pPr>
        <w:snapToGrid w:val="0"/>
        <w:spacing w:line="360" w:lineRule="auto"/>
        <w:ind w:firstLine="555"/>
        <w:jc w:val="both"/>
        <w:textAlignment w:val="bottom"/>
        <w:rPr>
          <w:rFonts w:ascii="Arial" w:hAnsi="Arial" w:cs="Arial"/>
          <w:sz w:val="28"/>
        </w:rPr>
      </w:pPr>
      <w:bookmarkStart w:id="271" w:name="_Toc416783581"/>
      <w:bookmarkStart w:id="272" w:name="_Toc469066161"/>
      <w:bookmarkStart w:id="273" w:name="_Toc416783677"/>
      <w:r>
        <w:rPr>
          <w:rFonts w:ascii="Arial" w:hAnsi="Arial" w:cs="Arial"/>
          <w:sz w:val="28"/>
        </w:rPr>
        <w:t>1.</w:t>
      </w:r>
      <w:r>
        <w:rPr>
          <w:rFonts w:ascii="Arial" w:hAnsi="Arial" w:cs="Arial"/>
          <w:sz w:val="28"/>
        </w:rPr>
        <w:t>咨询对象作为</w:t>
      </w:r>
      <w:r>
        <w:rPr>
          <w:rFonts w:ascii="Arial" w:hAnsi="Arial" w:cs="Arial" w:hint="eastAsia"/>
          <w:sz w:val="28"/>
        </w:rPr>
        <w:t>公寓</w:t>
      </w:r>
      <w:r>
        <w:rPr>
          <w:rFonts w:ascii="Arial" w:hAnsi="Arial" w:cs="Arial"/>
          <w:sz w:val="28"/>
        </w:rPr>
        <w:t>、商业</w:t>
      </w:r>
      <w:r>
        <w:rPr>
          <w:rFonts w:ascii="Arial" w:hAnsi="Arial" w:cs="Arial" w:hint="eastAsia"/>
          <w:sz w:val="28"/>
        </w:rPr>
        <w:t>、地下车库用途</w:t>
      </w:r>
      <w:r>
        <w:rPr>
          <w:rFonts w:ascii="Arial" w:hAnsi="Arial" w:cs="Arial"/>
          <w:sz w:val="28"/>
        </w:rPr>
        <w:t>为最有效利用方式。</w:t>
      </w:r>
    </w:p>
    <w:p w:rsidR="004935A9" w:rsidRDefault="00311723">
      <w:pPr>
        <w:snapToGrid w:val="0"/>
        <w:spacing w:line="360" w:lineRule="auto"/>
        <w:ind w:firstLine="555"/>
        <w:jc w:val="both"/>
        <w:textAlignment w:val="bottom"/>
        <w:rPr>
          <w:rFonts w:ascii="Arial" w:hAnsi="Arial" w:cs="Arial"/>
          <w:sz w:val="28"/>
        </w:rPr>
      </w:pPr>
      <w:r>
        <w:rPr>
          <w:rFonts w:ascii="Arial" w:hAnsi="Arial" w:cs="Arial"/>
          <w:sz w:val="28"/>
        </w:rPr>
        <w:t>2.</w:t>
      </w:r>
      <w:r>
        <w:rPr>
          <w:rFonts w:ascii="Arial" w:hAnsi="Arial" w:cs="Arial"/>
          <w:sz w:val="28"/>
        </w:rPr>
        <w:t>委托方提供的资料属实，没有保留及隐瞒。</w:t>
      </w:r>
    </w:p>
    <w:p w:rsidR="004935A9" w:rsidRDefault="00311723">
      <w:pPr>
        <w:snapToGrid w:val="0"/>
        <w:spacing w:line="360" w:lineRule="auto"/>
        <w:jc w:val="both"/>
        <w:textAlignment w:val="bottom"/>
        <w:rPr>
          <w:rFonts w:ascii="Arial" w:hAnsi="Arial" w:cs="Arial"/>
          <w:sz w:val="28"/>
        </w:rPr>
      </w:pPr>
      <w:r>
        <w:rPr>
          <w:rFonts w:ascii="Arial" w:hAnsi="Arial" w:cs="Arial"/>
          <w:sz w:val="28"/>
        </w:rPr>
        <w:t xml:space="preserve">    3.</w:t>
      </w:r>
      <w:r>
        <w:rPr>
          <w:rFonts w:ascii="Arial" w:hAnsi="Arial" w:cs="Arial"/>
          <w:sz w:val="28"/>
        </w:rPr>
        <w:t>在咨询期日的房地产市场为公开、平等、自愿的交易市场。</w:t>
      </w:r>
    </w:p>
    <w:p w:rsidR="004935A9" w:rsidRDefault="00311723">
      <w:pPr>
        <w:snapToGrid w:val="0"/>
        <w:spacing w:line="360" w:lineRule="auto"/>
        <w:jc w:val="both"/>
        <w:textAlignment w:val="bottom"/>
        <w:rPr>
          <w:rFonts w:ascii="Arial" w:hAnsi="Arial" w:cs="Arial"/>
          <w:sz w:val="28"/>
        </w:rPr>
      </w:pPr>
      <w:r>
        <w:rPr>
          <w:rFonts w:ascii="Arial" w:hAnsi="Arial" w:cs="Arial"/>
          <w:sz w:val="28"/>
        </w:rPr>
        <w:t xml:space="preserve">    4.</w:t>
      </w:r>
      <w:r>
        <w:rPr>
          <w:rFonts w:ascii="Arial" w:hAnsi="Arial" w:cs="Arial"/>
          <w:sz w:val="28"/>
        </w:rPr>
        <w:t>任何有关咨询对象的运作方式、程序符合国家、地方的有关法律、法规。</w:t>
      </w:r>
    </w:p>
    <w:p w:rsidR="004935A9" w:rsidRDefault="00311723">
      <w:pPr>
        <w:spacing w:line="360" w:lineRule="auto"/>
        <w:ind w:right="17" w:firstLineChars="200" w:firstLine="560"/>
        <w:jc w:val="both"/>
        <w:rPr>
          <w:rFonts w:ascii="Arial" w:hAnsi="Arial" w:cs="Arial"/>
          <w:sz w:val="28"/>
        </w:rPr>
      </w:pPr>
      <w:r>
        <w:rPr>
          <w:rFonts w:ascii="Arial" w:hAnsi="Arial" w:cs="Arial"/>
          <w:sz w:val="28"/>
        </w:rPr>
        <w:t>5.</w:t>
      </w:r>
      <w:r>
        <w:rPr>
          <w:rFonts w:ascii="Arial" w:hAnsi="Arial" w:cs="Arial"/>
          <w:sz w:val="28"/>
        </w:rPr>
        <w:t>委托方合法取得咨询对象集体建设用地使用权，并支付全部相关税费。</w:t>
      </w:r>
    </w:p>
    <w:p w:rsidR="004935A9" w:rsidRDefault="00311723">
      <w:pPr>
        <w:spacing w:line="360" w:lineRule="auto"/>
        <w:ind w:firstLineChars="200" w:firstLine="560"/>
        <w:jc w:val="both"/>
        <w:rPr>
          <w:rFonts w:ascii="Arial" w:hAnsi="Arial" w:cs="Arial"/>
          <w:i/>
          <w:sz w:val="28"/>
        </w:rPr>
      </w:pPr>
      <w:r>
        <w:rPr>
          <w:rFonts w:ascii="Arial" w:hAnsi="Arial" w:cs="Arial" w:hint="eastAsia"/>
          <w:sz w:val="28"/>
        </w:rPr>
        <w:t>6</w:t>
      </w:r>
      <w:r>
        <w:rPr>
          <w:rFonts w:ascii="Arial" w:hAnsi="Arial" w:cs="Arial"/>
          <w:sz w:val="28"/>
        </w:rPr>
        <w:t>.</w:t>
      </w: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sz w:val="28"/>
        </w:rPr>
        <w:t>.</w:t>
      </w:r>
      <w:r>
        <w:rPr>
          <w:rFonts w:ascii="Arial" w:hAnsi="Arial" w:cs="Arial"/>
          <w:sz w:val="28"/>
        </w:rPr>
        <w:t>本次评估咨询对象的规划利用条件以《</w:t>
      </w:r>
      <w:r>
        <w:rPr>
          <w:rFonts w:ascii="Arial" w:hAnsi="Arial" w:cs="Arial" w:hint="eastAsia"/>
          <w:sz w:val="28"/>
        </w:rPr>
        <w:t>估价委托书</w:t>
      </w:r>
      <w:r>
        <w:rPr>
          <w:rFonts w:ascii="Arial" w:hAnsi="Arial" w:cs="Arial"/>
          <w:sz w:val="28"/>
        </w:rPr>
        <w:t>》上载明的为依据。</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8</w:t>
      </w:r>
      <w:r>
        <w:rPr>
          <w:rFonts w:ascii="Arial" w:hAnsi="Arial" w:cs="Arial"/>
          <w:sz w:val="28"/>
        </w:rPr>
        <w:t>.</w:t>
      </w:r>
      <w:r>
        <w:rPr>
          <w:rFonts w:ascii="Arial" w:hAnsi="Arial" w:cs="Arial"/>
          <w:sz w:val="28"/>
        </w:rPr>
        <w:t>评估专业人员根据委托方所提供的资料（复印件），未发现有抵押、租赁的登记信息，本次评估设定咨询对象不存在抵押、租赁等他项权利。</w:t>
      </w:r>
    </w:p>
    <w:p w:rsidR="004935A9" w:rsidRDefault="00311723">
      <w:pPr>
        <w:snapToGrid w:val="0"/>
        <w:spacing w:line="360" w:lineRule="auto"/>
        <w:ind w:firstLine="585"/>
        <w:jc w:val="both"/>
        <w:textAlignment w:val="bottom"/>
        <w:rPr>
          <w:rFonts w:ascii="Arial" w:hAnsi="Arial" w:cs="Arial"/>
          <w:sz w:val="28"/>
        </w:rPr>
      </w:pPr>
      <w:r>
        <w:rPr>
          <w:rFonts w:ascii="Arial" w:hAnsi="Arial" w:cs="Arial" w:hint="eastAsia"/>
          <w:sz w:val="28"/>
        </w:rPr>
        <w:t>9</w:t>
      </w:r>
      <w:r>
        <w:rPr>
          <w:rFonts w:ascii="Arial" w:hAnsi="Arial" w:cs="Arial"/>
          <w:sz w:val="28"/>
        </w:rPr>
        <w:t>.</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rsidR="004935A9" w:rsidRDefault="00311723">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1.</w:t>
      </w:r>
      <w:r>
        <w:rPr>
          <w:rFonts w:ascii="Arial" w:hAnsi="Arial" w:cs="Arial"/>
          <w:sz w:val="28"/>
        </w:rPr>
        <w:t>本咨询报告的依据为国务院、国土资源部、住建部、北京市人民政府及有关部门颁布的有关法律、法规、政策文件、委托方提供的资料、受托估价方掌握的有关资料以及评估专业人员实地勘察所获取的资料。</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委托方</w:t>
      </w:r>
      <w:r>
        <w:rPr>
          <w:rFonts w:ascii="Arial" w:hAnsi="Arial" w:cs="Arial"/>
          <w:kern w:val="2"/>
          <w:sz w:val="28"/>
        </w:rPr>
        <w:t>应对其提供的权属证明以及其他资料的真实性、完整性和合法</w:t>
      </w:r>
      <w:r>
        <w:rPr>
          <w:rFonts w:ascii="Arial" w:hAnsi="Arial" w:cs="Arial"/>
          <w:kern w:val="2"/>
          <w:sz w:val="28"/>
        </w:rPr>
        <w:lastRenderedPageBreak/>
        <w:t>性负责。如因资料失实或资料提供人有所隐匿而导致咨询结果失真，估价机构不承担相应的责任。</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3.</w:t>
      </w:r>
      <w:r>
        <w:rPr>
          <w:rFonts w:ascii="Arial" w:hAnsi="Arial" w:cs="Arial"/>
          <w:sz w:val="28"/>
        </w:rPr>
        <w:t>本报告咨询结果为咨询期日下的正常市场价格，随着时间的推移，该价格需要做相应的调整直至重新评估。</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4.</w:t>
      </w:r>
      <w:r>
        <w:rPr>
          <w:rFonts w:ascii="Arial" w:hAnsi="Arial" w:cs="Arial"/>
          <w:sz w:val="28"/>
        </w:rPr>
        <w:t>本咨询报告在估价机构盖章和土地估价师签字的条件下有效。</w:t>
      </w:r>
    </w:p>
    <w:p w:rsidR="004935A9" w:rsidRDefault="00311723">
      <w:pPr>
        <w:snapToGrid w:val="0"/>
        <w:spacing w:line="360" w:lineRule="auto"/>
        <w:ind w:firstLine="585"/>
        <w:jc w:val="both"/>
        <w:textAlignment w:val="auto"/>
        <w:rPr>
          <w:rFonts w:ascii="Arial" w:hAnsi="Arial" w:cs="Arial"/>
          <w:sz w:val="28"/>
        </w:rPr>
      </w:pPr>
      <w:r>
        <w:rPr>
          <w:rFonts w:ascii="Arial" w:hAnsi="Arial" w:cs="Arial"/>
          <w:sz w:val="28"/>
        </w:rPr>
        <w:t>5.</w:t>
      </w:r>
      <w:r>
        <w:rPr>
          <w:rFonts w:ascii="Arial" w:hAnsi="Arial" w:cs="Arial"/>
          <w:sz w:val="28"/>
        </w:rPr>
        <w:t>本次评估咨询报告分为</w:t>
      </w:r>
      <w:r>
        <w:rPr>
          <w:rFonts w:ascii="Arial" w:hAnsi="Arial" w:cs="Arial"/>
          <w:sz w:val="28"/>
        </w:rPr>
        <w:t>“</w:t>
      </w:r>
      <w:r>
        <w:rPr>
          <w:rFonts w:ascii="Arial" w:hAnsi="Arial" w:cs="Arial"/>
          <w:sz w:val="28"/>
        </w:rPr>
        <w:t>土地咨询报告</w:t>
      </w:r>
      <w:r>
        <w:rPr>
          <w:rFonts w:ascii="Arial" w:hAnsi="Arial" w:cs="Arial"/>
          <w:sz w:val="28"/>
        </w:rPr>
        <w:t>”</w:t>
      </w:r>
      <w:r>
        <w:rPr>
          <w:rFonts w:ascii="Arial" w:hAnsi="Arial" w:cs="Arial"/>
          <w:sz w:val="28"/>
        </w:rPr>
        <w:t>和</w:t>
      </w:r>
      <w:r>
        <w:rPr>
          <w:rFonts w:ascii="Arial" w:hAnsi="Arial" w:cs="Arial"/>
          <w:sz w:val="28"/>
        </w:rPr>
        <w:t>“</w:t>
      </w:r>
      <w:r>
        <w:rPr>
          <w:rFonts w:ascii="Arial" w:hAnsi="Arial" w:cs="Arial"/>
          <w:sz w:val="28"/>
        </w:rPr>
        <w:t>土地咨询技术报告</w:t>
      </w:r>
      <w:r>
        <w:rPr>
          <w:rFonts w:ascii="Arial" w:hAnsi="Arial" w:cs="Arial"/>
          <w:sz w:val="28"/>
        </w:rPr>
        <w:t>”</w:t>
      </w:r>
      <w:r>
        <w:rPr>
          <w:rFonts w:ascii="Arial" w:hAnsi="Arial" w:cs="Arial"/>
          <w:sz w:val="28"/>
        </w:rPr>
        <w:t>两部分，</w:t>
      </w:r>
      <w:r>
        <w:rPr>
          <w:rFonts w:ascii="Arial" w:hAnsi="Arial" w:cs="Arial"/>
          <w:sz w:val="28"/>
        </w:rPr>
        <w:t>“</w:t>
      </w:r>
      <w:r>
        <w:rPr>
          <w:rFonts w:ascii="Arial" w:hAnsi="Arial" w:cs="Arial"/>
          <w:sz w:val="28"/>
        </w:rPr>
        <w:t>土地咨询报告</w:t>
      </w:r>
      <w:r>
        <w:rPr>
          <w:rFonts w:ascii="Arial" w:hAnsi="Arial" w:cs="Arial"/>
          <w:sz w:val="28"/>
        </w:rPr>
        <w:t>”</w:t>
      </w:r>
      <w:proofErr w:type="gramStart"/>
      <w:r>
        <w:rPr>
          <w:rFonts w:ascii="Arial" w:hAnsi="Arial" w:cs="Arial"/>
          <w:sz w:val="28"/>
        </w:rPr>
        <w:t>供委托</w:t>
      </w:r>
      <w:proofErr w:type="gramEnd"/>
      <w:r>
        <w:rPr>
          <w:rFonts w:ascii="Arial" w:hAnsi="Arial" w:cs="Arial"/>
          <w:sz w:val="28"/>
        </w:rPr>
        <w:t>方使用，</w:t>
      </w:r>
      <w:r>
        <w:rPr>
          <w:rFonts w:ascii="Arial" w:hAnsi="Arial" w:cs="Arial"/>
          <w:sz w:val="28"/>
        </w:rPr>
        <w:t>“</w:t>
      </w:r>
      <w:r>
        <w:rPr>
          <w:rFonts w:ascii="Arial" w:hAnsi="Arial" w:cs="Arial"/>
          <w:sz w:val="28"/>
        </w:rPr>
        <w:t>土地咨询技术报告</w:t>
      </w:r>
      <w:r>
        <w:rPr>
          <w:rFonts w:ascii="Arial" w:hAnsi="Arial" w:cs="Arial"/>
          <w:sz w:val="28"/>
        </w:rPr>
        <w:t>”</w:t>
      </w:r>
      <w:r>
        <w:rPr>
          <w:rFonts w:ascii="Arial" w:hAnsi="Arial" w:cs="Arial"/>
          <w:sz w:val="28"/>
        </w:rPr>
        <w:t>仅供估价机构存档和作为咨询结果提交房屋土地管理部门确认或备案时的附件。</w:t>
      </w:r>
    </w:p>
    <w:p w:rsidR="004935A9" w:rsidRDefault="00311723">
      <w:pPr>
        <w:snapToGrid w:val="0"/>
        <w:spacing w:line="360" w:lineRule="auto"/>
        <w:ind w:firstLine="570"/>
        <w:jc w:val="both"/>
        <w:rPr>
          <w:rFonts w:ascii="Arial" w:hAnsi="Arial" w:cs="Arial"/>
          <w:sz w:val="28"/>
        </w:rPr>
      </w:pPr>
      <w:r>
        <w:rPr>
          <w:rFonts w:ascii="Arial" w:hAnsi="Arial" w:cs="Arial"/>
          <w:sz w:val="28"/>
        </w:rPr>
        <w:t>6.</w:t>
      </w:r>
      <w:r>
        <w:rPr>
          <w:rFonts w:ascii="Arial" w:hAnsi="Arial" w:cs="Arial"/>
          <w:sz w:val="28"/>
        </w:rPr>
        <w:t>本咨询报告只能由咨询报告载明的报告使用者使用，且只能用于本报告载明的唯一咨询目的和用途。</w:t>
      </w:r>
    </w:p>
    <w:p w:rsidR="004935A9" w:rsidRDefault="00311723">
      <w:pPr>
        <w:snapToGrid w:val="0"/>
        <w:spacing w:line="360" w:lineRule="auto"/>
        <w:ind w:firstLine="570"/>
        <w:jc w:val="both"/>
        <w:rPr>
          <w:rFonts w:ascii="Arial" w:hAnsi="Arial" w:cs="Arial"/>
          <w:sz w:val="28"/>
        </w:rPr>
      </w:pPr>
      <w:r>
        <w:rPr>
          <w:rFonts w:ascii="Arial" w:hAnsi="Arial" w:cs="Arial"/>
          <w:sz w:val="28"/>
        </w:rPr>
        <w:t>7.</w:t>
      </w:r>
      <w:r>
        <w:rPr>
          <w:rFonts w:ascii="Arial" w:hAnsi="Arial" w:cs="Arial"/>
          <w:sz w:val="28"/>
        </w:rPr>
        <w:t>委托方或者本咨询报告使用人应按照法律规定和咨询报告载明的使用范围使用本咨询报告。委托方或者咨询报告使用人违反前述规定使用本咨询报告的，估价机构和评估专业人员不承担责任。</w:t>
      </w:r>
    </w:p>
    <w:p w:rsidR="004935A9" w:rsidRDefault="00311723">
      <w:pPr>
        <w:snapToGrid w:val="0"/>
        <w:spacing w:line="360" w:lineRule="auto"/>
        <w:ind w:firstLine="570"/>
        <w:jc w:val="both"/>
        <w:rPr>
          <w:rFonts w:ascii="Arial" w:hAnsi="Arial" w:cs="Arial"/>
          <w:sz w:val="28"/>
        </w:rPr>
      </w:pPr>
      <w:r>
        <w:rPr>
          <w:rFonts w:ascii="Arial" w:hAnsi="Arial" w:cs="Arial"/>
          <w:sz w:val="28"/>
        </w:rPr>
        <w:t>8.</w:t>
      </w:r>
      <w:r>
        <w:rPr>
          <w:rFonts w:ascii="Arial" w:hAnsi="Arial" w:cs="Arial"/>
          <w:sz w:val="28"/>
        </w:rPr>
        <w:t>除委托方、估价委托合同中约定的其他咨询报告使用人和法律、行政法规规定的咨询报告使用人之外，其他任何机构和个人不能成为咨询报告的使用人。</w:t>
      </w:r>
    </w:p>
    <w:p w:rsidR="004935A9" w:rsidRDefault="00311723">
      <w:pPr>
        <w:snapToGrid w:val="0"/>
        <w:spacing w:line="360" w:lineRule="auto"/>
        <w:ind w:firstLine="570"/>
        <w:jc w:val="both"/>
        <w:rPr>
          <w:rFonts w:ascii="Arial" w:hAnsi="Arial" w:cs="Arial"/>
          <w:sz w:val="28"/>
        </w:rPr>
      </w:pPr>
      <w:r>
        <w:rPr>
          <w:rFonts w:ascii="Arial" w:hAnsi="Arial" w:cs="Arial"/>
          <w:sz w:val="28"/>
        </w:rPr>
        <w:t>9.</w:t>
      </w:r>
      <w:r>
        <w:rPr>
          <w:rFonts w:ascii="Arial" w:hAnsi="Arial" w:cs="Arial"/>
          <w:sz w:val="28"/>
        </w:rPr>
        <w:t>咨询报告使用人应当正确理解估价结论。估价结论不等同</w:t>
      </w:r>
      <w:proofErr w:type="gramStart"/>
      <w:r>
        <w:rPr>
          <w:rFonts w:ascii="Arial" w:hAnsi="Arial" w:cs="Arial"/>
          <w:sz w:val="28"/>
        </w:rPr>
        <w:t>于咨询</w:t>
      </w:r>
      <w:proofErr w:type="gramEnd"/>
      <w:r>
        <w:rPr>
          <w:rFonts w:ascii="Arial" w:hAnsi="Arial" w:cs="Arial"/>
          <w:sz w:val="28"/>
        </w:rPr>
        <w:t>对象可实现价格，估价结论不应当被认为是对咨询对象可实现价格的保证。</w:t>
      </w:r>
    </w:p>
    <w:p w:rsidR="004935A9" w:rsidRDefault="00311723">
      <w:pPr>
        <w:snapToGrid w:val="0"/>
        <w:spacing w:line="360" w:lineRule="auto"/>
        <w:ind w:firstLine="570"/>
        <w:jc w:val="both"/>
        <w:rPr>
          <w:rFonts w:ascii="Arial" w:hAnsi="Arial" w:cs="Arial"/>
          <w:sz w:val="28"/>
        </w:rPr>
      </w:pPr>
      <w:r>
        <w:rPr>
          <w:rFonts w:ascii="Arial" w:hAnsi="Arial" w:cs="Arial"/>
          <w:sz w:val="28"/>
        </w:rPr>
        <w:t>10.</w:t>
      </w:r>
      <w:r>
        <w:rPr>
          <w:rFonts w:ascii="Arial" w:hAnsi="Arial" w:cs="Arial"/>
          <w:sz w:val="28"/>
        </w:rPr>
        <w:t>本报告所确定的土地价格仅</w:t>
      </w:r>
      <w:proofErr w:type="gramStart"/>
      <w:r>
        <w:rPr>
          <w:rFonts w:ascii="Arial" w:hAnsi="Arial" w:cs="Arial"/>
          <w:sz w:val="28"/>
        </w:rPr>
        <w:t>供了解</w:t>
      </w:r>
      <w:proofErr w:type="gramEnd"/>
      <w:r>
        <w:rPr>
          <w:rFonts w:ascii="Arial" w:hAnsi="Arial" w:cs="Arial"/>
          <w:sz w:val="28"/>
        </w:rPr>
        <w:t>咨询对象作价入股价格参考，若违反特定用途使用本土地评估报告和咨询结果，由此引出的一切法律责任由使用者自负。</w:t>
      </w:r>
    </w:p>
    <w:p w:rsidR="004935A9" w:rsidRDefault="00311723">
      <w:pPr>
        <w:snapToGrid w:val="0"/>
        <w:spacing w:line="360" w:lineRule="auto"/>
        <w:ind w:firstLine="570"/>
        <w:jc w:val="both"/>
        <w:rPr>
          <w:rFonts w:ascii="Arial" w:hAnsi="Arial" w:cs="Arial"/>
          <w:sz w:val="28"/>
        </w:rPr>
      </w:pPr>
      <w:r>
        <w:rPr>
          <w:rFonts w:ascii="Arial" w:hAnsi="Arial" w:cs="Arial"/>
          <w:sz w:val="28"/>
        </w:rPr>
        <w:t>1</w:t>
      </w:r>
      <w:r>
        <w:rPr>
          <w:rFonts w:ascii="Arial" w:hAnsi="Arial" w:cs="Arial" w:hint="eastAsia"/>
          <w:sz w:val="28"/>
        </w:rPr>
        <w:t>1</w:t>
      </w:r>
      <w:r>
        <w:rPr>
          <w:rFonts w:ascii="Arial" w:hAnsi="Arial" w:cs="Arial"/>
          <w:sz w:val="28"/>
        </w:rPr>
        <w:t>.</w:t>
      </w:r>
      <w:r>
        <w:rPr>
          <w:rFonts w:ascii="Arial" w:hAnsi="Arial" w:cs="Arial"/>
          <w:sz w:val="28"/>
        </w:rPr>
        <w:t>报告有效期限为报告出具之日起壹年内有效。</w:t>
      </w:r>
    </w:p>
    <w:p w:rsidR="004935A9" w:rsidRDefault="00311723">
      <w:pPr>
        <w:snapToGrid w:val="0"/>
        <w:spacing w:line="360" w:lineRule="auto"/>
        <w:ind w:firstLine="570"/>
        <w:jc w:val="both"/>
        <w:rPr>
          <w:rFonts w:ascii="Arial" w:hAnsi="Arial" w:cs="Arial"/>
          <w:sz w:val="28"/>
        </w:rPr>
      </w:pPr>
      <w:r>
        <w:rPr>
          <w:rFonts w:ascii="Arial" w:hAnsi="Arial" w:cs="Arial"/>
          <w:kern w:val="2"/>
          <w:sz w:val="28"/>
        </w:rPr>
        <w:t>1</w:t>
      </w:r>
      <w:r>
        <w:rPr>
          <w:rFonts w:ascii="Arial" w:hAnsi="Arial" w:cs="Arial" w:hint="eastAsia"/>
          <w:kern w:val="2"/>
          <w:sz w:val="28"/>
        </w:rPr>
        <w:t>2</w:t>
      </w:r>
      <w:r>
        <w:rPr>
          <w:rFonts w:ascii="Arial" w:hAnsi="Arial" w:cs="Arial"/>
          <w:sz w:val="28"/>
        </w:rPr>
        <w:t>.</w:t>
      </w:r>
      <w:r>
        <w:rPr>
          <w:rFonts w:ascii="Arial" w:hAnsi="Arial" w:cs="Arial"/>
          <w:sz w:val="28"/>
        </w:rPr>
        <w:t>本次土地咨询报告的使用权归</w:t>
      </w:r>
      <w:r>
        <w:rPr>
          <w:rFonts w:ascii="Arial" w:hAnsi="Arial" w:cs="Arial" w:hint="eastAsia"/>
          <w:sz w:val="28"/>
        </w:rPr>
        <w:t>北京保障房中心有限公司</w:t>
      </w:r>
      <w:r>
        <w:rPr>
          <w:rFonts w:ascii="Arial" w:hAnsi="Arial" w:cs="Arial"/>
          <w:sz w:val="28"/>
        </w:rPr>
        <w:t>，土地咨询报告由</w:t>
      </w:r>
      <w:proofErr w:type="gramStart"/>
      <w:r>
        <w:rPr>
          <w:rFonts w:ascii="Arial" w:hAnsi="Arial" w:cs="Arial"/>
          <w:sz w:val="28"/>
        </w:rPr>
        <w:t>北京康正宏</w:t>
      </w:r>
      <w:proofErr w:type="gramEnd"/>
      <w:r>
        <w:rPr>
          <w:rFonts w:ascii="Arial" w:hAnsi="Arial" w:cs="Arial"/>
          <w:sz w:val="28"/>
        </w:rPr>
        <w:t>基房地产评估有限公司负责解释。</w:t>
      </w:r>
    </w:p>
    <w:p w:rsidR="004935A9" w:rsidRDefault="00311723">
      <w:pPr>
        <w:snapToGrid w:val="0"/>
        <w:spacing w:line="360" w:lineRule="auto"/>
        <w:jc w:val="both"/>
        <w:textAlignment w:val="bottom"/>
        <w:rPr>
          <w:rFonts w:ascii="Arial" w:hAnsi="Arial" w:cs="Arial"/>
          <w:sz w:val="28"/>
        </w:rPr>
      </w:pPr>
      <w:r>
        <w:rPr>
          <w:rFonts w:ascii="Arial" w:hAnsi="Arial" w:cs="Arial"/>
          <w:sz w:val="28"/>
        </w:rPr>
        <w:t>（三）需要特殊说明的事项</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lastRenderedPageBreak/>
        <w:t>1.</w:t>
      </w:r>
      <w:r>
        <w:rPr>
          <w:rFonts w:ascii="Arial" w:hAnsi="Arial" w:cs="Arial"/>
          <w:sz w:val="28"/>
        </w:rPr>
        <w:t>资料来源说明</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）咨询对象的土地、房屋权属资料、土地利用状况、评估项目相关资料由委托方提供。</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）土地区位条件、地产市场交易资料、土地利用现状照片等相关资料由评估专业人员实地调查取得。</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3</w:t>
      </w:r>
      <w:r>
        <w:rPr>
          <w:rFonts w:ascii="Arial" w:hAnsi="Arial" w:cs="Arial"/>
          <w:sz w:val="28"/>
        </w:rPr>
        <w:t>）区域经济发展状况、统计数据、城市规划资料、基准地价资料等由评估专业人员通过政府相关部门获取。</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4</w:t>
      </w:r>
      <w:r>
        <w:rPr>
          <w:rFonts w:ascii="Arial" w:hAnsi="Arial" w:cs="Arial"/>
          <w:sz w:val="28"/>
        </w:rPr>
        <w:t>）估价中的相关参数资料由评估专业人员通过政府部门相关文件规定、公开媒体等多种途径获取。</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5</w:t>
      </w:r>
      <w:r>
        <w:rPr>
          <w:rFonts w:ascii="Arial" w:hAnsi="Arial" w:cs="Arial"/>
          <w:sz w:val="28"/>
        </w:rPr>
        <w:t>）评估专业人员结合执业经验，对上述相关评估资料的真实性、合法性、有效性、适用性进行了尽职核实、专业判断。委托方对所提供资料的真实性负责，估价机构对所收集资料的真实性、准确性负责。</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有关参数确定及使用说明</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）本次评估咨询对象准确建筑面积应以委托</w:t>
      </w:r>
      <w:proofErr w:type="gramStart"/>
      <w:r>
        <w:rPr>
          <w:rFonts w:ascii="Arial" w:hAnsi="Arial" w:cs="Arial"/>
          <w:sz w:val="28"/>
        </w:rPr>
        <w:t>方最终</w:t>
      </w:r>
      <w:proofErr w:type="gramEnd"/>
      <w:r>
        <w:rPr>
          <w:rFonts w:ascii="Arial" w:hAnsi="Arial" w:cs="Arial"/>
          <w:sz w:val="28"/>
        </w:rPr>
        <w:t>取得的《集体土地所有权证》为准。如本次咨询报告采用的建筑面积与最终取得的《集体土地所有权证》上所登记的咨询对象建筑面积不一致，咨询结果将进行相应调整。</w:t>
      </w:r>
    </w:p>
    <w:p w:rsidR="004935A9" w:rsidRDefault="00311723">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bookmarkEnd w:id="271"/>
      <w:bookmarkEnd w:id="272"/>
      <w:bookmarkEnd w:id="273"/>
    </w:p>
    <w:p w:rsidR="004935A9" w:rsidRDefault="004935A9">
      <w:pPr>
        <w:snapToGrid w:val="0"/>
        <w:spacing w:line="360" w:lineRule="auto"/>
        <w:ind w:firstLineChars="200" w:firstLine="560"/>
        <w:jc w:val="both"/>
        <w:textAlignment w:val="bottom"/>
        <w:rPr>
          <w:rFonts w:ascii="Arial" w:hAnsi="Arial" w:cs="Arial"/>
          <w:sz w:val="28"/>
        </w:rPr>
      </w:pPr>
    </w:p>
    <w:p w:rsidR="004935A9" w:rsidRDefault="00311723">
      <w:pPr>
        <w:spacing w:line="360" w:lineRule="auto"/>
        <w:outlineLvl w:val="1"/>
        <w:rPr>
          <w:rFonts w:ascii="Arial" w:hAnsi="Arial" w:cs="Arial"/>
          <w:b/>
          <w:sz w:val="28"/>
        </w:rPr>
      </w:pPr>
      <w:bookmarkStart w:id="274" w:name="_Toc416783583"/>
      <w:bookmarkStart w:id="275" w:name="_Toc97732882"/>
      <w:bookmarkStart w:id="276" w:name="_Toc5980"/>
      <w:bookmarkStart w:id="277" w:name="_Toc416783679"/>
      <w:bookmarkStart w:id="278" w:name="_Toc8249"/>
      <w:bookmarkStart w:id="279" w:name="_Toc469066163"/>
      <w:bookmarkStart w:id="280" w:name="_Toc10317"/>
      <w:bookmarkStart w:id="281" w:name="_Toc97732764"/>
      <w:r>
        <w:rPr>
          <w:rFonts w:ascii="Arial" w:hAnsi="Arial" w:cs="Arial"/>
          <w:b/>
          <w:sz w:val="28"/>
        </w:rPr>
        <w:t>十</w:t>
      </w:r>
      <w:r>
        <w:rPr>
          <w:rFonts w:ascii="Arial" w:hAnsi="Arial" w:cs="Arial" w:hint="eastAsia"/>
          <w:b/>
          <w:sz w:val="28"/>
        </w:rPr>
        <w:t>一</w:t>
      </w:r>
      <w:r>
        <w:rPr>
          <w:rFonts w:ascii="Arial" w:hAnsi="Arial" w:cs="Arial"/>
          <w:b/>
          <w:sz w:val="28"/>
        </w:rPr>
        <w:t>、土地估价机构</w:t>
      </w:r>
      <w:bookmarkEnd w:id="274"/>
      <w:bookmarkEnd w:id="275"/>
      <w:bookmarkEnd w:id="276"/>
      <w:bookmarkEnd w:id="277"/>
      <w:bookmarkEnd w:id="278"/>
      <w:bookmarkEnd w:id="279"/>
      <w:bookmarkEnd w:id="280"/>
      <w:bookmarkEnd w:id="281"/>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4935A9">
        <w:trPr>
          <w:trHeight w:val="507"/>
          <w:jc w:val="right"/>
        </w:trPr>
        <w:tc>
          <w:tcPr>
            <w:tcW w:w="4445" w:type="dxa"/>
          </w:tcPr>
          <w:p w:rsidR="004935A9" w:rsidRDefault="00311723">
            <w:pPr>
              <w:spacing w:line="360" w:lineRule="auto"/>
              <w:rPr>
                <w:rFonts w:ascii="Arial" w:hAnsi="Arial" w:cs="Arial"/>
                <w:sz w:val="28"/>
                <w:szCs w:val="21"/>
              </w:rPr>
            </w:pPr>
            <w:proofErr w:type="gramStart"/>
            <w:r>
              <w:rPr>
                <w:rFonts w:ascii="Arial" w:hAnsi="Arial" w:cs="Arial"/>
                <w:sz w:val="28"/>
                <w:szCs w:val="21"/>
              </w:rPr>
              <w:t>北京康正宏</w:t>
            </w:r>
            <w:proofErr w:type="gramEnd"/>
            <w:r>
              <w:rPr>
                <w:rFonts w:ascii="Arial" w:hAnsi="Arial" w:cs="Arial"/>
                <w:sz w:val="28"/>
                <w:szCs w:val="21"/>
              </w:rPr>
              <w:t>基房地产评估有限公司</w:t>
            </w:r>
          </w:p>
        </w:tc>
      </w:tr>
      <w:tr w:rsidR="004935A9">
        <w:trPr>
          <w:trHeight w:val="387"/>
          <w:jc w:val="right"/>
        </w:trPr>
        <w:tc>
          <w:tcPr>
            <w:tcW w:w="4445" w:type="dxa"/>
          </w:tcPr>
          <w:p w:rsidR="004935A9" w:rsidRDefault="004935A9">
            <w:pPr>
              <w:spacing w:line="480" w:lineRule="auto"/>
              <w:rPr>
                <w:rFonts w:ascii="Arial" w:hAnsi="Arial" w:cs="Arial"/>
                <w:sz w:val="28"/>
                <w:szCs w:val="21"/>
              </w:rPr>
            </w:pPr>
          </w:p>
        </w:tc>
      </w:tr>
      <w:tr w:rsidR="004935A9">
        <w:trPr>
          <w:cantSplit/>
          <w:jc w:val="right"/>
        </w:trPr>
        <w:tc>
          <w:tcPr>
            <w:tcW w:w="4445" w:type="dxa"/>
          </w:tcPr>
          <w:p w:rsidR="004935A9" w:rsidRDefault="00311723">
            <w:pPr>
              <w:spacing w:line="240" w:lineRule="auto"/>
              <w:jc w:val="right"/>
              <w:rPr>
                <w:rFonts w:ascii="Arial" w:hAnsi="Arial" w:cs="Arial"/>
                <w:sz w:val="28"/>
                <w:szCs w:val="21"/>
              </w:rPr>
            </w:pPr>
            <w:r>
              <w:rPr>
                <w:rFonts w:ascii="Arial" w:hAnsi="Arial" w:cs="Arial" w:hint="eastAsia"/>
                <w:sz w:val="28"/>
                <w:szCs w:val="21"/>
              </w:rPr>
              <w:t>二〇二五年七月一日</w:t>
            </w:r>
          </w:p>
        </w:tc>
      </w:tr>
    </w:tbl>
    <w:p w:rsidR="004935A9" w:rsidRDefault="00311723">
      <w:pPr>
        <w:spacing w:line="360" w:lineRule="auto"/>
        <w:jc w:val="center"/>
        <w:outlineLvl w:val="0"/>
        <w:rPr>
          <w:rFonts w:ascii="Arial" w:hAnsi="Arial" w:cs="Arial"/>
          <w:b/>
          <w:sz w:val="32"/>
        </w:rPr>
      </w:pPr>
      <w:r>
        <w:rPr>
          <w:rFonts w:ascii="Arial" w:hAnsi="Arial" w:cs="Arial"/>
          <w:sz w:val="28"/>
        </w:rPr>
        <w:br w:type="page"/>
      </w:r>
      <w:bookmarkStart w:id="282" w:name="_Toc97732883"/>
      <w:bookmarkStart w:id="283" w:name="_Toc97732765"/>
      <w:bookmarkStart w:id="284" w:name="_Toc9658"/>
      <w:bookmarkStart w:id="285" w:name="_Toc416783586"/>
      <w:bookmarkStart w:id="286" w:name="_Toc12091"/>
      <w:bookmarkStart w:id="287" w:name="_Toc416783682"/>
      <w:bookmarkStart w:id="288" w:name="_Toc14013"/>
      <w:bookmarkStart w:id="289" w:name="_Toc469066164"/>
      <w:r>
        <w:rPr>
          <w:rFonts w:ascii="Arial" w:hAnsi="Arial" w:cs="Arial"/>
          <w:b/>
          <w:sz w:val="32"/>
        </w:rPr>
        <w:lastRenderedPageBreak/>
        <w:t>第二部分</w:t>
      </w:r>
      <w:r>
        <w:rPr>
          <w:rFonts w:ascii="Arial" w:hAnsi="Arial" w:cs="Arial"/>
          <w:b/>
          <w:sz w:val="32"/>
        </w:rPr>
        <w:t xml:space="preserve">  </w:t>
      </w:r>
      <w:r>
        <w:rPr>
          <w:rFonts w:ascii="Arial" w:hAnsi="Arial" w:cs="Arial"/>
          <w:b/>
          <w:sz w:val="32"/>
        </w:rPr>
        <w:t>咨询对象描述及土地价格影响因素分析</w:t>
      </w:r>
      <w:bookmarkEnd w:id="282"/>
      <w:bookmarkEnd w:id="283"/>
      <w:bookmarkEnd w:id="284"/>
      <w:bookmarkEnd w:id="285"/>
      <w:bookmarkEnd w:id="286"/>
      <w:bookmarkEnd w:id="287"/>
      <w:bookmarkEnd w:id="288"/>
      <w:bookmarkEnd w:id="289"/>
    </w:p>
    <w:p w:rsidR="004935A9" w:rsidRDefault="004935A9">
      <w:pPr>
        <w:spacing w:line="360" w:lineRule="auto"/>
        <w:rPr>
          <w:rFonts w:ascii="Arial" w:hAnsi="Arial" w:cs="Arial"/>
          <w:b/>
          <w:sz w:val="28"/>
        </w:rPr>
      </w:pPr>
    </w:p>
    <w:p w:rsidR="004935A9" w:rsidRDefault="00311723">
      <w:pPr>
        <w:spacing w:line="360" w:lineRule="auto"/>
        <w:outlineLvl w:val="1"/>
        <w:rPr>
          <w:rFonts w:ascii="Arial" w:hAnsi="Arial" w:cs="Arial"/>
          <w:b/>
          <w:sz w:val="28"/>
        </w:rPr>
      </w:pPr>
      <w:bookmarkStart w:id="290" w:name="_Toc97732766"/>
      <w:bookmarkStart w:id="291" w:name="_Toc469066165"/>
      <w:bookmarkStart w:id="292" w:name="_Toc416783587"/>
      <w:bookmarkStart w:id="293" w:name="_Toc416783683"/>
      <w:bookmarkStart w:id="294" w:name="_Toc97732884"/>
      <w:bookmarkStart w:id="295" w:name="_Toc26370"/>
      <w:bookmarkStart w:id="296" w:name="_Toc28261"/>
      <w:bookmarkStart w:id="297" w:name="_Toc11379"/>
      <w:r>
        <w:rPr>
          <w:rFonts w:ascii="Arial" w:hAnsi="Arial" w:cs="Arial"/>
          <w:b/>
          <w:sz w:val="28"/>
        </w:rPr>
        <w:t>一、咨询对象描述</w:t>
      </w:r>
      <w:bookmarkEnd w:id="290"/>
      <w:bookmarkEnd w:id="291"/>
      <w:bookmarkEnd w:id="292"/>
      <w:bookmarkEnd w:id="293"/>
      <w:bookmarkEnd w:id="294"/>
      <w:bookmarkEnd w:id="295"/>
      <w:bookmarkEnd w:id="296"/>
      <w:bookmarkEnd w:id="297"/>
    </w:p>
    <w:p w:rsidR="004935A9" w:rsidRDefault="00311723">
      <w:pPr>
        <w:spacing w:line="360" w:lineRule="auto"/>
        <w:jc w:val="both"/>
        <w:rPr>
          <w:rFonts w:ascii="Arial" w:hAnsi="Arial" w:cs="Arial"/>
          <w:sz w:val="28"/>
        </w:rPr>
      </w:pPr>
      <w:r>
        <w:rPr>
          <w:rFonts w:ascii="Arial" w:hAnsi="Arial" w:cs="Arial"/>
          <w:sz w:val="28"/>
        </w:rPr>
        <w:t>（一）土地登记状况</w:t>
      </w:r>
    </w:p>
    <w:p w:rsidR="004935A9" w:rsidRDefault="00311723">
      <w:pPr>
        <w:spacing w:line="360" w:lineRule="auto"/>
        <w:ind w:firstLineChars="200" w:firstLine="560"/>
        <w:jc w:val="both"/>
        <w:rPr>
          <w:rFonts w:ascii="Arial" w:hAnsi="Arial" w:cs="Arial"/>
          <w:sz w:val="28"/>
        </w:rPr>
      </w:pPr>
      <w:r>
        <w:rPr>
          <w:rFonts w:ascii="Arial" w:hAnsi="Arial" w:cs="Arial"/>
          <w:bCs/>
          <w:sz w:val="28"/>
        </w:rPr>
        <w:t>土地来源：咨询对象为</w:t>
      </w:r>
      <w:r>
        <w:rPr>
          <w:rFonts w:ascii="Arial" w:hAnsi="Arial" w:cs="Arial"/>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w:t>
      </w:r>
      <w:r>
        <w:rPr>
          <w:rFonts w:ascii="Arial" w:hAnsi="Arial" w:cs="Arial"/>
          <w:sz w:val="28"/>
        </w:rPr>
        <w:t>用地</w:t>
      </w:r>
      <w:r>
        <w:rPr>
          <w:rFonts w:ascii="Arial" w:hAnsi="Arial" w:cs="Arial"/>
          <w:bCs/>
          <w:sz w:val="28"/>
        </w:rPr>
        <w:t>，</w:t>
      </w:r>
      <w:r>
        <w:rPr>
          <w:rFonts w:ascii="Arial" w:hAnsi="Arial" w:cs="Arial" w:hint="eastAsia"/>
          <w:bCs/>
          <w:sz w:val="28"/>
        </w:rPr>
        <w:t>根据委托方介绍，</w:t>
      </w:r>
      <w:r>
        <w:rPr>
          <w:rFonts w:ascii="Arial" w:hAnsi="Arial" w:cs="Arial" w:hint="eastAsia"/>
          <w:sz w:val="28"/>
        </w:rPr>
        <w:t>百泉庄村经济组织</w:t>
      </w:r>
      <w:r>
        <w:rPr>
          <w:rFonts w:ascii="Arial" w:hAnsi="Arial" w:cs="Arial"/>
          <w:sz w:val="28"/>
        </w:rPr>
        <w:t>为</w:t>
      </w:r>
      <w:r>
        <w:rPr>
          <w:rFonts w:ascii="Arial" w:hAnsi="Arial" w:cs="Arial"/>
          <w:bCs/>
          <w:sz w:val="28"/>
        </w:rPr>
        <w:t>咨询对象集体建设用地使用权人</w:t>
      </w:r>
      <w:r>
        <w:rPr>
          <w:rFonts w:ascii="Arial" w:hAnsi="Arial" w:cs="Arial"/>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土地面积：</w:t>
      </w:r>
      <w:r>
        <w:rPr>
          <w:rFonts w:ascii="Arial" w:hAnsi="Arial" w:cs="Arial" w:hint="eastAsia"/>
          <w:sz w:val="28"/>
        </w:rPr>
        <w:t>18132</w:t>
      </w:r>
      <w:r>
        <w:rPr>
          <w:rFonts w:ascii="Arial" w:hAnsi="Arial" w:cs="Arial"/>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咨询对象现状四至：</w:t>
      </w:r>
      <w:r>
        <w:rPr>
          <w:rFonts w:ascii="Arial" w:hAnsi="Arial" w:cs="Arial" w:hint="eastAsia"/>
          <w:sz w:val="28"/>
        </w:rPr>
        <w:t>东至</w:t>
      </w:r>
      <w:proofErr w:type="gramStart"/>
      <w:r>
        <w:rPr>
          <w:rFonts w:ascii="Arial" w:hAnsi="Arial" w:cs="Arial" w:hint="eastAsia"/>
          <w:sz w:val="28"/>
        </w:rPr>
        <w:t>水屯路</w:t>
      </w:r>
      <w:proofErr w:type="gramEnd"/>
      <w:r>
        <w:rPr>
          <w:rFonts w:ascii="Arial" w:hAnsi="Arial" w:cs="Arial" w:hint="eastAsia"/>
          <w:sz w:val="28"/>
        </w:rPr>
        <w:t>，北至规划城市支路，西</w:t>
      </w:r>
      <w:proofErr w:type="gramStart"/>
      <w:r>
        <w:rPr>
          <w:rFonts w:ascii="Arial" w:hAnsi="Arial" w:cs="Arial" w:hint="eastAsia"/>
          <w:sz w:val="28"/>
        </w:rPr>
        <w:t>至规划</w:t>
      </w:r>
      <w:proofErr w:type="gramEnd"/>
      <w:r>
        <w:rPr>
          <w:rFonts w:ascii="Arial" w:hAnsi="Arial" w:cs="Arial" w:hint="eastAsia"/>
          <w:sz w:val="28"/>
        </w:rPr>
        <w:t>城市支路，南</w:t>
      </w:r>
      <w:proofErr w:type="gramStart"/>
      <w:r>
        <w:rPr>
          <w:rFonts w:ascii="Arial" w:hAnsi="Arial" w:cs="Arial" w:hint="eastAsia"/>
          <w:sz w:val="28"/>
        </w:rPr>
        <w:t>至规划</w:t>
      </w:r>
      <w:proofErr w:type="gramEnd"/>
      <w:r>
        <w:rPr>
          <w:rFonts w:ascii="Arial" w:hAnsi="Arial" w:cs="Arial" w:hint="eastAsia"/>
          <w:sz w:val="28"/>
        </w:rPr>
        <w:t>工业园区。</w:t>
      </w:r>
    </w:p>
    <w:p w:rsidR="004935A9" w:rsidRDefault="00311723">
      <w:pPr>
        <w:spacing w:line="360" w:lineRule="auto"/>
        <w:jc w:val="both"/>
        <w:rPr>
          <w:rFonts w:ascii="Arial" w:hAnsi="Arial" w:cs="Arial"/>
          <w:sz w:val="28"/>
        </w:rPr>
      </w:pPr>
      <w:r>
        <w:rPr>
          <w:rFonts w:ascii="Arial" w:hAnsi="Arial" w:cs="Arial"/>
          <w:sz w:val="28"/>
        </w:rPr>
        <w:t>（二）土地权利状况</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咨询对象为集体土地，土地使用权人为</w:t>
      </w:r>
      <w:r>
        <w:rPr>
          <w:rFonts w:ascii="Arial" w:hAnsi="Arial" w:cs="Arial" w:hint="eastAsia"/>
          <w:sz w:val="28"/>
        </w:rPr>
        <w:t>百泉庄村经济组织</w:t>
      </w:r>
      <w:r>
        <w:rPr>
          <w:rFonts w:ascii="Arial" w:hAnsi="Arial" w:cs="Arial"/>
          <w:sz w:val="28"/>
        </w:rPr>
        <w:t>，</w:t>
      </w:r>
      <w:r>
        <w:rPr>
          <w:rFonts w:ascii="Arial" w:hAnsi="Arial" w:cs="Arial" w:hint="eastAsia"/>
          <w:sz w:val="28"/>
        </w:rPr>
        <w:t>根据委托方介绍，截至报告出具日，</w:t>
      </w:r>
      <w:r>
        <w:rPr>
          <w:rFonts w:ascii="Arial" w:hAnsi="Arial" w:cs="Arial"/>
          <w:sz w:val="28"/>
        </w:rPr>
        <w:t>咨询对象</w:t>
      </w:r>
      <w:r>
        <w:rPr>
          <w:rFonts w:ascii="Arial" w:hAnsi="Arial" w:cs="Arial" w:hint="eastAsia"/>
          <w:sz w:val="28"/>
        </w:rPr>
        <w:t>尚未</w:t>
      </w:r>
      <w:r>
        <w:rPr>
          <w:rFonts w:ascii="Arial" w:hAnsi="Arial" w:cs="Arial"/>
          <w:sz w:val="28"/>
        </w:rPr>
        <w:t>取得《集体土地所有权证》。</w:t>
      </w:r>
    </w:p>
    <w:p w:rsidR="004935A9" w:rsidRDefault="00311723">
      <w:pPr>
        <w:spacing w:line="360" w:lineRule="auto"/>
        <w:ind w:firstLineChars="200" w:firstLine="56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rsidR="004935A9" w:rsidRDefault="00311723">
      <w:pPr>
        <w:spacing w:line="360" w:lineRule="auto"/>
        <w:jc w:val="both"/>
        <w:rPr>
          <w:rFonts w:ascii="Arial" w:hAnsi="Arial" w:cs="Arial"/>
          <w:sz w:val="28"/>
        </w:rPr>
      </w:pPr>
      <w:r>
        <w:rPr>
          <w:rFonts w:ascii="Arial" w:hAnsi="Arial" w:cs="Arial"/>
          <w:sz w:val="28"/>
        </w:rPr>
        <w:t>（三）土地利用状况</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土地规划设计条件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4935A9">
        <w:trPr>
          <w:trHeight w:val="280"/>
        </w:trPr>
        <w:tc>
          <w:tcPr>
            <w:tcW w:w="5526" w:type="dxa"/>
            <w:gridSpan w:val="3"/>
            <w:tcBorders>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commentRangeStart w:id="298"/>
            <w:r>
              <w:rPr>
                <w:rFonts w:ascii="Arial" w:hAnsi="Arial" w:cs="Arial"/>
                <w:color w:val="000000"/>
                <w:sz w:val="20"/>
              </w:rPr>
              <w:t>数量</w:t>
            </w:r>
            <w:commentRangeEnd w:id="298"/>
            <w:r>
              <w:rPr>
                <w:rStyle w:val="af3"/>
              </w:rPr>
              <w:commentReference w:id="298"/>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4935A9">
        <w:trPr>
          <w:trHeight w:val="280"/>
        </w:trPr>
        <w:tc>
          <w:tcPr>
            <w:tcW w:w="1165" w:type="dxa"/>
            <w:vMerge w:val="restart"/>
            <w:tcBorders>
              <w:top w:val="nil"/>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4935A9" w:rsidRDefault="00311723">
      <w:pPr>
        <w:spacing w:beforeLines="100" w:before="240" w:line="360" w:lineRule="auto"/>
        <w:ind w:firstLineChars="200" w:firstLine="552"/>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rsidR="004935A9" w:rsidRDefault="00311723">
      <w:pPr>
        <w:spacing w:line="360" w:lineRule="auto"/>
        <w:ind w:firstLineChars="200" w:firstLine="512"/>
        <w:jc w:val="both"/>
        <w:rPr>
          <w:rFonts w:ascii="Arial" w:hAnsi="Arial" w:cs="Arial"/>
          <w:spacing w:val="-12"/>
          <w:sz w:val="28"/>
        </w:rPr>
      </w:pPr>
      <w:r>
        <w:rPr>
          <w:rFonts w:ascii="Arial" w:hAnsi="Arial" w:cs="Arial"/>
          <w:spacing w:val="-12"/>
          <w:sz w:val="28"/>
        </w:rPr>
        <w:t>2.</w:t>
      </w:r>
      <w:r>
        <w:rPr>
          <w:rFonts w:ascii="Arial" w:hAnsi="Arial" w:cs="Arial"/>
          <w:spacing w:val="-12"/>
          <w:sz w:val="28"/>
        </w:rPr>
        <w:t>土地利用现状</w:t>
      </w:r>
    </w:p>
    <w:p w:rsidR="004935A9" w:rsidRDefault="00311723">
      <w:pPr>
        <w:spacing w:line="360" w:lineRule="auto"/>
        <w:ind w:firstLineChars="200" w:firstLine="512"/>
        <w:jc w:val="both"/>
        <w:rPr>
          <w:rFonts w:ascii="Arial" w:hAnsi="Arial" w:cs="Arial"/>
          <w:sz w:val="28"/>
        </w:rPr>
      </w:pPr>
      <w:r>
        <w:rPr>
          <w:rFonts w:ascii="Arial" w:hAnsi="Arial" w:cs="Arial"/>
          <w:spacing w:val="-12"/>
          <w:sz w:val="28"/>
        </w:rPr>
        <w:t>根据评估专业人员实地查勘，截至咨询期日，咨询对象宗地红线外达</w:t>
      </w:r>
      <w:r>
        <w:rPr>
          <w:rFonts w:ascii="Arial" w:hAnsi="Arial" w:cs="Arial"/>
          <w:spacing w:val="-12"/>
          <w:sz w:val="28"/>
        </w:rPr>
        <w:t>“</w:t>
      </w:r>
      <w:r>
        <w:rPr>
          <w:rFonts w:ascii="Arial" w:hAnsi="Arial" w:cs="Arial"/>
          <w:spacing w:val="-12"/>
          <w:sz w:val="28"/>
        </w:rPr>
        <w:t>三通</w:t>
      </w:r>
      <w:r>
        <w:rPr>
          <w:rFonts w:ascii="Arial" w:hAnsi="Arial" w:cs="Arial"/>
          <w:spacing w:val="-12"/>
          <w:sz w:val="28"/>
        </w:rPr>
        <w:t>”</w:t>
      </w:r>
      <w:r>
        <w:rPr>
          <w:rFonts w:ascii="Arial" w:hAnsi="Arial" w:cs="Arial"/>
          <w:spacing w:val="-12"/>
          <w:sz w:val="28"/>
        </w:rPr>
        <w:t>，红线内场地尚未平整，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w:t>
      </w:r>
      <w:commentRangeStart w:id="299"/>
      <w:r>
        <w:rPr>
          <w:rFonts w:ascii="Arial" w:hAnsi="Arial" w:cs="Arial"/>
          <w:sz w:val="28"/>
        </w:rPr>
        <w:t>树木移除</w:t>
      </w:r>
      <w:commentRangeEnd w:id="299"/>
      <w:r>
        <w:rPr>
          <w:rStyle w:val="af3"/>
        </w:rPr>
        <w:commentReference w:id="299"/>
      </w:r>
      <w:r>
        <w:rPr>
          <w:rFonts w:ascii="Arial" w:hAnsi="Arial" w:cs="Arial"/>
          <w:sz w:val="28"/>
        </w:rPr>
        <w:t>的费用。</w:t>
      </w:r>
    </w:p>
    <w:p w:rsidR="004935A9" w:rsidRDefault="004935A9">
      <w:pPr>
        <w:spacing w:line="360" w:lineRule="auto"/>
        <w:rPr>
          <w:rFonts w:ascii="Arial" w:hAnsi="Arial" w:cs="Arial"/>
          <w:b/>
          <w:sz w:val="28"/>
        </w:rPr>
      </w:pPr>
    </w:p>
    <w:p w:rsidR="004935A9" w:rsidRDefault="00311723">
      <w:pPr>
        <w:spacing w:line="360" w:lineRule="auto"/>
        <w:outlineLvl w:val="1"/>
        <w:rPr>
          <w:rFonts w:ascii="Arial" w:hAnsi="Arial" w:cs="Arial"/>
          <w:b/>
          <w:sz w:val="28"/>
        </w:rPr>
      </w:pPr>
      <w:bookmarkStart w:id="300" w:name="_Toc416783690"/>
      <w:bookmarkStart w:id="301" w:name="_Toc97732885"/>
      <w:bookmarkStart w:id="302" w:name="_Toc97732767"/>
      <w:bookmarkStart w:id="303" w:name="_Toc2555"/>
      <w:bookmarkStart w:id="304" w:name="_Toc26101"/>
      <w:bookmarkStart w:id="305" w:name="_Toc22964"/>
      <w:bookmarkStart w:id="306" w:name="_Toc416783594"/>
      <w:bookmarkStart w:id="307" w:name="_Toc469066166"/>
      <w:r>
        <w:rPr>
          <w:rFonts w:ascii="Arial" w:hAnsi="Arial" w:cs="Arial"/>
          <w:b/>
          <w:sz w:val="28"/>
        </w:rPr>
        <w:t>二、地价影响因素分析</w:t>
      </w:r>
      <w:bookmarkEnd w:id="300"/>
      <w:bookmarkEnd w:id="301"/>
      <w:bookmarkEnd w:id="302"/>
      <w:bookmarkEnd w:id="303"/>
      <w:bookmarkEnd w:id="304"/>
      <w:bookmarkEnd w:id="305"/>
      <w:bookmarkEnd w:id="306"/>
      <w:bookmarkEnd w:id="307"/>
    </w:p>
    <w:p w:rsidR="004935A9" w:rsidRDefault="00311723">
      <w:pPr>
        <w:spacing w:line="360" w:lineRule="auto"/>
        <w:jc w:val="both"/>
        <w:rPr>
          <w:rFonts w:ascii="宋体" w:hAnsi="宋体" w:cs="宋体"/>
          <w:sz w:val="28"/>
          <w:szCs w:val="28"/>
        </w:rPr>
      </w:pPr>
      <w:r>
        <w:rPr>
          <w:rFonts w:ascii="宋体" w:hAnsi="宋体" w:cs="宋体" w:hint="eastAsia"/>
          <w:sz w:val="28"/>
          <w:szCs w:val="28"/>
        </w:rPr>
        <w:t>（一） 一般因素</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城市资源状况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地理位置：北京，简称“京”，是中华人民共和国的首都，是全国的政治中心、文化中心，是世界著名古都和现代化国际城市。北京位于北纬</w:t>
      </w:r>
      <w:r>
        <w:rPr>
          <w:rFonts w:ascii="Arial" w:hAnsi="Arial" w:cs="Arial" w:hint="eastAsia"/>
          <w:sz w:val="28"/>
        </w:rPr>
        <w:t>39</w:t>
      </w:r>
      <w:r>
        <w:rPr>
          <w:rFonts w:ascii="Arial" w:hAnsi="Arial" w:cs="Arial" w:hint="eastAsia"/>
          <w:sz w:val="28"/>
        </w:rPr>
        <w:t>度</w:t>
      </w:r>
      <w:r>
        <w:rPr>
          <w:rFonts w:ascii="Arial" w:hAnsi="Arial" w:cs="Arial" w:hint="eastAsia"/>
          <w:sz w:val="28"/>
        </w:rPr>
        <w:t>56</w:t>
      </w:r>
      <w:r>
        <w:rPr>
          <w:rFonts w:ascii="Arial" w:hAnsi="Arial" w:cs="Arial" w:hint="eastAsia"/>
          <w:sz w:val="28"/>
        </w:rPr>
        <w:t>分、东经</w:t>
      </w:r>
      <w:r>
        <w:rPr>
          <w:rFonts w:ascii="Arial" w:hAnsi="Arial" w:cs="Arial" w:hint="eastAsia"/>
          <w:sz w:val="28"/>
        </w:rPr>
        <w:t>116</w:t>
      </w:r>
      <w:r>
        <w:rPr>
          <w:rFonts w:ascii="Arial" w:hAnsi="Arial" w:cs="Arial" w:hint="eastAsia"/>
          <w:sz w:val="28"/>
        </w:rPr>
        <w:t>度</w:t>
      </w:r>
      <w:r>
        <w:rPr>
          <w:rFonts w:ascii="Arial" w:hAnsi="Arial" w:cs="Arial" w:hint="eastAsia"/>
          <w:sz w:val="28"/>
        </w:rPr>
        <w:t>20</w:t>
      </w:r>
      <w:r>
        <w:rPr>
          <w:rFonts w:ascii="Arial" w:hAnsi="Arial" w:cs="Arial" w:hint="eastAsia"/>
          <w:sz w:val="28"/>
        </w:rPr>
        <w:t>分，地处华北大平原的北部，东面与天津市毗连，其余均与河北省相邻。</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城市人口：截至</w:t>
      </w:r>
      <w:r>
        <w:rPr>
          <w:rFonts w:ascii="Arial" w:hAnsi="Arial" w:cs="Arial" w:hint="eastAsia"/>
          <w:sz w:val="28"/>
        </w:rPr>
        <w:t>2024</w:t>
      </w:r>
      <w:r>
        <w:rPr>
          <w:rFonts w:ascii="Arial" w:hAnsi="Arial" w:cs="Arial" w:hint="eastAsia"/>
          <w:sz w:val="28"/>
        </w:rPr>
        <w:t>年年末，北京市常住人口为</w:t>
      </w:r>
      <w:r>
        <w:rPr>
          <w:rFonts w:ascii="Arial" w:hAnsi="Arial" w:cs="Arial" w:hint="eastAsia"/>
          <w:sz w:val="28"/>
        </w:rPr>
        <w:t>2183.2</w:t>
      </w:r>
      <w:r>
        <w:rPr>
          <w:rFonts w:ascii="Arial" w:hAnsi="Arial" w:cs="Arial" w:hint="eastAsia"/>
          <w:sz w:val="28"/>
        </w:rPr>
        <w:t>万人，从年龄构成看，</w:t>
      </w:r>
      <w:r>
        <w:rPr>
          <w:rFonts w:ascii="Arial" w:hAnsi="Arial" w:cs="Arial" w:hint="eastAsia"/>
          <w:sz w:val="28"/>
        </w:rPr>
        <w:t>0-14</w:t>
      </w:r>
      <w:r>
        <w:rPr>
          <w:rFonts w:ascii="Arial" w:hAnsi="Arial" w:cs="Arial" w:hint="eastAsia"/>
          <w:sz w:val="28"/>
        </w:rPr>
        <w:t>岁常住人口</w:t>
      </w:r>
      <w:r>
        <w:rPr>
          <w:rFonts w:ascii="Arial" w:hAnsi="Arial" w:cs="Arial" w:hint="eastAsia"/>
          <w:sz w:val="28"/>
        </w:rPr>
        <w:t>261.2</w:t>
      </w:r>
      <w:r>
        <w:rPr>
          <w:rFonts w:ascii="Arial" w:hAnsi="Arial" w:cs="Arial" w:hint="eastAsia"/>
          <w:sz w:val="28"/>
        </w:rPr>
        <w:t>万人，占全市常住人口的比重为</w:t>
      </w:r>
      <w:r>
        <w:rPr>
          <w:rFonts w:ascii="Arial" w:hAnsi="Arial" w:cs="Arial" w:hint="eastAsia"/>
          <w:sz w:val="28"/>
        </w:rPr>
        <w:t>12.0%</w:t>
      </w:r>
      <w:r>
        <w:rPr>
          <w:rFonts w:ascii="Arial" w:hAnsi="Arial" w:cs="Arial" w:hint="eastAsia"/>
          <w:sz w:val="28"/>
        </w:rPr>
        <w:t>；</w:t>
      </w:r>
      <w:r>
        <w:rPr>
          <w:rFonts w:ascii="Arial" w:hAnsi="Arial" w:cs="Arial" w:hint="eastAsia"/>
          <w:sz w:val="28"/>
        </w:rPr>
        <w:t>15-59</w:t>
      </w:r>
      <w:r>
        <w:rPr>
          <w:rFonts w:ascii="Arial" w:hAnsi="Arial" w:cs="Arial" w:hint="eastAsia"/>
          <w:sz w:val="28"/>
        </w:rPr>
        <w:t>岁常住人口</w:t>
      </w:r>
      <w:r>
        <w:rPr>
          <w:rFonts w:ascii="Arial" w:hAnsi="Arial" w:cs="Arial" w:hint="eastAsia"/>
          <w:sz w:val="28"/>
        </w:rPr>
        <w:t>1408.0</w:t>
      </w:r>
      <w:r>
        <w:rPr>
          <w:rFonts w:ascii="Arial" w:hAnsi="Arial" w:cs="Arial" w:hint="eastAsia"/>
          <w:sz w:val="28"/>
        </w:rPr>
        <w:t>万人，占</w:t>
      </w:r>
      <w:r>
        <w:rPr>
          <w:rFonts w:ascii="Arial" w:hAnsi="Arial" w:cs="Arial" w:hint="eastAsia"/>
          <w:sz w:val="28"/>
        </w:rPr>
        <w:t>64.5%</w:t>
      </w:r>
      <w:r>
        <w:rPr>
          <w:rFonts w:ascii="Arial" w:hAnsi="Arial" w:cs="Arial" w:hint="eastAsia"/>
          <w:sz w:val="28"/>
        </w:rPr>
        <w:t>；</w:t>
      </w:r>
      <w:r>
        <w:rPr>
          <w:rFonts w:ascii="Arial" w:hAnsi="Arial" w:cs="Arial" w:hint="eastAsia"/>
          <w:sz w:val="28"/>
        </w:rPr>
        <w:t>60</w:t>
      </w:r>
      <w:r>
        <w:rPr>
          <w:rFonts w:ascii="Arial" w:hAnsi="Arial" w:cs="Arial" w:hint="eastAsia"/>
          <w:sz w:val="28"/>
        </w:rPr>
        <w:t>岁及以上常住人口</w:t>
      </w:r>
      <w:r>
        <w:rPr>
          <w:rFonts w:ascii="Arial" w:hAnsi="Arial" w:cs="Arial" w:hint="eastAsia"/>
          <w:sz w:val="28"/>
        </w:rPr>
        <w:t>514.0</w:t>
      </w:r>
      <w:r>
        <w:rPr>
          <w:rFonts w:ascii="Arial" w:hAnsi="Arial" w:cs="Arial" w:hint="eastAsia"/>
          <w:sz w:val="28"/>
        </w:rPr>
        <w:t>万人，占</w:t>
      </w:r>
      <w:r>
        <w:rPr>
          <w:rFonts w:ascii="Arial" w:hAnsi="Arial" w:cs="Arial" w:hint="eastAsia"/>
          <w:sz w:val="28"/>
        </w:rPr>
        <w:t>23.5%</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2020-2024</w:t>
      </w:r>
      <w:r>
        <w:rPr>
          <w:rFonts w:ascii="Arial" w:hAnsi="Arial" w:cs="Arial" w:hint="eastAsia"/>
          <w:sz w:val="28"/>
        </w:rPr>
        <w:t>年常住人口增量及增长速度</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6770" cy="2172335"/>
            <wp:effectExtent l="0" t="0" r="0" b="0"/>
            <wp:docPr id="28" name="图片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城市面积：北京市下辖</w:t>
      </w:r>
      <w:r>
        <w:rPr>
          <w:rFonts w:ascii="Arial" w:hAnsi="Arial" w:cs="Arial" w:hint="eastAsia"/>
          <w:sz w:val="28"/>
        </w:rPr>
        <w:t>16</w:t>
      </w:r>
      <w:r>
        <w:rPr>
          <w:rFonts w:ascii="Arial" w:hAnsi="Arial" w:cs="Arial" w:hint="eastAsia"/>
          <w:sz w:val="28"/>
        </w:rPr>
        <w:t>个区（即东城、西城、海淀、朝阳、丰台、顺义、昌平、通州、门头沟、石景山、房山、大兴、怀柔、平谷、密云、延庆），行政辖区总面积为</w:t>
      </w:r>
      <w:r>
        <w:rPr>
          <w:rFonts w:ascii="Arial" w:hAnsi="Arial" w:cs="Arial" w:hint="eastAsia"/>
          <w:sz w:val="28"/>
        </w:rPr>
        <w:t>16410</w:t>
      </w:r>
      <w:r>
        <w:rPr>
          <w:rFonts w:ascii="Arial" w:hAnsi="Arial" w:cs="Arial" w:hint="eastAsia"/>
          <w:sz w:val="28"/>
        </w:rPr>
        <w:t>平方公里。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城市自然条件：北京气候属暖温带半湿润半干旱季风气候，夏季高温多雨，冬季寒冷干燥，春、秋短促。全年无霜期</w:t>
      </w:r>
      <w:r>
        <w:rPr>
          <w:rFonts w:ascii="Arial" w:hAnsi="Arial" w:cs="Arial" w:hint="eastAsia"/>
          <w:sz w:val="28"/>
        </w:rPr>
        <w:t>180</w:t>
      </w:r>
      <w:r>
        <w:rPr>
          <w:rFonts w:ascii="Arial" w:hAnsi="Arial" w:cs="Arial" w:hint="eastAsia"/>
          <w:sz w:val="28"/>
        </w:rPr>
        <w:t>～</w:t>
      </w:r>
      <w:r>
        <w:rPr>
          <w:rFonts w:ascii="Arial" w:hAnsi="Arial" w:cs="Arial" w:hint="eastAsia"/>
          <w:sz w:val="28"/>
        </w:rPr>
        <w:t>200</w:t>
      </w:r>
      <w:r>
        <w:rPr>
          <w:rFonts w:ascii="Arial" w:hAnsi="Arial" w:cs="Arial" w:hint="eastAsia"/>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Pr>
          <w:rFonts w:ascii="Arial" w:hAnsi="Arial" w:cs="Arial" w:hint="eastAsia"/>
          <w:sz w:val="28"/>
        </w:rPr>
        <w:t>蓟</w:t>
      </w:r>
      <w:proofErr w:type="gramEnd"/>
      <w:r>
        <w:rPr>
          <w:rFonts w:ascii="Arial" w:hAnsi="Arial" w:cs="Arial" w:hint="eastAsia"/>
          <w:sz w:val="28"/>
        </w:rPr>
        <w:t>运河水系。多由西北部山地发源，向东南蜿蜒流经平原地区，最后分别在海河汇入渤海（</w:t>
      </w:r>
      <w:proofErr w:type="gramStart"/>
      <w:r>
        <w:rPr>
          <w:rFonts w:ascii="Arial" w:hAnsi="Arial" w:cs="Arial" w:hint="eastAsia"/>
          <w:sz w:val="28"/>
        </w:rPr>
        <w:t>蓟</w:t>
      </w:r>
      <w:proofErr w:type="gramEnd"/>
      <w:r>
        <w:rPr>
          <w:rFonts w:ascii="Arial" w:hAnsi="Arial" w:cs="Arial" w:hint="eastAsia"/>
          <w:sz w:val="28"/>
        </w:rPr>
        <w:t>运河除外）。北京市有水库</w:t>
      </w:r>
      <w:r>
        <w:rPr>
          <w:rFonts w:ascii="Arial" w:hAnsi="Arial" w:cs="Arial" w:hint="eastAsia"/>
          <w:sz w:val="28"/>
        </w:rPr>
        <w:t>85</w:t>
      </w:r>
      <w:r>
        <w:rPr>
          <w:rFonts w:ascii="Arial" w:hAnsi="Arial" w:cs="Arial" w:hint="eastAsia"/>
          <w:sz w:val="28"/>
        </w:rPr>
        <w:t>座，其中大型水库有密云水库、官厅水库、怀柔水库、海子水库。北京市地下水多年平均补给量约为</w:t>
      </w:r>
      <w:r>
        <w:rPr>
          <w:rFonts w:ascii="Arial" w:hAnsi="Arial" w:cs="Arial" w:hint="eastAsia"/>
          <w:sz w:val="28"/>
        </w:rPr>
        <w:t>29.21</w:t>
      </w:r>
      <w:r>
        <w:rPr>
          <w:rFonts w:ascii="Arial" w:hAnsi="Arial" w:cs="Arial" w:hint="eastAsia"/>
          <w:sz w:val="28"/>
        </w:rPr>
        <w:t>亿立方米，平均年可开采量约</w:t>
      </w:r>
      <w:r>
        <w:rPr>
          <w:rFonts w:ascii="Arial" w:hAnsi="Arial" w:cs="Arial" w:hint="eastAsia"/>
          <w:sz w:val="28"/>
        </w:rPr>
        <w:t>24~25</w:t>
      </w:r>
      <w:r>
        <w:rPr>
          <w:rFonts w:ascii="Arial" w:hAnsi="Arial" w:cs="Arial" w:hint="eastAsia"/>
          <w:sz w:val="28"/>
        </w:rPr>
        <w:t>亿立方米。一次性天然水资源年平均总量为</w:t>
      </w:r>
      <w:r>
        <w:rPr>
          <w:rFonts w:ascii="Arial" w:hAnsi="Arial" w:cs="Arial" w:hint="eastAsia"/>
          <w:sz w:val="28"/>
        </w:rPr>
        <w:t>55.21</w:t>
      </w:r>
      <w:r>
        <w:rPr>
          <w:rFonts w:ascii="Arial" w:hAnsi="Arial" w:cs="Arial" w:hint="eastAsia"/>
          <w:sz w:val="28"/>
        </w:rPr>
        <w:t>亿立方米。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土地利用状况：</w:t>
      </w:r>
      <w:r>
        <w:rPr>
          <w:rFonts w:ascii="Arial" w:hAnsi="Arial" w:cs="Arial" w:hint="eastAsia"/>
          <w:sz w:val="28"/>
        </w:rPr>
        <w:t>2021</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5</w:t>
      </w:r>
      <w:r>
        <w:rPr>
          <w:rFonts w:ascii="Arial" w:hAnsi="Arial" w:cs="Arial" w:hint="eastAsia"/>
          <w:sz w:val="28"/>
        </w:rPr>
        <w:t>日，北京市发布第三次全国国土调查主要数据公报。数据显示，北京市现有耕地</w:t>
      </w:r>
      <w:r>
        <w:rPr>
          <w:rFonts w:ascii="Arial" w:hAnsi="Arial" w:cs="Arial" w:hint="eastAsia"/>
          <w:sz w:val="28"/>
        </w:rPr>
        <w:t>93547.9</w:t>
      </w:r>
      <w:r>
        <w:rPr>
          <w:rFonts w:ascii="Arial" w:hAnsi="Arial" w:cs="Arial" w:hint="eastAsia"/>
          <w:sz w:val="28"/>
        </w:rPr>
        <w:t>公顷（</w:t>
      </w:r>
      <w:r>
        <w:rPr>
          <w:rFonts w:ascii="Arial" w:hAnsi="Arial" w:cs="Arial" w:hint="eastAsia"/>
          <w:sz w:val="28"/>
        </w:rPr>
        <w:t>1403218.5</w:t>
      </w:r>
      <w:r>
        <w:rPr>
          <w:rFonts w:ascii="Arial" w:hAnsi="Arial" w:cs="Arial" w:hint="eastAsia"/>
          <w:sz w:val="28"/>
        </w:rPr>
        <w:t>亩）、园地</w:t>
      </w:r>
      <w:r>
        <w:rPr>
          <w:rFonts w:ascii="Arial" w:hAnsi="Arial" w:cs="Arial" w:hint="eastAsia"/>
          <w:sz w:val="28"/>
        </w:rPr>
        <w:t>126274.55</w:t>
      </w:r>
      <w:r>
        <w:rPr>
          <w:rFonts w:ascii="Arial" w:hAnsi="Arial" w:cs="Arial" w:hint="eastAsia"/>
          <w:sz w:val="28"/>
        </w:rPr>
        <w:t>公顷（</w:t>
      </w:r>
      <w:r>
        <w:rPr>
          <w:rFonts w:ascii="Arial" w:hAnsi="Arial" w:cs="Arial" w:hint="eastAsia"/>
          <w:sz w:val="28"/>
        </w:rPr>
        <w:t>1894118.25</w:t>
      </w:r>
      <w:r>
        <w:rPr>
          <w:rFonts w:ascii="Arial" w:hAnsi="Arial" w:cs="Arial" w:hint="eastAsia"/>
          <w:sz w:val="28"/>
        </w:rPr>
        <w:t>亩）、林地</w:t>
      </w:r>
      <w:r>
        <w:rPr>
          <w:rFonts w:ascii="Arial" w:hAnsi="Arial" w:cs="Arial" w:hint="eastAsia"/>
          <w:sz w:val="28"/>
        </w:rPr>
        <w:t>967628.62</w:t>
      </w:r>
      <w:r>
        <w:rPr>
          <w:rFonts w:ascii="Arial" w:hAnsi="Arial" w:cs="Arial" w:hint="eastAsia"/>
          <w:sz w:val="28"/>
        </w:rPr>
        <w:t>公顷（</w:t>
      </w:r>
      <w:r>
        <w:rPr>
          <w:rFonts w:ascii="Arial" w:hAnsi="Arial" w:cs="Arial" w:hint="eastAsia"/>
          <w:sz w:val="28"/>
        </w:rPr>
        <w:t>14514429.3</w:t>
      </w:r>
      <w:r>
        <w:rPr>
          <w:rFonts w:ascii="Arial" w:hAnsi="Arial" w:cs="Arial" w:hint="eastAsia"/>
          <w:sz w:val="28"/>
        </w:rPr>
        <w:t>亩）、草地</w:t>
      </w:r>
      <w:r>
        <w:rPr>
          <w:rFonts w:ascii="Arial" w:hAnsi="Arial" w:cs="Arial" w:hint="eastAsia"/>
          <w:sz w:val="28"/>
        </w:rPr>
        <w:t>14460.44</w:t>
      </w:r>
      <w:r>
        <w:rPr>
          <w:rFonts w:ascii="Arial" w:hAnsi="Arial" w:cs="Arial" w:hint="eastAsia"/>
          <w:sz w:val="28"/>
        </w:rPr>
        <w:t>公顷（</w:t>
      </w:r>
      <w:r>
        <w:rPr>
          <w:rFonts w:ascii="Arial" w:hAnsi="Arial" w:cs="Arial" w:hint="eastAsia"/>
          <w:sz w:val="28"/>
        </w:rPr>
        <w:t>216906.6</w:t>
      </w:r>
      <w:r>
        <w:rPr>
          <w:rFonts w:ascii="Arial" w:hAnsi="Arial" w:cs="Arial" w:hint="eastAsia"/>
          <w:sz w:val="28"/>
        </w:rPr>
        <w:t>亩）、湿地</w:t>
      </w:r>
      <w:r>
        <w:rPr>
          <w:rFonts w:ascii="Arial" w:hAnsi="Arial" w:cs="Arial" w:hint="eastAsia"/>
          <w:sz w:val="28"/>
        </w:rPr>
        <w:t>3107.98</w:t>
      </w:r>
      <w:r>
        <w:rPr>
          <w:rFonts w:ascii="Arial" w:hAnsi="Arial" w:cs="Arial" w:hint="eastAsia"/>
          <w:sz w:val="28"/>
        </w:rPr>
        <w:t>公顷（</w:t>
      </w:r>
      <w:r>
        <w:rPr>
          <w:rFonts w:ascii="Arial" w:hAnsi="Arial" w:cs="Arial" w:hint="eastAsia"/>
          <w:sz w:val="28"/>
        </w:rPr>
        <w:t>46619.7</w:t>
      </w:r>
      <w:r>
        <w:rPr>
          <w:rFonts w:ascii="Arial" w:hAnsi="Arial" w:cs="Arial" w:hint="eastAsia"/>
          <w:sz w:val="28"/>
        </w:rPr>
        <w:t>亩）、城镇村及工矿用地</w:t>
      </w:r>
      <w:r>
        <w:rPr>
          <w:rFonts w:ascii="Arial" w:hAnsi="Arial" w:cs="Arial" w:hint="eastAsia"/>
          <w:sz w:val="28"/>
        </w:rPr>
        <w:t>313643.87</w:t>
      </w:r>
      <w:r>
        <w:rPr>
          <w:rFonts w:ascii="Arial" w:hAnsi="Arial" w:cs="Arial" w:hint="eastAsia"/>
          <w:sz w:val="28"/>
        </w:rPr>
        <w:t>公顷（</w:t>
      </w:r>
      <w:r>
        <w:rPr>
          <w:rFonts w:ascii="Arial" w:hAnsi="Arial" w:cs="Arial" w:hint="eastAsia"/>
          <w:sz w:val="28"/>
        </w:rPr>
        <w:t>4704658.05</w:t>
      </w:r>
      <w:r>
        <w:rPr>
          <w:rFonts w:ascii="Arial" w:hAnsi="Arial" w:cs="Arial" w:hint="eastAsia"/>
          <w:sz w:val="28"/>
        </w:rPr>
        <w:t>亩）、交通运输用地</w:t>
      </w:r>
      <w:r>
        <w:rPr>
          <w:rFonts w:ascii="Arial" w:hAnsi="Arial" w:cs="Arial" w:hint="eastAsia"/>
          <w:sz w:val="28"/>
        </w:rPr>
        <w:t>49281.38</w:t>
      </w:r>
      <w:r>
        <w:rPr>
          <w:rFonts w:ascii="Arial" w:hAnsi="Arial" w:cs="Arial" w:hint="eastAsia"/>
          <w:sz w:val="28"/>
        </w:rPr>
        <w:t>公顷（</w:t>
      </w:r>
      <w:r>
        <w:rPr>
          <w:rFonts w:ascii="Arial" w:hAnsi="Arial" w:cs="Arial" w:hint="eastAsia"/>
          <w:sz w:val="28"/>
        </w:rPr>
        <w:t>739220.7</w:t>
      </w:r>
      <w:r>
        <w:rPr>
          <w:rFonts w:ascii="Arial" w:hAnsi="Arial" w:cs="Arial" w:hint="eastAsia"/>
          <w:sz w:val="28"/>
        </w:rPr>
        <w:t>亩）、水域及水利设施用地</w:t>
      </w:r>
      <w:r>
        <w:rPr>
          <w:rFonts w:ascii="Arial" w:hAnsi="Arial" w:cs="Arial" w:hint="eastAsia"/>
          <w:sz w:val="28"/>
        </w:rPr>
        <w:t>61704</w:t>
      </w:r>
      <w:r>
        <w:rPr>
          <w:rFonts w:ascii="Arial" w:hAnsi="Arial" w:cs="Arial" w:hint="eastAsia"/>
          <w:sz w:val="28"/>
        </w:rPr>
        <w:t>公顷（</w:t>
      </w:r>
      <w:r>
        <w:rPr>
          <w:rFonts w:ascii="Arial" w:hAnsi="Arial" w:cs="Arial" w:hint="eastAsia"/>
          <w:sz w:val="28"/>
        </w:rPr>
        <w:t>925560</w:t>
      </w:r>
      <w:r>
        <w:rPr>
          <w:rFonts w:ascii="Arial" w:hAnsi="Arial" w:cs="Arial" w:hint="eastAsia"/>
          <w:sz w:val="28"/>
        </w:rPr>
        <w:t>亩），其余为其他土地。三</w:t>
      </w:r>
      <w:proofErr w:type="gramStart"/>
      <w:r>
        <w:rPr>
          <w:rFonts w:ascii="Arial" w:hAnsi="Arial" w:cs="Arial" w:hint="eastAsia"/>
          <w:sz w:val="28"/>
        </w:rPr>
        <w:t>调数据</w:t>
      </w:r>
      <w:proofErr w:type="gramEnd"/>
      <w:r>
        <w:rPr>
          <w:rFonts w:ascii="Arial" w:hAnsi="Arial" w:cs="Arial" w:hint="eastAsia"/>
          <w:sz w:val="28"/>
        </w:rPr>
        <w:t>显示，北京市以林、</w:t>
      </w:r>
      <w:r>
        <w:rPr>
          <w:rFonts w:ascii="Arial" w:hAnsi="Arial" w:cs="Arial" w:hint="eastAsia"/>
          <w:sz w:val="28"/>
        </w:rPr>
        <w:lastRenderedPageBreak/>
        <w:t>园、水、草、湿地和公园绿地为主的生态用地逐年增加，城乡建设用地明显减少，初步实现减量目标。</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87085" cy="33356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不动产制度与不动产市场状况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土地使用制度及土地管理政策：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我国当前实行土地</w:t>
      </w:r>
      <w:proofErr w:type="gramStart"/>
      <w:r>
        <w:rPr>
          <w:rFonts w:ascii="Arial" w:hAnsi="Arial" w:cs="Arial" w:hint="eastAsia"/>
          <w:sz w:val="28"/>
        </w:rPr>
        <w:t>招拍挂</w:t>
      </w:r>
      <w:proofErr w:type="gramEnd"/>
      <w:r>
        <w:rPr>
          <w:rFonts w:ascii="Arial" w:hAnsi="Arial" w:cs="Arial" w:hint="eastAsia"/>
          <w:sz w:val="28"/>
        </w:rPr>
        <w:t>制度。土地</w:t>
      </w:r>
      <w:proofErr w:type="gramStart"/>
      <w:r>
        <w:rPr>
          <w:rFonts w:ascii="Arial" w:hAnsi="Arial" w:cs="Arial" w:hint="eastAsia"/>
          <w:sz w:val="28"/>
        </w:rPr>
        <w:t>招拍挂制度</w:t>
      </w:r>
      <w:proofErr w:type="gramEnd"/>
      <w:r>
        <w:rPr>
          <w:rFonts w:ascii="Arial" w:hAnsi="Arial" w:cs="Arial" w:hint="eastAsia"/>
          <w:sz w:val="28"/>
        </w:rPr>
        <w:t>是国家土地资源出让、买卖的招标、拍卖、挂牌制度的简称，具体是指国家在土地出让或者买卖程序中的“招标”“拍卖”“挂牌”交易的政策或规定。</w:t>
      </w:r>
      <w:r>
        <w:rPr>
          <w:rFonts w:ascii="Arial" w:hAnsi="Arial" w:cs="Arial" w:hint="eastAsia"/>
          <w:sz w:val="28"/>
        </w:rPr>
        <w:t>2004</w:t>
      </w:r>
      <w:r>
        <w:rPr>
          <w:rFonts w:ascii="Arial" w:hAnsi="Arial" w:cs="Arial" w:hint="eastAsia"/>
          <w:sz w:val="28"/>
        </w:rPr>
        <w:t>年，国土资源部颁布第</w:t>
      </w:r>
      <w:r>
        <w:rPr>
          <w:rFonts w:ascii="Arial" w:hAnsi="Arial" w:cs="Arial" w:hint="eastAsia"/>
          <w:sz w:val="28"/>
        </w:rPr>
        <w:t>71</w:t>
      </w:r>
      <w:r>
        <w:rPr>
          <w:rFonts w:ascii="Arial" w:hAnsi="Arial" w:cs="Arial" w:hint="eastAsia"/>
          <w:sz w:val="28"/>
        </w:rPr>
        <w:t>令，《关于继续开展经营性土地使用权招标拍卖挂牌出让情况执法监察工作的通知》，规定</w:t>
      </w:r>
      <w:r>
        <w:rPr>
          <w:rFonts w:ascii="Arial" w:hAnsi="Arial" w:cs="Arial" w:hint="eastAsia"/>
          <w:sz w:val="28"/>
        </w:rPr>
        <w:t>2004</w:t>
      </w:r>
      <w:r>
        <w:rPr>
          <w:rFonts w:ascii="Arial" w:hAnsi="Arial" w:cs="Arial" w:hint="eastAsia"/>
          <w:sz w:val="28"/>
        </w:rPr>
        <w:t>年</w:t>
      </w:r>
      <w:r>
        <w:rPr>
          <w:rFonts w:ascii="Arial" w:hAnsi="Arial" w:cs="Arial" w:hint="eastAsia"/>
          <w:sz w:val="28"/>
        </w:rPr>
        <w:t>8</w:t>
      </w:r>
      <w:r>
        <w:rPr>
          <w:rFonts w:ascii="Arial" w:hAnsi="Arial" w:cs="Arial" w:hint="eastAsia"/>
          <w:sz w:val="28"/>
        </w:rPr>
        <w:t>月</w:t>
      </w:r>
      <w:r>
        <w:rPr>
          <w:rFonts w:ascii="Arial" w:hAnsi="Arial" w:cs="Arial" w:hint="eastAsia"/>
          <w:sz w:val="28"/>
        </w:rPr>
        <w:t>31</w:t>
      </w:r>
      <w:r>
        <w:rPr>
          <w:rFonts w:ascii="Arial" w:hAnsi="Arial" w:cs="Arial" w:hint="eastAsia"/>
          <w:sz w:val="28"/>
        </w:rPr>
        <w:t>号以后所有经营性用地出让全部实行</w:t>
      </w:r>
      <w:proofErr w:type="gramStart"/>
      <w:r>
        <w:rPr>
          <w:rFonts w:ascii="Arial" w:hAnsi="Arial" w:cs="Arial" w:hint="eastAsia"/>
          <w:sz w:val="28"/>
        </w:rPr>
        <w:t>招拍挂</w:t>
      </w:r>
      <w:proofErr w:type="gramEnd"/>
      <w:r>
        <w:rPr>
          <w:rFonts w:ascii="Arial" w:hAnsi="Arial" w:cs="Arial" w:hint="eastAsia"/>
          <w:sz w:val="28"/>
        </w:rPr>
        <w:t>制度。该方式作为我国经营性用地出让的指定方式，对规范土地市场、提高政府的对城市土地的管理水平、促进房地产市场的有序发展等方面都有着重要意义。</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w:t>
      </w:r>
      <w:r>
        <w:rPr>
          <w:rFonts w:ascii="Arial" w:hAnsi="Arial" w:cs="Arial" w:hint="eastAsia"/>
          <w:sz w:val="28"/>
        </w:rPr>
        <w:lastRenderedPageBreak/>
        <w:t>标基本完成，土地资源治理体系逐步完善，保障和支撑了城市发展方式实现历史性变革。</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）在国土空间规划中统筹划</w:t>
      </w:r>
      <w:proofErr w:type="gramStart"/>
      <w:r>
        <w:rPr>
          <w:rFonts w:ascii="Arial" w:hAnsi="Arial" w:cs="Arial" w:hint="eastAsia"/>
          <w:sz w:val="28"/>
        </w:rPr>
        <w:t>定落实</w:t>
      </w:r>
      <w:proofErr w:type="gramEnd"/>
      <w:r>
        <w:rPr>
          <w:rFonts w:ascii="Arial" w:hAnsi="Arial" w:cs="Arial" w:hint="eastAsia"/>
          <w:sz w:val="28"/>
        </w:rPr>
        <w:t>永久基本农田、生态保护红线、城镇开发边界三条控制线（以下简称三条控制线），确定国土空间开发保护刚性管控边界。统筹全域</w:t>
      </w:r>
      <w:proofErr w:type="gramStart"/>
      <w:r>
        <w:rPr>
          <w:rFonts w:ascii="Arial" w:hAnsi="Arial" w:cs="Arial" w:hint="eastAsia"/>
          <w:sz w:val="28"/>
        </w:rPr>
        <w:t>全类型</w:t>
      </w:r>
      <w:proofErr w:type="gramEnd"/>
      <w:r>
        <w:rPr>
          <w:rFonts w:ascii="Arial" w:hAnsi="Arial" w:cs="Arial" w:hint="eastAsia"/>
          <w:sz w:val="28"/>
        </w:rPr>
        <w:t>国土空间用途管制，划定覆盖全域的</w:t>
      </w:r>
      <w:r>
        <w:rPr>
          <w:rFonts w:ascii="Arial" w:hAnsi="Arial" w:cs="Arial" w:hint="eastAsia"/>
          <w:sz w:val="28"/>
        </w:rPr>
        <w:t>11</w:t>
      </w:r>
      <w:r>
        <w:rPr>
          <w:rFonts w:ascii="Arial" w:hAnsi="Arial" w:cs="Arial" w:hint="eastAsia"/>
          <w:sz w:val="28"/>
        </w:rPr>
        <w:t>类国土空间规划分区。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）严守耕地规模底线，划定耕地保护空间。</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）严控建设用地规模，城乡建设用地规模得到历史性控制。以</w:t>
      </w:r>
      <w:proofErr w:type="gramStart"/>
      <w:r>
        <w:rPr>
          <w:rFonts w:ascii="Arial" w:hAnsi="Arial" w:cs="Arial" w:hint="eastAsia"/>
          <w:sz w:val="28"/>
        </w:rPr>
        <w:t>疏解非首都</w:t>
      </w:r>
      <w:proofErr w:type="gramEnd"/>
      <w:r>
        <w:rPr>
          <w:rFonts w:ascii="Arial" w:hAnsi="Arial" w:cs="Arial" w:hint="eastAsia"/>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ascii="Arial" w:hAnsi="Arial" w:cs="Arial" w:hint="eastAsia"/>
          <w:sz w:val="28"/>
        </w:rPr>
        <w:t>51%</w:t>
      </w:r>
      <w:r>
        <w:rPr>
          <w:rFonts w:ascii="Arial" w:hAnsi="Arial" w:cs="Arial" w:hint="eastAsia"/>
          <w:sz w:val="28"/>
        </w:rPr>
        <w:t>提升至“十三五”时期的</w:t>
      </w:r>
      <w:r>
        <w:rPr>
          <w:rFonts w:ascii="Arial" w:hAnsi="Arial" w:cs="Arial" w:hint="eastAsia"/>
          <w:sz w:val="28"/>
        </w:rPr>
        <w:t>55%</w:t>
      </w:r>
      <w:r>
        <w:rPr>
          <w:rFonts w:ascii="Arial" w:hAnsi="Arial" w:cs="Arial" w:hint="eastAsia"/>
          <w:sz w:val="28"/>
        </w:rPr>
        <w:t>以上</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w:t>
      </w:r>
      <w:r>
        <w:rPr>
          <w:rFonts w:ascii="Arial" w:hAnsi="Arial" w:cs="Arial" w:hint="eastAsia"/>
          <w:sz w:val="28"/>
        </w:rPr>
        <w:lastRenderedPageBreak/>
        <w:t>首都“三级三类”国土空间规划体系，不断完善首都国土空间治理体系，着力提高国土空间治理能力现代化水平。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加强推进农村土地管理改革。制定《关于进一步加强农村集体土地管理加快建立健全“村地区管”机制的指导意见》，强化区级管规划、管用途、管合同、管程序、管监督、</w:t>
      </w:r>
      <w:proofErr w:type="gramStart"/>
      <w:r>
        <w:rPr>
          <w:rFonts w:ascii="Arial" w:hAnsi="Arial" w:cs="Arial" w:hint="eastAsia"/>
          <w:sz w:val="28"/>
        </w:rPr>
        <w:t>管查处</w:t>
      </w:r>
      <w:proofErr w:type="gramEnd"/>
      <w:r>
        <w:rPr>
          <w:rFonts w:ascii="Arial" w:hAnsi="Arial" w:cs="Arial" w:hint="eastAsia"/>
          <w:sz w:val="28"/>
        </w:rPr>
        <w:t>的权责；在</w:t>
      </w:r>
      <w:proofErr w:type="gramStart"/>
      <w:r>
        <w:rPr>
          <w:rFonts w:ascii="Arial" w:hAnsi="Arial" w:cs="Arial" w:hint="eastAsia"/>
          <w:sz w:val="28"/>
        </w:rPr>
        <w:t>大兴区</w:t>
      </w:r>
      <w:proofErr w:type="gramEnd"/>
      <w:r>
        <w:rPr>
          <w:rFonts w:ascii="Arial" w:hAnsi="Arial" w:cs="Arial" w:hint="eastAsia"/>
          <w:sz w:val="28"/>
        </w:rPr>
        <w:t>全面推进农村土地制度改革三项试点工作，集体经营性建设用地入市试点改革取得重大成果，征地制度改革向纵深推进，宅基地制度改革取得阶段性成果，探索形成了一批可复制、可推广的改革成果。</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2022</w:t>
      </w:r>
      <w:r>
        <w:rPr>
          <w:rFonts w:ascii="Arial" w:hAnsi="Arial" w:cs="Arial" w:hint="eastAsia"/>
          <w:sz w:val="28"/>
        </w:rPr>
        <w:t>年北京市人民政府关于印发《北京市“十四五”时期土地资源保护利用规划》的通知，要求全市继续统筹土地资源保护和利用工作，强化科学布局、整体保护、系统修复、高效利用、综合治理。</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 xml:space="preserve"> </w:t>
      </w:r>
      <w:r>
        <w:rPr>
          <w:rFonts w:ascii="Arial" w:hAnsi="Arial" w:cs="Arial" w:hint="eastAsia"/>
          <w:sz w:val="28"/>
        </w:rPr>
        <w:t>住房制度与不动产管理政策：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w:t>
      </w:r>
      <w:r>
        <w:rPr>
          <w:rFonts w:ascii="Arial" w:hAnsi="Arial" w:cs="Arial" w:hint="eastAsia"/>
          <w:sz w:val="28"/>
        </w:rPr>
        <w:t>2022</w:t>
      </w:r>
      <w:r>
        <w:rPr>
          <w:rFonts w:ascii="Arial" w:hAnsi="Arial" w:cs="Arial" w:hint="eastAsia"/>
          <w:sz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w:t>
      </w:r>
      <w:r>
        <w:rPr>
          <w:rFonts w:ascii="Arial" w:hAnsi="Arial" w:cs="Arial" w:hint="eastAsia"/>
          <w:sz w:val="28"/>
        </w:rPr>
        <w:lastRenderedPageBreak/>
        <w:t>共有产权住房和安置房为主体的首都住房保障体系。</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2023</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26</w:t>
      </w:r>
      <w:r>
        <w:rPr>
          <w:rFonts w:ascii="Arial" w:hAnsi="Arial" w:cs="Arial" w:hint="eastAsia"/>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21</w:t>
      </w:r>
      <w:r>
        <w:rPr>
          <w:rFonts w:ascii="Arial" w:hAnsi="Arial" w:cs="Arial" w:hint="eastAsia"/>
          <w:sz w:val="28"/>
        </w:rPr>
        <w:t>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日，北京市规划和自然资源委员会和北京市发展和改革委员会联合发布《北京市</w:t>
      </w:r>
      <w:r>
        <w:rPr>
          <w:rFonts w:ascii="Arial" w:hAnsi="Arial" w:cs="Arial" w:hint="eastAsia"/>
          <w:sz w:val="28"/>
        </w:rPr>
        <w:t>2025</w:t>
      </w:r>
      <w:r>
        <w:rPr>
          <w:rFonts w:ascii="Arial" w:hAnsi="Arial" w:cs="Arial" w:hint="eastAsia"/>
          <w:sz w:val="28"/>
        </w:rPr>
        <w:t>年度建设用地供应计划》，明确了北京市</w:t>
      </w:r>
      <w:r>
        <w:rPr>
          <w:rFonts w:ascii="Arial" w:hAnsi="Arial" w:cs="Arial" w:hint="eastAsia"/>
          <w:sz w:val="28"/>
        </w:rPr>
        <w:t>2025</w:t>
      </w:r>
      <w:r>
        <w:rPr>
          <w:rFonts w:ascii="Arial" w:hAnsi="Arial" w:cs="Arial" w:hint="eastAsia"/>
          <w:sz w:val="28"/>
        </w:rPr>
        <w:t>年度建设用地供应的总量、空间布局、结构和供应导向，旨在推动首都经济高质量发展和城市空间优化。</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公顷，较往年基本持平。供地计划保持各地类总量稳定、优化各类要素空间结构布局，保障优势地区高质量发展。空间布局上，持续强化“</w:t>
      </w:r>
      <w:proofErr w:type="gramStart"/>
      <w:r>
        <w:rPr>
          <w:rFonts w:ascii="Arial" w:hAnsi="Arial" w:cs="Arial" w:hint="eastAsia"/>
          <w:sz w:val="28"/>
        </w:rPr>
        <w:t>一</w:t>
      </w:r>
      <w:proofErr w:type="gramEnd"/>
      <w:r>
        <w:rPr>
          <w:rFonts w:ascii="Arial" w:hAnsi="Arial" w:cs="Arial" w:hint="eastAsia"/>
          <w:sz w:val="28"/>
        </w:rPr>
        <w:t>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Pr>
          <w:rFonts w:ascii="Arial" w:hAnsi="Arial" w:cs="Arial" w:hint="eastAsia"/>
          <w:sz w:val="28"/>
        </w:rPr>
        <w:t>25%</w:t>
      </w:r>
      <w:r>
        <w:rPr>
          <w:rFonts w:ascii="Arial" w:hAnsi="Arial" w:cs="Arial" w:hint="eastAsia"/>
          <w:sz w:val="28"/>
        </w:rPr>
        <w:t>，与去年持平，重点推</w:t>
      </w:r>
      <w:r>
        <w:rPr>
          <w:rFonts w:ascii="Arial" w:hAnsi="Arial" w:cs="Arial" w:hint="eastAsia"/>
          <w:sz w:val="28"/>
        </w:rPr>
        <w:lastRenderedPageBreak/>
        <w:t>进中央政务功能保障、老城保护、宜居城市建设。平原新城地区（含城市副中心）土地供应规模约占全市总量的</w:t>
      </w:r>
      <w:r>
        <w:rPr>
          <w:rFonts w:ascii="Arial" w:hAnsi="Arial" w:cs="Arial" w:hint="eastAsia"/>
          <w:sz w:val="28"/>
        </w:rPr>
        <w:t>60%</w:t>
      </w:r>
      <w:r>
        <w:rPr>
          <w:rFonts w:ascii="Arial" w:hAnsi="Arial" w:cs="Arial" w:hint="eastAsia"/>
          <w:sz w:val="28"/>
        </w:rPr>
        <w:t>，重点完善城市功能，推动京津冀协同发展用地结构。用地结构上，住宅用地安排</w:t>
      </w:r>
      <w:r>
        <w:rPr>
          <w:rFonts w:ascii="Arial" w:hAnsi="Arial" w:cs="Arial" w:hint="eastAsia"/>
          <w:sz w:val="28"/>
        </w:rPr>
        <w:t>955-1015</w:t>
      </w:r>
      <w:r>
        <w:rPr>
          <w:rFonts w:ascii="Arial" w:hAnsi="Arial" w:cs="Arial" w:hint="eastAsia"/>
          <w:sz w:val="28"/>
        </w:rPr>
        <w:t>公顷；产业用地安排</w:t>
      </w:r>
      <w:r>
        <w:rPr>
          <w:rFonts w:ascii="Arial" w:hAnsi="Arial" w:cs="Arial" w:hint="eastAsia"/>
          <w:sz w:val="28"/>
        </w:rPr>
        <w:t>470-510</w:t>
      </w:r>
      <w:r>
        <w:rPr>
          <w:rFonts w:ascii="Arial" w:hAnsi="Arial" w:cs="Arial" w:hint="eastAsia"/>
          <w:sz w:val="28"/>
        </w:rPr>
        <w:t>公顷，其中研发用地</w:t>
      </w:r>
      <w:r>
        <w:rPr>
          <w:rFonts w:ascii="Arial" w:hAnsi="Arial" w:cs="Arial" w:hint="eastAsia"/>
          <w:sz w:val="28"/>
        </w:rPr>
        <w:t>80</w:t>
      </w:r>
      <w:r>
        <w:rPr>
          <w:rFonts w:ascii="Arial" w:hAnsi="Arial" w:cs="Arial" w:hint="eastAsia"/>
          <w:sz w:val="28"/>
        </w:rPr>
        <w:t>公顷、工业用地</w:t>
      </w:r>
      <w:r>
        <w:rPr>
          <w:rFonts w:ascii="Arial" w:hAnsi="Arial" w:cs="Arial" w:hint="eastAsia"/>
          <w:sz w:val="28"/>
        </w:rPr>
        <w:t>230</w:t>
      </w:r>
      <w:r>
        <w:rPr>
          <w:rFonts w:ascii="Arial" w:hAnsi="Arial" w:cs="Arial" w:hint="eastAsia"/>
          <w:sz w:val="28"/>
        </w:rPr>
        <w:t>公顷、仓储用地</w:t>
      </w:r>
      <w:r>
        <w:rPr>
          <w:rFonts w:ascii="Arial" w:hAnsi="Arial" w:cs="Arial" w:hint="eastAsia"/>
          <w:sz w:val="28"/>
        </w:rPr>
        <w:t>50</w:t>
      </w:r>
      <w:r>
        <w:rPr>
          <w:rFonts w:ascii="Arial" w:hAnsi="Arial" w:cs="Arial" w:hint="eastAsia"/>
          <w:sz w:val="28"/>
        </w:rPr>
        <w:t>公顷、商服用地</w:t>
      </w:r>
      <w:r>
        <w:rPr>
          <w:rFonts w:ascii="Arial" w:hAnsi="Arial" w:cs="Arial" w:hint="eastAsia"/>
          <w:sz w:val="28"/>
        </w:rPr>
        <w:t>50-70</w:t>
      </w:r>
      <w:r>
        <w:rPr>
          <w:rFonts w:ascii="Arial" w:hAnsi="Arial" w:cs="Arial" w:hint="eastAsia"/>
          <w:sz w:val="28"/>
        </w:rPr>
        <w:t>公顷、乡村产业用地</w:t>
      </w:r>
      <w:r>
        <w:rPr>
          <w:rFonts w:ascii="Arial" w:hAnsi="Arial" w:cs="Arial" w:hint="eastAsia"/>
          <w:sz w:val="28"/>
        </w:rPr>
        <w:t>60-80</w:t>
      </w:r>
      <w:r>
        <w:rPr>
          <w:rFonts w:ascii="Arial" w:hAnsi="Arial" w:cs="Arial" w:hint="eastAsia"/>
          <w:sz w:val="28"/>
        </w:rPr>
        <w:t>公顷。供应导向上，坚持稳中求进、以</w:t>
      </w:r>
      <w:proofErr w:type="gramStart"/>
      <w:r>
        <w:rPr>
          <w:rFonts w:ascii="Arial" w:hAnsi="Arial" w:cs="Arial" w:hint="eastAsia"/>
          <w:sz w:val="28"/>
        </w:rPr>
        <w:t>进促稳</w:t>
      </w:r>
      <w:proofErr w:type="gramEnd"/>
      <w:r>
        <w:rPr>
          <w:rFonts w:ascii="Arial" w:hAnsi="Arial" w:cs="Arial" w:hint="eastAsia"/>
          <w:sz w:val="28"/>
        </w:rPr>
        <w:t>，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不动产市场状况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）土地市场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）土地供求分析</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年上半年北京商品住宅用地共推出</w:t>
      </w:r>
      <w:r>
        <w:rPr>
          <w:rFonts w:ascii="Arial" w:hAnsi="Arial" w:cs="Arial" w:hint="eastAsia"/>
          <w:sz w:val="28"/>
        </w:rPr>
        <w:t>17</w:t>
      </w:r>
      <w:r>
        <w:rPr>
          <w:rFonts w:ascii="Arial" w:hAnsi="Arial" w:cs="Arial" w:hint="eastAsia"/>
          <w:sz w:val="28"/>
        </w:rPr>
        <w:t>宗，累计供应</w:t>
      </w:r>
      <w:proofErr w:type="gramStart"/>
      <w:r>
        <w:rPr>
          <w:rFonts w:ascii="Arial" w:hAnsi="Arial" w:cs="Arial" w:hint="eastAsia"/>
          <w:sz w:val="28"/>
        </w:rPr>
        <w:t>规划建面</w:t>
      </w:r>
      <w:proofErr w:type="gramEnd"/>
      <w:r>
        <w:rPr>
          <w:rFonts w:ascii="Arial" w:hAnsi="Arial" w:cs="Arial" w:hint="eastAsia"/>
          <w:sz w:val="28"/>
        </w:rPr>
        <w:t>169.70</w:t>
      </w:r>
      <w:r>
        <w:rPr>
          <w:rFonts w:ascii="Arial" w:hAnsi="Arial" w:cs="Arial" w:hint="eastAsia"/>
          <w:sz w:val="28"/>
        </w:rPr>
        <w:t>万平方米，同比减少</w:t>
      </w:r>
      <w:r>
        <w:rPr>
          <w:rFonts w:ascii="Arial" w:hAnsi="Arial" w:cs="Arial" w:hint="eastAsia"/>
          <w:sz w:val="28"/>
        </w:rPr>
        <w:t>28.2%</w:t>
      </w:r>
      <w:r>
        <w:rPr>
          <w:rFonts w:ascii="Arial" w:hAnsi="Arial" w:cs="Arial" w:hint="eastAsia"/>
          <w:sz w:val="28"/>
        </w:rPr>
        <w:t>；</w:t>
      </w:r>
      <w:r>
        <w:rPr>
          <w:rFonts w:ascii="Arial" w:hAnsi="Arial" w:cs="Arial" w:hint="eastAsia"/>
          <w:sz w:val="28"/>
        </w:rPr>
        <w:t>2025</w:t>
      </w:r>
      <w:r>
        <w:rPr>
          <w:rFonts w:ascii="Arial" w:hAnsi="Arial" w:cs="Arial" w:hint="eastAsia"/>
          <w:sz w:val="28"/>
        </w:rPr>
        <w:t>年上半年北京商品住宅用地累计成交</w:t>
      </w:r>
      <w:r>
        <w:rPr>
          <w:rFonts w:ascii="Arial" w:hAnsi="Arial" w:cs="Arial" w:hint="eastAsia"/>
          <w:sz w:val="28"/>
        </w:rPr>
        <w:t>22</w:t>
      </w:r>
      <w:r>
        <w:rPr>
          <w:rFonts w:ascii="Arial" w:hAnsi="Arial" w:cs="Arial" w:hint="eastAsia"/>
          <w:sz w:val="28"/>
        </w:rPr>
        <w:t>宗，分布在海淀、通州、朝阳、丰台、石景山、大兴、昌平、顺义、怀柔等</w:t>
      </w:r>
      <w:r>
        <w:rPr>
          <w:rFonts w:ascii="Arial" w:hAnsi="Arial" w:cs="Arial" w:hint="eastAsia"/>
          <w:sz w:val="28"/>
        </w:rPr>
        <w:t>9</w:t>
      </w:r>
      <w:r>
        <w:rPr>
          <w:rFonts w:ascii="Arial" w:hAnsi="Arial" w:cs="Arial" w:hint="eastAsia"/>
          <w:sz w:val="28"/>
        </w:rPr>
        <w:t>个区，成交</w:t>
      </w:r>
      <w:proofErr w:type="gramStart"/>
      <w:r>
        <w:rPr>
          <w:rFonts w:ascii="Arial" w:hAnsi="Arial" w:cs="Arial" w:hint="eastAsia"/>
          <w:sz w:val="28"/>
        </w:rPr>
        <w:t>规划建面</w:t>
      </w:r>
      <w:proofErr w:type="gramEnd"/>
      <w:r>
        <w:rPr>
          <w:rFonts w:ascii="Arial" w:hAnsi="Arial" w:cs="Arial" w:hint="eastAsia"/>
          <w:sz w:val="28"/>
        </w:rPr>
        <w:t>234.42</w:t>
      </w:r>
      <w:r>
        <w:rPr>
          <w:rFonts w:ascii="Arial" w:hAnsi="Arial" w:cs="Arial" w:hint="eastAsia"/>
          <w:sz w:val="28"/>
        </w:rPr>
        <w:t>万平方米，同比下降</w:t>
      </w:r>
      <w:r>
        <w:rPr>
          <w:rFonts w:ascii="Arial" w:hAnsi="Arial" w:cs="Arial" w:hint="eastAsia"/>
          <w:sz w:val="28"/>
        </w:rPr>
        <w:t>1.2%</w:t>
      </w:r>
      <w:r>
        <w:rPr>
          <w:rFonts w:ascii="Arial" w:hAnsi="Arial" w:cs="Arial" w:hint="eastAsia"/>
          <w:sz w:val="28"/>
        </w:rPr>
        <w:t>；得益于海淀、通州热点地块的成交，土地成交价款合计</w:t>
      </w:r>
      <w:r>
        <w:rPr>
          <w:rFonts w:ascii="Arial" w:hAnsi="Arial" w:cs="Arial" w:hint="eastAsia"/>
          <w:sz w:val="28"/>
        </w:rPr>
        <w:t>1005.56</w:t>
      </w:r>
      <w:r>
        <w:rPr>
          <w:rFonts w:ascii="Arial" w:hAnsi="Arial" w:cs="Arial" w:hint="eastAsia"/>
          <w:sz w:val="28"/>
        </w:rPr>
        <w:t>亿元，同比增长</w:t>
      </w:r>
      <w:r>
        <w:rPr>
          <w:rFonts w:ascii="Arial" w:hAnsi="Arial" w:cs="Arial" w:hint="eastAsia"/>
          <w:sz w:val="28"/>
        </w:rPr>
        <w:t>37.3%</w:t>
      </w:r>
      <w:r>
        <w:rPr>
          <w:rFonts w:ascii="Arial" w:hAnsi="Arial" w:cs="Arial" w:hint="eastAsia"/>
          <w:sz w:val="28"/>
        </w:rPr>
        <w:t>，创</w:t>
      </w:r>
      <w:r>
        <w:rPr>
          <w:rFonts w:ascii="Arial" w:hAnsi="Arial" w:cs="Arial" w:hint="eastAsia"/>
          <w:sz w:val="28"/>
        </w:rPr>
        <w:t>2022</w:t>
      </w:r>
      <w:r>
        <w:rPr>
          <w:rFonts w:ascii="Arial" w:hAnsi="Arial" w:cs="Arial" w:hint="eastAsia"/>
          <w:sz w:val="28"/>
        </w:rPr>
        <w:t>年以来同期新高。</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179695" cy="2572385"/>
            <wp:effectExtent l="0" t="0" r="0" b="0"/>
            <wp:docPr id="30" name="图片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）土地成交情况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年上半年，北京市商品住宅用地中心城区海淀、朝阳、丰台、石景山累计成交</w:t>
      </w:r>
      <w:r>
        <w:rPr>
          <w:rFonts w:ascii="Arial" w:hAnsi="Arial" w:cs="Arial" w:hint="eastAsia"/>
          <w:sz w:val="28"/>
        </w:rPr>
        <w:t>12</w:t>
      </w:r>
      <w:r>
        <w:rPr>
          <w:rFonts w:ascii="Arial" w:hAnsi="Arial" w:cs="Arial" w:hint="eastAsia"/>
          <w:sz w:val="28"/>
        </w:rPr>
        <w:t>宗宅地，累计成交</w:t>
      </w:r>
      <w:proofErr w:type="gramStart"/>
      <w:r>
        <w:rPr>
          <w:rFonts w:ascii="Arial" w:hAnsi="Arial" w:cs="Arial" w:hint="eastAsia"/>
          <w:sz w:val="28"/>
        </w:rPr>
        <w:t>规划建面</w:t>
      </w:r>
      <w:proofErr w:type="gramEnd"/>
      <w:r>
        <w:rPr>
          <w:rFonts w:ascii="Arial" w:hAnsi="Arial" w:cs="Arial" w:hint="eastAsia"/>
          <w:sz w:val="28"/>
        </w:rPr>
        <w:t>128.38</w:t>
      </w:r>
      <w:r>
        <w:rPr>
          <w:rFonts w:ascii="Arial" w:hAnsi="Arial" w:cs="Arial" w:hint="eastAsia"/>
          <w:sz w:val="28"/>
        </w:rPr>
        <w:t>万平方米，占比</w:t>
      </w:r>
      <w:r>
        <w:rPr>
          <w:rFonts w:ascii="Arial" w:hAnsi="Arial" w:cs="Arial" w:hint="eastAsia"/>
          <w:sz w:val="28"/>
        </w:rPr>
        <w:t>55%</w:t>
      </w:r>
      <w:r>
        <w:rPr>
          <w:rFonts w:ascii="Arial" w:hAnsi="Arial" w:cs="Arial" w:hint="eastAsia"/>
          <w:sz w:val="28"/>
        </w:rPr>
        <w:t>，较上年同期增长</w:t>
      </w:r>
      <w:r>
        <w:rPr>
          <w:rFonts w:ascii="Arial" w:hAnsi="Arial" w:cs="Arial" w:hint="eastAsia"/>
          <w:sz w:val="28"/>
        </w:rPr>
        <w:t>9</w:t>
      </w:r>
      <w:r>
        <w:rPr>
          <w:rFonts w:ascii="Arial" w:hAnsi="Arial" w:cs="Arial" w:hint="eastAsia"/>
          <w:sz w:val="28"/>
        </w:rPr>
        <w:t>个百分点。近郊区主要集中在通州、大兴、顺义和昌平，累计成交</w:t>
      </w:r>
      <w:r>
        <w:rPr>
          <w:rFonts w:ascii="Arial" w:hAnsi="Arial" w:cs="Arial" w:hint="eastAsia"/>
          <w:sz w:val="28"/>
        </w:rPr>
        <w:t>9</w:t>
      </w:r>
      <w:r>
        <w:rPr>
          <w:rFonts w:ascii="Arial" w:hAnsi="Arial" w:cs="Arial" w:hint="eastAsia"/>
          <w:sz w:val="28"/>
        </w:rPr>
        <w:t>宗宅地，共</w:t>
      </w:r>
      <w:r>
        <w:rPr>
          <w:rFonts w:ascii="Arial" w:hAnsi="Arial" w:cs="Arial" w:hint="eastAsia"/>
          <w:sz w:val="28"/>
        </w:rPr>
        <w:t>103.88</w:t>
      </w:r>
      <w:r>
        <w:rPr>
          <w:rFonts w:ascii="Arial" w:hAnsi="Arial" w:cs="Arial" w:hint="eastAsia"/>
          <w:sz w:val="28"/>
        </w:rPr>
        <w:t>万平方米，占比为</w:t>
      </w:r>
      <w:r>
        <w:rPr>
          <w:rFonts w:ascii="Arial" w:hAnsi="Arial" w:cs="Arial" w:hint="eastAsia"/>
          <w:sz w:val="28"/>
        </w:rPr>
        <w:t>44%</w:t>
      </w:r>
      <w:r>
        <w:rPr>
          <w:rFonts w:ascii="Arial" w:hAnsi="Arial" w:cs="Arial" w:hint="eastAsia"/>
          <w:sz w:val="28"/>
        </w:rPr>
        <w:t>，较去年同期下降</w:t>
      </w:r>
      <w:r>
        <w:rPr>
          <w:rFonts w:ascii="Arial" w:hAnsi="Arial" w:cs="Arial" w:hint="eastAsia"/>
          <w:sz w:val="28"/>
        </w:rPr>
        <w:t>3</w:t>
      </w:r>
      <w:r>
        <w:rPr>
          <w:rFonts w:ascii="Arial" w:hAnsi="Arial" w:cs="Arial" w:hint="eastAsia"/>
          <w:sz w:val="28"/>
        </w:rPr>
        <w:t>个百分点；远郊区宅地成交</w:t>
      </w:r>
      <w:r>
        <w:rPr>
          <w:rFonts w:ascii="Arial" w:hAnsi="Arial" w:cs="Arial" w:hint="eastAsia"/>
          <w:sz w:val="28"/>
        </w:rPr>
        <w:t>1</w:t>
      </w:r>
      <w:r>
        <w:rPr>
          <w:rFonts w:ascii="Arial" w:hAnsi="Arial" w:cs="Arial" w:hint="eastAsia"/>
          <w:sz w:val="28"/>
        </w:rPr>
        <w:t>宗，位于怀柔区，成交</w:t>
      </w:r>
      <w:proofErr w:type="gramStart"/>
      <w:r>
        <w:rPr>
          <w:rFonts w:ascii="Arial" w:hAnsi="Arial" w:cs="Arial" w:hint="eastAsia"/>
          <w:sz w:val="28"/>
        </w:rPr>
        <w:t>规划建面</w:t>
      </w:r>
      <w:proofErr w:type="gramEnd"/>
      <w:r>
        <w:rPr>
          <w:rFonts w:ascii="Arial" w:hAnsi="Arial" w:cs="Arial" w:hint="eastAsia"/>
          <w:sz w:val="28"/>
        </w:rPr>
        <w:t>2.17</w:t>
      </w:r>
      <w:r>
        <w:rPr>
          <w:rFonts w:ascii="Arial" w:hAnsi="Arial" w:cs="Arial" w:hint="eastAsia"/>
          <w:sz w:val="28"/>
        </w:rPr>
        <w:t>万平方米。</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970530"/>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从不同区域来看，中心城区成交规模同比增长</w:t>
      </w:r>
      <w:r>
        <w:rPr>
          <w:rFonts w:ascii="Arial" w:hAnsi="Arial" w:cs="Arial" w:hint="eastAsia"/>
          <w:sz w:val="28"/>
        </w:rPr>
        <w:t>17%</w:t>
      </w:r>
      <w:r>
        <w:rPr>
          <w:rFonts w:ascii="Arial" w:hAnsi="Arial" w:cs="Arial" w:hint="eastAsia"/>
          <w:sz w:val="28"/>
        </w:rPr>
        <w:t>，其中海淀、朝阳、石景山成交规模均同比增长，丰台下降</w:t>
      </w:r>
      <w:r>
        <w:rPr>
          <w:rFonts w:ascii="Arial" w:hAnsi="Arial" w:cs="Arial" w:hint="eastAsia"/>
          <w:sz w:val="28"/>
        </w:rPr>
        <w:t>44%</w:t>
      </w:r>
      <w:r>
        <w:rPr>
          <w:rFonts w:ascii="Arial" w:hAnsi="Arial" w:cs="Arial" w:hint="eastAsia"/>
          <w:sz w:val="28"/>
        </w:rPr>
        <w:t>；近郊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lastRenderedPageBreak/>
        <w:t>7.7%</w:t>
      </w:r>
      <w:r>
        <w:rPr>
          <w:rFonts w:ascii="Arial" w:hAnsi="Arial" w:cs="Arial" w:hint="eastAsia"/>
          <w:sz w:val="28"/>
        </w:rPr>
        <w:t>，其中顺义区同比增长</w:t>
      </w:r>
      <w:r>
        <w:rPr>
          <w:rFonts w:ascii="Arial" w:hAnsi="Arial" w:cs="Arial" w:hint="eastAsia"/>
          <w:sz w:val="28"/>
        </w:rPr>
        <w:t>45.5%</w:t>
      </w:r>
      <w:r>
        <w:rPr>
          <w:rFonts w:ascii="Arial" w:hAnsi="Arial" w:cs="Arial" w:hint="eastAsia"/>
          <w:sz w:val="28"/>
        </w:rPr>
        <w:t>，大兴、</w:t>
      </w:r>
      <w:proofErr w:type="gramStart"/>
      <w:r>
        <w:rPr>
          <w:rFonts w:ascii="Arial" w:hAnsi="Arial" w:cs="Arial" w:hint="eastAsia"/>
          <w:sz w:val="28"/>
        </w:rPr>
        <w:t>昌平均同比</w:t>
      </w:r>
      <w:proofErr w:type="gramEnd"/>
      <w:r>
        <w:rPr>
          <w:rFonts w:ascii="Arial" w:hAnsi="Arial" w:cs="Arial" w:hint="eastAsia"/>
          <w:sz w:val="28"/>
        </w:rPr>
        <w:t>下降，而房山、门头沟无宅地成交；远郊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t>85.4%</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4392295" cy="397446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hint="eastAsia"/>
          <w:sz w:val="28"/>
        </w:rPr>
        <w:t>）土地成交价格</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年上半年，在海淀朱房村、树村核心热点地块带动下，北京宅地整体成交楼面均价</w:t>
      </w:r>
      <w:r>
        <w:rPr>
          <w:rFonts w:ascii="Arial" w:hAnsi="Arial" w:cs="Arial" w:hint="eastAsia"/>
          <w:sz w:val="28"/>
        </w:rPr>
        <w:t>42895</w:t>
      </w:r>
      <w:r>
        <w:rPr>
          <w:rFonts w:ascii="Arial" w:hAnsi="Arial" w:cs="Arial" w:hint="eastAsia"/>
          <w:sz w:val="28"/>
        </w:rPr>
        <w:t>元</w:t>
      </w:r>
      <w:r>
        <w:rPr>
          <w:rFonts w:ascii="Arial" w:hAnsi="Arial" w:cs="Arial" w:hint="eastAsia"/>
          <w:sz w:val="28"/>
        </w:rPr>
        <w:t>/</w:t>
      </w:r>
      <w:r>
        <w:rPr>
          <w:rFonts w:ascii="Arial" w:hAnsi="Arial" w:cs="Arial" w:hint="eastAsia"/>
          <w:sz w:val="28"/>
        </w:rPr>
        <w:t>平方米，同比增长</w:t>
      </w:r>
      <w:r>
        <w:rPr>
          <w:rFonts w:ascii="Arial" w:hAnsi="Arial" w:cs="Arial" w:hint="eastAsia"/>
          <w:sz w:val="28"/>
        </w:rPr>
        <w:t>39%</w:t>
      </w:r>
      <w:r>
        <w:rPr>
          <w:rFonts w:ascii="Arial" w:hAnsi="Arial" w:cs="Arial" w:hint="eastAsia"/>
          <w:sz w:val="28"/>
        </w:rPr>
        <w:t>。溢价率方面，受海淀树村、朱房以及通州梨园高溢价地块的带动下，北京上半年宅地成交溢价率</w:t>
      </w:r>
      <w:r>
        <w:rPr>
          <w:rFonts w:ascii="Arial" w:hAnsi="Arial" w:cs="Arial" w:hint="eastAsia"/>
          <w:sz w:val="28"/>
        </w:rPr>
        <w:t>7.17%</w:t>
      </w:r>
      <w:r>
        <w:rPr>
          <w:rFonts w:ascii="Arial" w:hAnsi="Arial" w:cs="Arial" w:hint="eastAsia"/>
          <w:sz w:val="28"/>
        </w:rPr>
        <w:t>，同比提升</w:t>
      </w:r>
      <w:r>
        <w:rPr>
          <w:rFonts w:ascii="Arial" w:hAnsi="Arial" w:cs="Arial" w:hint="eastAsia"/>
          <w:sz w:val="28"/>
        </w:rPr>
        <w:t>3.3</w:t>
      </w:r>
      <w:r>
        <w:rPr>
          <w:rFonts w:ascii="Arial" w:hAnsi="Arial" w:cs="Arial" w:hint="eastAsia"/>
          <w:sz w:val="28"/>
        </w:rPr>
        <w:t>个百分点。但整体来看市场热度依然分化明显，成交的</w:t>
      </w:r>
      <w:r>
        <w:rPr>
          <w:rFonts w:ascii="Arial" w:hAnsi="Arial" w:cs="Arial" w:hint="eastAsia"/>
          <w:sz w:val="28"/>
        </w:rPr>
        <w:t>22</w:t>
      </w:r>
      <w:r>
        <w:rPr>
          <w:rFonts w:ascii="Arial" w:hAnsi="Arial" w:cs="Arial" w:hint="eastAsia"/>
          <w:sz w:val="28"/>
        </w:rPr>
        <w:t>宗地块中，</w:t>
      </w:r>
      <w:r>
        <w:rPr>
          <w:rFonts w:ascii="Arial" w:hAnsi="Arial" w:cs="Arial" w:hint="eastAsia"/>
          <w:sz w:val="28"/>
        </w:rPr>
        <w:t>9</w:t>
      </w:r>
      <w:r>
        <w:rPr>
          <w:rFonts w:ascii="Arial" w:hAnsi="Arial" w:cs="Arial" w:hint="eastAsia"/>
          <w:sz w:val="28"/>
        </w:rPr>
        <w:t>宗地块溢价成交，海淀树村、朱房、半壁店，朝阳三间房，通州梨园及八里桥地块竞争激烈，海淀宝山地块低溢价成交，其余</w:t>
      </w:r>
      <w:r>
        <w:rPr>
          <w:rFonts w:ascii="Arial" w:hAnsi="Arial" w:cs="Arial" w:hint="eastAsia"/>
          <w:sz w:val="28"/>
        </w:rPr>
        <w:t>13</w:t>
      </w:r>
      <w:r>
        <w:rPr>
          <w:rFonts w:ascii="Arial" w:hAnsi="Arial" w:cs="Arial" w:hint="eastAsia"/>
          <w:sz w:val="28"/>
        </w:rPr>
        <w:t>宗地块以底价成交。</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图：</w:t>
      </w:r>
      <w:r>
        <w:rPr>
          <w:rFonts w:ascii="Arial" w:hAnsi="Arial" w:cs="Arial" w:hint="eastAsia"/>
          <w:sz w:val="28"/>
        </w:rPr>
        <w:t>2023</w:t>
      </w:r>
      <w:r>
        <w:rPr>
          <w:rFonts w:ascii="Arial" w:hAnsi="Arial" w:cs="Arial" w:hint="eastAsia"/>
          <w:sz w:val="28"/>
        </w:rPr>
        <w:t>年</w:t>
      </w:r>
      <w:r>
        <w:rPr>
          <w:rFonts w:ascii="Arial" w:hAnsi="Arial" w:cs="Arial" w:hint="eastAsia"/>
          <w:sz w:val="28"/>
        </w:rPr>
        <w:t>Q3</w:t>
      </w:r>
      <w:r>
        <w:rPr>
          <w:rFonts w:ascii="Arial" w:hAnsi="Arial" w:cs="Arial" w:hint="eastAsia"/>
          <w:sz w:val="28"/>
        </w:rPr>
        <w:t>至今北京</w:t>
      </w:r>
      <w:proofErr w:type="gramStart"/>
      <w:r>
        <w:rPr>
          <w:rFonts w:ascii="Arial" w:hAnsi="Arial" w:cs="Arial" w:hint="eastAsia"/>
          <w:sz w:val="28"/>
        </w:rPr>
        <w:t>市区涉宅用地</w:t>
      </w:r>
      <w:proofErr w:type="gramEnd"/>
      <w:r>
        <w:rPr>
          <w:rFonts w:ascii="Arial" w:hAnsi="Arial" w:cs="Arial" w:hint="eastAsia"/>
          <w:sz w:val="28"/>
        </w:rPr>
        <w:t>楼面价和溢价率季度走势</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6770" cy="2714625"/>
            <wp:effectExtent l="0" t="0" r="0" b="0"/>
            <wp:docPr id="33" name="图片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）供应计划</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日，北京市规划和自然资源委员会、北京市发展和改革委员会联合发布《北京市</w:t>
      </w:r>
      <w:r>
        <w:rPr>
          <w:rFonts w:ascii="Arial" w:hAnsi="Arial" w:cs="Arial" w:hint="eastAsia"/>
          <w:sz w:val="28"/>
        </w:rPr>
        <w:t>2025</w:t>
      </w:r>
      <w:r>
        <w:rPr>
          <w:rFonts w:ascii="Arial" w:hAnsi="Arial" w:cs="Arial" w:hint="eastAsia"/>
          <w:sz w:val="28"/>
        </w:rPr>
        <w:t>年度建设用地供应计划》，</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公顷，较往年基本持平。住宅用地安排</w:t>
      </w:r>
      <w:r>
        <w:rPr>
          <w:rFonts w:ascii="Arial" w:hAnsi="Arial" w:cs="Arial" w:hint="eastAsia"/>
          <w:sz w:val="28"/>
        </w:rPr>
        <w:t>955-1015</w:t>
      </w:r>
      <w:r>
        <w:rPr>
          <w:rFonts w:ascii="Arial" w:hAnsi="Arial" w:cs="Arial" w:hint="eastAsia"/>
          <w:sz w:val="28"/>
        </w:rPr>
        <w:t>公顷，较去年略降。本次供地计划保持各地类总量稳定、优化各类要素空间结构布局，保障优势地区高质量发展，稳定预期、激发活力，推动首都经济持续回升向好。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25</w:t>
      </w:r>
      <w:r>
        <w:rPr>
          <w:rFonts w:ascii="Arial" w:hAnsi="Arial" w:cs="Arial" w:hint="eastAsia"/>
          <w:sz w:val="28"/>
        </w:rPr>
        <w:t>日北京市举办“</w:t>
      </w:r>
      <w:r>
        <w:rPr>
          <w:rFonts w:ascii="Arial" w:hAnsi="Arial" w:cs="Arial" w:hint="eastAsia"/>
          <w:sz w:val="28"/>
        </w:rPr>
        <w:t>2025</w:t>
      </w:r>
      <w:r>
        <w:rPr>
          <w:rFonts w:ascii="Arial" w:hAnsi="Arial" w:cs="Arial" w:hint="eastAsia"/>
          <w:sz w:val="28"/>
        </w:rPr>
        <w:t>年北京商品住宅用地推介会”，会上北京对外推介了</w:t>
      </w:r>
      <w:r>
        <w:rPr>
          <w:rFonts w:ascii="Arial" w:hAnsi="Arial" w:cs="Arial" w:hint="eastAsia"/>
          <w:sz w:val="28"/>
        </w:rPr>
        <w:t>69</w:t>
      </w:r>
      <w:r>
        <w:rPr>
          <w:rFonts w:ascii="Arial" w:hAnsi="Arial" w:cs="Arial" w:hint="eastAsia"/>
          <w:sz w:val="28"/>
        </w:rPr>
        <w:t>宗优质地块、建设用地面积</w:t>
      </w:r>
      <w:r>
        <w:rPr>
          <w:rFonts w:ascii="Arial" w:hAnsi="Arial" w:cs="Arial" w:hint="eastAsia"/>
          <w:sz w:val="28"/>
        </w:rPr>
        <w:t>427</w:t>
      </w:r>
      <w:r>
        <w:rPr>
          <w:rFonts w:ascii="Arial" w:hAnsi="Arial" w:cs="Arial" w:hint="eastAsia"/>
          <w:sz w:val="28"/>
        </w:rPr>
        <w:t>公顷、建筑规模</w:t>
      </w:r>
      <w:r>
        <w:rPr>
          <w:rFonts w:ascii="Arial" w:hAnsi="Arial" w:cs="Arial" w:hint="eastAsia"/>
          <w:sz w:val="28"/>
        </w:rPr>
        <w:t>828</w:t>
      </w:r>
      <w:r>
        <w:rPr>
          <w:rFonts w:ascii="Arial" w:hAnsi="Arial" w:cs="Arial" w:hint="eastAsia"/>
          <w:sz w:val="28"/>
        </w:rPr>
        <w:t>万㎡。</w:t>
      </w:r>
      <w:r>
        <w:rPr>
          <w:rFonts w:ascii="Arial" w:hAnsi="Arial" w:cs="Arial" w:hint="eastAsia"/>
          <w:sz w:val="28"/>
        </w:rPr>
        <w:t>69</w:t>
      </w:r>
      <w:r>
        <w:rPr>
          <w:rFonts w:ascii="Arial" w:hAnsi="Arial" w:cs="Arial" w:hint="eastAsia"/>
          <w:sz w:val="28"/>
        </w:rPr>
        <w:t>宗地块中，中心城区占其中</w:t>
      </w:r>
      <w:r>
        <w:rPr>
          <w:rFonts w:ascii="Arial" w:hAnsi="Arial" w:cs="Arial" w:hint="eastAsia"/>
          <w:sz w:val="28"/>
        </w:rPr>
        <w:t>25</w:t>
      </w:r>
      <w:r>
        <w:rPr>
          <w:rFonts w:ascii="Arial" w:hAnsi="Arial" w:cs="Arial" w:hint="eastAsia"/>
          <w:sz w:val="28"/>
        </w:rPr>
        <w:t>宗住宅用地，分别为海淀区</w:t>
      </w:r>
      <w:r>
        <w:rPr>
          <w:rFonts w:ascii="Arial" w:hAnsi="Arial" w:cs="Arial" w:hint="eastAsia"/>
          <w:sz w:val="28"/>
        </w:rPr>
        <w:t>4</w:t>
      </w:r>
      <w:r>
        <w:rPr>
          <w:rFonts w:ascii="Arial" w:hAnsi="Arial" w:cs="Arial" w:hint="eastAsia"/>
          <w:sz w:val="28"/>
        </w:rPr>
        <w:t>宗、朝阳区</w:t>
      </w:r>
      <w:r>
        <w:rPr>
          <w:rFonts w:ascii="Arial" w:hAnsi="Arial" w:cs="Arial" w:hint="eastAsia"/>
          <w:sz w:val="28"/>
        </w:rPr>
        <w:t>6</w:t>
      </w:r>
      <w:r>
        <w:rPr>
          <w:rFonts w:ascii="Arial" w:hAnsi="Arial" w:cs="Arial" w:hint="eastAsia"/>
          <w:sz w:val="28"/>
        </w:rPr>
        <w:t>宗、丰台区</w:t>
      </w:r>
      <w:r>
        <w:rPr>
          <w:rFonts w:ascii="Arial" w:hAnsi="Arial" w:cs="Arial" w:hint="eastAsia"/>
          <w:sz w:val="28"/>
        </w:rPr>
        <w:t>9</w:t>
      </w:r>
      <w:r>
        <w:rPr>
          <w:rFonts w:ascii="Arial" w:hAnsi="Arial" w:cs="Arial" w:hint="eastAsia"/>
          <w:sz w:val="28"/>
        </w:rPr>
        <w:t>宗、石景山区</w:t>
      </w:r>
      <w:r>
        <w:rPr>
          <w:rFonts w:ascii="Arial" w:hAnsi="Arial" w:cs="Arial" w:hint="eastAsia"/>
          <w:sz w:val="28"/>
        </w:rPr>
        <w:t>6</w:t>
      </w:r>
      <w:r>
        <w:rPr>
          <w:rFonts w:ascii="Arial" w:hAnsi="Arial" w:cs="Arial" w:hint="eastAsia"/>
          <w:sz w:val="28"/>
        </w:rPr>
        <w:t>宗。</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）商品房住宅市场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）商品住宅供给状况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年上半年，北京商品住宅（不含保障性住房）累计供应</w:t>
      </w:r>
      <w:r>
        <w:rPr>
          <w:rFonts w:ascii="Arial" w:hAnsi="Arial" w:cs="Arial" w:hint="eastAsia"/>
          <w:sz w:val="28"/>
        </w:rPr>
        <w:t>251.35</w:t>
      </w:r>
      <w:r>
        <w:rPr>
          <w:rFonts w:ascii="Arial" w:hAnsi="Arial" w:cs="Arial" w:hint="eastAsia"/>
          <w:sz w:val="28"/>
        </w:rPr>
        <w:t>万平方米，同比增长</w:t>
      </w:r>
      <w:r>
        <w:rPr>
          <w:rFonts w:ascii="Arial" w:hAnsi="Arial" w:cs="Arial" w:hint="eastAsia"/>
          <w:sz w:val="28"/>
        </w:rPr>
        <w:t>26%</w:t>
      </w:r>
      <w:r>
        <w:rPr>
          <w:rFonts w:ascii="Arial" w:hAnsi="Arial" w:cs="Arial" w:hint="eastAsia"/>
          <w:sz w:val="28"/>
        </w:rPr>
        <w:t>。中海丽金府、保利建工·嘉华天珺、</w:t>
      </w:r>
      <w:proofErr w:type="gramStart"/>
      <w:r>
        <w:rPr>
          <w:rFonts w:ascii="Arial" w:hAnsi="Arial" w:cs="Arial" w:hint="eastAsia"/>
          <w:sz w:val="28"/>
        </w:rPr>
        <w:t>懋源云纪、颐海澐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望雲、建发·海晏、中海萬</w:t>
      </w:r>
      <w:proofErr w:type="gramStart"/>
      <w:r>
        <w:rPr>
          <w:rFonts w:ascii="Arial" w:hAnsi="Arial" w:cs="Arial" w:hint="eastAsia"/>
          <w:sz w:val="28"/>
        </w:rPr>
        <w:t>吉玖序等</w:t>
      </w:r>
      <w:proofErr w:type="gramEnd"/>
      <w:r>
        <w:rPr>
          <w:rFonts w:ascii="Arial" w:hAnsi="Arial" w:cs="Arial" w:hint="eastAsia"/>
          <w:sz w:val="28"/>
        </w:rPr>
        <w:t>中高端项目积极入市，带动北京楼市供应量上行。具体来看，</w:t>
      </w:r>
      <w:r>
        <w:rPr>
          <w:rFonts w:ascii="Arial" w:hAnsi="Arial" w:cs="Arial" w:hint="eastAsia"/>
          <w:sz w:val="28"/>
        </w:rPr>
        <w:t>1</w:t>
      </w:r>
      <w:r>
        <w:rPr>
          <w:rFonts w:ascii="Arial" w:hAnsi="Arial" w:cs="Arial" w:hint="eastAsia"/>
          <w:sz w:val="28"/>
        </w:rPr>
        <w:t>月新增供应规模约</w:t>
      </w:r>
      <w:r>
        <w:rPr>
          <w:rFonts w:ascii="Arial" w:hAnsi="Arial" w:cs="Arial" w:hint="eastAsia"/>
          <w:sz w:val="28"/>
        </w:rPr>
        <w:t>24</w:t>
      </w:r>
      <w:r>
        <w:rPr>
          <w:rFonts w:ascii="Arial" w:hAnsi="Arial" w:cs="Arial" w:hint="eastAsia"/>
          <w:sz w:val="28"/>
        </w:rPr>
        <w:t>万平方米，</w:t>
      </w:r>
      <w:r>
        <w:rPr>
          <w:rFonts w:ascii="Arial" w:hAnsi="Arial" w:cs="Arial" w:hint="eastAsia"/>
          <w:sz w:val="28"/>
        </w:rPr>
        <w:lastRenderedPageBreak/>
        <w:t>环比增加近八成；</w:t>
      </w:r>
      <w:r>
        <w:rPr>
          <w:rFonts w:ascii="Arial" w:hAnsi="Arial" w:cs="Arial" w:hint="eastAsia"/>
          <w:sz w:val="28"/>
        </w:rPr>
        <w:t>2</w:t>
      </w:r>
      <w:r>
        <w:rPr>
          <w:rFonts w:ascii="Arial" w:hAnsi="Arial" w:cs="Arial" w:hint="eastAsia"/>
          <w:sz w:val="28"/>
        </w:rPr>
        <w:t>月受春节假期影响，新增供应规模不足</w:t>
      </w:r>
      <w:r>
        <w:rPr>
          <w:rFonts w:ascii="Arial" w:hAnsi="Arial" w:cs="Arial" w:hint="eastAsia"/>
          <w:sz w:val="28"/>
        </w:rPr>
        <w:t>5</w:t>
      </w:r>
      <w:r>
        <w:rPr>
          <w:rFonts w:ascii="Arial" w:hAnsi="Arial" w:cs="Arial" w:hint="eastAsia"/>
          <w:sz w:val="28"/>
        </w:rPr>
        <w:t>万平方米；</w:t>
      </w:r>
      <w:r>
        <w:rPr>
          <w:rFonts w:ascii="Arial" w:hAnsi="Arial" w:cs="Arial" w:hint="eastAsia"/>
          <w:sz w:val="28"/>
        </w:rPr>
        <w:t>3</w:t>
      </w:r>
      <w:r>
        <w:rPr>
          <w:rFonts w:ascii="Arial" w:hAnsi="Arial" w:cs="Arial" w:hint="eastAsia"/>
          <w:sz w:val="28"/>
        </w:rPr>
        <w:t>月，随着市场的逐步恢复，</w:t>
      </w:r>
      <w:proofErr w:type="gramStart"/>
      <w:r>
        <w:rPr>
          <w:rFonts w:ascii="Arial" w:hAnsi="Arial" w:cs="Arial" w:hint="eastAsia"/>
          <w:sz w:val="28"/>
        </w:rPr>
        <w:t>房企供应</w:t>
      </w:r>
      <w:proofErr w:type="gramEnd"/>
      <w:r>
        <w:rPr>
          <w:rFonts w:ascii="Arial" w:hAnsi="Arial" w:cs="Arial" w:hint="eastAsia"/>
          <w:sz w:val="28"/>
        </w:rPr>
        <w:t>节奏有所加快，在和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玉鸣等高端改善项目积极入市带动下，新房供应量环比涨幅达</w:t>
      </w:r>
      <w:r>
        <w:rPr>
          <w:rFonts w:ascii="Arial" w:hAnsi="Arial" w:cs="Arial" w:hint="eastAsia"/>
          <w:sz w:val="28"/>
        </w:rPr>
        <w:t>1718%</w:t>
      </w:r>
      <w:r>
        <w:rPr>
          <w:rFonts w:ascii="Arial" w:hAnsi="Arial" w:cs="Arial" w:hint="eastAsia"/>
          <w:sz w:val="28"/>
        </w:rPr>
        <w:t>，但整体供应规模仍不及去年同期；</w:t>
      </w:r>
      <w:r>
        <w:rPr>
          <w:rFonts w:ascii="Arial" w:hAnsi="Arial" w:cs="Arial" w:hint="eastAsia"/>
          <w:sz w:val="28"/>
        </w:rPr>
        <w:t>4</w:t>
      </w:r>
      <w:r>
        <w:rPr>
          <w:rFonts w:ascii="Arial" w:hAnsi="Arial" w:cs="Arial" w:hint="eastAsia"/>
          <w:sz w:val="28"/>
        </w:rPr>
        <w:t>月新增供应</w:t>
      </w:r>
      <w:r>
        <w:rPr>
          <w:rFonts w:ascii="Arial" w:hAnsi="Arial" w:cs="Arial" w:hint="eastAsia"/>
          <w:sz w:val="28"/>
        </w:rPr>
        <w:t>60.19</w:t>
      </w:r>
      <w:r>
        <w:rPr>
          <w:rFonts w:ascii="Arial" w:hAnsi="Arial" w:cs="Arial" w:hint="eastAsia"/>
          <w:sz w:val="28"/>
        </w:rPr>
        <w:t>万平方米，连续两月供应量超</w:t>
      </w:r>
      <w:r>
        <w:rPr>
          <w:rFonts w:ascii="Arial" w:hAnsi="Arial" w:cs="Arial" w:hint="eastAsia"/>
          <w:sz w:val="28"/>
        </w:rPr>
        <w:t>60</w:t>
      </w:r>
      <w:r>
        <w:rPr>
          <w:rFonts w:ascii="Arial" w:hAnsi="Arial" w:cs="Arial" w:hint="eastAsia"/>
          <w:sz w:val="28"/>
        </w:rPr>
        <w:t>万平方米；</w:t>
      </w:r>
      <w:r>
        <w:rPr>
          <w:rFonts w:ascii="Arial" w:hAnsi="Arial" w:cs="Arial" w:hint="eastAsia"/>
          <w:sz w:val="28"/>
        </w:rPr>
        <w:t>5</w:t>
      </w:r>
      <w:r>
        <w:rPr>
          <w:rFonts w:ascii="Arial" w:hAnsi="Arial" w:cs="Arial" w:hint="eastAsia"/>
          <w:sz w:val="28"/>
        </w:rPr>
        <w:t>月，</w:t>
      </w:r>
      <w:proofErr w:type="gramStart"/>
      <w:r>
        <w:rPr>
          <w:rFonts w:ascii="Arial" w:hAnsi="Arial" w:cs="Arial" w:hint="eastAsia"/>
          <w:sz w:val="28"/>
        </w:rPr>
        <w:t>懋源云纪</w:t>
      </w:r>
      <w:proofErr w:type="gramEnd"/>
      <w:r>
        <w:rPr>
          <w:rFonts w:ascii="Arial" w:hAnsi="Arial" w:cs="Arial" w:hint="eastAsia"/>
          <w:sz w:val="28"/>
        </w:rPr>
        <w:t>、中海丽金府、华润臻云、中海丽泽叁號院等项目入市加推，带动北京楼市新增供应量连续三个月超</w:t>
      </w:r>
      <w:r>
        <w:rPr>
          <w:rFonts w:ascii="Arial" w:hAnsi="Arial" w:cs="Arial" w:hint="eastAsia"/>
          <w:sz w:val="28"/>
        </w:rPr>
        <w:t>60</w:t>
      </w:r>
      <w:r>
        <w:rPr>
          <w:rFonts w:ascii="Arial" w:hAnsi="Arial" w:cs="Arial" w:hint="eastAsia"/>
          <w:sz w:val="28"/>
        </w:rPr>
        <w:t>万平方米；</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房企入市</w:t>
      </w:r>
      <w:proofErr w:type="gramEnd"/>
      <w:r>
        <w:rPr>
          <w:rFonts w:ascii="Arial" w:hAnsi="Arial" w:cs="Arial" w:hint="eastAsia"/>
          <w:sz w:val="28"/>
        </w:rPr>
        <w:t>节奏放缓，新增供应量</w:t>
      </w:r>
      <w:r>
        <w:rPr>
          <w:rFonts w:ascii="Arial" w:hAnsi="Arial" w:cs="Arial" w:hint="eastAsia"/>
          <w:sz w:val="28"/>
        </w:rPr>
        <w:t>38.63</w:t>
      </w:r>
      <w:r>
        <w:rPr>
          <w:rFonts w:ascii="Arial" w:hAnsi="Arial" w:cs="Arial" w:hint="eastAsia"/>
          <w:sz w:val="28"/>
        </w:rPr>
        <w:t>万平方米，环比下降</w:t>
      </w:r>
      <w:r>
        <w:rPr>
          <w:rFonts w:ascii="Arial" w:hAnsi="Arial" w:cs="Arial" w:hint="eastAsia"/>
          <w:sz w:val="28"/>
        </w:rPr>
        <w:t>40%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142865" cy="3028315"/>
            <wp:effectExtent l="0" t="0" r="0"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年上半年北京商品住宅（不含保障房）供应量略高于成交量，导致库存规模有所回升。截至</w:t>
      </w:r>
      <w:r>
        <w:rPr>
          <w:rFonts w:ascii="Arial" w:hAnsi="Arial" w:cs="Arial" w:hint="eastAsia"/>
          <w:sz w:val="28"/>
        </w:rPr>
        <w:t>6</w:t>
      </w:r>
      <w:r>
        <w:rPr>
          <w:rFonts w:ascii="Arial" w:hAnsi="Arial" w:cs="Arial" w:hint="eastAsia"/>
          <w:sz w:val="28"/>
        </w:rPr>
        <w:t>月底，北京商品住宅（不含保障房）库存量约为</w:t>
      </w:r>
      <w:r>
        <w:rPr>
          <w:rFonts w:ascii="Arial" w:hAnsi="Arial" w:cs="Arial" w:hint="eastAsia"/>
          <w:sz w:val="28"/>
        </w:rPr>
        <w:t>981.88</w:t>
      </w:r>
      <w:r>
        <w:rPr>
          <w:rFonts w:ascii="Arial" w:hAnsi="Arial" w:cs="Arial" w:hint="eastAsia"/>
          <w:sz w:val="28"/>
        </w:rPr>
        <w:t>万平方米，较去年同期增加</w:t>
      </w:r>
      <w:r>
        <w:rPr>
          <w:rFonts w:ascii="Arial" w:hAnsi="Arial" w:cs="Arial" w:hint="eastAsia"/>
          <w:sz w:val="28"/>
        </w:rPr>
        <w:t>5%</w:t>
      </w:r>
      <w:r>
        <w:rPr>
          <w:rFonts w:ascii="Arial" w:hAnsi="Arial" w:cs="Arial" w:hint="eastAsia"/>
          <w:sz w:val="28"/>
        </w:rPr>
        <w:t>；月度来看，</w:t>
      </w:r>
      <w:r>
        <w:rPr>
          <w:rFonts w:ascii="Arial" w:hAnsi="Arial" w:cs="Arial" w:hint="eastAsia"/>
          <w:sz w:val="28"/>
        </w:rPr>
        <w:t>3-5</w:t>
      </w:r>
      <w:r>
        <w:rPr>
          <w:rFonts w:ascii="Arial" w:hAnsi="Arial" w:cs="Arial" w:hint="eastAsia"/>
          <w:sz w:val="28"/>
        </w:rPr>
        <w:t>月北京楼市供应量持续高位，连续三个月超</w:t>
      </w:r>
      <w:r>
        <w:rPr>
          <w:rFonts w:ascii="Arial" w:hAnsi="Arial" w:cs="Arial" w:hint="eastAsia"/>
          <w:sz w:val="28"/>
        </w:rPr>
        <w:t>60</w:t>
      </w:r>
      <w:r>
        <w:rPr>
          <w:rFonts w:ascii="Arial" w:hAnsi="Arial" w:cs="Arial" w:hint="eastAsia"/>
          <w:sz w:val="28"/>
        </w:rPr>
        <w:t>万平方米，带动库存规模回升。整体来看，</w:t>
      </w:r>
      <w:r>
        <w:rPr>
          <w:rFonts w:ascii="Arial" w:hAnsi="Arial" w:cs="Arial" w:hint="eastAsia"/>
          <w:sz w:val="28"/>
        </w:rPr>
        <w:t>930</w:t>
      </w:r>
      <w:r>
        <w:rPr>
          <w:rFonts w:ascii="Arial" w:hAnsi="Arial" w:cs="Arial" w:hint="eastAsia"/>
          <w:sz w:val="28"/>
        </w:rPr>
        <w:t>新政后，北京房地产市场</w:t>
      </w:r>
      <w:proofErr w:type="gramStart"/>
      <w:r>
        <w:rPr>
          <w:rFonts w:ascii="Arial" w:hAnsi="Arial" w:cs="Arial" w:hint="eastAsia"/>
          <w:sz w:val="28"/>
        </w:rPr>
        <w:t>平均去</w:t>
      </w:r>
      <w:proofErr w:type="gramEnd"/>
      <w:r>
        <w:rPr>
          <w:rFonts w:ascii="Arial" w:hAnsi="Arial" w:cs="Arial" w:hint="eastAsia"/>
          <w:sz w:val="28"/>
        </w:rPr>
        <w:t>化速度明显加快，叠加库存规模的逐步回落，出清周期呈现出明显的下滑趋势；进入</w:t>
      </w: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季度，伴随着供应量增加带动库存规模的回升，导致去化周期有所回升，截至到</w:t>
      </w:r>
      <w:r>
        <w:rPr>
          <w:rFonts w:ascii="Arial" w:hAnsi="Arial" w:cs="Arial" w:hint="eastAsia"/>
          <w:sz w:val="28"/>
        </w:rPr>
        <w:t>6</w:t>
      </w:r>
      <w:r>
        <w:rPr>
          <w:rFonts w:ascii="Arial" w:hAnsi="Arial" w:cs="Arial" w:hint="eastAsia"/>
          <w:sz w:val="28"/>
        </w:rPr>
        <w:t>月，北京楼市去化周期为</w:t>
      </w:r>
      <w:r>
        <w:rPr>
          <w:rFonts w:ascii="Arial" w:hAnsi="Arial" w:cs="Arial" w:hint="eastAsia"/>
          <w:sz w:val="28"/>
        </w:rPr>
        <w:t>22.8</w:t>
      </w:r>
      <w:r>
        <w:rPr>
          <w:rFonts w:ascii="Arial" w:hAnsi="Arial" w:cs="Arial" w:hint="eastAsia"/>
          <w:sz w:val="28"/>
        </w:rPr>
        <w:t>个月。</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4230" cy="1887220"/>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）商品住宅成交情况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成交量</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年上半年北京商品住宅成交规模约为</w:t>
      </w:r>
      <w:r>
        <w:rPr>
          <w:rFonts w:ascii="Arial" w:hAnsi="Arial" w:cs="Arial" w:hint="eastAsia"/>
          <w:sz w:val="28"/>
        </w:rPr>
        <w:t>234.13</w:t>
      </w:r>
      <w:r>
        <w:rPr>
          <w:rFonts w:ascii="Arial" w:hAnsi="Arial" w:cs="Arial" w:hint="eastAsia"/>
          <w:sz w:val="28"/>
        </w:rPr>
        <w:t>万平方米，同比增加</w:t>
      </w:r>
      <w:r>
        <w:rPr>
          <w:rFonts w:ascii="Arial" w:hAnsi="Arial" w:cs="Arial" w:hint="eastAsia"/>
          <w:sz w:val="28"/>
        </w:rPr>
        <w:t>20%</w:t>
      </w:r>
      <w:r>
        <w:rPr>
          <w:rFonts w:ascii="Arial" w:hAnsi="Arial" w:cs="Arial" w:hint="eastAsia"/>
          <w:sz w:val="28"/>
        </w:rPr>
        <w:t>，成交规模低位回升。分月度来看，</w:t>
      </w:r>
      <w:proofErr w:type="gramStart"/>
      <w:r>
        <w:rPr>
          <w:rFonts w:ascii="Arial" w:hAnsi="Arial" w:cs="Arial" w:hint="eastAsia"/>
          <w:sz w:val="28"/>
        </w:rPr>
        <w:t>受房企业绩</w:t>
      </w:r>
      <w:proofErr w:type="gramEnd"/>
      <w:r>
        <w:rPr>
          <w:rFonts w:ascii="Arial" w:hAnsi="Arial" w:cs="Arial" w:hint="eastAsia"/>
          <w:sz w:val="28"/>
        </w:rPr>
        <w:t>冲刺节点影响，</w:t>
      </w:r>
      <w:r>
        <w:rPr>
          <w:rFonts w:ascii="Arial" w:hAnsi="Arial" w:cs="Arial" w:hint="eastAsia"/>
          <w:sz w:val="28"/>
        </w:rPr>
        <w:t>1</w:t>
      </w:r>
      <w:r>
        <w:rPr>
          <w:rFonts w:ascii="Arial" w:hAnsi="Arial" w:cs="Arial" w:hint="eastAsia"/>
          <w:sz w:val="28"/>
        </w:rPr>
        <w:t>月市场活跃度下滑，成交</w:t>
      </w:r>
      <w:proofErr w:type="gramStart"/>
      <w:r>
        <w:rPr>
          <w:rFonts w:ascii="Arial" w:hAnsi="Arial" w:cs="Arial" w:hint="eastAsia"/>
          <w:sz w:val="28"/>
        </w:rPr>
        <w:t>规模环</w:t>
      </w:r>
      <w:proofErr w:type="gramEnd"/>
      <w:r>
        <w:rPr>
          <w:rFonts w:ascii="Arial" w:hAnsi="Arial" w:cs="Arial" w:hint="eastAsia"/>
          <w:sz w:val="28"/>
        </w:rPr>
        <w:t>比下滑；</w:t>
      </w:r>
      <w:r>
        <w:rPr>
          <w:rFonts w:ascii="Arial" w:hAnsi="Arial" w:cs="Arial" w:hint="eastAsia"/>
          <w:sz w:val="28"/>
        </w:rPr>
        <w:t>2</w:t>
      </w:r>
      <w:r>
        <w:rPr>
          <w:rFonts w:ascii="Arial" w:hAnsi="Arial" w:cs="Arial" w:hint="eastAsia"/>
          <w:sz w:val="28"/>
        </w:rPr>
        <w:t>月，在春节假期、自然日较少等多重因素影响下，市场活跃度季节性下滑；春节过后，高端改善项目积极入市、宅地市场局部高热为市场注入信心，带动市场积压需求持续释放，</w:t>
      </w:r>
      <w:r>
        <w:rPr>
          <w:rFonts w:ascii="Arial" w:hAnsi="Arial" w:cs="Arial" w:hint="eastAsia"/>
          <w:sz w:val="28"/>
        </w:rPr>
        <w:t>3</w:t>
      </w:r>
      <w:r>
        <w:rPr>
          <w:rFonts w:ascii="Arial" w:hAnsi="Arial" w:cs="Arial" w:hint="eastAsia"/>
          <w:sz w:val="28"/>
        </w:rPr>
        <w:t>月北京房地产市场热度回温；随着前期需求的快速释放，</w:t>
      </w:r>
      <w:r>
        <w:rPr>
          <w:rFonts w:ascii="Arial" w:hAnsi="Arial" w:cs="Arial" w:hint="eastAsia"/>
          <w:sz w:val="28"/>
        </w:rPr>
        <w:t>4</w:t>
      </w:r>
      <w:r>
        <w:rPr>
          <w:rFonts w:ascii="Arial" w:hAnsi="Arial" w:cs="Arial" w:hint="eastAsia"/>
          <w:sz w:val="28"/>
        </w:rPr>
        <w:t>月、</w:t>
      </w:r>
      <w:r>
        <w:rPr>
          <w:rFonts w:ascii="Arial" w:hAnsi="Arial" w:cs="Arial" w:hint="eastAsia"/>
          <w:sz w:val="28"/>
        </w:rPr>
        <w:t>5</w:t>
      </w:r>
      <w:r>
        <w:rPr>
          <w:rFonts w:ascii="Arial" w:hAnsi="Arial" w:cs="Arial" w:hint="eastAsia"/>
          <w:sz w:val="28"/>
        </w:rPr>
        <w:t>月市场活跃度下滑，成交走低；</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房企为</w:t>
      </w:r>
      <w:proofErr w:type="gramEnd"/>
      <w:r>
        <w:rPr>
          <w:rFonts w:ascii="Arial" w:hAnsi="Arial" w:cs="Arial" w:hint="eastAsia"/>
          <w:sz w:val="28"/>
        </w:rPr>
        <w:t>冲刺年中业绩，加大营销力度，叠加宽松政策环境的影响，成交规模回升。政策层面，两会政府工作报告首次将“稳住楼市”写进总体要求，同时指出调减房地产市场限制性措施，为市场传递了信心；</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日政治局会议定调之后，金融部门积极跟进落实各项举措，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日国常会</w:t>
      </w:r>
      <w:proofErr w:type="gramStart"/>
      <w:r>
        <w:rPr>
          <w:rFonts w:ascii="Arial" w:hAnsi="Arial" w:cs="Arial" w:hint="eastAsia"/>
          <w:sz w:val="28"/>
        </w:rPr>
        <w:t>发布降准降息</w:t>
      </w:r>
      <w:proofErr w:type="gramEnd"/>
      <w:r>
        <w:rPr>
          <w:rFonts w:ascii="Arial" w:hAnsi="Arial" w:cs="Arial" w:hint="eastAsia"/>
          <w:sz w:val="28"/>
        </w:rPr>
        <w:t>等一揽子金融政策，对提振房地产市场信心、稳定市场预期产生积极作用；</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日，国常会定调更大力度推动房地产市场止跌回稳，而北京作为仍存限购等政策的城市，预计后续有望进一步优化楼市政策，逐步</w:t>
      </w:r>
      <w:proofErr w:type="gramStart"/>
      <w:r>
        <w:rPr>
          <w:rFonts w:ascii="Arial" w:hAnsi="Arial" w:cs="Arial" w:hint="eastAsia"/>
          <w:sz w:val="28"/>
        </w:rPr>
        <w:t>落实因区</w:t>
      </w:r>
      <w:proofErr w:type="gramEnd"/>
      <w:r>
        <w:rPr>
          <w:rFonts w:ascii="Arial" w:hAnsi="Arial" w:cs="Arial" w:hint="eastAsia"/>
          <w:sz w:val="28"/>
        </w:rPr>
        <w:t>施策、调减楼市限制性措施等，进一步</w:t>
      </w:r>
      <w:proofErr w:type="gramStart"/>
      <w:r>
        <w:rPr>
          <w:rFonts w:ascii="Arial" w:hAnsi="Arial" w:cs="Arial" w:hint="eastAsia"/>
          <w:sz w:val="28"/>
        </w:rPr>
        <w:t>释放刚需和</w:t>
      </w:r>
      <w:proofErr w:type="gramEnd"/>
      <w:r>
        <w:rPr>
          <w:rFonts w:ascii="Arial" w:hAnsi="Arial" w:cs="Arial" w:hint="eastAsia"/>
          <w:sz w:val="28"/>
        </w:rPr>
        <w:t>改善型需求积极入市，带动市场活跃度的提升。</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9310" cy="1585595"/>
            <wp:effectExtent l="0" t="0" r="0" b="0"/>
            <wp:docPr id="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成交价格</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成交价格</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受结构性因素的影响，</w:t>
      </w:r>
      <w:r>
        <w:rPr>
          <w:rFonts w:ascii="Arial" w:hAnsi="Arial" w:cs="Arial" w:hint="eastAsia"/>
          <w:sz w:val="28"/>
        </w:rPr>
        <w:t>2025</w:t>
      </w:r>
      <w:r>
        <w:rPr>
          <w:rFonts w:ascii="Arial" w:hAnsi="Arial" w:cs="Arial" w:hint="eastAsia"/>
          <w:sz w:val="28"/>
        </w:rPr>
        <w:t>年上半年北京商品住宅价格同比上涨。</w:t>
      </w:r>
      <w:r>
        <w:rPr>
          <w:rFonts w:ascii="Arial" w:hAnsi="Arial" w:cs="Arial" w:hint="eastAsia"/>
          <w:sz w:val="28"/>
        </w:rPr>
        <w:t>2025</w:t>
      </w:r>
      <w:r>
        <w:rPr>
          <w:rFonts w:ascii="Arial" w:hAnsi="Arial" w:cs="Arial" w:hint="eastAsia"/>
          <w:sz w:val="28"/>
        </w:rPr>
        <w:t>年上半年，北京商品住宅（不含保障房）平均成交价格为</w:t>
      </w:r>
      <w:r>
        <w:rPr>
          <w:rFonts w:ascii="Arial" w:hAnsi="Arial" w:cs="Arial" w:hint="eastAsia"/>
          <w:sz w:val="28"/>
        </w:rPr>
        <w:t>60708</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0.9%</w:t>
      </w:r>
      <w:r>
        <w:rPr>
          <w:rFonts w:ascii="Arial" w:hAnsi="Arial" w:cs="Arial" w:hint="eastAsia"/>
          <w:sz w:val="28"/>
        </w:rPr>
        <w:t>。主要原因是，伴随着房地产市场的持续调整，</w:t>
      </w:r>
      <w:proofErr w:type="gramStart"/>
      <w:r>
        <w:rPr>
          <w:rFonts w:ascii="Arial" w:hAnsi="Arial" w:cs="Arial" w:hint="eastAsia"/>
          <w:sz w:val="28"/>
        </w:rPr>
        <w:t>房企拿</w:t>
      </w:r>
      <w:proofErr w:type="gramEnd"/>
      <w:r>
        <w:rPr>
          <w:rFonts w:ascii="Arial" w:hAnsi="Arial" w:cs="Arial" w:hint="eastAsia"/>
          <w:sz w:val="28"/>
        </w:rPr>
        <w:t>地趋于理性谨慎。为提升</w:t>
      </w:r>
      <w:proofErr w:type="gramStart"/>
      <w:r>
        <w:rPr>
          <w:rFonts w:ascii="Arial" w:hAnsi="Arial" w:cs="Arial" w:hint="eastAsia"/>
          <w:sz w:val="28"/>
        </w:rPr>
        <w:t>房企拿</w:t>
      </w:r>
      <w:proofErr w:type="gramEnd"/>
      <w:r>
        <w:rPr>
          <w:rFonts w:ascii="Arial" w:hAnsi="Arial" w:cs="Arial" w:hint="eastAsia"/>
          <w:sz w:val="28"/>
        </w:rPr>
        <w:t>地积极性，近年来中心城区（含核心区）推出了多宗优质地块，中高端改善产品入市量增加，导致北京楼市成交均价呈现出结构性上涨的趋势。季度来看，一季度北京新建商品住宅成交均价为</w:t>
      </w:r>
      <w:r>
        <w:rPr>
          <w:rFonts w:ascii="Arial" w:hAnsi="Arial" w:cs="Arial" w:hint="eastAsia"/>
          <w:sz w:val="28"/>
        </w:rPr>
        <w:t>59093</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2.1%</w:t>
      </w:r>
      <w:r>
        <w:rPr>
          <w:rFonts w:ascii="Arial" w:hAnsi="Arial" w:cs="Arial" w:hint="eastAsia"/>
          <w:sz w:val="28"/>
        </w:rPr>
        <w:t>；二季度，楼市成交均价为</w:t>
      </w:r>
      <w:r>
        <w:rPr>
          <w:rFonts w:ascii="Arial" w:hAnsi="Arial" w:cs="Arial" w:hint="eastAsia"/>
          <w:sz w:val="28"/>
        </w:rPr>
        <w:t>62050</w:t>
      </w:r>
      <w:r>
        <w:rPr>
          <w:rFonts w:ascii="Arial" w:hAnsi="Arial" w:cs="Arial" w:hint="eastAsia"/>
          <w:sz w:val="28"/>
        </w:rPr>
        <w:t>元</w:t>
      </w:r>
      <w:r>
        <w:rPr>
          <w:rFonts w:ascii="Arial" w:hAnsi="Arial" w:cs="Arial" w:hint="eastAsia"/>
          <w:sz w:val="28"/>
        </w:rPr>
        <w:t>/</w:t>
      </w:r>
      <w:r>
        <w:rPr>
          <w:rFonts w:ascii="Arial" w:hAnsi="Arial" w:cs="Arial" w:hint="eastAsia"/>
          <w:sz w:val="28"/>
        </w:rPr>
        <w:t>平方米，与去年同期基本持平。从房价指数来看，北京楼市房价指数仍延续上涨的趋势，上半年商品住房价格指数累计上涨</w:t>
      </w:r>
      <w:r>
        <w:rPr>
          <w:rFonts w:ascii="Arial" w:hAnsi="Arial" w:cs="Arial" w:hint="eastAsia"/>
          <w:sz w:val="28"/>
        </w:rPr>
        <w:t>1.9%</w:t>
      </w:r>
      <w:r>
        <w:rPr>
          <w:rFonts w:ascii="Arial" w:hAnsi="Arial" w:cs="Arial" w:hint="eastAsia"/>
          <w:sz w:val="28"/>
        </w:rPr>
        <w:t>，涨幅较去年同期扩大</w:t>
      </w:r>
      <w:r>
        <w:rPr>
          <w:rFonts w:ascii="Arial" w:hAnsi="Arial" w:cs="Arial" w:hint="eastAsia"/>
          <w:sz w:val="28"/>
        </w:rPr>
        <w:t>0.8</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82880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成交结构</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w:t>
      </w:r>
      <w:r>
        <w:rPr>
          <w:rFonts w:ascii="Arial" w:hAnsi="Arial" w:cs="Arial" w:hint="eastAsia"/>
          <w:sz w:val="28"/>
        </w:rPr>
        <w:t>90-200</w:t>
      </w:r>
      <w:r>
        <w:rPr>
          <w:rFonts w:ascii="Arial" w:hAnsi="Arial" w:cs="Arial" w:hint="eastAsia"/>
          <w:sz w:val="28"/>
        </w:rPr>
        <w:t>平米面积段的刚改和改善型产品成交占比提升，成交套数占比达</w:t>
      </w:r>
      <w:r>
        <w:rPr>
          <w:rFonts w:ascii="Arial" w:hAnsi="Arial" w:cs="Arial" w:hint="eastAsia"/>
          <w:sz w:val="28"/>
        </w:rPr>
        <w:t>71.7%</w:t>
      </w:r>
      <w:r>
        <w:rPr>
          <w:rFonts w:ascii="Arial" w:hAnsi="Arial" w:cs="Arial" w:hint="eastAsia"/>
          <w:sz w:val="28"/>
        </w:rPr>
        <w:t>，占比提升</w:t>
      </w:r>
      <w:r>
        <w:rPr>
          <w:rFonts w:ascii="Arial" w:hAnsi="Arial" w:cs="Arial" w:hint="eastAsia"/>
          <w:sz w:val="28"/>
        </w:rPr>
        <w:t>4.7</w:t>
      </w:r>
      <w:r>
        <w:rPr>
          <w:rFonts w:ascii="Arial" w:hAnsi="Arial" w:cs="Arial" w:hint="eastAsia"/>
          <w:sz w:val="28"/>
        </w:rPr>
        <w:t>个百分点，中低、</w:t>
      </w:r>
      <w:proofErr w:type="gramStart"/>
      <w:r>
        <w:rPr>
          <w:rFonts w:ascii="Arial" w:hAnsi="Arial" w:cs="Arial" w:hint="eastAsia"/>
          <w:sz w:val="28"/>
        </w:rPr>
        <w:t>高面积段产品</w:t>
      </w:r>
      <w:proofErr w:type="gramEnd"/>
      <w:r>
        <w:rPr>
          <w:rFonts w:ascii="Arial" w:hAnsi="Arial" w:cs="Arial" w:hint="eastAsia"/>
          <w:sz w:val="28"/>
        </w:rPr>
        <w:t>成交</w:t>
      </w:r>
      <w:r>
        <w:rPr>
          <w:rFonts w:ascii="Arial" w:hAnsi="Arial" w:cs="Arial" w:hint="eastAsia"/>
          <w:sz w:val="28"/>
        </w:rPr>
        <w:lastRenderedPageBreak/>
        <w:t>占比均下滑。成交总价段在</w:t>
      </w:r>
      <w:r>
        <w:rPr>
          <w:rFonts w:ascii="Arial" w:hAnsi="Arial" w:cs="Arial" w:hint="eastAsia"/>
          <w:sz w:val="28"/>
        </w:rPr>
        <w:t>1200</w:t>
      </w:r>
      <w:r>
        <w:rPr>
          <w:rFonts w:ascii="Arial" w:hAnsi="Arial" w:cs="Arial" w:hint="eastAsia"/>
          <w:sz w:val="28"/>
        </w:rPr>
        <w:t>万之间的中高价位</w:t>
      </w:r>
      <w:proofErr w:type="gramStart"/>
      <w:r>
        <w:rPr>
          <w:rFonts w:ascii="Arial" w:hAnsi="Arial" w:cs="Arial" w:hint="eastAsia"/>
          <w:sz w:val="28"/>
        </w:rPr>
        <w:t>段产品</w:t>
      </w:r>
      <w:proofErr w:type="gramEnd"/>
      <w:r>
        <w:rPr>
          <w:rFonts w:ascii="Arial" w:hAnsi="Arial" w:cs="Arial" w:hint="eastAsia"/>
          <w:sz w:val="28"/>
        </w:rPr>
        <w:t>成交占比提升较多，较去年同期增加</w:t>
      </w:r>
      <w:r>
        <w:rPr>
          <w:rFonts w:ascii="Arial" w:hAnsi="Arial" w:cs="Arial" w:hint="eastAsia"/>
          <w:sz w:val="28"/>
        </w:rPr>
        <w:t>3.8</w:t>
      </w:r>
      <w:r>
        <w:rPr>
          <w:rFonts w:ascii="Arial" w:hAnsi="Arial" w:cs="Arial" w:hint="eastAsia"/>
          <w:sz w:val="28"/>
        </w:rPr>
        <w:t>个百分点；中高总价</w:t>
      </w:r>
      <w:proofErr w:type="gramStart"/>
      <w:r>
        <w:rPr>
          <w:rFonts w:ascii="Arial" w:hAnsi="Arial" w:cs="Arial" w:hint="eastAsia"/>
          <w:sz w:val="28"/>
        </w:rPr>
        <w:t>段产品</w:t>
      </w:r>
      <w:proofErr w:type="gramEnd"/>
      <w:r>
        <w:rPr>
          <w:rFonts w:ascii="Arial" w:hAnsi="Arial" w:cs="Arial" w:hint="eastAsia"/>
          <w:sz w:val="28"/>
        </w:rPr>
        <w:t>成交占比下滑，其</w:t>
      </w:r>
      <w:r>
        <w:rPr>
          <w:rFonts w:ascii="Arial" w:hAnsi="Arial" w:cs="Arial" w:hint="eastAsia"/>
          <w:sz w:val="28"/>
        </w:rPr>
        <w:t xml:space="preserve"> </w:t>
      </w:r>
      <w:r>
        <w:rPr>
          <w:rFonts w:ascii="Arial" w:hAnsi="Arial" w:cs="Arial" w:hint="eastAsia"/>
          <w:sz w:val="28"/>
        </w:rPr>
        <w:t>中</w:t>
      </w:r>
      <w:r>
        <w:rPr>
          <w:rFonts w:ascii="Arial" w:hAnsi="Arial" w:cs="Arial" w:hint="eastAsia"/>
          <w:sz w:val="28"/>
        </w:rPr>
        <w:t>500-1000</w:t>
      </w:r>
      <w:r>
        <w:rPr>
          <w:rFonts w:ascii="Arial" w:hAnsi="Arial" w:cs="Arial" w:hint="eastAsia"/>
          <w:sz w:val="28"/>
        </w:rPr>
        <w:t>万之间中高总价</w:t>
      </w:r>
      <w:proofErr w:type="gramStart"/>
      <w:r>
        <w:rPr>
          <w:rFonts w:ascii="Arial" w:hAnsi="Arial" w:cs="Arial" w:hint="eastAsia"/>
          <w:sz w:val="28"/>
        </w:rPr>
        <w:t>段产品</w:t>
      </w:r>
      <w:proofErr w:type="gramEnd"/>
      <w:r>
        <w:rPr>
          <w:rFonts w:ascii="Arial" w:hAnsi="Arial" w:cs="Arial" w:hint="eastAsia"/>
          <w:sz w:val="28"/>
        </w:rPr>
        <w:t>成交占比下滑明显，较去年同期减少</w:t>
      </w:r>
      <w:r>
        <w:rPr>
          <w:rFonts w:ascii="Arial" w:hAnsi="Arial" w:cs="Arial" w:hint="eastAsia"/>
          <w:sz w:val="28"/>
        </w:rPr>
        <w:t>5.4</w:t>
      </w:r>
      <w:r>
        <w:rPr>
          <w:rFonts w:ascii="Arial" w:hAnsi="Arial" w:cs="Arial" w:hint="eastAsia"/>
          <w:sz w:val="28"/>
        </w:rPr>
        <w:t>个百分点；另外，</w:t>
      </w:r>
      <w:r>
        <w:rPr>
          <w:rFonts w:ascii="Arial" w:hAnsi="Arial" w:cs="Arial" w:hint="eastAsia"/>
          <w:sz w:val="28"/>
        </w:rPr>
        <w:t>500-800</w:t>
      </w:r>
      <w:r>
        <w:rPr>
          <w:rFonts w:ascii="Arial" w:hAnsi="Arial" w:cs="Arial" w:hint="eastAsia"/>
          <w:sz w:val="28"/>
        </w:rPr>
        <w:t>万之间产品仍为市场主力，成交占比为</w:t>
      </w:r>
      <w:r>
        <w:rPr>
          <w:rFonts w:ascii="Arial" w:hAnsi="Arial" w:cs="Arial" w:hint="eastAsia"/>
          <w:sz w:val="28"/>
        </w:rPr>
        <w:t>29.2%</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玉鸣、北京宸园、中海</w:t>
      </w:r>
      <w:proofErr w:type="gramStart"/>
      <w:r>
        <w:rPr>
          <w:rFonts w:ascii="Arial" w:hAnsi="Arial" w:cs="Arial" w:hint="eastAsia"/>
          <w:sz w:val="28"/>
        </w:rPr>
        <w:t>萬吉玖序</w:t>
      </w:r>
      <w:proofErr w:type="gramEnd"/>
      <w:r>
        <w:rPr>
          <w:rFonts w:ascii="Arial" w:hAnsi="Arial" w:cs="Arial" w:hint="eastAsia"/>
          <w:sz w:val="28"/>
        </w:rPr>
        <w:t>、建发·海晏等高端改善项目热销，均位居全市项目销售金额榜</w:t>
      </w:r>
      <w:r>
        <w:rPr>
          <w:rFonts w:ascii="Arial" w:hAnsi="Arial" w:cs="Arial" w:hint="eastAsia"/>
          <w:sz w:val="28"/>
        </w:rPr>
        <w:t>TOP10</w:t>
      </w:r>
      <w:r>
        <w:rPr>
          <w:rFonts w:ascii="Arial" w:hAnsi="Arial" w:cs="Arial" w:hint="eastAsia"/>
          <w:sz w:val="28"/>
        </w:rPr>
        <w:t>前列，带动中</w:t>
      </w:r>
      <w:proofErr w:type="gramStart"/>
      <w:r>
        <w:rPr>
          <w:rFonts w:ascii="Arial" w:hAnsi="Arial" w:cs="Arial" w:hint="eastAsia"/>
          <w:sz w:val="28"/>
        </w:rPr>
        <w:t>高面积段</w:t>
      </w:r>
      <w:proofErr w:type="gramEnd"/>
      <w:r>
        <w:rPr>
          <w:rFonts w:ascii="Arial" w:hAnsi="Arial" w:cs="Arial" w:hint="eastAsia"/>
          <w:sz w:val="28"/>
        </w:rPr>
        <w:t>和高总价产品成交占比出现明显的提升。主要原因一方面是热销项目主力户型位于</w:t>
      </w:r>
      <w:r>
        <w:rPr>
          <w:rFonts w:ascii="Arial" w:hAnsi="Arial" w:cs="Arial" w:hint="eastAsia"/>
          <w:sz w:val="28"/>
        </w:rPr>
        <w:t>120-180</w:t>
      </w:r>
      <w:r>
        <w:rPr>
          <w:rFonts w:ascii="Arial" w:hAnsi="Arial" w:cs="Arial" w:hint="eastAsia"/>
          <w:sz w:val="28"/>
        </w:rPr>
        <w:t>平之间；另一方面，入市项目区位优势较为明显，周边产业等配套资源丰富，市场需求支撑度较高，项目成交均价均超</w:t>
      </w:r>
      <w:r>
        <w:rPr>
          <w:rFonts w:ascii="Arial" w:hAnsi="Arial" w:cs="Arial" w:hint="eastAsia"/>
          <w:sz w:val="28"/>
        </w:rPr>
        <w:t>10</w:t>
      </w:r>
      <w:r>
        <w:rPr>
          <w:rFonts w:ascii="Arial" w:hAnsi="Arial" w:cs="Arial" w:hint="eastAsia"/>
          <w:sz w:val="28"/>
        </w:rPr>
        <w:t>万元</w:t>
      </w:r>
      <w:r>
        <w:rPr>
          <w:rFonts w:ascii="Arial" w:hAnsi="Arial" w:cs="Arial" w:hint="eastAsia"/>
          <w:sz w:val="28"/>
        </w:rPr>
        <w:t>/</w:t>
      </w:r>
      <w:r>
        <w:rPr>
          <w:rFonts w:ascii="Arial" w:hAnsi="Arial" w:cs="Arial" w:hint="eastAsia"/>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98515" cy="1849755"/>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C.</w:t>
      </w:r>
      <w:r>
        <w:rPr>
          <w:rFonts w:ascii="Arial" w:hAnsi="Arial" w:cs="Arial" w:hint="eastAsia"/>
          <w:sz w:val="28"/>
        </w:rPr>
        <w:t>区域成交</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从区域成交规模来看，近郊六区仍为市场成交主力区域，成交规模占比超五成。</w:t>
      </w:r>
      <w:r>
        <w:rPr>
          <w:rFonts w:ascii="Arial" w:hAnsi="Arial" w:cs="Arial" w:hint="eastAsia"/>
          <w:sz w:val="28"/>
        </w:rPr>
        <w:t>2025</w:t>
      </w:r>
      <w:r>
        <w:rPr>
          <w:rFonts w:ascii="Arial" w:hAnsi="Arial" w:cs="Arial" w:hint="eastAsia"/>
          <w:sz w:val="28"/>
        </w:rPr>
        <w:t>年上半年近郊六</w:t>
      </w:r>
      <w:proofErr w:type="gramStart"/>
      <w:r>
        <w:rPr>
          <w:rFonts w:ascii="Arial" w:hAnsi="Arial" w:cs="Arial" w:hint="eastAsia"/>
          <w:sz w:val="28"/>
        </w:rPr>
        <w:t>区成交</w:t>
      </w:r>
      <w:proofErr w:type="gramEnd"/>
      <w:r>
        <w:rPr>
          <w:rFonts w:ascii="Arial" w:hAnsi="Arial" w:cs="Arial" w:hint="eastAsia"/>
          <w:sz w:val="28"/>
        </w:rPr>
        <w:t>119.41</w:t>
      </w:r>
      <w:r>
        <w:rPr>
          <w:rFonts w:ascii="Arial" w:hAnsi="Arial" w:cs="Arial" w:hint="eastAsia"/>
          <w:sz w:val="28"/>
        </w:rPr>
        <w:t>万平，占比达</w:t>
      </w:r>
      <w:r>
        <w:rPr>
          <w:rFonts w:ascii="Arial" w:hAnsi="Arial" w:cs="Arial" w:hint="eastAsia"/>
          <w:sz w:val="28"/>
        </w:rPr>
        <w:t>51.0%</w:t>
      </w:r>
      <w:r>
        <w:rPr>
          <w:rFonts w:ascii="Arial" w:hAnsi="Arial" w:cs="Arial" w:hint="eastAsia"/>
          <w:sz w:val="28"/>
        </w:rPr>
        <w:t>；其中，昌平、顺义累计成交占全市的比重均超</w:t>
      </w:r>
      <w:r>
        <w:rPr>
          <w:rFonts w:ascii="Arial" w:hAnsi="Arial" w:cs="Arial" w:hint="eastAsia"/>
          <w:sz w:val="28"/>
        </w:rPr>
        <w:t>10%</w:t>
      </w:r>
      <w:r>
        <w:rPr>
          <w:rFonts w:ascii="Arial" w:hAnsi="Arial" w:cs="Arial" w:hint="eastAsia"/>
          <w:sz w:val="28"/>
        </w:rPr>
        <w:t>。中心城区累计成交</w:t>
      </w:r>
      <w:r>
        <w:rPr>
          <w:rFonts w:ascii="Arial" w:hAnsi="Arial" w:cs="Arial" w:hint="eastAsia"/>
          <w:sz w:val="28"/>
        </w:rPr>
        <w:t>104.02</w:t>
      </w:r>
      <w:r>
        <w:rPr>
          <w:rFonts w:ascii="Arial" w:hAnsi="Arial" w:cs="Arial" w:hint="eastAsia"/>
          <w:sz w:val="28"/>
        </w:rPr>
        <w:t>万平，成交占比为</w:t>
      </w:r>
      <w:r>
        <w:rPr>
          <w:rFonts w:ascii="Arial" w:hAnsi="Arial" w:cs="Arial" w:hint="eastAsia"/>
          <w:sz w:val="28"/>
        </w:rPr>
        <w:t>44.4%</w:t>
      </w:r>
      <w:r>
        <w:rPr>
          <w:rFonts w:ascii="Arial" w:hAnsi="Arial" w:cs="Arial" w:hint="eastAsia"/>
          <w:sz w:val="28"/>
        </w:rPr>
        <w:t>，朝阳、海淀、丰台成交规模居前列，成交规模占全市的比重均超</w:t>
      </w:r>
      <w:r>
        <w:rPr>
          <w:rFonts w:ascii="Arial" w:hAnsi="Arial" w:cs="Arial" w:hint="eastAsia"/>
          <w:sz w:val="28"/>
        </w:rPr>
        <w:t>10%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从区域成交变化来看，中心城区成交规模明显增加、远郊区域同比下滑。其中，中心城区同比增加</w:t>
      </w:r>
      <w:r>
        <w:rPr>
          <w:rFonts w:ascii="Arial" w:hAnsi="Arial" w:cs="Arial" w:hint="eastAsia"/>
          <w:sz w:val="28"/>
        </w:rPr>
        <w:t>46%</w:t>
      </w:r>
      <w:r>
        <w:rPr>
          <w:rFonts w:ascii="Arial" w:hAnsi="Arial" w:cs="Arial" w:hint="eastAsia"/>
          <w:sz w:val="28"/>
        </w:rPr>
        <w:t>，海淀同比成倍增加，朝阳区和丰台</w:t>
      </w:r>
      <w:proofErr w:type="gramStart"/>
      <w:r>
        <w:rPr>
          <w:rFonts w:ascii="Arial" w:hAnsi="Arial" w:cs="Arial" w:hint="eastAsia"/>
          <w:sz w:val="28"/>
        </w:rPr>
        <w:t>区成交同比增幅超</w:t>
      </w:r>
      <w:proofErr w:type="gramEnd"/>
      <w:r>
        <w:rPr>
          <w:rFonts w:ascii="Arial" w:hAnsi="Arial" w:cs="Arial" w:hint="eastAsia"/>
          <w:sz w:val="28"/>
        </w:rPr>
        <w:t>三成，东城区和西城区成交规模同比明显下滑，但基数较小；近郊区域成交同比增加</w:t>
      </w:r>
      <w:r>
        <w:rPr>
          <w:rFonts w:ascii="Arial" w:hAnsi="Arial" w:cs="Arial" w:hint="eastAsia"/>
          <w:sz w:val="28"/>
        </w:rPr>
        <w:t>7%</w:t>
      </w:r>
      <w:r>
        <w:rPr>
          <w:rFonts w:ascii="Arial" w:hAnsi="Arial" w:cs="Arial" w:hint="eastAsia"/>
          <w:sz w:val="28"/>
        </w:rPr>
        <w:t>，门头沟区同比增幅近两倍，房山区、</w:t>
      </w:r>
      <w:proofErr w:type="gramStart"/>
      <w:r>
        <w:rPr>
          <w:rFonts w:ascii="Arial" w:hAnsi="Arial" w:cs="Arial" w:hint="eastAsia"/>
          <w:sz w:val="28"/>
        </w:rPr>
        <w:t>昌平区</w:t>
      </w:r>
      <w:proofErr w:type="gramEnd"/>
      <w:r>
        <w:rPr>
          <w:rFonts w:ascii="Arial" w:hAnsi="Arial" w:cs="Arial" w:hint="eastAsia"/>
          <w:sz w:val="28"/>
        </w:rPr>
        <w:t>和通</w:t>
      </w:r>
      <w:r>
        <w:rPr>
          <w:rFonts w:ascii="Arial" w:hAnsi="Arial" w:cs="Arial" w:hint="eastAsia"/>
          <w:sz w:val="28"/>
        </w:rPr>
        <w:lastRenderedPageBreak/>
        <w:t>州区成交同比涨幅均超</w:t>
      </w:r>
      <w:r>
        <w:rPr>
          <w:rFonts w:ascii="Arial" w:hAnsi="Arial" w:cs="Arial" w:hint="eastAsia"/>
          <w:sz w:val="28"/>
        </w:rPr>
        <w:t>10%</w:t>
      </w:r>
      <w:r>
        <w:rPr>
          <w:rFonts w:ascii="Arial" w:hAnsi="Arial" w:cs="Arial" w:hint="eastAsia"/>
          <w:sz w:val="28"/>
        </w:rPr>
        <w:t>，大兴成交同比下降</w:t>
      </w:r>
      <w:r>
        <w:rPr>
          <w:rFonts w:ascii="Arial" w:hAnsi="Arial" w:cs="Arial" w:hint="eastAsia"/>
          <w:sz w:val="28"/>
        </w:rPr>
        <w:t>24%</w:t>
      </w:r>
      <w:r>
        <w:rPr>
          <w:rFonts w:ascii="Arial" w:hAnsi="Arial" w:cs="Arial" w:hint="eastAsia"/>
          <w:sz w:val="28"/>
        </w:rPr>
        <w:t>；远郊区域成交规模同比减少</w:t>
      </w:r>
      <w:r>
        <w:rPr>
          <w:rFonts w:ascii="Arial" w:hAnsi="Arial" w:cs="Arial" w:hint="eastAsia"/>
          <w:sz w:val="28"/>
        </w:rPr>
        <w:t>15%</w:t>
      </w:r>
      <w:r>
        <w:rPr>
          <w:rFonts w:ascii="Arial" w:hAnsi="Arial" w:cs="Arial" w:hint="eastAsia"/>
          <w:sz w:val="28"/>
        </w:rPr>
        <w:t>，</w:t>
      </w:r>
      <w:proofErr w:type="gramStart"/>
      <w:r>
        <w:rPr>
          <w:rFonts w:ascii="Arial" w:hAnsi="Arial" w:cs="Arial" w:hint="eastAsia"/>
          <w:sz w:val="28"/>
        </w:rPr>
        <w:t>平谷区</w:t>
      </w:r>
      <w:proofErr w:type="gramEnd"/>
      <w:r>
        <w:rPr>
          <w:rFonts w:ascii="Arial" w:hAnsi="Arial" w:cs="Arial" w:hint="eastAsia"/>
          <w:sz w:val="28"/>
        </w:rPr>
        <w:t>和延庆</w:t>
      </w:r>
      <w:proofErr w:type="gramStart"/>
      <w:r>
        <w:rPr>
          <w:rFonts w:ascii="Arial" w:hAnsi="Arial" w:cs="Arial" w:hint="eastAsia"/>
          <w:sz w:val="28"/>
        </w:rPr>
        <w:t>区成交</w:t>
      </w:r>
      <w:proofErr w:type="gramEnd"/>
      <w:r>
        <w:rPr>
          <w:rFonts w:ascii="Arial" w:hAnsi="Arial" w:cs="Arial" w:hint="eastAsia"/>
          <w:sz w:val="28"/>
        </w:rPr>
        <w:t>同比领跌，同比跌幅分别为</w:t>
      </w:r>
      <w:r>
        <w:rPr>
          <w:rFonts w:ascii="Arial" w:hAnsi="Arial" w:cs="Arial" w:hint="eastAsia"/>
          <w:sz w:val="28"/>
        </w:rPr>
        <w:t>41%</w:t>
      </w:r>
      <w:r>
        <w:rPr>
          <w:rFonts w:ascii="Arial" w:hAnsi="Arial" w:cs="Arial" w:hint="eastAsia"/>
          <w:sz w:val="28"/>
        </w:rPr>
        <w:t>和</w:t>
      </w:r>
      <w:r>
        <w:rPr>
          <w:rFonts w:ascii="Arial" w:hAnsi="Arial" w:cs="Arial" w:hint="eastAsia"/>
          <w:sz w:val="28"/>
        </w:rPr>
        <w:t>25%</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45005"/>
            <wp:effectExtent l="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从成交价格来看，</w:t>
      </w:r>
      <w:r>
        <w:rPr>
          <w:rFonts w:ascii="Arial" w:hAnsi="Arial" w:cs="Arial" w:hint="eastAsia"/>
          <w:sz w:val="28"/>
        </w:rPr>
        <w:t>2025</w:t>
      </w:r>
      <w:r>
        <w:rPr>
          <w:rFonts w:ascii="Arial" w:hAnsi="Arial" w:cs="Arial" w:hint="eastAsia"/>
          <w:sz w:val="28"/>
        </w:rPr>
        <w:t>年上半年中心城区商品住宅（不含保障房）成交均价最高，整体</w:t>
      </w:r>
      <w:proofErr w:type="gramStart"/>
      <w:r>
        <w:rPr>
          <w:rFonts w:ascii="Arial" w:hAnsi="Arial" w:cs="Arial" w:hint="eastAsia"/>
          <w:sz w:val="28"/>
        </w:rPr>
        <w:t>均价超</w:t>
      </w:r>
      <w:proofErr w:type="gramEnd"/>
      <w:r>
        <w:rPr>
          <w:rFonts w:ascii="Arial" w:hAnsi="Arial" w:cs="Arial" w:hint="eastAsia"/>
          <w:sz w:val="28"/>
        </w:rPr>
        <w:t>10</w:t>
      </w:r>
      <w:r>
        <w:rPr>
          <w:rFonts w:ascii="Arial" w:hAnsi="Arial" w:cs="Arial" w:hint="eastAsia"/>
          <w:sz w:val="28"/>
        </w:rPr>
        <w:t>万</w:t>
      </w:r>
      <w:r>
        <w:rPr>
          <w:rFonts w:ascii="Arial" w:hAnsi="Arial" w:cs="Arial" w:hint="eastAsia"/>
          <w:sz w:val="28"/>
        </w:rPr>
        <w:t>/</w:t>
      </w:r>
      <w:r>
        <w:rPr>
          <w:rFonts w:ascii="Arial" w:hAnsi="Arial" w:cs="Arial" w:hint="eastAsia"/>
          <w:sz w:val="28"/>
        </w:rPr>
        <w:t>平方米，其中东、西城成交均价均超</w:t>
      </w:r>
      <w:r>
        <w:rPr>
          <w:rFonts w:ascii="Arial" w:hAnsi="Arial" w:cs="Arial" w:hint="eastAsia"/>
          <w:sz w:val="28"/>
        </w:rPr>
        <w:t>12</w:t>
      </w:r>
      <w:r>
        <w:rPr>
          <w:rFonts w:ascii="Arial" w:hAnsi="Arial" w:cs="Arial" w:hint="eastAsia"/>
          <w:sz w:val="28"/>
        </w:rPr>
        <w:t>万元</w:t>
      </w:r>
      <w:r>
        <w:rPr>
          <w:rFonts w:ascii="Arial" w:hAnsi="Arial" w:cs="Arial" w:hint="eastAsia"/>
          <w:sz w:val="28"/>
        </w:rPr>
        <w:t>/</w:t>
      </w:r>
      <w:r>
        <w:rPr>
          <w:rFonts w:ascii="Arial" w:hAnsi="Arial" w:cs="Arial" w:hint="eastAsia"/>
          <w:sz w:val="28"/>
        </w:rPr>
        <w:t>平方米，远郊</w:t>
      </w:r>
      <w:proofErr w:type="gramStart"/>
      <w:r>
        <w:rPr>
          <w:rFonts w:ascii="Arial" w:hAnsi="Arial" w:cs="Arial" w:hint="eastAsia"/>
          <w:sz w:val="28"/>
        </w:rPr>
        <w:t>区整体</w:t>
      </w:r>
      <w:proofErr w:type="gramEnd"/>
      <w:r>
        <w:rPr>
          <w:rFonts w:ascii="Arial" w:hAnsi="Arial" w:cs="Arial" w:hint="eastAsia"/>
          <w:sz w:val="28"/>
        </w:rPr>
        <w:t>成交均价最低，整体均价</w:t>
      </w:r>
      <w:proofErr w:type="gramStart"/>
      <w:r>
        <w:rPr>
          <w:rFonts w:ascii="Arial" w:hAnsi="Arial" w:cs="Arial" w:hint="eastAsia"/>
          <w:sz w:val="28"/>
        </w:rPr>
        <w:t>不足</w:t>
      </w:r>
      <w:r>
        <w:rPr>
          <w:rFonts w:ascii="Arial" w:hAnsi="Arial" w:cs="Arial" w:hint="eastAsia"/>
          <w:sz w:val="28"/>
        </w:rPr>
        <w:t>3</w:t>
      </w:r>
      <w:r>
        <w:rPr>
          <w:rFonts w:ascii="Arial" w:hAnsi="Arial" w:cs="Arial" w:hint="eastAsia"/>
          <w:sz w:val="28"/>
        </w:rPr>
        <w:t>万</w:t>
      </w:r>
      <w:proofErr w:type="gramEnd"/>
      <w:r>
        <w:rPr>
          <w:rFonts w:ascii="Arial" w:hAnsi="Arial" w:cs="Arial" w:hint="eastAsia"/>
          <w:sz w:val="28"/>
        </w:rPr>
        <w:t>/</w:t>
      </w:r>
      <w:r>
        <w:rPr>
          <w:rFonts w:ascii="Arial" w:hAnsi="Arial" w:cs="Arial" w:hint="eastAsia"/>
          <w:sz w:val="28"/>
        </w:rPr>
        <w:t>平方米，其中密云</w:t>
      </w:r>
      <w:proofErr w:type="gramStart"/>
      <w:r>
        <w:rPr>
          <w:rFonts w:ascii="Arial" w:hAnsi="Arial" w:cs="Arial" w:hint="eastAsia"/>
          <w:sz w:val="28"/>
        </w:rPr>
        <w:t>区成交</w:t>
      </w:r>
      <w:proofErr w:type="gramEnd"/>
      <w:r>
        <w:rPr>
          <w:rFonts w:ascii="Arial" w:hAnsi="Arial" w:cs="Arial" w:hint="eastAsia"/>
          <w:sz w:val="28"/>
        </w:rPr>
        <w:t>均价最低，上半年成交均价仅</w:t>
      </w:r>
      <w:r>
        <w:rPr>
          <w:rFonts w:ascii="Arial" w:hAnsi="Arial" w:cs="Arial" w:hint="eastAsia"/>
          <w:sz w:val="28"/>
        </w:rPr>
        <w:t>22267</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从价格变化来看，</w:t>
      </w:r>
      <w:r>
        <w:rPr>
          <w:rFonts w:ascii="Arial" w:hAnsi="Arial" w:cs="Arial" w:hint="eastAsia"/>
          <w:sz w:val="28"/>
        </w:rPr>
        <w:t>2025</w:t>
      </w:r>
      <w:r>
        <w:rPr>
          <w:rFonts w:ascii="Arial" w:hAnsi="Arial" w:cs="Arial" w:hint="eastAsia"/>
          <w:sz w:val="28"/>
        </w:rPr>
        <w:t>年上半年中心城区、近郊区、远郊区房价均有所下跌；其中，中心城区商品住宅成交均价同比下跌</w:t>
      </w:r>
      <w:r>
        <w:rPr>
          <w:rFonts w:ascii="Arial" w:hAnsi="Arial" w:cs="Arial" w:hint="eastAsia"/>
          <w:sz w:val="28"/>
        </w:rPr>
        <w:t>1%</w:t>
      </w:r>
      <w:r>
        <w:rPr>
          <w:rFonts w:ascii="Arial" w:hAnsi="Arial" w:cs="Arial" w:hint="eastAsia"/>
          <w:sz w:val="28"/>
        </w:rPr>
        <w:t>，西城区和</w:t>
      </w:r>
      <w:proofErr w:type="gramStart"/>
      <w:r>
        <w:rPr>
          <w:rFonts w:ascii="Arial" w:hAnsi="Arial" w:cs="Arial" w:hint="eastAsia"/>
          <w:sz w:val="28"/>
        </w:rPr>
        <w:t>丰台区领跌</w:t>
      </w:r>
      <w:proofErr w:type="gramEnd"/>
      <w:r>
        <w:rPr>
          <w:rFonts w:ascii="Arial" w:hAnsi="Arial" w:cs="Arial" w:hint="eastAsia"/>
          <w:sz w:val="28"/>
        </w:rPr>
        <w:t>，同比跌幅分别为</w:t>
      </w:r>
      <w:r>
        <w:rPr>
          <w:rFonts w:ascii="Arial" w:hAnsi="Arial" w:cs="Arial" w:hint="eastAsia"/>
          <w:sz w:val="28"/>
        </w:rPr>
        <w:t xml:space="preserve"> 6%</w:t>
      </w:r>
      <w:r>
        <w:rPr>
          <w:rFonts w:ascii="Arial" w:hAnsi="Arial" w:cs="Arial" w:hint="eastAsia"/>
          <w:sz w:val="28"/>
        </w:rPr>
        <w:t>和</w:t>
      </w:r>
      <w:r>
        <w:rPr>
          <w:rFonts w:ascii="Arial" w:hAnsi="Arial" w:cs="Arial" w:hint="eastAsia"/>
          <w:sz w:val="28"/>
        </w:rPr>
        <w:t>4%</w:t>
      </w:r>
      <w:r>
        <w:rPr>
          <w:rFonts w:ascii="Arial" w:hAnsi="Arial" w:cs="Arial" w:hint="eastAsia"/>
          <w:sz w:val="28"/>
        </w:rPr>
        <w:t>；近郊区域成交均价同比下跌</w:t>
      </w:r>
      <w:r>
        <w:rPr>
          <w:rFonts w:ascii="Arial" w:hAnsi="Arial" w:cs="Arial" w:hint="eastAsia"/>
          <w:sz w:val="28"/>
        </w:rPr>
        <w:t>7%</w:t>
      </w:r>
      <w:r>
        <w:rPr>
          <w:rFonts w:ascii="Arial" w:hAnsi="Arial" w:cs="Arial" w:hint="eastAsia"/>
          <w:sz w:val="28"/>
        </w:rPr>
        <w:t>，大兴和顺义房价下跌明显，同比跌幅均超</w:t>
      </w:r>
      <w:r>
        <w:rPr>
          <w:rFonts w:ascii="Arial" w:hAnsi="Arial" w:cs="Arial" w:hint="eastAsia"/>
          <w:sz w:val="28"/>
        </w:rPr>
        <w:t>10%</w:t>
      </w:r>
      <w:r>
        <w:rPr>
          <w:rFonts w:ascii="Arial" w:hAnsi="Arial" w:cs="Arial" w:hint="eastAsia"/>
          <w:sz w:val="28"/>
        </w:rPr>
        <w:t>；远郊区域成交均价同比下跌</w:t>
      </w:r>
      <w:r>
        <w:rPr>
          <w:rFonts w:ascii="Arial" w:hAnsi="Arial" w:cs="Arial" w:hint="eastAsia"/>
          <w:sz w:val="28"/>
        </w:rPr>
        <w:t>8%</w:t>
      </w:r>
      <w:r>
        <w:rPr>
          <w:rFonts w:ascii="Arial" w:hAnsi="Arial" w:cs="Arial" w:hint="eastAsia"/>
          <w:sz w:val="28"/>
        </w:rPr>
        <w:t>，密云和评估同比</w:t>
      </w:r>
      <w:proofErr w:type="gramStart"/>
      <w:r>
        <w:rPr>
          <w:rFonts w:ascii="Arial" w:hAnsi="Arial" w:cs="Arial" w:hint="eastAsia"/>
          <w:sz w:val="28"/>
        </w:rPr>
        <w:t>跌幅超</w:t>
      </w:r>
      <w:proofErr w:type="gramEnd"/>
      <w:r>
        <w:rPr>
          <w:rFonts w:ascii="Arial" w:hAnsi="Arial" w:cs="Arial" w:hint="eastAsia"/>
          <w:sz w:val="28"/>
        </w:rPr>
        <w:t>10 %</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019300"/>
            <wp:effectExtent l="0" t="0" r="0" b="0"/>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）存量房住宅市场</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1</w:t>
      </w:r>
      <w:r>
        <w:rPr>
          <w:rFonts w:ascii="Arial" w:hAnsi="Arial" w:cs="Arial" w:hint="eastAsia"/>
          <w:sz w:val="28"/>
        </w:rPr>
        <w:t>）市场运行状况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年上半年，北京存量房市场活跃度较高，累计成交</w:t>
      </w:r>
      <w:r>
        <w:rPr>
          <w:rFonts w:ascii="Arial" w:hAnsi="Arial" w:cs="Arial" w:hint="eastAsia"/>
          <w:sz w:val="28"/>
        </w:rPr>
        <w:t>8.86</w:t>
      </w:r>
      <w:r>
        <w:rPr>
          <w:rFonts w:ascii="Arial" w:hAnsi="Arial" w:cs="Arial" w:hint="eastAsia"/>
          <w:sz w:val="28"/>
        </w:rPr>
        <w:t>万套，同比增长</w:t>
      </w:r>
      <w:r>
        <w:rPr>
          <w:rFonts w:ascii="Arial" w:hAnsi="Arial" w:cs="Arial" w:hint="eastAsia"/>
          <w:sz w:val="28"/>
        </w:rPr>
        <w:t>18.4%</w:t>
      </w:r>
      <w:r>
        <w:rPr>
          <w:rFonts w:ascii="Arial" w:hAnsi="Arial" w:cs="Arial" w:hint="eastAsia"/>
          <w:sz w:val="28"/>
        </w:rPr>
        <w:t>，成交规模为近三年同期新高。从月度趋势来看，北京存量房市场热度先涨后降，受</w:t>
      </w:r>
      <w:r>
        <w:rPr>
          <w:rFonts w:ascii="Arial" w:hAnsi="Arial" w:cs="Arial" w:hint="eastAsia"/>
          <w:sz w:val="28"/>
        </w:rPr>
        <w:t>2024</w:t>
      </w:r>
      <w:r>
        <w:rPr>
          <w:rFonts w:ascii="Arial" w:hAnsi="Arial" w:cs="Arial" w:hint="eastAsia"/>
          <w:sz w:val="28"/>
        </w:rPr>
        <w:t>年契税新政集中网签及春节假期影响，</w:t>
      </w:r>
      <w:r>
        <w:rPr>
          <w:rFonts w:ascii="Arial" w:hAnsi="Arial" w:cs="Arial" w:hint="eastAsia"/>
          <w:sz w:val="28"/>
        </w:rPr>
        <w:t>1/2</w:t>
      </w:r>
      <w:r>
        <w:rPr>
          <w:rFonts w:ascii="Arial" w:hAnsi="Arial" w:cs="Arial" w:hint="eastAsia"/>
          <w:sz w:val="28"/>
        </w:rPr>
        <w:t>月北京存量商品</w:t>
      </w:r>
      <w:proofErr w:type="gramStart"/>
      <w:r>
        <w:rPr>
          <w:rFonts w:ascii="Arial" w:hAnsi="Arial" w:cs="Arial" w:hint="eastAsia"/>
          <w:sz w:val="28"/>
        </w:rPr>
        <w:t>住宅网签量</w:t>
      </w:r>
      <w:proofErr w:type="gramEnd"/>
      <w:r>
        <w:rPr>
          <w:rFonts w:ascii="Arial" w:hAnsi="Arial" w:cs="Arial" w:hint="eastAsia"/>
          <w:sz w:val="28"/>
        </w:rPr>
        <w:t>相对较低，但</w:t>
      </w:r>
      <w:proofErr w:type="gramStart"/>
      <w:r>
        <w:rPr>
          <w:rFonts w:ascii="Arial" w:hAnsi="Arial" w:cs="Arial" w:hint="eastAsia"/>
          <w:sz w:val="28"/>
        </w:rPr>
        <w:t>月度网签量</w:t>
      </w:r>
      <w:proofErr w:type="gramEnd"/>
      <w:r>
        <w:rPr>
          <w:rFonts w:ascii="Arial" w:hAnsi="Arial" w:cs="Arial" w:hint="eastAsia"/>
          <w:sz w:val="28"/>
        </w:rPr>
        <w:t>依然在</w:t>
      </w:r>
      <w:r>
        <w:rPr>
          <w:rFonts w:ascii="Arial" w:hAnsi="Arial" w:cs="Arial" w:hint="eastAsia"/>
          <w:sz w:val="28"/>
        </w:rPr>
        <w:t>1.2</w:t>
      </w:r>
      <w:r>
        <w:rPr>
          <w:rFonts w:ascii="Arial" w:hAnsi="Arial" w:cs="Arial" w:hint="eastAsia"/>
          <w:sz w:val="28"/>
        </w:rPr>
        <w:t>万套左右；在小阳春带动下，</w:t>
      </w:r>
      <w:r>
        <w:rPr>
          <w:rFonts w:ascii="Arial" w:hAnsi="Arial" w:cs="Arial" w:hint="eastAsia"/>
          <w:sz w:val="28"/>
        </w:rPr>
        <w:t>3</w:t>
      </w:r>
      <w:r>
        <w:rPr>
          <w:rFonts w:ascii="Arial" w:hAnsi="Arial" w:cs="Arial" w:hint="eastAsia"/>
          <w:sz w:val="28"/>
        </w:rPr>
        <w:t>月北京存量商品住宅冲高至</w:t>
      </w:r>
      <w:r>
        <w:rPr>
          <w:rFonts w:ascii="Arial" w:hAnsi="Arial" w:cs="Arial" w:hint="eastAsia"/>
          <w:sz w:val="28"/>
        </w:rPr>
        <w:t>1.92</w:t>
      </w:r>
      <w:r>
        <w:rPr>
          <w:rFonts w:ascii="Arial" w:hAnsi="Arial" w:cs="Arial" w:hint="eastAsia"/>
          <w:sz w:val="28"/>
        </w:rPr>
        <w:t>万套；二季度以来市场热度有所降温，</w:t>
      </w:r>
      <w:r>
        <w:rPr>
          <w:rFonts w:ascii="Arial" w:hAnsi="Arial" w:cs="Arial" w:hint="eastAsia"/>
          <w:sz w:val="28"/>
        </w:rPr>
        <w:t>4</w:t>
      </w:r>
      <w:r>
        <w:rPr>
          <w:rFonts w:ascii="Arial" w:hAnsi="Arial" w:cs="Arial" w:hint="eastAsia"/>
          <w:sz w:val="28"/>
        </w:rPr>
        <w:t>月</w:t>
      </w:r>
      <w:proofErr w:type="gramStart"/>
      <w:r>
        <w:rPr>
          <w:rFonts w:ascii="Arial" w:hAnsi="Arial" w:cs="Arial" w:hint="eastAsia"/>
          <w:sz w:val="28"/>
        </w:rPr>
        <w:t>网签量</w:t>
      </w:r>
      <w:proofErr w:type="gramEnd"/>
      <w:r>
        <w:rPr>
          <w:rFonts w:ascii="Arial" w:hAnsi="Arial" w:cs="Arial" w:hint="eastAsia"/>
          <w:sz w:val="28"/>
        </w:rPr>
        <w:t>降至</w:t>
      </w:r>
      <w:r>
        <w:rPr>
          <w:rFonts w:ascii="Arial" w:hAnsi="Arial" w:cs="Arial" w:hint="eastAsia"/>
          <w:sz w:val="28"/>
        </w:rPr>
        <w:t>1.56</w:t>
      </w:r>
      <w:r>
        <w:rPr>
          <w:rFonts w:ascii="Arial" w:hAnsi="Arial" w:cs="Arial" w:hint="eastAsia"/>
          <w:sz w:val="28"/>
        </w:rPr>
        <w:t>万套，</w:t>
      </w:r>
      <w:r>
        <w:rPr>
          <w:rFonts w:ascii="Arial" w:hAnsi="Arial" w:cs="Arial" w:hint="eastAsia"/>
          <w:sz w:val="28"/>
        </w:rPr>
        <w:t>5</w:t>
      </w:r>
      <w:r>
        <w:rPr>
          <w:rFonts w:ascii="Arial" w:hAnsi="Arial" w:cs="Arial" w:hint="eastAsia"/>
          <w:sz w:val="28"/>
        </w:rPr>
        <w:t>月回落至</w:t>
      </w:r>
      <w:r>
        <w:rPr>
          <w:rFonts w:ascii="Arial" w:hAnsi="Arial" w:cs="Arial" w:hint="eastAsia"/>
          <w:sz w:val="28"/>
        </w:rPr>
        <w:t>1.5</w:t>
      </w:r>
      <w:r>
        <w:rPr>
          <w:rFonts w:ascii="Arial" w:hAnsi="Arial" w:cs="Arial" w:hint="eastAsia"/>
          <w:sz w:val="28"/>
        </w:rPr>
        <w:t>万套以下，</w:t>
      </w:r>
      <w:r>
        <w:rPr>
          <w:rFonts w:ascii="Arial" w:hAnsi="Arial" w:cs="Arial" w:hint="eastAsia"/>
          <w:sz w:val="28"/>
        </w:rPr>
        <w:t>6</w:t>
      </w:r>
      <w:r>
        <w:rPr>
          <w:rFonts w:ascii="Arial" w:hAnsi="Arial" w:cs="Arial" w:hint="eastAsia"/>
          <w:sz w:val="28"/>
        </w:rPr>
        <w:t>月小幅回升至</w:t>
      </w:r>
      <w:r>
        <w:rPr>
          <w:rFonts w:ascii="Arial" w:hAnsi="Arial" w:cs="Arial" w:hint="eastAsia"/>
          <w:sz w:val="28"/>
        </w:rPr>
        <w:t>1.51</w:t>
      </w:r>
      <w:r>
        <w:rPr>
          <w:rFonts w:ascii="Arial" w:hAnsi="Arial" w:cs="Arial" w:hint="eastAsia"/>
          <w:sz w:val="28"/>
        </w:rPr>
        <w:t>万套，整体来看，二季度成交量虽有所下降，但仍保持较高水平。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年上半年，北京存量房市场延续“以价换量”主旋律。从统计局数据来看，</w:t>
      </w:r>
      <w:r>
        <w:rPr>
          <w:rFonts w:ascii="Arial" w:hAnsi="Arial" w:cs="Arial" w:hint="eastAsia"/>
          <w:sz w:val="28"/>
        </w:rPr>
        <w:t>1/2</w:t>
      </w:r>
      <w:r>
        <w:rPr>
          <w:rFonts w:ascii="Arial" w:hAnsi="Arial" w:cs="Arial" w:hint="eastAsia"/>
          <w:sz w:val="28"/>
        </w:rPr>
        <w:t>月二手房价格指数表现平稳，</w:t>
      </w:r>
      <w:r>
        <w:rPr>
          <w:rFonts w:ascii="Arial" w:hAnsi="Arial" w:cs="Arial" w:hint="eastAsia"/>
          <w:sz w:val="28"/>
        </w:rPr>
        <w:t>3</w:t>
      </w:r>
      <w:r>
        <w:rPr>
          <w:rFonts w:ascii="Arial" w:hAnsi="Arial" w:cs="Arial" w:hint="eastAsia"/>
          <w:sz w:val="28"/>
        </w:rPr>
        <w:t>月受小阳春</w:t>
      </w:r>
      <w:proofErr w:type="gramStart"/>
      <w:r>
        <w:rPr>
          <w:rFonts w:ascii="Arial" w:hAnsi="Arial" w:cs="Arial" w:hint="eastAsia"/>
          <w:sz w:val="28"/>
        </w:rPr>
        <w:t>传以及</w:t>
      </w:r>
      <w:proofErr w:type="gramEnd"/>
      <w:r>
        <w:rPr>
          <w:rFonts w:ascii="Arial" w:hAnsi="Arial" w:cs="Arial" w:hint="eastAsia"/>
          <w:sz w:val="28"/>
        </w:rPr>
        <w:t>学区需求释放，购房者信心恢复，二手房价格环指数比上涨</w:t>
      </w:r>
      <w:r>
        <w:rPr>
          <w:rFonts w:ascii="Arial" w:hAnsi="Arial" w:cs="Arial" w:hint="eastAsia"/>
          <w:sz w:val="28"/>
        </w:rPr>
        <w:t>0.5%</w:t>
      </w:r>
      <w:r>
        <w:rPr>
          <w:rFonts w:ascii="Arial" w:hAnsi="Arial" w:cs="Arial" w:hint="eastAsia"/>
          <w:sz w:val="28"/>
        </w:rPr>
        <w:t>，至此，北京存量房已连续</w:t>
      </w:r>
      <w:r>
        <w:rPr>
          <w:rFonts w:ascii="Arial" w:hAnsi="Arial" w:cs="Arial" w:hint="eastAsia"/>
          <w:sz w:val="28"/>
        </w:rPr>
        <w:t>6</w:t>
      </w:r>
      <w:r>
        <w:rPr>
          <w:rFonts w:ascii="Arial" w:hAnsi="Arial" w:cs="Arial" w:hint="eastAsia"/>
          <w:sz w:val="28"/>
        </w:rPr>
        <w:t>个月环比上涨或持平。二季度以来，受存量房挂牌增加，学区需求下滑等因素影响，北京二手房价格</w:t>
      </w:r>
      <w:proofErr w:type="gramStart"/>
      <w:r>
        <w:rPr>
          <w:rFonts w:ascii="Arial" w:hAnsi="Arial" w:cs="Arial" w:hint="eastAsia"/>
          <w:sz w:val="28"/>
        </w:rPr>
        <w:t>指数环比持续</w:t>
      </w:r>
      <w:proofErr w:type="gramEnd"/>
      <w:r>
        <w:rPr>
          <w:rFonts w:ascii="Arial" w:hAnsi="Arial" w:cs="Arial" w:hint="eastAsia"/>
          <w:sz w:val="28"/>
        </w:rPr>
        <w:t>下跌。</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4230" cy="1601470"/>
            <wp:effectExtent l="0" t="0" r="0" b="0"/>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）各区县统计</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分区域来看，</w:t>
      </w:r>
      <w:r>
        <w:rPr>
          <w:rFonts w:ascii="Arial" w:hAnsi="Arial" w:cs="Arial" w:hint="eastAsia"/>
          <w:sz w:val="28"/>
        </w:rPr>
        <w:t>2025</w:t>
      </w:r>
      <w:r>
        <w:rPr>
          <w:rFonts w:ascii="Arial" w:hAnsi="Arial" w:cs="Arial" w:hint="eastAsia"/>
          <w:sz w:val="28"/>
        </w:rPr>
        <w:t>年上半年朝阳区存量</w:t>
      </w:r>
      <w:proofErr w:type="gramStart"/>
      <w:r>
        <w:rPr>
          <w:rFonts w:ascii="Arial" w:hAnsi="Arial" w:cs="Arial" w:hint="eastAsia"/>
          <w:sz w:val="28"/>
        </w:rPr>
        <w:t>房成交</w:t>
      </w:r>
      <w:proofErr w:type="gramEnd"/>
      <w:r>
        <w:rPr>
          <w:rFonts w:ascii="Arial" w:hAnsi="Arial" w:cs="Arial" w:hint="eastAsia"/>
          <w:sz w:val="28"/>
        </w:rPr>
        <w:t>规模较大，成交规模达</w:t>
      </w:r>
      <w:r>
        <w:rPr>
          <w:rFonts w:ascii="Arial" w:hAnsi="Arial" w:cs="Arial" w:hint="eastAsia"/>
          <w:sz w:val="28"/>
        </w:rPr>
        <w:t>201.77</w:t>
      </w:r>
      <w:r>
        <w:rPr>
          <w:rFonts w:ascii="Arial" w:hAnsi="Arial" w:cs="Arial" w:hint="eastAsia"/>
          <w:sz w:val="28"/>
        </w:rPr>
        <w:t>万平方米，居各区第一位；海淀区、丰台区、昌平区、</w:t>
      </w:r>
      <w:proofErr w:type="gramStart"/>
      <w:r>
        <w:rPr>
          <w:rFonts w:ascii="Arial" w:hAnsi="Arial" w:cs="Arial" w:hint="eastAsia"/>
          <w:sz w:val="28"/>
        </w:rPr>
        <w:t>大兴区成交</w:t>
      </w:r>
      <w:proofErr w:type="gramEnd"/>
      <w:r>
        <w:rPr>
          <w:rFonts w:ascii="Arial" w:hAnsi="Arial" w:cs="Arial" w:hint="eastAsia"/>
          <w:sz w:val="28"/>
        </w:rPr>
        <w:t>面积均超过</w:t>
      </w:r>
      <w:r>
        <w:rPr>
          <w:rFonts w:ascii="Arial" w:hAnsi="Arial" w:cs="Arial" w:hint="eastAsia"/>
          <w:sz w:val="28"/>
        </w:rPr>
        <w:t>60</w:t>
      </w:r>
      <w:r>
        <w:rPr>
          <w:rFonts w:ascii="Arial" w:hAnsi="Arial" w:cs="Arial" w:hint="eastAsia"/>
          <w:sz w:val="28"/>
        </w:rPr>
        <w:t>万平方米，成交规模居第二梯队；另外，远郊的平谷区、延庆区、怀柔区以及近郊的门头沟区存量房市场活跃度相对较低，成交规模均不足</w:t>
      </w:r>
      <w:r>
        <w:rPr>
          <w:rFonts w:ascii="Arial" w:hAnsi="Arial" w:cs="Arial" w:hint="eastAsia"/>
          <w:sz w:val="28"/>
        </w:rPr>
        <w:t>20</w:t>
      </w:r>
      <w:r>
        <w:rPr>
          <w:rFonts w:ascii="Arial" w:hAnsi="Arial" w:cs="Arial" w:hint="eastAsia"/>
          <w:sz w:val="28"/>
        </w:rPr>
        <w:t>万平方米。</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lastRenderedPageBreak/>
        <w:t>从同比变化来看，</w:t>
      </w:r>
      <w:r>
        <w:rPr>
          <w:rFonts w:ascii="Arial" w:hAnsi="Arial" w:cs="Arial" w:hint="eastAsia"/>
          <w:sz w:val="28"/>
        </w:rPr>
        <w:t>2025</w:t>
      </w:r>
      <w:r>
        <w:rPr>
          <w:rFonts w:ascii="Arial" w:hAnsi="Arial" w:cs="Arial" w:hint="eastAsia"/>
          <w:sz w:val="28"/>
        </w:rPr>
        <w:t>年上半年各区县存量</w:t>
      </w:r>
      <w:proofErr w:type="gramStart"/>
      <w:r>
        <w:rPr>
          <w:rFonts w:ascii="Arial" w:hAnsi="Arial" w:cs="Arial" w:hint="eastAsia"/>
          <w:sz w:val="28"/>
        </w:rPr>
        <w:t>房成交</w:t>
      </w:r>
      <w:proofErr w:type="gramEnd"/>
      <w:r>
        <w:rPr>
          <w:rFonts w:ascii="Arial" w:hAnsi="Arial" w:cs="Arial" w:hint="eastAsia"/>
          <w:sz w:val="28"/>
        </w:rPr>
        <w:t>规模均同比上涨，其中门头沟区低基数下成交规模同比增加</w:t>
      </w:r>
      <w:r>
        <w:rPr>
          <w:rFonts w:ascii="Arial" w:hAnsi="Arial" w:cs="Arial" w:hint="eastAsia"/>
          <w:sz w:val="28"/>
        </w:rPr>
        <w:t>48%</w:t>
      </w:r>
      <w:r>
        <w:rPr>
          <w:rFonts w:ascii="Arial" w:hAnsi="Arial" w:cs="Arial" w:hint="eastAsia"/>
          <w:sz w:val="28"/>
        </w:rPr>
        <w:t>，朝阳区、东城</w:t>
      </w:r>
      <w:proofErr w:type="gramStart"/>
      <w:r>
        <w:rPr>
          <w:rFonts w:ascii="Arial" w:hAnsi="Arial" w:cs="Arial" w:hint="eastAsia"/>
          <w:sz w:val="28"/>
        </w:rPr>
        <w:t>区成交</w:t>
      </w:r>
      <w:proofErr w:type="gramEnd"/>
      <w:r>
        <w:rPr>
          <w:rFonts w:ascii="Arial" w:hAnsi="Arial" w:cs="Arial" w:hint="eastAsia"/>
          <w:sz w:val="28"/>
        </w:rPr>
        <w:t>规模同比</w:t>
      </w:r>
      <w:proofErr w:type="gramStart"/>
      <w:r>
        <w:rPr>
          <w:rFonts w:ascii="Arial" w:hAnsi="Arial" w:cs="Arial" w:hint="eastAsia"/>
          <w:sz w:val="28"/>
        </w:rPr>
        <w:t>增幅超</w:t>
      </w:r>
      <w:proofErr w:type="gramEnd"/>
      <w:r>
        <w:rPr>
          <w:rFonts w:ascii="Arial" w:hAnsi="Arial" w:cs="Arial" w:hint="eastAsia"/>
          <w:sz w:val="28"/>
        </w:rPr>
        <w:t>三成。成交价格方面，</w:t>
      </w:r>
      <w:r>
        <w:rPr>
          <w:rFonts w:ascii="Arial" w:hAnsi="Arial" w:cs="Arial" w:hint="eastAsia"/>
          <w:sz w:val="28"/>
        </w:rPr>
        <w:t>2025</w:t>
      </w:r>
      <w:r>
        <w:rPr>
          <w:rFonts w:ascii="Arial" w:hAnsi="Arial" w:cs="Arial" w:hint="eastAsia"/>
          <w:sz w:val="28"/>
        </w:rPr>
        <w:t>年上半年西城区成交价格最高，达</w:t>
      </w:r>
      <w:r>
        <w:rPr>
          <w:rFonts w:ascii="Arial" w:hAnsi="Arial" w:cs="Arial" w:hint="eastAsia"/>
          <w:sz w:val="28"/>
        </w:rPr>
        <w:t>115562</w:t>
      </w:r>
      <w:r>
        <w:rPr>
          <w:rFonts w:ascii="Arial" w:hAnsi="Arial" w:cs="Arial" w:hint="eastAsia"/>
          <w:sz w:val="28"/>
        </w:rPr>
        <w:t>元</w:t>
      </w:r>
      <w:r>
        <w:rPr>
          <w:rFonts w:ascii="Arial" w:hAnsi="Arial" w:cs="Arial" w:hint="eastAsia"/>
          <w:sz w:val="28"/>
        </w:rPr>
        <w:t>/</w:t>
      </w:r>
      <w:r>
        <w:rPr>
          <w:rFonts w:ascii="Arial" w:hAnsi="Arial" w:cs="Arial" w:hint="eastAsia"/>
          <w:sz w:val="28"/>
        </w:rPr>
        <w:t>平；其次为东城区，为</w:t>
      </w:r>
      <w:r>
        <w:rPr>
          <w:rFonts w:ascii="Arial" w:hAnsi="Arial" w:cs="Arial" w:hint="eastAsia"/>
          <w:sz w:val="28"/>
        </w:rPr>
        <w:t>98380</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119630"/>
            <wp:effectExtent l="0" t="0" r="0"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整体来看，北京市存量房对新房市场的分流效应逐步增强。</w:t>
      </w:r>
      <w:r>
        <w:rPr>
          <w:rFonts w:ascii="Arial" w:hAnsi="Arial" w:cs="Arial" w:hint="eastAsia"/>
          <w:sz w:val="28"/>
        </w:rPr>
        <w:t>2021</w:t>
      </w:r>
      <w:r>
        <w:rPr>
          <w:rFonts w:ascii="Arial" w:hAnsi="Arial" w:cs="Arial" w:hint="eastAsia"/>
          <w:sz w:val="28"/>
        </w:rPr>
        <w:t>年以来，北京市存量</w:t>
      </w:r>
      <w:proofErr w:type="gramStart"/>
      <w:r>
        <w:rPr>
          <w:rFonts w:ascii="Arial" w:hAnsi="Arial" w:cs="Arial" w:hint="eastAsia"/>
          <w:sz w:val="28"/>
        </w:rPr>
        <w:t>房成交</w:t>
      </w:r>
      <w:proofErr w:type="gramEnd"/>
      <w:r>
        <w:rPr>
          <w:rFonts w:ascii="Arial" w:hAnsi="Arial" w:cs="Arial" w:hint="eastAsia"/>
          <w:sz w:val="28"/>
        </w:rPr>
        <w:t>占比波动增加。</w:t>
      </w:r>
      <w:r>
        <w:rPr>
          <w:rFonts w:ascii="Arial" w:hAnsi="Arial" w:cs="Arial" w:hint="eastAsia"/>
          <w:sz w:val="28"/>
        </w:rPr>
        <w:t>2025</w:t>
      </w:r>
      <w:r>
        <w:rPr>
          <w:rFonts w:ascii="Arial" w:hAnsi="Arial" w:cs="Arial" w:hint="eastAsia"/>
          <w:sz w:val="28"/>
        </w:rPr>
        <w:t>年上半年，北京新房市场虽有海淀、朝阳等改善项目的局部高热现象，但整体市场持续承压；反观存量房，市场热度较高，二季度虽有所下滑，但上半年成交套数升至近三年新高。</w:t>
      </w:r>
      <w:r>
        <w:rPr>
          <w:rFonts w:ascii="Arial" w:hAnsi="Arial" w:cs="Arial" w:hint="eastAsia"/>
          <w:sz w:val="28"/>
        </w:rPr>
        <w:t>2025</w:t>
      </w:r>
      <w:r>
        <w:rPr>
          <w:rFonts w:ascii="Arial" w:hAnsi="Arial" w:cs="Arial" w:hint="eastAsia"/>
          <w:sz w:val="28"/>
        </w:rPr>
        <w:t>年上半年北京存量商品住宅累计成交套数占比升至</w:t>
      </w:r>
      <w:r>
        <w:rPr>
          <w:rFonts w:ascii="Arial" w:hAnsi="Arial" w:cs="Arial" w:hint="eastAsia"/>
          <w:sz w:val="28"/>
        </w:rPr>
        <w:t>80%</w:t>
      </w:r>
      <w:r>
        <w:rPr>
          <w:rFonts w:ascii="Arial" w:hAnsi="Arial" w:cs="Arial" w:hint="eastAsia"/>
          <w:sz w:val="28"/>
        </w:rPr>
        <w:t>，较上年同期提高</w:t>
      </w:r>
      <w:r>
        <w:rPr>
          <w:rFonts w:ascii="Arial" w:hAnsi="Arial" w:cs="Arial" w:hint="eastAsia"/>
          <w:sz w:val="28"/>
        </w:rPr>
        <w:t>3</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3992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）未来市场预期</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北京市住宅市场正处于转型升级的关键阶段，未来将呈现“总量平稳、结构优化”的发展格局。从短期来看，</w:t>
      </w:r>
      <w:r>
        <w:rPr>
          <w:rFonts w:ascii="Arial" w:hAnsi="Arial" w:cs="Arial" w:hint="eastAsia"/>
          <w:sz w:val="28"/>
        </w:rPr>
        <w:t>2025</w:t>
      </w:r>
      <w:r>
        <w:rPr>
          <w:rFonts w:ascii="Arial" w:hAnsi="Arial" w:cs="Arial" w:hint="eastAsia"/>
          <w:sz w:val="28"/>
        </w:rPr>
        <w:t>年下半年市场将在政策支持与</w:t>
      </w:r>
      <w:r>
        <w:rPr>
          <w:rFonts w:ascii="Arial" w:hAnsi="Arial" w:cs="Arial" w:hint="eastAsia"/>
          <w:sz w:val="28"/>
        </w:rPr>
        <w:lastRenderedPageBreak/>
        <w:t>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hint="eastAsia"/>
          <w:sz w:val="28"/>
        </w:rPr>
        <w:t>产业政策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产业优惠政策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全国：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w:t>
      </w:r>
      <w:r>
        <w:rPr>
          <w:rFonts w:ascii="Arial" w:hAnsi="Arial" w:cs="Arial" w:hint="eastAsia"/>
          <w:sz w:val="28"/>
        </w:rPr>
        <w:lastRenderedPageBreak/>
        <w:t>改革房地产开发融资方式和商品房预售制度。完善房地产税收制度。”</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30</w:t>
      </w:r>
      <w:r>
        <w:rPr>
          <w:rFonts w:ascii="Arial" w:hAnsi="Arial" w:cs="Arial" w:hint="eastAsia"/>
          <w:sz w:val="28"/>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26</w:t>
      </w:r>
      <w:r>
        <w:rPr>
          <w:rFonts w:ascii="Arial" w:hAnsi="Arial" w:cs="Arial" w:hint="eastAsia"/>
          <w:sz w:val="28"/>
        </w:rPr>
        <w:t>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Pr>
          <w:rFonts w:ascii="Arial" w:hAnsi="Arial" w:cs="Arial" w:hint="eastAsia"/>
          <w:sz w:val="28"/>
        </w:rPr>
        <w:t>振市场</w:t>
      </w:r>
      <w:proofErr w:type="gramEnd"/>
      <w:r>
        <w:rPr>
          <w:rFonts w:ascii="Arial" w:hAnsi="Arial" w:cs="Arial" w:hint="eastAsia"/>
          <w:sz w:val="28"/>
        </w:rPr>
        <w:t>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11</w:t>
      </w:r>
      <w:r>
        <w:rPr>
          <w:rFonts w:ascii="Arial" w:hAnsi="Arial" w:cs="Arial" w:hint="eastAsia"/>
          <w:sz w:val="28"/>
        </w:rPr>
        <w:t>日至</w:t>
      </w:r>
      <w:r>
        <w:rPr>
          <w:rFonts w:ascii="Arial" w:hAnsi="Arial" w:cs="Arial" w:hint="eastAsia"/>
          <w:sz w:val="28"/>
        </w:rPr>
        <w:t>12</w:t>
      </w:r>
      <w:r>
        <w:rPr>
          <w:rFonts w:ascii="Arial" w:hAnsi="Arial" w:cs="Arial" w:hint="eastAsia"/>
          <w:sz w:val="28"/>
        </w:rPr>
        <w:t>日，</w:t>
      </w:r>
      <w:r>
        <w:rPr>
          <w:rFonts w:ascii="Arial" w:hAnsi="Arial" w:cs="Arial" w:hint="eastAsia"/>
          <w:sz w:val="28"/>
        </w:rPr>
        <w:t>2024</w:t>
      </w:r>
      <w:r>
        <w:rPr>
          <w:rFonts w:ascii="Arial" w:hAnsi="Arial" w:cs="Arial" w:hint="eastAsia"/>
          <w:sz w:val="28"/>
        </w:rPr>
        <w:t>年中央经济工作会议举行。会议总结</w:t>
      </w:r>
      <w:r>
        <w:rPr>
          <w:rFonts w:ascii="Arial" w:hAnsi="Arial" w:cs="Arial" w:hint="eastAsia"/>
          <w:sz w:val="28"/>
        </w:rPr>
        <w:t>2024</w:t>
      </w:r>
      <w:r>
        <w:rPr>
          <w:rFonts w:ascii="Arial" w:hAnsi="Arial" w:cs="Arial" w:hint="eastAsia"/>
          <w:sz w:val="28"/>
        </w:rPr>
        <w:t>年经济工作，分析当前经济形势，部署</w:t>
      </w:r>
      <w:r>
        <w:rPr>
          <w:rFonts w:ascii="Arial" w:hAnsi="Arial" w:cs="Arial" w:hint="eastAsia"/>
          <w:sz w:val="28"/>
        </w:rPr>
        <w:t>2025</w:t>
      </w:r>
      <w:r>
        <w:rPr>
          <w:rFonts w:ascii="Arial" w:hAnsi="Arial" w:cs="Arial" w:hint="eastAsia"/>
          <w:sz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w:t>
      </w:r>
      <w:r>
        <w:rPr>
          <w:rFonts w:ascii="Arial" w:hAnsi="Arial" w:cs="Arial" w:hint="eastAsia"/>
          <w:sz w:val="28"/>
        </w:rPr>
        <w:lastRenderedPageBreak/>
        <w:t>跌回稳、控制供应、盘活存量、构建发展新模式的路径更为明确和坚定。在统筹好总供给和总需求关系的同时，以更好更优的“组合拳”政策全面提高房地产市场资源配置效率。</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24</w:t>
      </w:r>
      <w:r>
        <w:rPr>
          <w:rFonts w:ascii="Arial" w:hAnsi="Arial" w:cs="Arial" w:hint="eastAsia"/>
          <w:sz w:val="28"/>
        </w:rPr>
        <w:t>日至</w:t>
      </w:r>
      <w:r>
        <w:rPr>
          <w:rFonts w:ascii="Arial" w:hAnsi="Arial" w:cs="Arial" w:hint="eastAsia"/>
          <w:sz w:val="28"/>
        </w:rPr>
        <w:t>25</w:t>
      </w:r>
      <w:r>
        <w:rPr>
          <w:rFonts w:ascii="Arial" w:hAnsi="Arial" w:cs="Arial" w:hint="eastAsia"/>
          <w:sz w:val="28"/>
        </w:rPr>
        <w:t>日，全国住房城乡建设工作会议在北京召开。会议系统总结</w:t>
      </w:r>
      <w:r>
        <w:rPr>
          <w:rFonts w:ascii="Arial" w:hAnsi="Arial" w:cs="Arial" w:hint="eastAsia"/>
          <w:sz w:val="28"/>
        </w:rPr>
        <w:t>2024</w:t>
      </w:r>
      <w:r>
        <w:rPr>
          <w:rFonts w:ascii="Arial" w:hAnsi="Arial" w:cs="Arial" w:hint="eastAsia"/>
          <w:sz w:val="28"/>
        </w:rPr>
        <w:t>年工作，部署进一步全面深化住房城乡建设领域改革，明确</w:t>
      </w:r>
      <w:r>
        <w:rPr>
          <w:rFonts w:ascii="Arial" w:hAnsi="Arial" w:cs="Arial" w:hint="eastAsia"/>
          <w:sz w:val="28"/>
        </w:rPr>
        <w:t>2025</w:t>
      </w:r>
      <w:r>
        <w:rPr>
          <w:rFonts w:ascii="Arial" w:hAnsi="Arial" w:cs="Arial" w:hint="eastAsia"/>
          <w:sz w:val="28"/>
        </w:rPr>
        <w:t>年重点任务，奋力推进住房城乡建设事业高质量发展。会议强调，</w:t>
      </w:r>
      <w:r>
        <w:rPr>
          <w:rFonts w:ascii="Arial" w:hAnsi="Arial" w:cs="Arial" w:hint="eastAsia"/>
          <w:sz w:val="28"/>
        </w:rPr>
        <w:t>2025</w:t>
      </w:r>
      <w:r>
        <w:rPr>
          <w:rFonts w:ascii="Arial" w:hAnsi="Arial" w:cs="Arial" w:hint="eastAsia"/>
          <w:sz w:val="28"/>
        </w:rPr>
        <w:t>年的工作要重点抓好</w:t>
      </w:r>
      <w:r>
        <w:rPr>
          <w:rFonts w:ascii="Arial" w:hAnsi="Arial" w:cs="Arial" w:hint="eastAsia"/>
          <w:sz w:val="28"/>
        </w:rPr>
        <w:t>5</w:t>
      </w:r>
      <w:r>
        <w:rPr>
          <w:rFonts w:ascii="Arial" w:hAnsi="Arial" w:cs="Arial" w:hint="eastAsia"/>
          <w:sz w:val="28"/>
        </w:rPr>
        <w:t>大板块</w:t>
      </w:r>
      <w:r>
        <w:rPr>
          <w:rFonts w:ascii="Arial" w:hAnsi="Arial" w:cs="Arial" w:hint="eastAsia"/>
          <w:sz w:val="28"/>
        </w:rPr>
        <w:t>22</w:t>
      </w:r>
      <w:r>
        <w:rPr>
          <w:rFonts w:ascii="Arial" w:hAnsi="Arial" w:cs="Arial" w:hint="eastAsia"/>
          <w:sz w:val="28"/>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w:t>
      </w:r>
      <w:proofErr w:type="gramStart"/>
      <w:r>
        <w:rPr>
          <w:rFonts w:ascii="Arial" w:hAnsi="Arial" w:cs="Arial" w:hint="eastAsia"/>
          <w:sz w:val="28"/>
        </w:rPr>
        <w:t>支持房企打造</w:t>
      </w:r>
      <w:proofErr w:type="gramEnd"/>
      <w:r>
        <w:rPr>
          <w:rFonts w:ascii="Arial" w:hAnsi="Arial" w:cs="Arial" w:hint="eastAsia"/>
          <w:sz w:val="28"/>
        </w:rPr>
        <w:t>好房子样板、推进老旧住宅更新改造和大力实施物业服务质量提升行动五个方面，建设安全、舒适、绿色、智慧的好房子。</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3</w:t>
      </w:r>
      <w:r>
        <w:rPr>
          <w:rFonts w:ascii="Arial" w:hAnsi="Arial" w:cs="Arial" w:hint="eastAsia"/>
          <w:sz w:val="28"/>
        </w:rPr>
        <w:t>月</w:t>
      </w:r>
      <w:r>
        <w:rPr>
          <w:rFonts w:ascii="Arial" w:hAnsi="Arial" w:cs="Arial" w:hint="eastAsia"/>
          <w:sz w:val="28"/>
        </w:rPr>
        <w:t>5</w:t>
      </w:r>
      <w:r>
        <w:rPr>
          <w:rFonts w:ascii="Arial" w:hAnsi="Arial" w:cs="Arial" w:hint="eastAsia"/>
          <w:sz w:val="28"/>
        </w:rPr>
        <w:t>日全国两会召开。关于房地产的定调，政府工作报告延续了去年底中央经济工作会议基调，在</w:t>
      </w:r>
      <w:r>
        <w:rPr>
          <w:rFonts w:ascii="Arial" w:hAnsi="Arial" w:cs="Arial" w:hint="eastAsia"/>
          <w:sz w:val="28"/>
        </w:rPr>
        <w:t>2025</w:t>
      </w:r>
      <w:r>
        <w:rPr>
          <w:rFonts w:ascii="Arial" w:hAnsi="Arial" w:cs="Arial" w:hint="eastAsia"/>
          <w:sz w:val="28"/>
        </w:rPr>
        <w:t>年政府工作任务“有效防范化解重点领域风险</w:t>
      </w:r>
      <w:r>
        <w:rPr>
          <w:rFonts w:ascii="Arial" w:hAnsi="Arial" w:cs="Arial" w:hint="eastAsia"/>
          <w:sz w:val="28"/>
        </w:rPr>
        <w:t>,</w:t>
      </w:r>
      <w:r>
        <w:rPr>
          <w:rFonts w:ascii="Arial" w:hAnsi="Arial" w:cs="Arial" w:hint="eastAsia"/>
          <w:sz w:val="28"/>
        </w:rPr>
        <w:t>牢牢守住不发生系统性风险底线”中确立了“持续用力推动房地产市场止跌回稳”的政策目标，并从需求不断加力、供给持续调整、风险防范化解和行业长远发展四个方面给出了大段论述。</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3</w:t>
      </w:r>
      <w:r>
        <w:rPr>
          <w:rFonts w:ascii="Arial" w:hAnsi="Arial" w:cs="Arial" w:hint="eastAsia"/>
          <w:sz w:val="28"/>
        </w:rPr>
        <w:t>日，财政部办公厅、住房城乡建设部办公厅联合发布</w:t>
      </w:r>
      <w:r>
        <w:rPr>
          <w:rFonts w:ascii="Arial" w:hAnsi="Arial" w:cs="Arial" w:hint="eastAsia"/>
          <w:sz w:val="28"/>
        </w:rPr>
        <w:lastRenderedPageBreak/>
        <w:t>《关于开展</w:t>
      </w:r>
      <w:r>
        <w:rPr>
          <w:rFonts w:ascii="Arial" w:hAnsi="Arial" w:cs="Arial" w:hint="eastAsia"/>
          <w:sz w:val="28"/>
        </w:rPr>
        <w:t>2025</w:t>
      </w:r>
      <w:r>
        <w:rPr>
          <w:rFonts w:ascii="Arial" w:hAnsi="Arial" w:cs="Arial" w:hint="eastAsia"/>
          <w:sz w:val="28"/>
        </w:rPr>
        <w:t>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s="Arial" w:hint="eastAsia"/>
          <w:sz w:val="28"/>
        </w:rPr>
        <w:t>2</w:t>
      </w:r>
      <w:r>
        <w:rPr>
          <w:rFonts w:ascii="Arial" w:hAnsi="Arial" w:cs="Arial" w:hint="eastAsia"/>
          <w:sz w:val="28"/>
        </w:rPr>
        <w:t>个方向。</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s="Arial" w:hint="eastAsia"/>
          <w:sz w:val="28"/>
        </w:rPr>
        <w:t>适时降准降息</w:t>
      </w:r>
      <w:proofErr w:type="gramEnd"/>
      <w:r>
        <w:rPr>
          <w:rFonts w:ascii="Arial" w:hAnsi="Arial" w:cs="Arial" w:hint="eastAsia"/>
          <w:sz w:val="28"/>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s="Arial" w:hint="eastAsia"/>
          <w:sz w:val="28"/>
        </w:rPr>
        <w:t xml:space="preserve"> </w:t>
      </w:r>
      <w:r>
        <w:rPr>
          <w:rFonts w:ascii="Arial" w:hAnsi="Arial" w:cs="Arial" w:hint="eastAsia"/>
          <w:sz w:val="28"/>
        </w:rPr>
        <w:t>模式，加大高品质住房供给，优化存量商品房收购政策，持续巩固房地产市场稳定态势。</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日国务院常务会议召开，其中重点部署了房地产相关政策，核心目标是“更大力度推动房地产市场止跌回稳”，并围绕构建房地产发展新模式、推进“好房子”建设、盘活存量资源等方面提出具体措施。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北京：</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日，北京市住房和城乡建设委员会、中国人民银行北京市分行、国家金融监督管理总局北京监管局、北京住房公积金管理中心联合发布《关于优化本市房地产市场平稳健康发展政策措施的通知》。《通知》</w:t>
      </w:r>
      <w:r>
        <w:rPr>
          <w:rFonts w:ascii="Arial" w:hAnsi="Arial" w:cs="Arial" w:hint="eastAsia"/>
          <w:sz w:val="28"/>
        </w:rPr>
        <w:lastRenderedPageBreak/>
        <w:t>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31</w:t>
      </w:r>
      <w:r>
        <w:rPr>
          <w:rFonts w:ascii="Arial" w:hAnsi="Arial" w:cs="Arial" w:hint="eastAsia"/>
          <w:sz w:val="28"/>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Pr>
          <w:rFonts w:ascii="Arial" w:hAnsi="Arial" w:cs="Arial" w:hint="eastAsia"/>
          <w:sz w:val="28"/>
        </w:rPr>
        <w:t>3</w:t>
      </w:r>
      <w:r>
        <w:rPr>
          <w:rFonts w:ascii="Arial" w:hAnsi="Arial" w:cs="Arial" w:hint="eastAsia"/>
          <w:sz w:val="28"/>
        </w:rPr>
        <w:t>个月租金的，全部租金应当按合同约定的租金支付时间、金额存入用于租金监管的账户。承租人可通过住房租赁合同备案编号等信息查询账户余额。该办法将于</w:t>
      </w:r>
      <w:r>
        <w:rPr>
          <w:rFonts w:ascii="Arial" w:hAnsi="Arial" w:cs="Arial" w:hint="eastAsia"/>
          <w:sz w:val="28"/>
        </w:rPr>
        <w:t>2024</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日起施行。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日，北京市多部门联合发布《关于进一步优化调整本市房地产相关政策的通知》，自</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w:t>
      </w:r>
      <w:proofErr w:type="gramStart"/>
      <w:r>
        <w:rPr>
          <w:rFonts w:ascii="Arial" w:hAnsi="Arial" w:cs="Arial" w:hint="eastAsia"/>
          <w:sz w:val="28"/>
        </w:rPr>
        <w:t>振产生</w:t>
      </w:r>
      <w:proofErr w:type="gramEnd"/>
      <w:r>
        <w:rPr>
          <w:rFonts w:ascii="Arial" w:hAnsi="Arial" w:cs="Arial" w:hint="eastAsia"/>
          <w:sz w:val="28"/>
        </w:rPr>
        <w:t>积极影响，并预示着更多鼓励性政策的出台。</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18</w:t>
      </w:r>
      <w:r>
        <w:rPr>
          <w:rFonts w:ascii="Arial" w:hAnsi="Arial" w:cs="Arial" w:hint="eastAsia"/>
          <w:sz w:val="28"/>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s="Arial" w:hint="eastAsia"/>
          <w:sz w:val="28"/>
        </w:rPr>
        <w:t>2</w:t>
      </w:r>
      <w:r>
        <w:rPr>
          <w:rFonts w:ascii="Arial" w:hAnsi="Arial" w:cs="Arial" w:hint="eastAsia"/>
          <w:sz w:val="28"/>
        </w:rPr>
        <w:t>年及以上的住房将免征增值税，而持有不足</w:t>
      </w:r>
      <w:r>
        <w:rPr>
          <w:rFonts w:ascii="Arial" w:hAnsi="Arial" w:cs="Arial" w:hint="eastAsia"/>
          <w:sz w:val="28"/>
        </w:rPr>
        <w:t>2</w:t>
      </w:r>
      <w:r>
        <w:rPr>
          <w:rFonts w:ascii="Arial" w:hAnsi="Arial" w:cs="Arial" w:hint="eastAsia"/>
          <w:sz w:val="28"/>
        </w:rPr>
        <w:t>年的住房则需按</w:t>
      </w:r>
      <w:r>
        <w:rPr>
          <w:rFonts w:ascii="Arial" w:hAnsi="Arial" w:cs="Arial" w:hint="eastAsia"/>
          <w:sz w:val="28"/>
        </w:rPr>
        <w:t>5%</w:t>
      </w:r>
      <w:r>
        <w:rPr>
          <w:rFonts w:ascii="Arial" w:hAnsi="Arial" w:cs="Arial" w:hint="eastAsia"/>
          <w:sz w:val="28"/>
        </w:rPr>
        <w:t>的税</w:t>
      </w:r>
      <w:r>
        <w:rPr>
          <w:rFonts w:ascii="Arial" w:hAnsi="Arial" w:cs="Arial" w:hint="eastAsia"/>
          <w:sz w:val="28"/>
        </w:rPr>
        <w:lastRenderedPageBreak/>
        <w:t>率缴纳增值税。在契税方面，北京市与全国统一，对个人购买家庭唯一住房，面积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税率征收契税，超过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1.5%</w:t>
      </w:r>
      <w:r>
        <w:rPr>
          <w:rFonts w:ascii="Arial" w:hAnsi="Arial" w:cs="Arial" w:hint="eastAsia"/>
          <w:sz w:val="28"/>
        </w:rPr>
        <w:t>征收；对于家庭第二套住房，面积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征收，超过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2%</w:t>
      </w:r>
      <w:r>
        <w:rPr>
          <w:rFonts w:ascii="Arial" w:hAnsi="Arial" w:cs="Arial" w:hint="eastAsia"/>
          <w:sz w:val="28"/>
        </w:rPr>
        <w:t>征收。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29</w:t>
      </w:r>
      <w:r>
        <w:rPr>
          <w:rFonts w:ascii="Arial" w:hAnsi="Arial" w:cs="Arial" w:hint="eastAsia"/>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cs="Arial" w:hint="eastAsia"/>
          <w:sz w:val="28"/>
        </w:rPr>
        <w:t>,</w:t>
      </w:r>
      <w:r>
        <w:rPr>
          <w:rFonts w:ascii="Arial" w:hAnsi="Arial" w:cs="Arial" w:hint="eastAsia"/>
          <w:sz w:val="28"/>
        </w:rPr>
        <w:t>充分激发多元主体的更新意愿，推动城市更新项目落地实施。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12</w:t>
      </w:r>
      <w:r>
        <w:rPr>
          <w:rFonts w:ascii="Arial" w:hAnsi="Arial" w:cs="Arial" w:hint="eastAsia"/>
          <w:sz w:val="28"/>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Pr>
          <w:rFonts w:ascii="Arial" w:hAnsi="Arial" w:cs="Arial" w:hint="eastAsia"/>
          <w:sz w:val="28"/>
        </w:rPr>
        <w:t>10%</w:t>
      </w:r>
      <w:r>
        <w:rPr>
          <w:rFonts w:ascii="Arial" w:hAnsi="Arial" w:cs="Arial" w:hint="eastAsia"/>
          <w:sz w:val="28"/>
        </w:rPr>
        <w:t>；鼓励在</w:t>
      </w:r>
      <w:r>
        <w:rPr>
          <w:rFonts w:ascii="Arial" w:hAnsi="Arial" w:cs="Arial" w:hint="eastAsia"/>
          <w:sz w:val="28"/>
        </w:rPr>
        <w:t>140</w:t>
      </w:r>
      <w:r>
        <w:rPr>
          <w:rFonts w:ascii="Arial" w:hAnsi="Arial" w:cs="Arial" w:hint="eastAsia"/>
          <w:sz w:val="28"/>
        </w:rPr>
        <w:t>平方米以上住宅设置挑空空间；合理利用底层架空空间作为公共活动区域；设置开敞式风雨连廊以方便居民活动；增配邻里共享公共空间，提供便民服务；允许</w:t>
      </w:r>
      <w:proofErr w:type="gramStart"/>
      <w:r>
        <w:rPr>
          <w:rFonts w:ascii="Arial" w:hAnsi="Arial" w:cs="Arial" w:hint="eastAsia"/>
          <w:sz w:val="28"/>
        </w:rPr>
        <w:t>跨城市</w:t>
      </w:r>
      <w:proofErr w:type="gramEnd"/>
      <w:r>
        <w:rPr>
          <w:rFonts w:ascii="Arial" w:hAnsi="Arial" w:cs="Arial" w:hint="eastAsia"/>
          <w:sz w:val="28"/>
        </w:rPr>
        <w:t>支路空间利用以优化布局；建筑高度可局部上浮以形成错落天际线；鼓励使用高品质材料提升立面品质。这些措施适用于顺义、大兴、亦庄、昌平、房山等平原多点地区，城市副中心可参照执行。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9</w:t>
      </w:r>
      <w:r>
        <w:rPr>
          <w:rFonts w:ascii="Arial" w:hAnsi="Arial" w:cs="Arial" w:hint="eastAsia"/>
          <w:sz w:val="28"/>
        </w:rPr>
        <w:t>日，北京市住房和城乡建设委员会发布《关于印发〈</w:t>
      </w:r>
      <w:r>
        <w:rPr>
          <w:rFonts w:ascii="Arial" w:hAnsi="Arial" w:cs="Arial" w:hint="eastAsia"/>
          <w:sz w:val="28"/>
        </w:rPr>
        <w:t>2025</w:t>
      </w:r>
      <w:r>
        <w:rPr>
          <w:rFonts w:ascii="Arial" w:hAnsi="Arial" w:cs="Arial" w:hint="eastAsia"/>
          <w:sz w:val="28"/>
        </w:rPr>
        <w:t>年北京市住房发展年度计划〉的通知》。《通知》围绕优化住房用地供应、推进房地产市场回稳向好、加强住房保障、规范住房租赁市场、发挥住房公积金作用、提升住房质量、推进城市更新、健全物业管理服务体系</w:t>
      </w:r>
      <w:r>
        <w:rPr>
          <w:rFonts w:ascii="Arial" w:hAnsi="Arial" w:cs="Arial" w:hint="eastAsia"/>
          <w:sz w:val="28"/>
        </w:rPr>
        <w:lastRenderedPageBreak/>
        <w:t>等八个方面，提出了具体任务、行动计划和工作举措。</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税收政策：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月，国家税务总局</w:t>
      </w:r>
      <w:r>
        <w:rPr>
          <w:rFonts w:ascii="Arial" w:hAnsi="Arial" w:cs="Arial" w:hint="eastAsia"/>
          <w:sz w:val="28"/>
        </w:rPr>
        <w:t>12366</w:t>
      </w:r>
      <w:r>
        <w:rPr>
          <w:rFonts w:ascii="Arial" w:hAnsi="Arial" w:cs="Arial" w:hint="eastAsia"/>
          <w:sz w:val="28"/>
        </w:rPr>
        <w:t>纳税服务平台以热点问题答复形式回应：纳税人按照《关于降低存量首套住房贷款</w:t>
      </w:r>
      <w:r>
        <w:rPr>
          <w:rFonts w:ascii="Arial" w:hAnsi="Arial" w:cs="Arial" w:hint="eastAsia"/>
          <w:sz w:val="28"/>
        </w:rPr>
        <w:t xml:space="preserve"> </w:t>
      </w:r>
      <w:r>
        <w:rPr>
          <w:rFonts w:ascii="Arial" w:hAnsi="Arial" w:cs="Arial" w:hint="eastAsia"/>
          <w:sz w:val="28"/>
        </w:rPr>
        <w:t>利率有关事项的通知》规定“二套转首套”，其商业住房贷款部分已执行首套住房贷款利率的，符合《国务院</w:t>
      </w:r>
      <w:r>
        <w:rPr>
          <w:rFonts w:ascii="Arial" w:hAnsi="Arial" w:cs="Arial" w:hint="eastAsia"/>
          <w:sz w:val="28"/>
        </w:rPr>
        <w:t xml:space="preserve"> </w:t>
      </w:r>
      <w:r>
        <w:rPr>
          <w:rFonts w:ascii="Arial" w:hAnsi="Arial" w:cs="Arial" w:hint="eastAsia"/>
          <w:sz w:val="28"/>
        </w:rPr>
        <w:t>关于印发个人所得税专项附加扣除暂行办法的通知》</w:t>
      </w:r>
      <w:r>
        <w:rPr>
          <w:rFonts w:ascii="Arial" w:hAnsi="Arial" w:cs="Arial" w:hint="eastAsia"/>
          <w:sz w:val="28"/>
        </w:rPr>
        <w:t>(</w:t>
      </w:r>
      <w:r>
        <w:rPr>
          <w:rFonts w:ascii="Arial" w:hAnsi="Arial" w:cs="Arial" w:hint="eastAsia"/>
          <w:sz w:val="28"/>
        </w:rPr>
        <w:t>国发〔</w:t>
      </w:r>
      <w:r>
        <w:rPr>
          <w:rFonts w:ascii="Arial" w:hAnsi="Arial" w:cs="Arial" w:hint="eastAsia"/>
          <w:sz w:val="28"/>
        </w:rPr>
        <w:t>2018</w:t>
      </w:r>
      <w:r>
        <w:rPr>
          <w:rFonts w:ascii="Arial" w:hAnsi="Arial" w:cs="Arial" w:hint="eastAsia"/>
          <w:sz w:val="28"/>
        </w:rPr>
        <w:t>〕</w:t>
      </w:r>
      <w:r>
        <w:rPr>
          <w:rFonts w:ascii="Arial" w:hAnsi="Arial" w:cs="Arial" w:hint="eastAsia"/>
          <w:sz w:val="28"/>
        </w:rPr>
        <w:t>41</w:t>
      </w:r>
      <w:r>
        <w:rPr>
          <w:rFonts w:ascii="Arial" w:hAnsi="Arial" w:cs="Arial" w:hint="eastAsia"/>
          <w:sz w:val="28"/>
        </w:rPr>
        <w:t>号</w:t>
      </w:r>
      <w:r>
        <w:rPr>
          <w:rFonts w:ascii="Arial" w:hAnsi="Arial" w:cs="Arial" w:hint="eastAsia"/>
          <w:sz w:val="28"/>
        </w:rPr>
        <w:t>)</w:t>
      </w:r>
      <w:r>
        <w:rPr>
          <w:rFonts w:ascii="Arial" w:hAnsi="Arial" w:cs="Arial" w:hint="eastAsia"/>
          <w:sz w:val="28"/>
        </w:rPr>
        <w:t>有关住房贷款利息专项附加扣除的</w:t>
      </w:r>
      <w:r>
        <w:rPr>
          <w:rFonts w:ascii="Arial" w:hAnsi="Arial" w:cs="Arial" w:hint="eastAsia"/>
          <w:sz w:val="28"/>
        </w:rPr>
        <w:t xml:space="preserve"> </w:t>
      </w:r>
      <w:r>
        <w:rPr>
          <w:rFonts w:ascii="Arial" w:hAnsi="Arial" w:cs="Arial" w:hint="eastAsia"/>
          <w:sz w:val="28"/>
        </w:rPr>
        <w:t>规定</w:t>
      </w:r>
      <w:proofErr w:type="gramStart"/>
      <w:r>
        <w:rPr>
          <w:rFonts w:ascii="Arial" w:hAnsi="Arial" w:cs="Arial" w:hint="eastAsia"/>
          <w:sz w:val="28"/>
        </w:rPr>
        <w:t>且之前</w:t>
      </w:r>
      <w:proofErr w:type="gramEnd"/>
      <w:r>
        <w:rPr>
          <w:rFonts w:ascii="Arial" w:hAnsi="Arial" w:cs="Arial" w:hint="eastAsia"/>
          <w:sz w:val="28"/>
        </w:rPr>
        <w:t>未享受过住房贷款利息专项附加扣除的，可以自按照首套住房贷款利率开始还款的当月起享受住房贷款利息专项附加扣除。</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金融政策：</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全国：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日，中国人民银行公告，下调金融机构存款准备金率、下调再贷款利率、下调个人住房公积金贷款利率：自</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日起，下调金融机构存款准备金率</w:t>
      </w:r>
      <w:r>
        <w:rPr>
          <w:rFonts w:ascii="Arial" w:hAnsi="Arial" w:cs="Arial" w:hint="eastAsia"/>
          <w:sz w:val="28"/>
        </w:rPr>
        <w:t>0.5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日起，下调再贷款利率</w:t>
      </w:r>
      <w:r>
        <w:rPr>
          <w:rFonts w:ascii="Arial" w:hAnsi="Arial" w:cs="Arial" w:hint="eastAsia"/>
          <w:sz w:val="28"/>
        </w:rPr>
        <w:t>0.25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 xml:space="preserve"> 8</w:t>
      </w:r>
      <w:r>
        <w:rPr>
          <w:rFonts w:ascii="Arial" w:hAnsi="Arial" w:cs="Arial" w:hint="eastAsia"/>
          <w:sz w:val="28"/>
        </w:rPr>
        <w:t>日起，下调个人住房公积金贷款利率</w:t>
      </w:r>
      <w:r>
        <w:rPr>
          <w:rFonts w:ascii="Arial" w:hAnsi="Arial" w:cs="Arial" w:hint="eastAsia"/>
          <w:sz w:val="28"/>
        </w:rPr>
        <w:t>0.25</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北京：</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w:t>
      </w:r>
      <w:r>
        <w:rPr>
          <w:rFonts w:ascii="Arial" w:hAnsi="Arial" w:cs="Arial" w:hint="eastAsia"/>
          <w:sz w:val="28"/>
        </w:rPr>
        <w:t>20%</w:t>
      </w:r>
      <w:r>
        <w:rPr>
          <w:rFonts w:ascii="Arial" w:hAnsi="Arial" w:cs="Arial" w:hint="eastAsia"/>
          <w:sz w:val="28"/>
        </w:rPr>
        <w:t>。对于使用贷款购买二套商品住房的居民家庭，所购住房位于五环以内的，最低首付款比例不低于</w:t>
      </w:r>
      <w:r>
        <w:rPr>
          <w:rFonts w:ascii="Arial" w:hAnsi="Arial" w:cs="Arial" w:hint="eastAsia"/>
          <w:sz w:val="28"/>
        </w:rPr>
        <w:t>35%</w:t>
      </w:r>
      <w:r>
        <w:rPr>
          <w:rFonts w:ascii="Arial" w:hAnsi="Arial" w:cs="Arial" w:hint="eastAsia"/>
          <w:sz w:val="28"/>
        </w:rPr>
        <w:t>；所购商品住房位于五环以外的，最低首付款比例不低于</w:t>
      </w:r>
      <w:r>
        <w:rPr>
          <w:rFonts w:ascii="Arial" w:hAnsi="Arial" w:cs="Arial" w:hint="eastAsia"/>
          <w:sz w:val="28"/>
        </w:rPr>
        <w:t>30%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日，北京市住房和城乡建设委员会、北京市财政局、中</w:t>
      </w:r>
      <w:r>
        <w:rPr>
          <w:rFonts w:ascii="Arial" w:hAnsi="Arial" w:cs="Arial" w:hint="eastAsia"/>
          <w:sz w:val="28"/>
        </w:rPr>
        <w:lastRenderedPageBreak/>
        <w:t>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w:t>
      </w:r>
      <w:proofErr w:type="gramStart"/>
      <w:r>
        <w:rPr>
          <w:rFonts w:ascii="Arial" w:hAnsi="Arial" w:cs="Arial" w:hint="eastAsia"/>
          <w:sz w:val="28"/>
        </w:rPr>
        <w:t>调房贷首付款</w:t>
      </w:r>
      <w:proofErr w:type="gramEnd"/>
      <w:r>
        <w:rPr>
          <w:rFonts w:ascii="Arial" w:hAnsi="Arial" w:cs="Arial" w:hint="eastAsia"/>
          <w:sz w:val="28"/>
        </w:rPr>
        <w:t>比例。将商业性个人住房贷款首套房贷最低首付款比例由不低于</w:t>
      </w:r>
      <w:r>
        <w:rPr>
          <w:rFonts w:ascii="Arial" w:hAnsi="Arial" w:cs="Arial" w:hint="eastAsia"/>
          <w:sz w:val="28"/>
        </w:rPr>
        <w:t>20%</w:t>
      </w:r>
      <w:r>
        <w:rPr>
          <w:rFonts w:ascii="Arial" w:hAnsi="Arial" w:cs="Arial" w:hint="eastAsia"/>
          <w:sz w:val="28"/>
        </w:rPr>
        <w:t>下调至不低于</w:t>
      </w:r>
      <w:r>
        <w:rPr>
          <w:rFonts w:ascii="Arial" w:hAnsi="Arial" w:cs="Arial" w:hint="eastAsia"/>
          <w:sz w:val="28"/>
        </w:rPr>
        <w:t>15%</w:t>
      </w:r>
      <w:r>
        <w:rPr>
          <w:rFonts w:ascii="Arial" w:hAnsi="Arial" w:cs="Arial" w:hint="eastAsia"/>
          <w:sz w:val="28"/>
        </w:rPr>
        <w:t>，二</w:t>
      </w:r>
      <w:proofErr w:type="gramStart"/>
      <w:r>
        <w:rPr>
          <w:rFonts w:ascii="Arial" w:hAnsi="Arial" w:cs="Arial" w:hint="eastAsia"/>
          <w:sz w:val="28"/>
        </w:rPr>
        <w:t>套房贷由不</w:t>
      </w:r>
      <w:proofErr w:type="gramEnd"/>
      <w:r>
        <w:rPr>
          <w:rFonts w:ascii="Arial" w:hAnsi="Arial" w:cs="Arial" w:hint="eastAsia"/>
          <w:sz w:val="28"/>
        </w:rPr>
        <w:t>低于</w:t>
      </w:r>
      <w:r>
        <w:rPr>
          <w:rFonts w:ascii="Arial" w:hAnsi="Arial" w:cs="Arial" w:hint="eastAsia"/>
          <w:sz w:val="28"/>
        </w:rPr>
        <w:t>35%</w:t>
      </w:r>
      <w:r>
        <w:rPr>
          <w:rFonts w:ascii="Arial" w:hAnsi="Arial" w:cs="Arial" w:hint="eastAsia"/>
          <w:sz w:val="28"/>
        </w:rPr>
        <w:t>（购买五环内住房）、不低于</w:t>
      </w:r>
      <w:r>
        <w:rPr>
          <w:rFonts w:ascii="Arial" w:hAnsi="Arial" w:cs="Arial" w:hint="eastAsia"/>
          <w:sz w:val="28"/>
        </w:rPr>
        <w:t>30%</w:t>
      </w:r>
      <w:r>
        <w:rPr>
          <w:rFonts w:ascii="Arial" w:hAnsi="Arial" w:cs="Arial" w:hint="eastAsia"/>
          <w:sz w:val="28"/>
        </w:rPr>
        <w:t>（购买五环外住房）统一下调至不低于</w:t>
      </w:r>
      <w:r>
        <w:rPr>
          <w:rFonts w:ascii="Arial" w:hAnsi="Arial" w:cs="Arial" w:hint="eastAsia"/>
          <w:sz w:val="28"/>
        </w:rPr>
        <w:t>20%</w:t>
      </w:r>
      <w:r>
        <w:rPr>
          <w:rFonts w:ascii="Arial" w:hAnsi="Arial" w:cs="Arial" w:hint="eastAsia"/>
          <w:sz w:val="28"/>
        </w:rPr>
        <w:t>。三是更好发挥住房公积金贷款作用。京籍二</w:t>
      </w:r>
      <w:proofErr w:type="gramStart"/>
      <w:r>
        <w:rPr>
          <w:rFonts w:ascii="Arial" w:hAnsi="Arial" w:cs="Arial" w:hint="eastAsia"/>
          <w:sz w:val="28"/>
        </w:rPr>
        <w:t>孩以上</w:t>
      </w:r>
      <w:proofErr w:type="gramEnd"/>
      <w:r>
        <w:rPr>
          <w:rFonts w:ascii="Arial" w:hAnsi="Arial" w:cs="Arial" w:hint="eastAsia"/>
          <w:sz w:val="28"/>
        </w:rPr>
        <w:t>家庭购房的，公积金可贷款额度上浮</w:t>
      </w:r>
      <w:r>
        <w:rPr>
          <w:rFonts w:ascii="Arial" w:hAnsi="Arial" w:cs="Arial" w:hint="eastAsia"/>
          <w:sz w:val="28"/>
        </w:rPr>
        <w:t>40</w:t>
      </w:r>
      <w:r>
        <w:rPr>
          <w:rFonts w:ascii="Arial" w:hAnsi="Arial" w:cs="Arial" w:hint="eastAsia"/>
          <w:sz w:val="28"/>
        </w:rPr>
        <w:t>万元。</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31</w:t>
      </w:r>
      <w:r>
        <w:rPr>
          <w:rFonts w:ascii="Arial" w:hAnsi="Arial" w:cs="Arial" w:hint="eastAsia"/>
          <w:sz w:val="28"/>
        </w:rPr>
        <w:t>日，北京住房公积金管理中心发布《关于调整住房公积金个人住房贷款借款人年龄上限的通知》，将住房公积金个人住房贷款借款期限调整到可计算到借款申请人法定退休年龄后</w:t>
      </w:r>
      <w:r>
        <w:rPr>
          <w:rFonts w:ascii="Arial" w:hAnsi="Arial" w:cs="Arial" w:hint="eastAsia"/>
          <w:sz w:val="28"/>
        </w:rPr>
        <w:t>5</w:t>
      </w:r>
      <w:r>
        <w:rPr>
          <w:rFonts w:ascii="Arial" w:hAnsi="Arial" w:cs="Arial" w:hint="eastAsia"/>
          <w:sz w:val="28"/>
        </w:rPr>
        <w:t>年，原则上最高不超过</w:t>
      </w:r>
      <w:r>
        <w:rPr>
          <w:rFonts w:ascii="Arial" w:hAnsi="Arial" w:cs="Arial" w:hint="eastAsia"/>
          <w:sz w:val="28"/>
        </w:rPr>
        <w:t>68</w:t>
      </w:r>
      <w:r>
        <w:rPr>
          <w:rFonts w:ascii="Arial" w:hAnsi="Arial" w:cs="Arial" w:hint="eastAsia"/>
          <w:sz w:val="28"/>
        </w:rPr>
        <w:t>周岁，贷款期限最长为</w:t>
      </w:r>
      <w:r>
        <w:rPr>
          <w:rFonts w:ascii="Arial" w:hAnsi="Arial" w:cs="Arial" w:hint="eastAsia"/>
          <w:sz w:val="28"/>
        </w:rPr>
        <w:t>30</w:t>
      </w:r>
      <w:r>
        <w:rPr>
          <w:rFonts w:ascii="Arial" w:hAnsi="Arial" w:cs="Arial" w:hint="eastAsia"/>
          <w:sz w:val="28"/>
        </w:rPr>
        <w:t>年。《通知》自</w:t>
      </w: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w:t>
      </w:r>
      <w:r>
        <w:rPr>
          <w:rFonts w:ascii="Arial" w:hAnsi="Arial" w:cs="Arial" w:hint="eastAsia"/>
          <w:sz w:val="28"/>
        </w:rPr>
        <w:t>日起执行。</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日，北京住房公积金管理中心发布《关于下调个人住房公积金贷款利率的公告》，</w:t>
      </w: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日（含）之后新发放的贷款，</w:t>
      </w:r>
      <w:r>
        <w:rPr>
          <w:rFonts w:ascii="Arial" w:hAnsi="Arial" w:cs="Arial" w:hint="eastAsia"/>
          <w:sz w:val="28"/>
        </w:rPr>
        <w:t>5</w:t>
      </w:r>
      <w:r>
        <w:rPr>
          <w:rFonts w:ascii="Arial" w:hAnsi="Arial" w:cs="Arial" w:hint="eastAsia"/>
          <w:sz w:val="28"/>
        </w:rPr>
        <w:t>年以下（含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年以上首</w:t>
      </w:r>
      <w:proofErr w:type="gramStart"/>
      <w:r>
        <w:rPr>
          <w:rFonts w:ascii="Arial" w:hAnsi="Arial" w:cs="Arial" w:hint="eastAsia"/>
          <w:sz w:val="28"/>
        </w:rPr>
        <w:t>套个人</w:t>
      </w:r>
      <w:proofErr w:type="gramEnd"/>
      <w:r>
        <w:rPr>
          <w:rFonts w:ascii="Arial" w:hAnsi="Arial" w:cs="Arial" w:hint="eastAsia"/>
          <w:sz w:val="28"/>
        </w:rPr>
        <w:t>住房公积金贷款利率分别为</w:t>
      </w:r>
      <w:r>
        <w:rPr>
          <w:rFonts w:ascii="Arial" w:hAnsi="Arial" w:cs="Arial" w:hint="eastAsia"/>
          <w:sz w:val="28"/>
        </w:rPr>
        <w:t>2.1</w:t>
      </w:r>
      <w:r>
        <w:rPr>
          <w:rFonts w:ascii="Arial" w:hAnsi="Arial" w:cs="Arial" w:hint="eastAsia"/>
          <w:sz w:val="28"/>
        </w:rPr>
        <w:t>％和</w:t>
      </w:r>
      <w:r>
        <w:rPr>
          <w:rFonts w:ascii="Arial" w:hAnsi="Arial" w:cs="Arial" w:hint="eastAsia"/>
          <w:sz w:val="28"/>
        </w:rPr>
        <w:t>2.6</w:t>
      </w:r>
      <w:r>
        <w:rPr>
          <w:rFonts w:ascii="Arial" w:hAnsi="Arial" w:cs="Arial" w:hint="eastAsia"/>
          <w:sz w:val="28"/>
        </w:rPr>
        <w:t>％，</w:t>
      </w:r>
      <w:r>
        <w:rPr>
          <w:rFonts w:ascii="Arial" w:hAnsi="Arial" w:cs="Arial" w:hint="eastAsia"/>
          <w:sz w:val="28"/>
        </w:rPr>
        <w:t>5</w:t>
      </w:r>
      <w:r>
        <w:rPr>
          <w:rFonts w:ascii="Arial" w:hAnsi="Arial" w:cs="Arial" w:hint="eastAsia"/>
          <w:sz w:val="28"/>
        </w:rPr>
        <w:t>年以下</w:t>
      </w:r>
      <w:r>
        <w:rPr>
          <w:rFonts w:ascii="Arial" w:hAnsi="Arial" w:cs="Arial" w:hint="eastAsia"/>
          <w:sz w:val="28"/>
        </w:rPr>
        <w:t xml:space="preserve"> </w:t>
      </w:r>
      <w:r>
        <w:rPr>
          <w:rFonts w:ascii="Arial" w:hAnsi="Arial" w:cs="Arial" w:hint="eastAsia"/>
          <w:sz w:val="28"/>
        </w:rPr>
        <w:t>（含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年以上第二套个人住房公积金贷款利率分别为</w:t>
      </w:r>
      <w:r>
        <w:rPr>
          <w:rFonts w:ascii="Arial" w:hAnsi="Arial" w:cs="Arial" w:hint="eastAsia"/>
          <w:sz w:val="28"/>
        </w:rPr>
        <w:t>2.525</w:t>
      </w:r>
      <w:r>
        <w:rPr>
          <w:rFonts w:ascii="Arial" w:hAnsi="Arial" w:cs="Arial" w:hint="eastAsia"/>
          <w:sz w:val="28"/>
        </w:rPr>
        <w:t>％和</w:t>
      </w:r>
      <w:r>
        <w:rPr>
          <w:rFonts w:ascii="Arial" w:hAnsi="Arial" w:cs="Arial" w:hint="eastAsia"/>
          <w:sz w:val="28"/>
        </w:rPr>
        <w:t>3.075</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城市规划与发展目标</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）《北京城市总体规划</w:t>
      </w:r>
      <w:r>
        <w:rPr>
          <w:rFonts w:ascii="Arial" w:hAnsi="Arial" w:cs="Arial" w:hint="eastAsia"/>
          <w:sz w:val="28"/>
        </w:rPr>
        <w:t>(2016</w:t>
      </w:r>
      <w:r>
        <w:rPr>
          <w:rFonts w:ascii="Arial" w:hAnsi="Arial" w:cs="Arial" w:hint="eastAsia"/>
          <w:sz w:val="28"/>
        </w:rPr>
        <w:t>年</w:t>
      </w:r>
      <w:r>
        <w:rPr>
          <w:rFonts w:ascii="Arial" w:hAnsi="Arial" w:cs="Arial" w:hint="eastAsia"/>
          <w:sz w:val="28"/>
        </w:rPr>
        <w:t>-2035</w:t>
      </w:r>
      <w:r>
        <w:rPr>
          <w:rFonts w:ascii="Arial" w:hAnsi="Arial" w:cs="Arial" w:hint="eastAsia"/>
          <w:sz w:val="28"/>
        </w:rPr>
        <w:t>年</w:t>
      </w:r>
      <w:r>
        <w:rPr>
          <w:rFonts w:ascii="Arial" w:hAnsi="Arial" w:cs="Arial" w:hint="eastAsia"/>
          <w:sz w:val="28"/>
        </w:rPr>
        <w:t>)</w:t>
      </w:r>
      <w:r>
        <w:rPr>
          <w:rFonts w:ascii="Arial" w:hAnsi="Arial" w:cs="Arial" w:hint="eastAsia"/>
          <w:sz w:val="28"/>
        </w:rPr>
        <w:t>》于</w:t>
      </w:r>
      <w:r>
        <w:rPr>
          <w:rFonts w:ascii="Arial" w:hAnsi="Arial" w:cs="Arial" w:hint="eastAsia"/>
          <w:sz w:val="28"/>
        </w:rPr>
        <w:t>2017</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29</w:t>
      </w:r>
      <w:r>
        <w:rPr>
          <w:rFonts w:ascii="Arial" w:hAnsi="Arial" w:cs="Arial" w:hint="eastAsia"/>
          <w:sz w:val="28"/>
        </w:rPr>
        <w:t>日正式发布。新版总体规划以资源环境为硬约束，确定了人口总量上限、生态控制线、城市开发边界“三条红线”。通过</w:t>
      </w:r>
      <w:proofErr w:type="gramStart"/>
      <w:r>
        <w:rPr>
          <w:rFonts w:ascii="Arial" w:hAnsi="Arial" w:cs="Arial" w:hint="eastAsia"/>
          <w:sz w:val="28"/>
        </w:rPr>
        <w:t>疏解非首都</w:t>
      </w:r>
      <w:proofErr w:type="gramEnd"/>
      <w:r>
        <w:rPr>
          <w:rFonts w:ascii="Arial" w:hAnsi="Arial" w:cs="Arial" w:hint="eastAsia"/>
          <w:sz w:val="28"/>
        </w:rPr>
        <w:t>功能，实现人</w:t>
      </w:r>
      <w:proofErr w:type="gramStart"/>
      <w:r>
        <w:rPr>
          <w:rFonts w:ascii="Arial" w:hAnsi="Arial" w:cs="Arial" w:hint="eastAsia"/>
          <w:sz w:val="28"/>
        </w:rPr>
        <w:t>随功能走</w:t>
      </w:r>
      <w:proofErr w:type="gramEnd"/>
      <w:r>
        <w:rPr>
          <w:rFonts w:ascii="Arial" w:hAnsi="Arial" w:cs="Arial" w:hint="eastAsia"/>
          <w:sz w:val="28"/>
        </w:rPr>
        <w:t>、人</w:t>
      </w:r>
      <w:proofErr w:type="gramStart"/>
      <w:r>
        <w:rPr>
          <w:rFonts w:ascii="Arial" w:hAnsi="Arial" w:cs="Arial" w:hint="eastAsia"/>
          <w:sz w:val="28"/>
        </w:rPr>
        <w:t>随产业</w:t>
      </w:r>
      <w:proofErr w:type="gramEnd"/>
      <w:r>
        <w:rPr>
          <w:rFonts w:ascii="Arial" w:hAnsi="Arial" w:cs="Arial" w:hint="eastAsia"/>
          <w:sz w:val="28"/>
        </w:rPr>
        <w:t>走。</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w:t>
      </w:r>
      <w:r>
        <w:rPr>
          <w:rFonts w:ascii="Arial" w:hAnsi="Arial" w:cs="Arial" w:hint="eastAsia"/>
          <w:sz w:val="28"/>
        </w:rPr>
        <w:t>2021</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27</w:t>
      </w:r>
      <w:r>
        <w:rPr>
          <w:rFonts w:ascii="Arial" w:hAnsi="Arial" w:cs="Arial" w:hint="eastAsia"/>
          <w:sz w:val="28"/>
        </w:rPr>
        <w:t>日，北京市第十五届人民代表大会第四次会议批准了《北京市国民经济和社会发展第十四个五年规划和二〇三五年远景目标</w:t>
      </w:r>
      <w:r>
        <w:rPr>
          <w:rFonts w:ascii="Arial" w:hAnsi="Arial" w:cs="Arial" w:hint="eastAsia"/>
          <w:sz w:val="28"/>
        </w:rPr>
        <w:lastRenderedPageBreak/>
        <w:t>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hAnsi="Arial" w:cs="Arial" w:hint="eastAsia"/>
          <w:sz w:val="28"/>
        </w:rPr>
        <w:t>疏解非首都</w:t>
      </w:r>
      <w:proofErr w:type="gramEnd"/>
      <w:r>
        <w:rPr>
          <w:rFonts w:ascii="Arial" w:hAnsi="Arial" w:cs="Arial" w:hint="eastAsia"/>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cs="Arial" w:hint="eastAsia"/>
          <w:sz w:val="28"/>
        </w:rPr>
        <w:t>5000</w:t>
      </w:r>
      <w:r>
        <w:rPr>
          <w:rFonts w:ascii="Arial" w:hAnsi="Arial" w:cs="Arial" w:hint="eastAsia"/>
          <w:sz w:val="28"/>
        </w:rPr>
        <w:t>公顷、供应各类住房</w:t>
      </w:r>
      <w:r>
        <w:rPr>
          <w:rFonts w:ascii="Arial" w:hAnsi="Arial" w:cs="Arial" w:hint="eastAsia"/>
          <w:sz w:val="28"/>
        </w:rPr>
        <w:t>100</w:t>
      </w:r>
      <w:r>
        <w:rPr>
          <w:rFonts w:ascii="Arial" w:hAnsi="Arial" w:cs="Arial" w:hint="eastAsia"/>
          <w:sz w:val="28"/>
        </w:rPr>
        <w:t>万套左右，基本实现总体供需平衡。加大多层次保障性租赁住房供给，针对中低收入家庭自住需求，大力筹集建设各类租赁型住房，提高公共租赁住房备案家庭保障率，新增供应套数占比不低于</w:t>
      </w:r>
      <w:r>
        <w:rPr>
          <w:rFonts w:ascii="Arial" w:hAnsi="Arial" w:cs="Arial" w:hint="eastAsia"/>
          <w:sz w:val="28"/>
        </w:rPr>
        <w:t>40%</w:t>
      </w:r>
      <w:r>
        <w:rPr>
          <w:rFonts w:ascii="Arial" w:hAnsi="Arial" w:cs="Arial" w:hint="eastAsia"/>
          <w:sz w:val="28"/>
        </w:rPr>
        <w:t>。新增集体土地租赁住房等政策性租赁住房供地占比不低于供应总量的</w:t>
      </w:r>
      <w:r>
        <w:rPr>
          <w:rFonts w:ascii="Arial" w:hAnsi="Arial" w:cs="Arial" w:hint="eastAsia"/>
          <w:sz w:val="28"/>
        </w:rPr>
        <w:t>15%</w:t>
      </w:r>
      <w:r>
        <w:rPr>
          <w:rFonts w:ascii="Arial" w:hAnsi="Arial" w:cs="Arial" w:hint="eastAsia"/>
          <w:sz w:val="28"/>
        </w:rPr>
        <w:t>，鼓励存量低效商业、办公、厂房等建筑改造为</w:t>
      </w:r>
      <w:r>
        <w:rPr>
          <w:rFonts w:ascii="Arial" w:hAnsi="Arial" w:cs="Arial" w:hint="eastAsia"/>
          <w:sz w:val="28"/>
        </w:rPr>
        <w:lastRenderedPageBreak/>
        <w:t>租赁</w:t>
      </w:r>
      <w:proofErr w:type="gramStart"/>
      <w:r>
        <w:rPr>
          <w:rFonts w:ascii="Arial" w:hAnsi="Arial" w:cs="Arial" w:hint="eastAsia"/>
          <w:sz w:val="28"/>
        </w:rPr>
        <w:t>型职工</w:t>
      </w:r>
      <w:proofErr w:type="gramEnd"/>
      <w:r>
        <w:rPr>
          <w:rFonts w:ascii="Arial" w:hAnsi="Arial" w:cs="Arial" w:hint="eastAsia"/>
          <w:sz w:val="28"/>
        </w:rPr>
        <w:t>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w:t>
      </w:r>
      <w:r>
        <w:rPr>
          <w:rFonts w:ascii="Arial" w:hAnsi="Arial" w:cs="Arial" w:hint="eastAsia"/>
          <w:sz w:val="28"/>
        </w:rPr>
        <w:t>2022</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18</w:t>
      </w:r>
      <w:r>
        <w:rPr>
          <w:rFonts w:ascii="Arial" w:hAnsi="Arial" w:cs="Arial" w:hint="eastAsia"/>
          <w:sz w:val="28"/>
        </w:rPr>
        <w:t>日，北京市印发《北京市城市更新专项规划（“十四五”时期）》（以下简称‘《专项规划》’），严控大拆大建，采取小规模、渐进式、可持续的更新，依托新版《北京城市总规》确定的“</w:t>
      </w:r>
      <w:proofErr w:type="gramStart"/>
      <w:r>
        <w:rPr>
          <w:rFonts w:ascii="Arial" w:hAnsi="Arial" w:cs="Arial" w:hint="eastAsia"/>
          <w:sz w:val="28"/>
        </w:rPr>
        <w:t>一</w:t>
      </w:r>
      <w:proofErr w:type="gramEnd"/>
      <w:r>
        <w:rPr>
          <w:rFonts w:ascii="Arial" w:hAnsi="Arial" w:cs="Arial" w:hint="eastAsia"/>
          <w:sz w:val="28"/>
        </w:rPr>
        <w:t>核一主一副、两轴多点一区”的城市空间结构，分圈层差异</w:t>
      </w:r>
      <w:proofErr w:type="gramStart"/>
      <w:r>
        <w:rPr>
          <w:rFonts w:ascii="Arial" w:hAnsi="Arial" w:cs="Arial" w:hint="eastAsia"/>
          <w:sz w:val="28"/>
        </w:rPr>
        <w:t>化明确</w:t>
      </w:r>
      <w:proofErr w:type="gramEnd"/>
      <w:r>
        <w:rPr>
          <w:rFonts w:ascii="Arial" w:hAnsi="Arial" w:cs="Arial" w:hint="eastAsia"/>
          <w:sz w:val="28"/>
        </w:rPr>
        <w:t>更新方向，将首都功能核心区和城市副中心作为更新重点；划定近期</w:t>
      </w:r>
      <w:r>
        <w:rPr>
          <w:rFonts w:ascii="Arial" w:hAnsi="Arial" w:cs="Arial" w:hint="eastAsia"/>
          <w:sz w:val="28"/>
        </w:rPr>
        <w:t>178</w:t>
      </w:r>
      <w:r>
        <w:rPr>
          <w:rFonts w:ascii="Arial" w:hAnsi="Arial" w:cs="Arial" w:hint="eastAsia"/>
          <w:sz w:val="28"/>
        </w:rPr>
        <w:t>个城市更新重点街区，到</w:t>
      </w:r>
      <w:r>
        <w:rPr>
          <w:rFonts w:ascii="Arial" w:hAnsi="Arial" w:cs="Arial" w:hint="eastAsia"/>
          <w:sz w:val="28"/>
        </w:rPr>
        <w:t>2025</w:t>
      </w:r>
      <w:r>
        <w:rPr>
          <w:rFonts w:ascii="Arial" w:hAnsi="Arial" w:cs="Arial" w:hint="eastAsia"/>
          <w:sz w:val="28"/>
        </w:rPr>
        <w:t>年，将完成全市</w:t>
      </w:r>
      <w:r>
        <w:rPr>
          <w:rFonts w:ascii="Arial" w:hAnsi="Arial" w:cs="Arial" w:hint="eastAsia"/>
          <w:sz w:val="28"/>
        </w:rPr>
        <w:t>2000</w:t>
      </w:r>
      <w:r>
        <w:rPr>
          <w:rFonts w:ascii="Arial" w:hAnsi="Arial" w:cs="Arial" w:hint="eastAsia"/>
          <w:sz w:val="28"/>
        </w:rPr>
        <w:t>年底前建成需改造的</w:t>
      </w:r>
      <w:r>
        <w:rPr>
          <w:rFonts w:ascii="Arial" w:hAnsi="Arial" w:cs="Arial" w:hint="eastAsia"/>
          <w:sz w:val="28"/>
        </w:rPr>
        <w:t>1.6</w:t>
      </w:r>
      <w:r>
        <w:rPr>
          <w:rFonts w:ascii="Arial" w:hAnsi="Arial" w:cs="Arial" w:hint="eastAsia"/>
          <w:sz w:val="28"/>
        </w:rPr>
        <w:t>亿平方米老旧小区改造任务。</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hint="eastAsia"/>
          <w:sz w:val="28"/>
        </w:rPr>
        <w:t>城市经济发展运行状况</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根据北京市统计局地区生产总值统一核算结果，</w:t>
      </w:r>
      <w:r>
        <w:rPr>
          <w:rFonts w:ascii="Arial" w:hAnsi="Arial" w:cs="Arial" w:hint="eastAsia"/>
          <w:sz w:val="28"/>
        </w:rPr>
        <w:t>2025</w:t>
      </w:r>
      <w:r>
        <w:rPr>
          <w:rFonts w:ascii="Arial" w:hAnsi="Arial" w:cs="Arial" w:hint="eastAsia"/>
          <w:sz w:val="28"/>
        </w:rPr>
        <w:t>年上半年，北京市实现地区生产总值</w:t>
      </w:r>
      <w:r>
        <w:rPr>
          <w:rFonts w:ascii="Arial" w:hAnsi="Arial" w:cs="Arial" w:hint="eastAsia"/>
          <w:sz w:val="28"/>
        </w:rPr>
        <w:t>25029.2</w:t>
      </w:r>
      <w:r>
        <w:rPr>
          <w:rFonts w:ascii="Arial" w:hAnsi="Arial" w:cs="Arial" w:hint="eastAsia"/>
          <w:sz w:val="28"/>
        </w:rPr>
        <w:t>亿元，按不变价格计算，同比增长</w:t>
      </w:r>
      <w:r>
        <w:rPr>
          <w:rFonts w:ascii="Arial" w:hAnsi="Arial" w:cs="Arial" w:hint="eastAsia"/>
          <w:sz w:val="28"/>
        </w:rPr>
        <w:t>5.5%</w:t>
      </w:r>
      <w:r>
        <w:rPr>
          <w:rFonts w:ascii="Arial" w:hAnsi="Arial" w:cs="Arial" w:hint="eastAsia"/>
          <w:sz w:val="28"/>
        </w:rPr>
        <w:t>。分产业看，第一产业实现增加值</w:t>
      </w:r>
      <w:r>
        <w:rPr>
          <w:rFonts w:ascii="Arial" w:hAnsi="Arial" w:cs="Arial" w:hint="eastAsia"/>
          <w:sz w:val="28"/>
        </w:rPr>
        <w:t>45.7</w:t>
      </w:r>
      <w:r>
        <w:rPr>
          <w:rFonts w:ascii="Arial" w:hAnsi="Arial" w:cs="Arial" w:hint="eastAsia"/>
          <w:sz w:val="28"/>
        </w:rPr>
        <w:t>亿元，增长</w:t>
      </w:r>
      <w:r>
        <w:rPr>
          <w:rFonts w:ascii="Arial" w:hAnsi="Arial" w:cs="Arial" w:hint="eastAsia"/>
          <w:sz w:val="28"/>
        </w:rPr>
        <w:t>1.5%</w:t>
      </w:r>
      <w:r>
        <w:rPr>
          <w:rFonts w:ascii="Arial" w:hAnsi="Arial" w:cs="Arial" w:hint="eastAsia"/>
          <w:sz w:val="28"/>
        </w:rPr>
        <w:t>；第二产业实现增加值</w:t>
      </w:r>
      <w:r>
        <w:rPr>
          <w:rFonts w:ascii="Arial" w:hAnsi="Arial" w:cs="Arial" w:hint="eastAsia"/>
          <w:sz w:val="28"/>
        </w:rPr>
        <w:t>3356.1</w:t>
      </w:r>
      <w:r>
        <w:rPr>
          <w:rFonts w:ascii="Arial" w:hAnsi="Arial" w:cs="Arial" w:hint="eastAsia"/>
          <w:sz w:val="28"/>
        </w:rPr>
        <w:t>亿元，增长</w:t>
      </w:r>
      <w:r>
        <w:rPr>
          <w:rFonts w:ascii="Arial" w:hAnsi="Arial" w:cs="Arial" w:hint="eastAsia"/>
          <w:sz w:val="28"/>
        </w:rPr>
        <w:t>4.7%</w:t>
      </w:r>
      <w:r>
        <w:rPr>
          <w:rFonts w:ascii="Arial" w:hAnsi="Arial" w:cs="Arial" w:hint="eastAsia"/>
          <w:sz w:val="28"/>
        </w:rPr>
        <w:t>；第三产业实现增加值</w:t>
      </w:r>
      <w:r>
        <w:rPr>
          <w:rFonts w:ascii="Arial" w:hAnsi="Arial" w:cs="Arial" w:hint="eastAsia"/>
          <w:sz w:val="28"/>
        </w:rPr>
        <w:t>21627.5</w:t>
      </w:r>
      <w:r>
        <w:rPr>
          <w:rFonts w:ascii="Arial" w:hAnsi="Arial" w:cs="Arial" w:hint="eastAsia"/>
          <w:sz w:val="28"/>
        </w:rPr>
        <w:t>亿元，增长</w:t>
      </w:r>
      <w:r>
        <w:rPr>
          <w:rFonts w:ascii="Arial" w:hAnsi="Arial" w:cs="Arial" w:hint="eastAsia"/>
          <w:sz w:val="28"/>
        </w:rPr>
        <w:t>5.6%</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）农业生产保持增长，乡村旅游升温向好</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年上半年，北京市实现农林牧渔业总产值</w:t>
      </w:r>
      <w:r>
        <w:rPr>
          <w:rFonts w:ascii="Arial" w:hAnsi="Arial" w:cs="Arial" w:hint="eastAsia"/>
          <w:sz w:val="28"/>
        </w:rPr>
        <w:t>97.9</w:t>
      </w:r>
      <w:r>
        <w:rPr>
          <w:rFonts w:ascii="Arial" w:hAnsi="Arial" w:cs="Arial" w:hint="eastAsia"/>
          <w:sz w:val="28"/>
        </w:rPr>
        <w:t>亿元，按可比价格计算，同比增长</w:t>
      </w:r>
      <w:r>
        <w:rPr>
          <w:rFonts w:ascii="Arial" w:hAnsi="Arial" w:cs="Arial" w:hint="eastAsia"/>
          <w:sz w:val="28"/>
        </w:rPr>
        <w:t>2.2%</w:t>
      </w:r>
      <w:r>
        <w:rPr>
          <w:rFonts w:ascii="Arial" w:hAnsi="Arial" w:cs="Arial" w:hint="eastAsia"/>
          <w:sz w:val="28"/>
        </w:rPr>
        <w:t>。其中，实现农业（种植业）产值</w:t>
      </w:r>
      <w:r>
        <w:rPr>
          <w:rFonts w:ascii="Arial" w:hAnsi="Arial" w:cs="Arial" w:hint="eastAsia"/>
          <w:sz w:val="28"/>
        </w:rPr>
        <w:t>47</w:t>
      </w:r>
      <w:r>
        <w:rPr>
          <w:rFonts w:ascii="Arial" w:hAnsi="Arial" w:cs="Arial" w:hint="eastAsia"/>
          <w:sz w:val="28"/>
        </w:rPr>
        <w:t>亿元，增长</w:t>
      </w:r>
      <w:r>
        <w:rPr>
          <w:rFonts w:ascii="Arial" w:hAnsi="Arial" w:cs="Arial" w:hint="eastAsia"/>
          <w:sz w:val="28"/>
        </w:rPr>
        <w:t>3.9%</w:t>
      </w:r>
      <w:r>
        <w:rPr>
          <w:rFonts w:ascii="Arial" w:hAnsi="Arial" w:cs="Arial" w:hint="eastAsia"/>
          <w:sz w:val="28"/>
        </w:rPr>
        <w:t>，蔬菜（含食用菌）播种面积和产量分别增长</w:t>
      </w:r>
      <w:r>
        <w:rPr>
          <w:rFonts w:ascii="Arial" w:hAnsi="Arial" w:cs="Arial" w:hint="eastAsia"/>
          <w:sz w:val="28"/>
        </w:rPr>
        <w:t>4.3%</w:t>
      </w:r>
      <w:r>
        <w:rPr>
          <w:rFonts w:ascii="Arial" w:hAnsi="Arial" w:cs="Arial" w:hint="eastAsia"/>
          <w:sz w:val="28"/>
        </w:rPr>
        <w:t>和</w:t>
      </w:r>
      <w:r>
        <w:rPr>
          <w:rFonts w:ascii="Arial" w:hAnsi="Arial" w:cs="Arial" w:hint="eastAsia"/>
          <w:sz w:val="28"/>
        </w:rPr>
        <w:t>7.4%</w:t>
      </w:r>
      <w:r>
        <w:rPr>
          <w:rFonts w:ascii="Arial" w:hAnsi="Arial" w:cs="Arial" w:hint="eastAsia"/>
          <w:sz w:val="28"/>
        </w:rPr>
        <w:t>，夏粮播</w:t>
      </w:r>
      <w:r>
        <w:rPr>
          <w:rFonts w:ascii="Arial" w:hAnsi="Arial" w:cs="Arial" w:hint="eastAsia"/>
          <w:sz w:val="28"/>
        </w:rPr>
        <w:lastRenderedPageBreak/>
        <w:t>种面积持续扩大；实现林业产值</w:t>
      </w:r>
      <w:r>
        <w:rPr>
          <w:rFonts w:ascii="Arial" w:hAnsi="Arial" w:cs="Arial" w:hint="eastAsia"/>
          <w:sz w:val="28"/>
        </w:rPr>
        <w:t>23.6</w:t>
      </w:r>
      <w:r>
        <w:rPr>
          <w:rFonts w:ascii="Arial" w:hAnsi="Arial" w:cs="Arial" w:hint="eastAsia"/>
          <w:sz w:val="28"/>
        </w:rPr>
        <w:t>亿元，下降</w:t>
      </w:r>
      <w:r>
        <w:rPr>
          <w:rFonts w:ascii="Arial" w:hAnsi="Arial" w:cs="Arial" w:hint="eastAsia"/>
          <w:sz w:val="28"/>
        </w:rPr>
        <w:t>12.4%</w:t>
      </w:r>
      <w:r>
        <w:rPr>
          <w:rFonts w:ascii="Arial" w:hAnsi="Arial" w:cs="Arial" w:hint="eastAsia"/>
          <w:sz w:val="28"/>
        </w:rPr>
        <w:t>；实现牧业产值</w:t>
      </w:r>
      <w:r>
        <w:rPr>
          <w:rFonts w:ascii="Arial" w:hAnsi="Arial" w:cs="Arial" w:hint="eastAsia"/>
          <w:sz w:val="28"/>
        </w:rPr>
        <w:t>20.9</w:t>
      </w:r>
      <w:r>
        <w:rPr>
          <w:rFonts w:ascii="Arial" w:hAnsi="Arial" w:cs="Arial" w:hint="eastAsia"/>
          <w:sz w:val="28"/>
        </w:rPr>
        <w:t>亿元，增长</w:t>
      </w:r>
      <w:r>
        <w:rPr>
          <w:rFonts w:ascii="Arial" w:hAnsi="Arial" w:cs="Arial" w:hint="eastAsia"/>
          <w:sz w:val="28"/>
        </w:rPr>
        <w:t>11.8%</w:t>
      </w:r>
      <w:r>
        <w:rPr>
          <w:rFonts w:ascii="Arial" w:hAnsi="Arial" w:cs="Arial" w:hint="eastAsia"/>
          <w:sz w:val="28"/>
        </w:rPr>
        <w:t>，生猪、牛、禽出栏量分别增长</w:t>
      </w:r>
      <w:r>
        <w:rPr>
          <w:rFonts w:ascii="Arial" w:hAnsi="Arial" w:cs="Arial" w:hint="eastAsia"/>
          <w:sz w:val="28"/>
        </w:rPr>
        <w:t>22.4%</w:t>
      </w:r>
      <w:r>
        <w:rPr>
          <w:rFonts w:ascii="Arial" w:hAnsi="Arial" w:cs="Arial" w:hint="eastAsia"/>
          <w:sz w:val="28"/>
        </w:rPr>
        <w:t>、</w:t>
      </w:r>
      <w:r>
        <w:rPr>
          <w:rFonts w:ascii="Arial" w:hAnsi="Arial" w:cs="Arial" w:hint="eastAsia"/>
          <w:sz w:val="28"/>
        </w:rPr>
        <w:t>32.3%</w:t>
      </w:r>
      <w:r>
        <w:rPr>
          <w:rFonts w:ascii="Arial" w:hAnsi="Arial" w:cs="Arial" w:hint="eastAsia"/>
          <w:sz w:val="28"/>
        </w:rPr>
        <w:t>和</w:t>
      </w:r>
      <w:r>
        <w:rPr>
          <w:rFonts w:ascii="Arial" w:hAnsi="Arial" w:cs="Arial" w:hint="eastAsia"/>
          <w:sz w:val="28"/>
        </w:rPr>
        <w:t>14.1%</w:t>
      </w:r>
      <w:r>
        <w:rPr>
          <w:rFonts w:ascii="Arial" w:hAnsi="Arial" w:cs="Arial" w:hint="eastAsia"/>
          <w:sz w:val="28"/>
        </w:rPr>
        <w:t>。乡村休闲旅游接待</w:t>
      </w:r>
      <w:r>
        <w:rPr>
          <w:rFonts w:ascii="Arial" w:hAnsi="Arial" w:cs="Arial" w:hint="eastAsia"/>
          <w:sz w:val="28"/>
        </w:rPr>
        <w:t>1123</w:t>
      </w:r>
      <w:r>
        <w:rPr>
          <w:rFonts w:ascii="Arial" w:hAnsi="Arial" w:cs="Arial" w:hint="eastAsia"/>
          <w:sz w:val="28"/>
        </w:rPr>
        <w:t>万人次，同比增长</w:t>
      </w:r>
      <w:r>
        <w:rPr>
          <w:rFonts w:ascii="Arial" w:hAnsi="Arial" w:cs="Arial" w:hint="eastAsia"/>
          <w:sz w:val="28"/>
        </w:rPr>
        <w:t>4.7%</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）工业生产增速提升，高端制造加快布局</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年上半年，北京市规模以上工业增加值按可比价格计算，同比增长</w:t>
      </w:r>
      <w:r>
        <w:rPr>
          <w:rFonts w:ascii="Arial" w:hAnsi="Arial" w:cs="Arial" w:hint="eastAsia"/>
          <w:sz w:val="28"/>
        </w:rPr>
        <w:t>7.0%</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个百分点。重点行业中，计算机、通信和其他电子设备制造业增长</w:t>
      </w:r>
      <w:r>
        <w:rPr>
          <w:rFonts w:ascii="Arial" w:hAnsi="Arial" w:cs="Arial" w:hint="eastAsia"/>
          <w:sz w:val="28"/>
        </w:rPr>
        <w:t>24.6%</w:t>
      </w:r>
      <w:r>
        <w:rPr>
          <w:rFonts w:ascii="Arial" w:hAnsi="Arial" w:cs="Arial" w:hint="eastAsia"/>
          <w:sz w:val="28"/>
        </w:rPr>
        <w:t>，汽车制造业增长</w:t>
      </w:r>
      <w:r>
        <w:rPr>
          <w:rFonts w:ascii="Arial" w:hAnsi="Arial" w:cs="Arial" w:hint="eastAsia"/>
          <w:sz w:val="28"/>
        </w:rPr>
        <w:t>16.7%</w:t>
      </w:r>
      <w:r>
        <w:rPr>
          <w:rFonts w:ascii="Arial" w:hAnsi="Arial" w:cs="Arial" w:hint="eastAsia"/>
          <w:sz w:val="28"/>
        </w:rPr>
        <w:t>，电力、热力生产和供应业增长</w:t>
      </w:r>
      <w:r>
        <w:rPr>
          <w:rFonts w:ascii="Arial" w:hAnsi="Arial" w:cs="Arial" w:hint="eastAsia"/>
          <w:sz w:val="28"/>
        </w:rPr>
        <w:t>3.9%</w:t>
      </w:r>
      <w:r>
        <w:rPr>
          <w:rFonts w:ascii="Arial" w:hAnsi="Arial" w:cs="Arial" w:hint="eastAsia"/>
          <w:sz w:val="28"/>
        </w:rPr>
        <w:t>，医药制造业下降</w:t>
      </w:r>
      <w:r>
        <w:rPr>
          <w:rFonts w:ascii="Arial" w:hAnsi="Arial" w:cs="Arial" w:hint="eastAsia"/>
          <w:sz w:val="28"/>
        </w:rPr>
        <w:t>9.1%</w:t>
      </w:r>
      <w:r>
        <w:rPr>
          <w:rFonts w:ascii="Arial" w:hAnsi="Arial" w:cs="Arial" w:hint="eastAsia"/>
          <w:sz w:val="28"/>
        </w:rPr>
        <w:t>，五大装备制造业</w:t>
      </w:r>
      <w:r>
        <w:rPr>
          <w:rFonts w:ascii="Arial" w:hAnsi="Arial" w:cs="Arial" w:hint="eastAsia"/>
          <w:sz w:val="28"/>
        </w:rPr>
        <w:t>[1]</w:t>
      </w:r>
      <w:r>
        <w:rPr>
          <w:rFonts w:ascii="Arial" w:hAnsi="Arial" w:cs="Arial" w:hint="eastAsia"/>
          <w:sz w:val="28"/>
        </w:rPr>
        <w:t>延续回暖态势，增长</w:t>
      </w:r>
      <w:r>
        <w:rPr>
          <w:rFonts w:ascii="Arial" w:hAnsi="Arial" w:cs="Arial" w:hint="eastAsia"/>
          <w:sz w:val="28"/>
        </w:rPr>
        <w:t>9.7%</w:t>
      </w:r>
      <w:r>
        <w:rPr>
          <w:rFonts w:ascii="Arial" w:hAnsi="Arial" w:cs="Arial" w:hint="eastAsia"/>
          <w:sz w:val="28"/>
        </w:rPr>
        <w:t>。高端制造业表现活跃，规模以上工业战略性新兴产业、高技术制造业增加值分别增长</w:t>
      </w:r>
      <w:r>
        <w:rPr>
          <w:rFonts w:ascii="Arial" w:hAnsi="Arial" w:cs="Arial" w:hint="eastAsia"/>
          <w:sz w:val="28"/>
        </w:rPr>
        <w:t>16.8%</w:t>
      </w:r>
      <w:r>
        <w:rPr>
          <w:rFonts w:ascii="Arial" w:hAnsi="Arial" w:cs="Arial" w:hint="eastAsia"/>
          <w:sz w:val="28"/>
        </w:rPr>
        <w:t>和</w:t>
      </w:r>
      <w:r>
        <w:rPr>
          <w:rFonts w:ascii="Arial" w:hAnsi="Arial" w:cs="Arial" w:hint="eastAsia"/>
          <w:sz w:val="28"/>
        </w:rPr>
        <w:t>9.9%</w:t>
      </w:r>
      <w:r>
        <w:rPr>
          <w:rFonts w:ascii="Arial" w:hAnsi="Arial" w:cs="Arial" w:hint="eastAsia"/>
          <w:sz w:val="28"/>
        </w:rPr>
        <w:t>（二者有交叉），</w:t>
      </w:r>
      <w:proofErr w:type="gramStart"/>
      <w:r>
        <w:rPr>
          <w:rFonts w:ascii="Arial" w:hAnsi="Arial" w:cs="Arial" w:hint="eastAsia"/>
          <w:sz w:val="28"/>
        </w:rPr>
        <w:t>锂</w:t>
      </w:r>
      <w:proofErr w:type="gramEnd"/>
      <w:r>
        <w:rPr>
          <w:rFonts w:ascii="Arial" w:hAnsi="Arial" w:cs="Arial" w:hint="eastAsia"/>
          <w:sz w:val="28"/>
        </w:rPr>
        <w:t>电子电池、新能源汽车、医疗仪器设备及器械、集成电路等产品产量分别增长</w:t>
      </w:r>
      <w:r>
        <w:rPr>
          <w:rFonts w:ascii="Arial" w:hAnsi="Arial" w:cs="Arial" w:hint="eastAsia"/>
          <w:sz w:val="28"/>
        </w:rPr>
        <w:t>3.3</w:t>
      </w:r>
      <w:r>
        <w:rPr>
          <w:rFonts w:ascii="Arial" w:hAnsi="Arial" w:cs="Arial" w:hint="eastAsia"/>
          <w:sz w:val="28"/>
        </w:rPr>
        <w:t>倍、</w:t>
      </w:r>
      <w:r>
        <w:rPr>
          <w:rFonts w:ascii="Arial" w:hAnsi="Arial" w:cs="Arial" w:hint="eastAsia"/>
          <w:sz w:val="28"/>
        </w:rPr>
        <w:t>1.5</w:t>
      </w:r>
      <w:r>
        <w:rPr>
          <w:rFonts w:ascii="Arial" w:hAnsi="Arial" w:cs="Arial" w:hint="eastAsia"/>
          <w:sz w:val="28"/>
        </w:rPr>
        <w:t>倍、</w:t>
      </w:r>
      <w:r>
        <w:rPr>
          <w:rFonts w:ascii="Arial" w:hAnsi="Arial" w:cs="Arial" w:hint="eastAsia"/>
          <w:sz w:val="28"/>
        </w:rPr>
        <w:t>1.1</w:t>
      </w:r>
      <w:r>
        <w:rPr>
          <w:rFonts w:ascii="Arial" w:hAnsi="Arial" w:cs="Arial" w:hint="eastAsia"/>
          <w:sz w:val="28"/>
        </w:rPr>
        <w:t>倍和</w:t>
      </w:r>
      <w:r>
        <w:rPr>
          <w:rFonts w:ascii="Arial" w:hAnsi="Arial" w:cs="Arial" w:hint="eastAsia"/>
          <w:sz w:val="28"/>
        </w:rPr>
        <w:t>14.9%</w:t>
      </w:r>
      <w:r>
        <w:rPr>
          <w:rFonts w:ascii="Arial" w:hAnsi="Arial" w:cs="Arial" w:hint="eastAsia"/>
          <w:sz w:val="28"/>
        </w:rPr>
        <w:t>。规模以上工业实现销售产值</w:t>
      </w:r>
      <w:r>
        <w:rPr>
          <w:rFonts w:ascii="Arial" w:hAnsi="Arial" w:cs="Arial" w:hint="eastAsia"/>
          <w:sz w:val="28"/>
        </w:rPr>
        <w:t>13045.8</w:t>
      </w:r>
      <w:r>
        <w:rPr>
          <w:rFonts w:ascii="Arial" w:hAnsi="Arial" w:cs="Arial" w:hint="eastAsia"/>
          <w:sz w:val="28"/>
        </w:rPr>
        <w:t>亿元，增长</w:t>
      </w:r>
      <w:r>
        <w:rPr>
          <w:rFonts w:ascii="Arial" w:hAnsi="Arial" w:cs="Arial" w:hint="eastAsia"/>
          <w:sz w:val="28"/>
        </w:rPr>
        <w:t>5.9%</w:t>
      </w:r>
      <w:r>
        <w:rPr>
          <w:rFonts w:ascii="Arial" w:hAnsi="Arial" w:cs="Arial" w:hint="eastAsia"/>
          <w:sz w:val="28"/>
        </w:rPr>
        <w:t>；其中，内销产值</w:t>
      </w:r>
      <w:r>
        <w:rPr>
          <w:rFonts w:ascii="Arial" w:hAnsi="Arial" w:cs="Arial" w:hint="eastAsia"/>
          <w:sz w:val="28"/>
        </w:rPr>
        <w:t>12019.1</w:t>
      </w:r>
      <w:r>
        <w:rPr>
          <w:rFonts w:ascii="Arial" w:hAnsi="Arial" w:cs="Arial" w:hint="eastAsia"/>
          <w:sz w:val="28"/>
        </w:rPr>
        <w:t>亿元，增长</w:t>
      </w:r>
      <w:r>
        <w:rPr>
          <w:rFonts w:ascii="Arial" w:hAnsi="Arial" w:cs="Arial" w:hint="eastAsia"/>
          <w:sz w:val="28"/>
        </w:rPr>
        <w:t>6.1%</w:t>
      </w:r>
      <w:r>
        <w:rPr>
          <w:rFonts w:ascii="Arial" w:hAnsi="Arial" w:cs="Arial" w:hint="eastAsia"/>
          <w:sz w:val="28"/>
        </w:rPr>
        <w:t>，出口交货值</w:t>
      </w:r>
      <w:r>
        <w:rPr>
          <w:rFonts w:ascii="Arial" w:hAnsi="Arial" w:cs="Arial" w:hint="eastAsia"/>
          <w:sz w:val="28"/>
        </w:rPr>
        <w:t>1026.7</w:t>
      </w:r>
      <w:r>
        <w:rPr>
          <w:rFonts w:ascii="Arial" w:hAnsi="Arial" w:cs="Arial" w:hint="eastAsia"/>
          <w:sz w:val="28"/>
        </w:rPr>
        <w:t>亿元，增长</w:t>
      </w:r>
      <w:r>
        <w:rPr>
          <w:rFonts w:ascii="Arial" w:hAnsi="Arial" w:cs="Arial" w:hint="eastAsia"/>
          <w:sz w:val="28"/>
        </w:rPr>
        <w:t>4.1%</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）服务业发挥稳定器作用，优势行业有力支撑</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年上半年，北京市第三产业增加值按不变价格计算，同比增长</w:t>
      </w:r>
      <w:r>
        <w:rPr>
          <w:rFonts w:ascii="Arial" w:hAnsi="Arial" w:cs="Arial" w:hint="eastAsia"/>
          <w:sz w:val="28"/>
        </w:rPr>
        <w:t>5.6%</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个百分点。其中，信息传输、软件和信息技术服务业实现增加值</w:t>
      </w:r>
      <w:r>
        <w:rPr>
          <w:rFonts w:ascii="Arial" w:hAnsi="Arial" w:cs="Arial" w:hint="eastAsia"/>
          <w:sz w:val="28"/>
        </w:rPr>
        <w:t>6193.8</w:t>
      </w:r>
      <w:r>
        <w:rPr>
          <w:rFonts w:ascii="Arial" w:hAnsi="Arial" w:cs="Arial" w:hint="eastAsia"/>
          <w:sz w:val="28"/>
        </w:rPr>
        <w:t>亿元，增长</w:t>
      </w:r>
      <w:r>
        <w:rPr>
          <w:rFonts w:ascii="Arial" w:hAnsi="Arial" w:cs="Arial" w:hint="eastAsia"/>
          <w:sz w:val="28"/>
        </w:rPr>
        <w:t>11.1%</w:t>
      </w:r>
      <w:r>
        <w:rPr>
          <w:rFonts w:ascii="Arial" w:hAnsi="Arial" w:cs="Arial" w:hint="eastAsia"/>
          <w:sz w:val="28"/>
        </w:rPr>
        <w:t>；金融业实现增加值</w:t>
      </w:r>
      <w:r>
        <w:rPr>
          <w:rFonts w:ascii="Arial" w:hAnsi="Arial" w:cs="Arial" w:hint="eastAsia"/>
          <w:sz w:val="28"/>
        </w:rPr>
        <w:t>4362.8</w:t>
      </w:r>
      <w:r>
        <w:rPr>
          <w:rFonts w:ascii="Arial" w:hAnsi="Arial" w:cs="Arial" w:hint="eastAsia"/>
          <w:sz w:val="28"/>
        </w:rPr>
        <w:t>亿元，增长</w:t>
      </w:r>
      <w:r>
        <w:rPr>
          <w:rFonts w:ascii="Arial" w:hAnsi="Arial" w:cs="Arial" w:hint="eastAsia"/>
          <w:sz w:val="28"/>
        </w:rPr>
        <w:t>8.1%</w:t>
      </w:r>
      <w:r>
        <w:rPr>
          <w:rFonts w:ascii="Arial" w:hAnsi="Arial" w:cs="Arial" w:hint="eastAsia"/>
          <w:sz w:val="28"/>
        </w:rPr>
        <w:t>，两个行业对第三产业增长的贡献率超过八成；租赁和商务服务业实现增加值</w:t>
      </w:r>
      <w:r>
        <w:rPr>
          <w:rFonts w:ascii="Arial" w:hAnsi="Arial" w:cs="Arial" w:hint="eastAsia"/>
          <w:sz w:val="28"/>
        </w:rPr>
        <w:t>1341.3</w:t>
      </w:r>
      <w:r>
        <w:rPr>
          <w:rFonts w:ascii="Arial" w:hAnsi="Arial" w:cs="Arial" w:hint="eastAsia"/>
          <w:sz w:val="28"/>
        </w:rPr>
        <w:t>亿元，增长</w:t>
      </w:r>
      <w:r>
        <w:rPr>
          <w:rFonts w:ascii="Arial" w:hAnsi="Arial" w:cs="Arial" w:hint="eastAsia"/>
          <w:sz w:val="28"/>
        </w:rPr>
        <w:t>3.4%</w:t>
      </w:r>
      <w:r>
        <w:rPr>
          <w:rFonts w:ascii="Arial" w:hAnsi="Arial" w:cs="Arial" w:hint="eastAsia"/>
          <w:sz w:val="28"/>
        </w:rPr>
        <w:t>；交通运输、仓储和邮政业实现增加值</w:t>
      </w:r>
      <w:r>
        <w:rPr>
          <w:rFonts w:ascii="Arial" w:hAnsi="Arial" w:cs="Arial" w:hint="eastAsia"/>
          <w:sz w:val="28"/>
        </w:rPr>
        <w:t>646.8</w:t>
      </w:r>
      <w:r>
        <w:rPr>
          <w:rFonts w:ascii="Arial" w:hAnsi="Arial" w:cs="Arial" w:hint="eastAsia"/>
          <w:sz w:val="28"/>
        </w:rPr>
        <w:t>亿元，增长</w:t>
      </w:r>
      <w:r>
        <w:rPr>
          <w:rFonts w:ascii="Arial" w:hAnsi="Arial" w:cs="Arial" w:hint="eastAsia"/>
          <w:sz w:val="28"/>
        </w:rPr>
        <w:t>6.0%</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）固定资产投资快速增长，设备购置投资带动明显</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年上半年，北京市固定资产投资（不含农户）同比增长</w:t>
      </w:r>
      <w:r>
        <w:rPr>
          <w:rFonts w:ascii="Arial" w:hAnsi="Arial" w:cs="Arial" w:hint="eastAsia"/>
          <w:sz w:val="28"/>
        </w:rPr>
        <w:t>14.1%</w:t>
      </w:r>
      <w:r>
        <w:rPr>
          <w:rFonts w:ascii="Arial" w:hAnsi="Arial" w:cs="Arial" w:hint="eastAsia"/>
          <w:sz w:val="28"/>
        </w:rPr>
        <w:t>。其中，反映企业扩大生产能力的设备购置投资增长</w:t>
      </w:r>
      <w:r>
        <w:rPr>
          <w:rFonts w:ascii="Arial" w:hAnsi="Arial" w:cs="Arial" w:hint="eastAsia"/>
          <w:sz w:val="28"/>
        </w:rPr>
        <w:t>99.0%</w:t>
      </w:r>
      <w:r>
        <w:rPr>
          <w:rFonts w:ascii="Arial" w:hAnsi="Arial" w:cs="Arial" w:hint="eastAsia"/>
          <w:sz w:val="28"/>
        </w:rPr>
        <w:t>，占全市固定资产投资的比重为</w:t>
      </w:r>
      <w:r>
        <w:rPr>
          <w:rFonts w:ascii="Arial" w:hAnsi="Arial" w:cs="Arial" w:hint="eastAsia"/>
          <w:sz w:val="28"/>
        </w:rPr>
        <w:t>28.2%</w:t>
      </w:r>
      <w:r>
        <w:rPr>
          <w:rFonts w:ascii="Arial" w:hAnsi="Arial" w:cs="Arial" w:hint="eastAsia"/>
          <w:sz w:val="28"/>
        </w:rPr>
        <w:t>，同比提高</w:t>
      </w:r>
      <w:r>
        <w:rPr>
          <w:rFonts w:ascii="Arial" w:hAnsi="Arial" w:cs="Arial" w:hint="eastAsia"/>
          <w:sz w:val="28"/>
        </w:rPr>
        <w:t>12</w:t>
      </w:r>
      <w:r>
        <w:rPr>
          <w:rFonts w:ascii="Arial" w:hAnsi="Arial" w:cs="Arial" w:hint="eastAsia"/>
          <w:sz w:val="28"/>
        </w:rPr>
        <w:t>个百分点。分领域看，基础设施投资增</w:t>
      </w:r>
      <w:r>
        <w:rPr>
          <w:rFonts w:ascii="Arial" w:hAnsi="Arial" w:cs="Arial" w:hint="eastAsia"/>
          <w:sz w:val="28"/>
        </w:rPr>
        <w:lastRenderedPageBreak/>
        <w:t>长</w:t>
      </w:r>
      <w:r>
        <w:rPr>
          <w:rFonts w:ascii="Arial" w:hAnsi="Arial" w:cs="Arial" w:hint="eastAsia"/>
          <w:sz w:val="28"/>
        </w:rPr>
        <w:t>2.0%</w:t>
      </w:r>
      <w:r>
        <w:rPr>
          <w:rFonts w:ascii="Arial" w:hAnsi="Arial" w:cs="Arial" w:hint="eastAsia"/>
          <w:sz w:val="28"/>
        </w:rPr>
        <w:t>，制造业投资增长</w:t>
      </w:r>
      <w:r>
        <w:rPr>
          <w:rFonts w:ascii="Arial" w:hAnsi="Arial" w:cs="Arial" w:hint="eastAsia"/>
          <w:sz w:val="28"/>
        </w:rPr>
        <w:t>8.9%</w:t>
      </w:r>
      <w:r>
        <w:rPr>
          <w:rFonts w:ascii="Arial" w:hAnsi="Arial" w:cs="Arial" w:hint="eastAsia"/>
          <w:sz w:val="28"/>
        </w:rPr>
        <w:t>，房地产开发投资下降</w:t>
      </w:r>
      <w:r>
        <w:rPr>
          <w:rFonts w:ascii="Arial" w:hAnsi="Arial" w:cs="Arial" w:hint="eastAsia"/>
          <w:sz w:val="28"/>
        </w:rPr>
        <w:t>7.5%</w:t>
      </w:r>
      <w:r>
        <w:rPr>
          <w:rFonts w:ascii="Arial" w:hAnsi="Arial" w:cs="Arial" w:hint="eastAsia"/>
          <w:sz w:val="28"/>
        </w:rPr>
        <w:t>。分产业看，第一产业投资增长</w:t>
      </w:r>
      <w:r>
        <w:rPr>
          <w:rFonts w:ascii="Arial" w:hAnsi="Arial" w:cs="Arial" w:hint="eastAsia"/>
          <w:sz w:val="28"/>
        </w:rPr>
        <w:t>80.0%</w:t>
      </w:r>
      <w:r>
        <w:rPr>
          <w:rFonts w:ascii="Arial" w:hAnsi="Arial" w:cs="Arial" w:hint="eastAsia"/>
          <w:sz w:val="28"/>
        </w:rPr>
        <w:t>，第二产业投资增长</w:t>
      </w:r>
      <w:r>
        <w:rPr>
          <w:rFonts w:ascii="Arial" w:hAnsi="Arial" w:cs="Arial" w:hint="eastAsia"/>
          <w:sz w:val="28"/>
        </w:rPr>
        <w:t>12.7%</w:t>
      </w:r>
      <w:r>
        <w:rPr>
          <w:rFonts w:ascii="Arial" w:hAnsi="Arial" w:cs="Arial" w:hint="eastAsia"/>
          <w:sz w:val="28"/>
        </w:rPr>
        <w:t>，第三产业投资增长</w:t>
      </w:r>
      <w:r>
        <w:rPr>
          <w:rFonts w:ascii="Arial" w:hAnsi="Arial" w:cs="Arial" w:hint="eastAsia"/>
          <w:sz w:val="28"/>
        </w:rPr>
        <w:t>14.2%</w:t>
      </w:r>
      <w:r>
        <w:rPr>
          <w:rFonts w:ascii="Arial" w:hAnsi="Arial" w:cs="Arial" w:hint="eastAsia"/>
          <w:sz w:val="28"/>
        </w:rPr>
        <w:t>。高技术产业投资保持活跃，增长</w:t>
      </w:r>
      <w:r>
        <w:rPr>
          <w:rFonts w:ascii="Arial" w:hAnsi="Arial" w:cs="Arial" w:hint="eastAsia"/>
          <w:sz w:val="28"/>
        </w:rPr>
        <w:t>72.9%</w:t>
      </w:r>
      <w:r>
        <w:rPr>
          <w:rFonts w:ascii="Arial" w:hAnsi="Arial" w:cs="Arial" w:hint="eastAsia"/>
          <w:sz w:val="28"/>
        </w:rPr>
        <w:t>，其中，信息传输、软件和信息技术服务业，汽车制造业，计算机、通信和其他电子设备制造业投资分别增长</w:t>
      </w:r>
      <w:r>
        <w:rPr>
          <w:rFonts w:ascii="Arial" w:hAnsi="Arial" w:cs="Arial" w:hint="eastAsia"/>
          <w:sz w:val="28"/>
        </w:rPr>
        <w:t>1.6</w:t>
      </w:r>
      <w:r>
        <w:rPr>
          <w:rFonts w:ascii="Arial" w:hAnsi="Arial" w:cs="Arial" w:hint="eastAsia"/>
          <w:sz w:val="28"/>
        </w:rPr>
        <w:t>倍、</w:t>
      </w:r>
      <w:r>
        <w:rPr>
          <w:rFonts w:ascii="Arial" w:hAnsi="Arial" w:cs="Arial" w:hint="eastAsia"/>
          <w:sz w:val="28"/>
        </w:rPr>
        <w:t>41.7%</w:t>
      </w:r>
      <w:r>
        <w:rPr>
          <w:rFonts w:ascii="Arial" w:hAnsi="Arial" w:cs="Arial" w:hint="eastAsia"/>
          <w:sz w:val="28"/>
        </w:rPr>
        <w:t>和</w:t>
      </w:r>
      <w:r>
        <w:rPr>
          <w:rFonts w:ascii="Arial" w:hAnsi="Arial" w:cs="Arial" w:hint="eastAsia"/>
          <w:sz w:val="28"/>
        </w:rPr>
        <w:t>9.4%</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年上半年，北京市房屋施工面积</w:t>
      </w:r>
      <w:r>
        <w:rPr>
          <w:rFonts w:ascii="Arial" w:hAnsi="Arial" w:cs="Arial" w:hint="eastAsia"/>
          <w:sz w:val="28"/>
        </w:rPr>
        <w:t>9896</w:t>
      </w:r>
      <w:r>
        <w:rPr>
          <w:rFonts w:ascii="Arial" w:hAnsi="Arial" w:cs="Arial" w:hint="eastAsia"/>
          <w:sz w:val="28"/>
        </w:rPr>
        <w:t>万平方米，同比下降</w:t>
      </w:r>
      <w:r>
        <w:rPr>
          <w:rFonts w:ascii="Arial" w:hAnsi="Arial" w:cs="Arial" w:hint="eastAsia"/>
          <w:sz w:val="28"/>
        </w:rPr>
        <w:t>8.0%</w:t>
      </w:r>
      <w:r>
        <w:rPr>
          <w:rFonts w:ascii="Arial" w:hAnsi="Arial" w:cs="Arial" w:hint="eastAsia"/>
          <w:sz w:val="28"/>
        </w:rPr>
        <w:t>，其中住宅施工面积</w:t>
      </w:r>
      <w:r>
        <w:rPr>
          <w:rFonts w:ascii="Arial" w:hAnsi="Arial" w:cs="Arial" w:hint="eastAsia"/>
          <w:sz w:val="28"/>
        </w:rPr>
        <w:t>4904.6</w:t>
      </w:r>
      <w:r>
        <w:rPr>
          <w:rFonts w:ascii="Arial" w:hAnsi="Arial" w:cs="Arial" w:hint="eastAsia"/>
          <w:sz w:val="28"/>
        </w:rPr>
        <w:t>万平方米，下降</w:t>
      </w:r>
      <w:r>
        <w:rPr>
          <w:rFonts w:ascii="Arial" w:hAnsi="Arial" w:cs="Arial" w:hint="eastAsia"/>
          <w:sz w:val="28"/>
        </w:rPr>
        <w:t>8.8%</w:t>
      </w:r>
      <w:r>
        <w:rPr>
          <w:rFonts w:ascii="Arial" w:hAnsi="Arial" w:cs="Arial" w:hint="eastAsia"/>
          <w:sz w:val="28"/>
        </w:rPr>
        <w:t>。全市新建商品房销售面积</w:t>
      </w:r>
      <w:r>
        <w:rPr>
          <w:rFonts w:ascii="Arial" w:hAnsi="Arial" w:cs="Arial" w:hint="eastAsia"/>
          <w:sz w:val="28"/>
        </w:rPr>
        <w:t>537.6</w:t>
      </w:r>
      <w:r>
        <w:rPr>
          <w:rFonts w:ascii="Arial" w:hAnsi="Arial" w:cs="Arial" w:hint="eastAsia"/>
          <w:sz w:val="28"/>
        </w:rPr>
        <w:t>万平方米，同比增长</w:t>
      </w:r>
      <w:r>
        <w:rPr>
          <w:rFonts w:ascii="Arial" w:hAnsi="Arial" w:cs="Arial" w:hint="eastAsia"/>
          <w:sz w:val="28"/>
        </w:rPr>
        <w:t>5.4%</w:t>
      </w:r>
      <w:r>
        <w:rPr>
          <w:rFonts w:ascii="Arial" w:hAnsi="Arial" w:cs="Arial" w:hint="eastAsia"/>
          <w:sz w:val="28"/>
        </w:rPr>
        <w:t>，其中住宅销售面积</w:t>
      </w:r>
      <w:r>
        <w:rPr>
          <w:rFonts w:ascii="Arial" w:hAnsi="Arial" w:cs="Arial" w:hint="eastAsia"/>
          <w:sz w:val="28"/>
        </w:rPr>
        <w:t>352.3</w:t>
      </w:r>
      <w:r>
        <w:rPr>
          <w:rFonts w:ascii="Arial" w:hAnsi="Arial" w:cs="Arial" w:hint="eastAsia"/>
          <w:sz w:val="28"/>
        </w:rPr>
        <w:t>万平方米，下降</w:t>
      </w:r>
      <w:r>
        <w:rPr>
          <w:rFonts w:ascii="Arial" w:hAnsi="Arial" w:cs="Arial" w:hint="eastAsia"/>
          <w:sz w:val="28"/>
        </w:rPr>
        <w:t>0.8%</w:t>
      </w:r>
      <w:r>
        <w:rPr>
          <w:rFonts w:ascii="Arial" w:hAnsi="Arial" w:cs="Arial" w:hint="eastAsia"/>
          <w:sz w:val="28"/>
        </w:rPr>
        <w:t>，住宅中的纯商品住宅销售面积增长</w:t>
      </w:r>
      <w:r>
        <w:rPr>
          <w:rFonts w:ascii="Arial" w:hAnsi="Arial" w:cs="Arial" w:hint="eastAsia"/>
          <w:sz w:val="28"/>
        </w:rPr>
        <w:t>33.8%</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5</w:t>
      </w:r>
      <w:r>
        <w:rPr>
          <w:rFonts w:ascii="Arial" w:hAnsi="Arial" w:cs="Arial" w:hint="eastAsia"/>
          <w:sz w:val="28"/>
        </w:rPr>
        <w:t>）服务性消费较为活跃，社会消费品零售总额仍呈降势</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年上半年，北京市市场总消费额同比增长</w:t>
      </w:r>
      <w:r>
        <w:rPr>
          <w:rFonts w:ascii="Arial" w:hAnsi="Arial" w:cs="Arial" w:hint="eastAsia"/>
          <w:sz w:val="28"/>
        </w:rPr>
        <w:t>0.9%</w:t>
      </w:r>
      <w:r>
        <w:rPr>
          <w:rFonts w:ascii="Arial" w:hAnsi="Arial" w:cs="Arial" w:hint="eastAsia"/>
          <w:sz w:val="28"/>
        </w:rPr>
        <w:t>。其中，服务性消费在信息、交通、文化娱乐等领域带动下增长</w:t>
      </w:r>
      <w:r>
        <w:rPr>
          <w:rFonts w:ascii="Arial" w:hAnsi="Arial" w:cs="Arial" w:hint="eastAsia"/>
          <w:sz w:val="28"/>
        </w:rPr>
        <w:t>4.7%</w:t>
      </w:r>
      <w:r>
        <w:rPr>
          <w:rFonts w:ascii="Arial" w:hAnsi="Arial" w:cs="Arial" w:hint="eastAsia"/>
          <w:sz w:val="28"/>
        </w:rPr>
        <w:t>；实现社会消费品零售总额</w:t>
      </w:r>
      <w:r>
        <w:rPr>
          <w:rFonts w:ascii="Arial" w:hAnsi="Arial" w:cs="Arial" w:hint="eastAsia"/>
          <w:sz w:val="28"/>
        </w:rPr>
        <w:t>6734.2</w:t>
      </w:r>
      <w:r>
        <w:rPr>
          <w:rFonts w:ascii="Arial" w:hAnsi="Arial" w:cs="Arial" w:hint="eastAsia"/>
          <w:sz w:val="28"/>
        </w:rPr>
        <w:t>亿元，下降</w:t>
      </w:r>
      <w:r>
        <w:rPr>
          <w:rFonts w:ascii="Arial" w:hAnsi="Arial" w:cs="Arial" w:hint="eastAsia"/>
          <w:sz w:val="28"/>
        </w:rPr>
        <w:t>3.8%</w:t>
      </w:r>
      <w:r>
        <w:rPr>
          <w:rFonts w:ascii="Arial" w:hAnsi="Arial" w:cs="Arial" w:hint="eastAsia"/>
          <w:sz w:val="28"/>
        </w:rPr>
        <w:t>。社会消费品零售总额中，按消费形态分，商品零售</w:t>
      </w:r>
      <w:r>
        <w:rPr>
          <w:rFonts w:ascii="Arial" w:hAnsi="Arial" w:cs="Arial" w:hint="eastAsia"/>
          <w:sz w:val="28"/>
        </w:rPr>
        <w:t>6061.6</w:t>
      </w:r>
      <w:r>
        <w:rPr>
          <w:rFonts w:ascii="Arial" w:hAnsi="Arial" w:cs="Arial" w:hint="eastAsia"/>
          <w:sz w:val="28"/>
        </w:rPr>
        <w:t>亿元，下降</w:t>
      </w:r>
      <w:r>
        <w:rPr>
          <w:rFonts w:ascii="Arial" w:hAnsi="Arial" w:cs="Arial" w:hint="eastAsia"/>
          <w:sz w:val="28"/>
        </w:rPr>
        <w:t>3.8%</w:t>
      </w:r>
      <w:r>
        <w:rPr>
          <w:rFonts w:ascii="Arial" w:hAnsi="Arial" w:cs="Arial" w:hint="eastAsia"/>
          <w:sz w:val="28"/>
        </w:rPr>
        <w:t>；餐饮收入</w:t>
      </w:r>
      <w:r>
        <w:rPr>
          <w:rFonts w:ascii="Arial" w:hAnsi="Arial" w:cs="Arial" w:hint="eastAsia"/>
          <w:sz w:val="28"/>
        </w:rPr>
        <w:t>672.6</w:t>
      </w:r>
      <w:r>
        <w:rPr>
          <w:rFonts w:ascii="Arial" w:hAnsi="Arial" w:cs="Arial" w:hint="eastAsia"/>
          <w:sz w:val="28"/>
        </w:rPr>
        <w:t>亿元，下降</w:t>
      </w:r>
      <w:r>
        <w:rPr>
          <w:rFonts w:ascii="Arial" w:hAnsi="Arial" w:cs="Arial" w:hint="eastAsia"/>
          <w:sz w:val="28"/>
        </w:rPr>
        <w:t>3.6%</w:t>
      </w:r>
      <w:r>
        <w:rPr>
          <w:rFonts w:ascii="Arial" w:hAnsi="Arial" w:cs="Arial" w:hint="eastAsia"/>
          <w:sz w:val="28"/>
        </w:rPr>
        <w:t>。从商品类别看，限额以上批发和零售业中，基本生活类和时尚类商品销售较好，粮油食品类、金银珠宝类、体育娱乐用品类、化妆品类商品零售额分别增长</w:t>
      </w:r>
      <w:r>
        <w:rPr>
          <w:rFonts w:ascii="Arial" w:hAnsi="Arial" w:cs="Arial" w:hint="eastAsia"/>
          <w:sz w:val="28"/>
        </w:rPr>
        <w:t>13.9%</w:t>
      </w:r>
      <w:r>
        <w:rPr>
          <w:rFonts w:ascii="Arial" w:hAnsi="Arial" w:cs="Arial" w:hint="eastAsia"/>
          <w:sz w:val="28"/>
        </w:rPr>
        <w:t>、</w:t>
      </w:r>
      <w:r>
        <w:rPr>
          <w:rFonts w:ascii="Arial" w:hAnsi="Arial" w:cs="Arial" w:hint="eastAsia"/>
          <w:sz w:val="28"/>
        </w:rPr>
        <w:t>36.1%</w:t>
      </w:r>
      <w:r>
        <w:rPr>
          <w:rFonts w:ascii="Arial" w:hAnsi="Arial" w:cs="Arial" w:hint="eastAsia"/>
          <w:sz w:val="28"/>
        </w:rPr>
        <w:t>、</w:t>
      </w:r>
      <w:r>
        <w:rPr>
          <w:rFonts w:ascii="Arial" w:hAnsi="Arial" w:cs="Arial" w:hint="eastAsia"/>
          <w:sz w:val="28"/>
        </w:rPr>
        <w:t>9.3%</w:t>
      </w:r>
      <w:r>
        <w:rPr>
          <w:rFonts w:ascii="Arial" w:hAnsi="Arial" w:cs="Arial" w:hint="eastAsia"/>
          <w:sz w:val="28"/>
        </w:rPr>
        <w:t>和</w:t>
      </w:r>
      <w:r>
        <w:rPr>
          <w:rFonts w:ascii="Arial" w:hAnsi="Arial" w:cs="Arial" w:hint="eastAsia"/>
          <w:sz w:val="28"/>
        </w:rPr>
        <w:t>7.6%</w:t>
      </w:r>
      <w:r>
        <w:rPr>
          <w:rFonts w:ascii="Arial" w:hAnsi="Arial" w:cs="Arial" w:hint="eastAsia"/>
          <w:sz w:val="28"/>
        </w:rPr>
        <w:t>；消费品“以旧换新”政策继续显效，家用电器和音像器材类、文化办公用品类商品零售额分别增长</w:t>
      </w:r>
      <w:r>
        <w:rPr>
          <w:rFonts w:ascii="Arial" w:hAnsi="Arial" w:cs="Arial" w:hint="eastAsia"/>
          <w:sz w:val="28"/>
        </w:rPr>
        <w:t>4.6%</w:t>
      </w:r>
      <w:r>
        <w:rPr>
          <w:rFonts w:ascii="Arial" w:hAnsi="Arial" w:cs="Arial" w:hint="eastAsia"/>
          <w:sz w:val="28"/>
        </w:rPr>
        <w:t>和</w:t>
      </w:r>
      <w:r>
        <w:rPr>
          <w:rFonts w:ascii="Arial" w:hAnsi="Arial" w:cs="Arial" w:hint="eastAsia"/>
          <w:sz w:val="28"/>
        </w:rPr>
        <w:t>3.1%</w:t>
      </w:r>
      <w:r>
        <w:rPr>
          <w:rFonts w:ascii="Arial" w:hAnsi="Arial" w:cs="Arial" w:hint="eastAsia"/>
          <w:sz w:val="28"/>
        </w:rPr>
        <w:t>；受市场竞争激烈、销售渠道更加多元影响，汽车类、通讯器材类商品零售额分别下降</w:t>
      </w:r>
      <w:r>
        <w:rPr>
          <w:rFonts w:ascii="Arial" w:hAnsi="Arial" w:cs="Arial" w:hint="eastAsia"/>
          <w:sz w:val="28"/>
        </w:rPr>
        <w:t>20.0%</w:t>
      </w:r>
      <w:r>
        <w:rPr>
          <w:rFonts w:ascii="Arial" w:hAnsi="Arial" w:cs="Arial" w:hint="eastAsia"/>
          <w:sz w:val="28"/>
        </w:rPr>
        <w:t>和</w:t>
      </w:r>
      <w:r>
        <w:rPr>
          <w:rFonts w:ascii="Arial" w:hAnsi="Arial" w:cs="Arial" w:hint="eastAsia"/>
          <w:sz w:val="28"/>
        </w:rPr>
        <w:t>24.0%</w:t>
      </w:r>
      <w:r>
        <w:rPr>
          <w:rFonts w:ascii="Arial" w:hAnsi="Arial" w:cs="Arial" w:hint="eastAsia"/>
          <w:sz w:val="28"/>
        </w:rPr>
        <w:t>，对社会消费品零售总额产生较大下拉作用。</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6</w:t>
      </w:r>
      <w:r>
        <w:rPr>
          <w:rFonts w:ascii="Arial" w:hAnsi="Arial" w:cs="Arial" w:hint="eastAsia"/>
          <w:sz w:val="28"/>
        </w:rPr>
        <w:t>）居民消费价格平稳运行，工业生产者出厂价格延续降势</w:t>
      </w:r>
      <w:r>
        <w:rPr>
          <w:rFonts w:ascii="Arial" w:hAnsi="Arial" w:cs="Arial" w:hint="eastAsia"/>
          <w:sz w:val="28"/>
        </w:rPr>
        <w:t> </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年上半年，北京市居民消费价格同比下降</w:t>
      </w:r>
      <w:r>
        <w:rPr>
          <w:rFonts w:ascii="Arial" w:hAnsi="Arial" w:cs="Arial" w:hint="eastAsia"/>
          <w:sz w:val="28"/>
        </w:rPr>
        <w:t>0.3%</w:t>
      </w:r>
      <w:r>
        <w:rPr>
          <w:rFonts w:ascii="Arial" w:hAnsi="Arial" w:cs="Arial" w:hint="eastAsia"/>
          <w:sz w:val="28"/>
        </w:rPr>
        <w:t>。其中，消费品价格下降</w:t>
      </w:r>
      <w:r>
        <w:rPr>
          <w:rFonts w:ascii="Arial" w:hAnsi="Arial" w:cs="Arial" w:hint="eastAsia"/>
          <w:sz w:val="28"/>
        </w:rPr>
        <w:t>0.7%</w:t>
      </w:r>
      <w:r>
        <w:rPr>
          <w:rFonts w:ascii="Arial" w:hAnsi="Arial" w:cs="Arial" w:hint="eastAsia"/>
          <w:sz w:val="28"/>
        </w:rPr>
        <w:t>，服务价格上涨</w:t>
      </w:r>
      <w:r>
        <w:rPr>
          <w:rFonts w:ascii="Arial" w:hAnsi="Arial" w:cs="Arial" w:hint="eastAsia"/>
          <w:sz w:val="28"/>
        </w:rPr>
        <w:t>0.1%</w:t>
      </w:r>
      <w:r>
        <w:rPr>
          <w:rFonts w:ascii="Arial" w:hAnsi="Arial" w:cs="Arial" w:hint="eastAsia"/>
          <w:sz w:val="28"/>
        </w:rPr>
        <w:t>。八大类商品和服务项目中，其他用品及服务类价格上涨</w:t>
      </w:r>
      <w:r>
        <w:rPr>
          <w:rFonts w:ascii="Arial" w:hAnsi="Arial" w:cs="Arial" w:hint="eastAsia"/>
          <w:sz w:val="28"/>
        </w:rPr>
        <w:t>9.8%</w:t>
      </w:r>
      <w:r>
        <w:rPr>
          <w:rFonts w:ascii="Arial" w:hAnsi="Arial" w:cs="Arial" w:hint="eastAsia"/>
          <w:sz w:val="28"/>
        </w:rPr>
        <w:t>，生活用品及服务类价格上涨</w:t>
      </w:r>
      <w:r>
        <w:rPr>
          <w:rFonts w:ascii="Arial" w:hAnsi="Arial" w:cs="Arial" w:hint="eastAsia"/>
          <w:sz w:val="28"/>
        </w:rPr>
        <w:t>0.9%</w:t>
      </w:r>
      <w:r>
        <w:rPr>
          <w:rFonts w:ascii="Arial" w:hAnsi="Arial" w:cs="Arial" w:hint="eastAsia"/>
          <w:sz w:val="28"/>
        </w:rPr>
        <w:t>，居住类价格上涨</w:t>
      </w:r>
      <w:r>
        <w:rPr>
          <w:rFonts w:ascii="Arial" w:hAnsi="Arial" w:cs="Arial" w:hint="eastAsia"/>
          <w:sz w:val="28"/>
        </w:rPr>
        <w:t>0.3%</w:t>
      </w:r>
      <w:r>
        <w:rPr>
          <w:rFonts w:ascii="Arial" w:hAnsi="Arial" w:cs="Arial" w:hint="eastAsia"/>
          <w:sz w:val="28"/>
        </w:rPr>
        <w:t>，衣着类价格上涨</w:t>
      </w:r>
      <w:r>
        <w:rPr>
          <w:rFonts w:ascii="Arial" w:hAnsi="Arial" w:cs="Arial" w:hint="eastAsia"/>
          <w:sz w:val="28"/>
        </w:rPr>
        <w:t>0.2%</w:t>
      </w:r>
      <w:r>
        <w:rPr>
          <w:rFonts w:ascii="Arial" w:hAnsi="Arial" w:cs="Arial" w:hint="eastAsia"/>
          <w:sz w:val="28"/>
        </w:rPr>
        <w:t>，食品烟酒类价格下降</w:t>
      </w:r>
      <w:r>
        <w:rPr>
          <w:rFonts w:ascii="Arial" w:hAnsi="Arial" w:cs="Arial" w:hint="eastAsia"/>
          <w:sz w:val="28"/>
        </w:rPr>
        <w:t>1.1%</w:t>
      </w:r>
      <w:r>
        <w:rPr>
          <w:rFonts w:ascii="Arial" w:hAnsi="Arial" w:cs="Arial" w:hint="eastAsia"/>
          <w:sz w:val="28"/>
        </w:rPr>
        <w:t>，交通通信类价</w:t>
      </w:r>
      <w:r>
        <w:rPr>
          <w:rFonts w:ascii="Arial" w:hAnsi="Arial" w:cs="Arial" w:hint="eastAsia"/>
          <w:sz w:val="28"/>
        </w:rPr>
        <w:lastRenderedPageBreak/>
        <w:t>格下降</w:t>
      </w:r>
      <w:r>
        <w:rPr>
          <w:rFonts w:ascii="Arial" w:hAnsi="Arial" w:cs="Arial" w:hint="eastAsia"/>
          <w:sz w:val="28"/>
        </w:rPr>
        <w:t>2.7%</w:t>
      </w:r>
      <w:r>
        <w:rPr>
          <w:rFonts w:ascii="Arial" w:hAnsi="Arial" w:cs="Arial" w:hint="eastAsia"/>
          <w:sz w:val="28"/>
        </w:rPr>
        <w:t>，教育文化娱乐类价格下降</w:t>
      </w:r>
      <w:r>
        <w:rPr>
          <w:rFonts w:ascii="Arial" w:hAnsi="Arial" w:cs="Arial" w:hint="eastAsia"/>
          <w:sz w:val="28"/>
        </w:rPr>
        <w:t>1.1%</w:t>
      </w:r>
      <w:r>
        <w:rPr>
          <w:rFonts w:ascii="Arial" w:hAnsi="Arial" w:cs="Arial" w:hint="eastAsia"/>
          <w:sz w:val="28"/>
        </w:rPr>
        <w:t>，医疗保健类价格下降</w:t>
      </w:r>
      <w:r>
        <w:rPr>
          <w:rFonts w:ascii="Arial" w:hAnsi="Arial" w:cs="Arial" w:hint="eastAsia"/>
          <w:sz w:val="28"/>
        </w:rPr>
        <w:t>0.6%</w:t>
      </w:r>
      <w:r>
        <w:rPr>
          <w:rFonts w:ascii="Arial" w:hAnsi="Arial" w:cs="Arial" w:hint="eastAsia"/>
          <w:sz w:val="28"/>
        </w:rPr>
        <w:t>。</w:t>
      </w:r>
      <w:r>
        <w:rPr>
          <w:rFonts w:ascii="Arial" w:hAnsi="Arial" w:cs="Arial" w:hint="eastAsia"/>
          <w:sz w:val="28"/>
        </w:rPr>
        <w:t>6</w:t>
      </w:r>
      <w:r>
        <w:rPr>
          <w:rFonts w:ascii="Arial" w:hAnsi="Arial" w:cs="Arial" w:hint="eastAsia"/>
          <w:sz w:val="28"/>
        </w:rPr>
        <w:t>月份，居民消费价格同比下降</w:t>
      </w:r>
      <w:r>
        <w:rPr>
          <w:rFonts w:ascii="Arial" w:hAnsi="Arial" w:cs="Arial" w:hint="eastAsia"/>
          <w:sz w:val="28"/>
        </w:rPr>
        <w:t>0.1%</w:t>
      </w:r>
      <w:r>
        <w:rPr>
          <w:rFonts w:ascii="Arial" w:hAnsi="Arial" w:cs="Arial" w:hint="eastAsia"/>
          <w:sz w:val="28"/>
        </w:rPr>
        <w:t>，环比下降</w:t>
      </w:r>
      <w:r>
        <w:rPr>
          <w:rFonts w:ascii="Arial" w:hAnsi="Arial" w:cs="Arial" w:hint="eastAsia"/>
          <w:sz w:val="28"/>
        </w:rPr>
        <w:t>0.4%</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年上半年，北京市工业生产者出厂价格同比下降</w:t>
      </w:r>
      <w:r>
        <w:rPr>
          <w:rFonts w:ascii="Arial" w:hAnsi="Arial" w:cs="Arial" w:hint="eastAsia"/>
          <w:sz w:val="28"/>
        </w:rPr>
        <w:t>1.8%</w:t>
      </w:r>
      <w:r>
        <w:rPr>
          <w:rFonts w:ascii="Arial" w:hAnsi="Arial" w:cs="Arial" w:hint="eastAsia"/>
          <w:sz w:val="28"/>
        </w:rPr>
        <w:t>，购进价格同比下降</w:t>
      </w:r>
      <w:r>
        <w:rPr>
          <w:rFonts w:ascii="Arial" w:hAnsi="Arial" w:cs="Arial" w:hint="eastAsia"/>
          <w:sz w:val="28"/>
        </w:rPr>
        <w:t>1.1%</w:t>
      </w:r>
      <w:r>
        <w:rPr>
          <w:rFonts w:ascii="Arial" w:hAnsi="Arial" w:cs="Arial" w:hint="eastAsia"/>
          <w:sz w:val="28"/>
        </w:rPr>
        <w:t>。</w:t>
      </w:r>
      <w:r>
        <w:rPr>
          <w:rFonts w:ascii="Arial" w:hAnsi="Arial" w:cs="Arial" w:hint="eastAsia"/>
          <w:sz w:val="28"/>
        </w:rPr>
        <w:t>6</w:t>
      </w:r>
      <w:r>
        <w:rPr>
          <w:rFonts w:ascii="Arial" w:hAnsi="Arial" w:cs="Arial" w:hint="eastAsia"/>
          <w:sz w:val="28"/>
        </w:rPr>
        <w:t>月份，工业生产者出厂价格同比下降</w:t>
      </w:r>
      <w:r>
        <w:rPr>
          <w:rFonts w:ascii="Arial" w:hAnsi="Arial" w:cs="Arial" w:hint="eastAsia"/>
          <w:sz w:val="28"/>
        </w:rPr>
        <w:t>1.7%</w:t>
      </w:r>
      <w:r>
        <w:rPr>
          <w:rFonts w:ascii="Arial" w:hAnsi="Arial" w:cs="Arial" w:hint="eastAsia"/>
          <w:sz w:val="28"/>
        </w:rPr>
        <w:t>，环比下降</w:t>
      </w:r>
      <w:r>
        <w:rPr>
          <w:rFonts w:ascii="Arial" w:hAnsi="Arial" w:cs="Arial" w:hint="eastAsia"/>
          <w:sz w:val="28"/>
        </w:rPr>
        <w:t>0.3%</w:t>
      </w:r>
      <w:r>
        <w:rPr>
          <w:rFonts w:ascii="Arial" w:hAnsi="Arial" w:cs="Arial" w:hint="eastAsia"/>
          <w:sz w:val="28"/>
        </w:rPr>
        <w:t>；购进价格同比下降</w:t>
      </w:r>
      <w:r>
        <w:rPr>
          <w:rFonts w:ascii="Arial" w:hAnsi="Arial" w:cs="Arial" w:hint="eastAsia"/>
          <w:sz w:val="28"/>
        </w:rPr>
        <w:t>2.3%</w:t>
      </w:r>
      <w:r>
        <w:rPr>
          <w:rFonts w:ascii="Arial" w:hAnsi="Arial" w:cs="Arial" w:hint="eastAsia"/>
          <w:sz w:val="28"/>
        </w:rPr>
        <w:t>，环比下降</w:t>
      </w:r>
      <w:r>
        <w:rPr>
          <w:rFonts w:ascii="Arial" w:hAnsi="Arial" w:cs="Arial" w:hint="eastAsia"/>
          <w:sz w:val="28"/>
        </w:rPr>
        <w:t>0.3%</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7</w:t>
      </w:r>
      <w:r>
        <w:rPr>
          <w:rFonts w:ascii="Arial" w:hAnsi="Arial" w:cs="Arial" w:hint="eastAsia"/>
          <w:sz w:val="28"/>
        </w:rPr>
        <w:t>）就业形势总体平稳，居民收入稳步增加</w:t>
      </w:r>
      <w:r>
        <w:rPr>
          <w:rFonts w:ascii="Arial" w:hAnsi="Arial" w:cs="Arial" w:hint="eastAsia"/>
          <w:sz w:val="28"/>
        </w:rPr>
        <w:t> </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年上半年，北京市城镇调查失业率均值为</w:t>
      </w:r>
      <w:r>
        <w:rPr>
          <w:rFonts w:ascii="Arial" w:hAnsi="Arial" w:cs="Arial" w:hint="eastAsia"/>
          <w:sz w:val="28"/>
        </w:rPr>
        <w:t>4.1%</w:t>
      </w:r>
      <w:r>
        <w:rPr>
          <w:rFonts w:ascii="Arial" w:hAnsi="Arial" w:cs="Arial" w:hint="eastAsia"/>
          <w:sz w:val="28"/>
        </w:rPr>
        <w:t>，与一季度持平；</w:t>
      </w:r>
      <w:r>
        <w:rPr>
          <w:rFonts w:ascii="Arial" w:hAnsi="Arial" w:cs="Arial" w:hint="eastAsia"/>
          <w:sz w:val="28"/>
        </w:rPr>
        <w:t>6</w:t>
      </w:r>
      <w:r>
        <w:rPr>
          <w:rFonts w:ascii="Arial" w:hAnsi="Arial" w:cs="Arial" w:hint="eastAsia"/>
          <w:sz w:val="28"/>
        </w:rPr>
        <w:t>月份，城镇调查失业率为</w:t>
      </w:r>
      <w:r>
        <w:rPr>
          <w:rFonts w:ascii="Arial" w:hAnsi="Arial" w:cs="Arial" w:hint="eastAsia"/>
          <w:sz w:val="28"/>
        </w:rPr>
        <w:t>4.1%</w:t>
      </w:r>
      <w:r>
        <w:rPr>
          <w:rFonts w:ascii="Arial" w:hAnsi="Arial" w:cs="Arial" w:hint="eastAsia"/>
          <w:sz w:val="28"/>
        </w:rPr>
        <w:t>，环比上升</w:t>
      </w:r>
      <w:r>
        <w:rPr>
          <w:rFonts w:ascii="Arial" w:hAnsi="Arial" w:cs="Arial" w:hint="eastAsia"/>
          <w:sz w:val="28"/>
        </w:rPr>
        <w:t>0.1</w:t>
      </w:r>
      <w:r>
        <w:rPr>
          <w:rFonts w:ascii="Arial" w:hAnsi="Arial" w:cs="Arial" w:hint="eastAsia"/>
          <w:sz w:val="28"/>
        </w:rPr>
        <w:t>个百分点。</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年上半年，北京市居民人均可支配收入</w:t>
      </w:r>
      <w:r>
        <w:rPr>
          <w:rFonts w:ascii="Arial" w:hAnsi="Arial" w:cs="Arial" w:hint="eastAsia"/>
          <w:sz w:val="28"/>
        </w:rPr>
        <w:t>45144</w:t>
      </w:r>
      <w:r>
        <w:rPr>
          <w:rFonts w:ascii="Arial" w:hAnsi="Arial" w:cs="Arial" w:hint="eastAsia"/>
          <w:sz w:val="28"/>
        </w:rPr>
        <w:t>元，同比增长</w:t>
      </w:r>
      <w:r>
        <w:rPr>
          <w:rFonts w:ascii="Arial" w:hAnsi="Arial" w:cs="Arial" w:hint="eastAsia"/>
          <w:sz w:val="28"/>
        </w:rPr>
        <w:t>4.8%</w:t>
      </w:r>
      <w:r>
        <w:rPr>
          <w:rFonts w:ascii="Arial" w:hAnsi="Arial" w:cs="Arial" w:hint="eastAsia"/>
          <w:sz w:val="28"/>
        </w:rPr>
        <w:t>，扣除价格因素，实际增长</w:t>
      </w:r>
      <w:r>
        <w:rPr>
          <w:rFonts w:ascii="Arial" w:hAnsi="Arial" w:cs="Arial" w:hint="eastAsia"/>
          <w:sz w:val="28"/>
        </w:rPr>
        <w:t>5.1%</w:t>
      </w:r>
      <w:r>
        <w:rPr>
          <w:rFonts w:ascii="Arial" w:hAnsi="Arial" w:cs="Arial" w:hint="eastAsia"/>
          <w:sz w:val="28"/>
        </w:rPr>
        <w:t>。其中，工资性收入增长</w:t>
      </w:r>
      <w:r>
        <w:rPr>
          <w:rFonts w:ascii="Arial" w:hAnsi="Arial" w:cs="Arial" w:hint="eastAsia"/>
          <w:sz w:val="28"/>
        </w:rPr>
        <w:t>5.3%</w:t>
      </w:r>
      <w:r>
        <w:rPr>
          <w:rFonts w:ascii="Arial" w:hAnsi="Arial" w:cs="Arial" w:hint="eastAsia"/>
          <w:sz w:val="28"/>
        </w:rPr>
        <w:t>，经营净收入增长</w:t>
      </w:r>
      <w:r>
        <w:rPr>
          <w:rFonts w:ascii="Arial" w:hAnsi="Arial" w:cs="Arial" w:hint="eastAsia"/>
          <w:sz w:val="28"/>
        </w:rPr>
        <w:t>2.4%</w:t>
      </w:r>
      <w:r>
        <w:rPr>
          <w:rFonts w:ascii="Arial" w:hAnsi="Arial" w:cs="Arial" w:hint="eastAsia"/>
          <w:sz w:val="28"/>
        </w:rPr>
        <w:t>，财产净收入增长</w:t>
      </w:r>
      <w:r>
        <w:rPr>
          <w:rFonts w:ascii="Arial" w:hAnsi="Arial" w:cs="Arial" w:hint="eastAsia"/>
          <w:sz w:val="28"/>
        </w:rPr>
        <w:t>2.3%</w:t>
      </w:r>
      <w:r>
        <w:rPr>
          <w:rFonts w:ascii="Arial" w:hAnsi="Arial" w:cs="Arial" w:hint="eastAsia"/>
          <w:sz w:val="28"/>
        </w:rPr>
        <w:t>，转移净收入增长</w:t>
      </w:r>
      <w:r>
        <w:rPr>
          <w:rFonts w:ascii="Arial" w:hAnsi="Arial" w:cs="Arial" w:hint="eastAsia"/>
          <w:sz w:val="28"/>
        </w:rPr>
        <w:t>5.2%</w:t>
      </w:r>
      <w:r>
        <w:rPr>
          <w:rFonts w:ascii="Arial" w:hAnsi="Arial" w:cs="Arial" w:hint="eastAsia"/>
          <w:sz w:val="28"/>
        </w:rPr>
        <w:t>。城镇居民人均可支配收入</w:t>
      </w:r>
      <w:r>
        <w:rPr>
          <w:rFonts w:ascii="Arial" w:hAnsi="Arial" w:cs="Arial" w:hint="eastAsia"/>
          <w:sz w:val="28"/>
        </w:rPr>
        <w:t>48666</w:t>
      </w:r>
      <w:r>
        <w:rPr>
          <w:rFonts w:ascii="Arial" w:hAnsi="Arial" w:cs="Arial" w:hint="eastAsia"/>
          <w:sz w:val="28"/>
        </w:rPr>
        <w:t>元，同比增长</w:t>
      </w:r>
      <w:r>
        <w:rPr>
          <w:rFonts w:ascii="Arial" w:hAnsi="Arial" w:cs="Arial" w:hint="eastAsia"/>
          <w:sz w:val="28"/>
        </w:rPr>
        <w:t>4.6%</w:t>
      </w:r>
      <w:r>
        <w:rPr>
          <w:rFonts w:ascii="Arial" w:hAnsi="Arial" w:cs="Arial" w:hint="eastAsia"/>
          <w:sz w:val="28"/>
        </w:rPr>
        <w:t>，农村居民人均可支配收入</w:t>
      </w:r>
      <w:r>
        <w:rPr>
          <w:rFonts w:ascii="Arial" w:hAnsi="Arial" w:cs="Arial" w:hint="eastAsia"/>
          <w:sz w:val="28"/>
        </w:rPr>
        <w:t>22124</w:t>
      </w:r>
      <w:r>
        <w:rPr>
          <w:rFonts w:ascii="Arial" w:hAnsi="Arial" w:cs="Arial" w:hint="eastAsia"/>
          <w:sz w:val="28"/>
        </w:rPr>
        <w:t>元，同比增长</w:t>
      </w:r>
      <w:r>
        <w:rPr>
          <w:rFonts w:ascii="Arial" w:hAnsi="Arial" w:cs="Arial" w:hint="eastAsia"/>
          <w:sz w:val="28"/>
        </w:rPr>
        <w:t>6.1%</w:t>
      </w:r>
      <w:r>
        <w:rPr>
          <w:rFonts w:ascii="Arial" w:hAnsi="Arial" w:cs="Arial" w:hint="eastAsia"/>
          <w:sz w:val="28"/>
        </w:rPr>
        <w:t>。</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总的来看，</w:t>
      </w:r>
      <w:r>
        <w:rPr>
          <w:rFonts w:ascii="Arial" w:hAnsi="Arial" w:cs="Arial" w:hint="eastAsia"/>
          <w:sz w:val="28"/>
        </w:rPr>
        <w:t>2025</w:t>
      </w:r>
      <w:r>
        <w:rPr>
          <w:rFonts w:ascii="Arial" w:hAnsi="Arial" w:cs="Arial" w:hint="eastAsia"/>
          <w:sz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rsidR="004935A9" w:rsidRDefault="00311723">
      <w:pPr>
        <w:spacing w:line="360" w:lineRule="auto"/>
        <w:jc w:val="both"/>
        <w:rPr>
          <w:rFonts w:ascii="Arial" w:hAnsi="Arial" w:cs="Arial"/>
          <w:sz w:val="28"/>
        </w:rPr>
      </w:pPr>
      <w:r>
        <w:rPr>
          <w:rFonts w:ascii="Arial" w:hAnsi="Arial" w:cs="Arial"/>
          <w:sz w:val="28"/>
        </w:rPr>
        <w:t>（二）区域因素</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区域概况</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百泉庄村位于北京市昌平城区西部，距离马池口镇政府约</w:t>
      </w:r>
      <w:r>
        <w:rPr>
          <w:rFonts w:ascii="Arial" w:hAnsi="Arial" w:cs="Arial" w:hint="eastAsia"/>
          <w:sz w:val="28"/>
        </w:rPr>
        <w:t>4.7</w:t>
      </w:r>
      <w:r>
        <w:rPr>
          <w:rFonts w:ascii="Arial" w:hAnsi="Arial" w:cs="Arial" w:hint="eastAsia"/>
          <w:sz w:val="28"/>
        </w:rPr>
        <w:t>公里。东邻昌平城区，西接上念头村，南连宏道村，北邻昌平镇。村域面积</w:t>
      </w:r>
      <w:r>
        <w:rPr>
          <w:rFonts w:ascii="Arial" w:hAnsi="Arial" w:cs="Arial" w:hint="eastAsia"/>
          <w:sz w:val="28"/>
        </w:rPr>
        <w:t>286.07</w:t>
      </w:r>
      <w:r>
        <w:rPr>
          <w:rFonts w:ascii="Arial" w:hAnsi="Arial" w:cs="Arial" w:hint="eastAsia"/>
          <w:sz w:val="28"/>
        </w:rPr>
        <w:t>公顷（</w:t>
      </w:r>
      <w:r>
        <w:rPr>
          <w:rFonts w:ascii="Arial" w:hAnsi="Arial" w:cs="Arial" w:hint="eastAsia"/>
          <w:sz w:val="28"/>
        </w:rPr>
        <w:t>4291.05</w:t>
      </w:r>
      <w:r>
        <w:rPr>
          <w:rFonts w:ascii="Arial" w:hAnsi="Arial" w:cs="Arial" w:hint="eastAsia"/>
          <w:sz w:val="28"/>
        </w:rPr>
        <w:t>亩），村庄人口</w:t>
      </w:r>
      <w:r>
        <w:rPr>
          <w:rFonts w:ascii="Arial" w:hAnsi="Arial" w:cs="Arial" w:hint="eastAsia"/>
          <w:sz w:val="28"/>
        </w:rPr>
        <w:t xml:space="preserve"> 2000</w:t>
      </w:r>
      <w:r>
        <w:rPr>
          <w:rFonts w:ascii="Arial" w:hAnsi="Arial" w:cs="Arial" w:hint="eastAsia"/>
          <w:sz w:val="28"/>
        </w:rPr>
        <w:t>人，其中非农业人口</w:t>
      </w:r>
      <w:r>
        <w:rPr>
          <w:rFonts w:ascii="Arial" w:hAnsi="Arial" w:cs="Arial" w:hint="eastAsia"/>
          <w:sz w:val="28"/>
        </w:rPr>
        <w:t>427</w:t>
      </w:r>
      <w:r>
        <w:rPr>
          <w:rFonts w:ascii="Arial" w:hAnsi="Arial" w:cs="Arial" w:hint="eastAsia"/>
          <w:sz w:val="28"/>
        </w:rPr>
        <w:t>人，农业人口</w:t>
      </w:r>
      <w:r>
        <w:rPr>
          <w:rFonts w:ascii="Arial" w:hAnsi="Arial" w:cs="Arial" w:hint="eastAsia"/>
          <w:sz w:val="28"/>
        </w:rPr>
        <w:t>1573</w:t>
      </w:r>
      <w:r>
        <w:rPr>
          <w:rFonts w:ascii="Arial" w:hAnsi="Arial" w:cs="Arial" w:hint="eastAsia"/>
          <w:sz w:val="28"/>
        </w:rPr>
        <w:t>人。共</w:t>
      </w:r>
      <w:r>
        <w:rPr>
          <w:rFonts w:ascii="Arial" w:hAnsi="Arial" w:cs="Arial" w:hint="eastAsia"/>
          <w:sz w:val="28"/>
        </w:rPr>
        <w:t>818</w:t>
      </w:r>
      <w:r>
        <w:rPr>
          <w:rFonts w:ascii="Arial" w:hAnsi="Arial" w:cs="Arial" w:hint="eastAsia"/>
          <w:sz w:val="28"/>
        </w:rPr>
        <w:t>户，其中非农业户</w:t>
      </w:r>
      <w:r>
        <w:rPr>
          <w:rFonts w:ascii="Arial" w:hAnsi="Arial" w:cs="Arial" w:hint="eastAsia"/>
          <w:sz w:val="28"/>
        </w:rPr>
        <w:t>200</w:t>
      </w:r>
      <w:r>
        <w:rPr>
          <w:rFonts w:ascii="Arial" w:hAnsi="Arial" w:cs="Arial" w:hint="eastAsia"/>
          <w:sz w:val="28"/>
        </w:rPr>
        <w:t>户，农业户</w:t>
      </w:r>
      <w:r>
        <w:rPr>
          <w:rFonts w:ascii="Arial" w:hAnsi="Arial" w:cs="Arial" w:hint="eastAsia"/>
          <w:sz w:val="28"/>
        </w:rPr>
        <w:t>618</w:t>
      </w:r>
      <w:r>
        <w:rPr>
          <w:rFonts w:ascii="Arial" w:hAnsi="Arial" w:cs="Arial" w:hint="eastAsia"/>
          <w:sz w:val="28"/>
        </w:rPr>
        <w:t>户。百泉庄村域面积较大，农业用地主要分</w:t>
      </w:r>
      <w:r>
        <w:rPr>
          <w:rFonts w:ascii="Arial" w:hAnsi="Arial" w:cs="Arial" w:hint="eastAsia"/>
          <w:sz w:val="28"/>
        </w:rPr>
        <w:lastRenderedPageBreak/>
        <w:t>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交通条件</w:t>
      </w:r>
    </w:p>
    <w:p w:rsidR="004935A9" w:rsidRDefault="00311723">
      <w:pPr>
        <w:spacing w:line="360" w:lineRule="auto"/>
        <w:ind w:firstLineChars="200" w:firstLine="560"/>
        <w:rPr>
          <w:rFonts w:ascii="Arial" w:hAnsi="Arial" w:cs="Arial"/>
          <w:sz w:val="28"/>
        </w:rPr>
      </w:pPr>
      <w:r>
        <w:rPr>
          <w:rFonts w:ascii="Arial" w:hAnsi="Arial" w:cs="Arial"/>
          <w:sz w:val="28"/>
        </w:rPr>
        <w:t>咨询对象</w:t>
      </w:r>
      <w:r>
        <w:rPr>
          <w:rFonts w:ascii="Arial" w:hAnsi="Arial" w:cs="Arial" w:hint="eastAsia"/>
          <w:sz w:val="28"/>
        </w:rPr>
        <w:t>北侧紧</w:t>
      </w:r>
      <w:proofErr w:type="gramStart"/>
      <w:r>
        <w:rPr>
          <w:rFonts w:ascii="Arial" w:hAnsi="Arial" w:cs="Arial"/>
          <w:sz w:val="28"/>
        </w:rPr>
        <w:t>临城市</w:t>
      </w:r>
      <w:proofErr w:type="gramEnd"/>
      <w:r>
        <w:rPr>
          <w:rFonts w:ascii="Arial" w:hAnsi="Arial" w:cs="Arial"/>
          <w:sz w:val="28"/>
        </w:rPr>
        <w:t>次干道</w:t>
      </w:r>
      <w:r>
        <w:rPr>
          <w:rFonts w:ascii="Arial" w:hAnsi="Arial" w:cs="Arial"/>
          <w:sz w:val="28"/>
        </w:rPr>
        <w:t>——</w:t>
      </w:r>
      <w:r>
        <w:rPr>
          <w:rFonts w:ascii="Arial" w:hAnsi="Arial" w:cs="Arial" w:hint="eastAsia"/>
          <w:sz w:val="28"/>
        </w:rPr>
        <w:t>水南路</w:t>
      </w:r>
      <w:r>
        <w:rPr>
          <w:rFonts w:ascii="Arial" w:hAnsi="Arial" w:cs="Arial"/>
          <w:sz w:val="28"/>
        </w:rPr>
        <w:t>，</w:t>
      </w:r>
      <w:proofErr w:type="gramStart"/>
      <w:r>
        <w:rPr>
          <w:rFonts w:ascii="Arial" w:hAnsi="Arial" w:cs="Arial" w:hint="eastAsia"/>
          <w:sz w:val="28"/>
        </w:rPr>
        <w:t>距京新高速</w:t>
      </w:r>
      <w:proofErr w:type="gramEnd"/>
      <w:r>
        <w:rPr>
          <w:rFonts w:ascii="Arial" w:hAnsi="Arial" w:cs="Arial" w:hint="eastAsia"/>
          <w:sz w:val="28"/>
        </w:rPr>
        <w:t>约</w:t>
      </w:r>
      <w:r>
        <w:rPr>
          <w:rFonts w:ascii="Arial" w:hAnsi="Arial" w:cs="Arial" w:hint="eastAsia"/>
          <w:sz w:val="28"/>
        </w:rPr>
        <w:t>1.5</w:t>
      </w:r>
      <w:r>
        <w:rPr>
          <w:rFonts w:ascii="Arial" w:hAnsi="Arial" w:cs="Arial" w:hint="eastAsia"/>
          <w:sz w:val="28"/>
        </w:rPr>
        <w:t>公里，</w:t>
      </w:r>
      <w:r>
        <w:rPr>
          <w:rFonts w:ascii="Arial" w:hAnsi="Arial" w:cs="Arial"/>
          <w:sz w:val="28"/>
        </w:rPr>
        <w:t>周边有</w:t>
      </w:r>
      <w:r>
        <w:rPr>
          <w:rFonts w:ascii="Arial" w:hAnsi="Arial" w:cs="Arial" w:hint="eastAsia"/>
          <w:sz w:val="28"/>
        </w:rPr>
        <w:t>559</w:t>
      </w:r>
      <w:r>
        <w:rPr>
          <w:rFonts w:ascii="Arial" w:hAnsi="Arial" w:cs="Arial"/>
          <w:sz w:val="28"/>
        </w:rPr>
        <w:t>路、</w:t>
      </w:r>
      <w:r>
        <w:rPr>
          <w:rFonts w:ascii="Arial" w:hAnsi="Arial" w:cs="Arial" w:hint="eastAsia"/>
          <w:sz w:val="28"/>
        </w:rPr>
        <w:t>590</w:t>
      </w:r>
      <w:r>
        <w:rPr>
          <w:rFonts w:ascii="Arial" w:hAnsi="Arial" w:cs="Arial"/>
          <w:sz w:val="28"/>
        </w:rPr>
        <w:t>路、</w:t>
      </w:r>
      <w:r>
        <w:rPr>
          <w:rFonts w:ascii="Arial" w:hAnsi="Arial" w:cs="Arial" w:hint="eastAsia"/>
          <w:sz w:val="28"/>
        </w:rPr>
        <w:t>昌</w:t>
      </w:r>
      <w:r>
        <w:rPr>
          <w:rFonts w:ascii="Arial" w:hAnsi="Arial" w:cs="Arial" w:hint="eastAsia"/>
          <w:sz w:val="28"/>
        </w:rPr>
        <w:t>13</w:t>
      </w:r>
      <w:r>
        <w:rPr>
          <w:rFonts w:ascii="Arial" w:hAnsi="Arial" w:cs="Arial"/>
          <w:sz w:val="28"/>
        </w:rPr>
        <w:t>路</w:t>
      </w:r>
      <w:r>
        <w:rPr>
          <w:rFonts w:ascii="Arial" w:hAnsi="Arial" w:cs="Arial" w:hint="eastAsia"/>
          <w:sz w:val="28"/>
        </w:rPr>
        <w:t>、昌</w:t>
      </w:r>
      <w:r>
        <w:rPr>
          <w:rFonts w:ascii="Arial" w:hAnsi="Arial" w:cs="Arial" w:hint="eastAsia"/>
          <w:sz w:val="28"/>
        </w:rPr>
        <w:t>3</w:t>
      </w:r>
      <w:r>
        <w:rPr>
          <w:rFonts w:ascii="Arial" w:hAnsi="Arial" w:cs="Arial" w:hint="eastAsia"/>
          <w:sz w:val="28"/>
        </w:rPr>
        <w:t>路</w:t>
      </w:r>
      <w:r>
        <w:rPr>
          <w:rFonts w:ascii="Arial" w:hAnsi="Arial" w:cs="Arial"/>
          <w:sz w:val="28"/>
        </w:rPr>
        <w:t>等公交线路，</w:t>
      </w:r>
      <w:r>
        <w:rPr>
          <w:rFonts w:ascii="Arial" w:hAnsi="Arial" w:cs="Arial" w:hint="eastAsia"/>
          <w:sz w:val="28"/>
        </w:rPr>
        <w:t>2</w:t>
      </w:r>
      <w:r>
        <w:rPr>
          <w:rFonts w:ascii="Arial" w:hAnsi="Arial" w:cs="Arial" w:hint="eastAsia"/>
          <w:sz w:val="28"/>
        </w:rPr>
        <w:t>公里范围内无轨道交通</w:t>
      </w:r>
      <w:r>
        <w:rPr>
          <w:rFonts w:ascii="Arial" w:hAnsi="Arial" w:cs="Arial"/>
          <w:sz w:val="28"/>
        </w:rPr>
        <w:t>，综合评价交通便捷度</w:t>
      </w:r>
      <w:r>
        <w:rPr>
          <w:rFonts w:ascii="Arial" w:hAnsi="Arial" w:cs="Arial" w:hint="eastAsia"/>
          <w:sz w:val="28"/>
        </w:rPr>
        <w:t>较差</w:t>
      </w:r>
      <w:r>
        <w:rPr>
          <w:rFonts w:ascii="Arial" w:hAnsi="Arial" w:cs="Arial"/>
          <w:sz w:val="28"/>
        </w:rPr>
        <w:t>。</w:t>
      </w:r>
    </w:p>
    <w:p w:rsidR="004935A9" w:rsidRDefault="00311723">
      <w:pPr>
        <w:spacing w:line="360" w:lineRule="auto"/>
        <w:ind w:firstLineChars="200" w:firstLine="560"/>
        <w:rPr>
          <w:rFonts w:ascii="Arial" w:hAnsi="Arial" w:cs="Arial"/>
          <w:sz w:val="28"/>
        </w:rPr>
      </w:pPr>
      <w:r>
        <w:rPr>
          <w:rFonts w:ascii="Arial" w:hAnsi="Arial" w:cs="Arial"/>
          <w:sz w:val="28"/>
        </w:rPr>
        <w:t>3.</w:t>
      </w:r>
      <w:r>
        <w:rPr>
          <w:rFonts w:ascii="Arial" w:hAnsi="Arial" w:cs="Arial"/>
          <w:sz w:val="28"/>
        </w:rPr>
        <w:t>环境条件</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w:t>
      </w:r>
      <w:r>
        <w:rPr>
          <w:rFonts w:ascii="Arial" w:hAnsi="Arial" w:cs="Arial" w:hint="eastAsia"/>
          <w:sz w:val="28"/>
        </w:rPr>
        <w:t>周边有京密引水渠等</w:t>
      </w:r>
      <w:r>
        <w:rPr>
          <w:rFonts w:ascii="Arial" w:hAnsi="Arial" w:cs="Arial"/>
          <w:sz w:val="28"/>
        </w:rPr>
        <w:t>自然环境；</w:t>
      </w:r>
      <w:r>
        <w:rPr>
          <w:rFonts w:ascii="Arial" w:hAnsi="Arial" w:cs="Arial" w:hint="eastAsia"/>
          <w:sz w:val="28"/>
        </w:rPr>
        <w:t>有中国石化石油化工科学研究院、中国标准化研究院、北京汇佳职业学院等人文场所。</w:t>
      </w:r>
      <w:r>
        <w:rPr>
          <w:rFonts w:ascii="Arial" w:hAnsi="Arial" w:cs="Arial"/>
          <w:sz w:val="28"/>
        </w:rPr>
        <w:t>综合评价环境状况一般。</w:t>
      </w:r>
    </w:p>
    <w:p w:rsidR="004935A9" w:rsidRDefault="00311723">
      <w:pPr>
        <w:spacing w:line="360" w:lineRule="auto"/>
        <w:ind w:firstLineChars="200" w:firstLine="560"/>
        <w:jc w:val="both"/>
        <w:rPr>
          <w:rFonts w:ascii="Arial" w:hAnsi="Arial" w:cs="Arial"/>
          <w:i/>
          <w:sz w:val="28"/>
        </w:rPr>
      </w:pPr>
      <w:r>
        <w:rPr>
          <w:rFonts w:ascii="Arial" w:hAnsi="Arial" w:cs="Arial"/>
          <w:sz w:val="28"/>
        </w:rPr>
        <w:t>4.</w:t>
      </w:r>
      <w:r>
        <w:rPr>
          <w:rFonts w:ascii="Arial" w:hAnsi="Arial" w:cs="Arial"/>
          <w:sz w:val="28"/>
        </w:rPr>
        <w:t>基础设施条件</w:t>
      </w:r>
    </w:p>
    <w:p w:rsidR="004935A9" w:rsidRDefault="00311723">
      <w:pPr>
        <w:spacing w:line="360" w:lineRule="auto"/>
        <w:ind w:firstLineChars="200" w:firstLine="560"/>
        <w:jc w:val="both"/>
        <w:rPr>
          <w:rFonts w:ascii="Arial" w:hAnsi="Arial" w:cs="Arial"/>
          <w:sz w:val="28"/>
        </w:rPr>
      </w:pPr>
      <w:proofErr w:type="gramStart"/>
      <w:r>
        <w:rPr>
          <w:rFonts w:ascii="Arial" w:hAnsi="Arial" w:cs="Arial" w:hint="eastAsia"/>
          <w:sz w:val="28"/>
        </w:rPr>
        <w:t>昌平</w:t>
      </w:r>
      <w:r>
        <w:rPr>
          <w:rFonts w:ascii="Arial" w:hAnsi="Arial" w:cs="Arial"/>
          <w:sz w:val="28"/>
        </w:rPr>
        <w:t>区</w:t>
      </w:r>
      <w:proofErr w:type="gramEnd"/>
      <w:r>
        <w:rPr>
          <w:rFonts w:ascii="Arial" w:hAnsi="Arial" w:cs="Arial"/>
          <w:sz w:val="28"/>
        </w:rPr>
        <w:t>目前已拥有完善的基础设施配套保障，区内大部分区域基础设施配套目前可达到</w:t>
      </w:r>
      <w:r>
        <w:rPr>
          <w:rFonts w:ascii="Arial" w:hAnsi="Arial" w:cs="Arial"/>
          <w:sz w:val="28"/>
        </w:rPr>
        <w:t>“</w:t>
      </w:r>
      <w:r>
        <w:rPr>
          <w:rFonts w:ascii="Arial" w:hAnsi="Arial" w:cs="Arial"/>
          <w:sz w:val="28"/>
        </w:rPr>
        <w:t>七通</w:t>
      </w:r>
      <w:r>
        <w:rPr>
          <w:rFonts w:ascii="Arial" w:hAnsi="Arial" w:cs="Arial"/>
          <w:sz w:val="28"/>
        </w:rPr>
        <w:t>”</w:t>
      </w:r>
      <w:r>
        <w:rPr>
          <w:rFonts w:ascii="Arial" w:hAnsi="Arial" w:cs="Arial"/>
          <w:sz w:val="28"/>
        </w:rPr>
        <w:t>（即通路、通电、通讯、通上水、通下水、通燃气、通热）条件。</w:t>
      </w:r>
    </w:p>
    <w:p w:rsidR="004935A9" w:rsidRDefault="00311723">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居住社区成熟度</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华庭公寓</w:t>
      </w:r>
      <w:r>
        <w:rPr>
          <w:rFonts w:ascii="Arial" w:hAnsi="Arial" w:cs="Arial"/>
          <w:sz w:val="28"/>
        </w:rPr>
        <w:t>、</w:t>
      </w:r>
      <w:proofErr w:type="gramStart"/>
      <w:r>
        <w:rPr>
          <w:rFonts w:ascii="Arial" w:hAnsi="Arial" w:cs="Arial" w:hint="eastAsia"/>
          <w:sz w:val="28"/>
        </w:rPr>
        <w:t>水屯家园</w:t>
      </w:r>
      <w:proofErr w:type="gramEnd"/>
      <w:r>
        <w:rPr>
          <w:rFonts w:ascii="Arial" w:hAnsi="Arial" w:cs="Arial" w:hint="eastAsia"/>
          <w:sz w:val="28"/>
        </w:rPr>
        <w:t>、水南佳苑、龙山跃、百泉花园</w:t>
      </w:r>
      <w:r>
        <w:rPr>
          <w:rFonts w:ascii="Arial" w:hAnsi="Arial" w:cs="Arial"/>
          <w:sz w:val="28"/>
        </w:rPr>
        <w:t>等居住小区，</w:t>
      </w:r>
      <w:r>
        <w:rPr>
          <w:rFonts w:ascii="Arial" w:hAnsi="Arial" w:cs="Arial" w:hint="eastAsia"/>
          <w:sz w:val="28"/>
        </w:rPr>
        <w:t>规模较小，分布</w:t>
      </w:r>
      <w:r>
        <w:rPr>
          <w:rFonts w:ascii="Arial" w:hAnsi="Arial" w:cs="Arial"/>
          <w:sz w:val="28"/>
        </w:rPr>
        <w:t>较为分散，居住社区成熟度</w:t>
      </w:r>
      <w:r>
        <w:rPr>
          <w:rFonts w:ascii="Arial" w:hAnsi="Arial" w:cs="Arial" w:hint="eastAsia"/>
          <w:sz w:val="28"/>
        </w:rPr>
        <w:t>一般</w:t>
      </w:r>
      <w:r>
        <w:rPr>
          <w:rFonts w:ascii="Arial" w:hAnsi="Arial" w:cs="Arial"/>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hint="eastAsia"/>
          <w:sz w:val="28"/>
        </w:rPr>
        <w:t>商业繁华度</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零星住宅配套商业，商业繁华度一般。</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hint="eastAsia"/>
          <w:sz w:val="28"/>
        </w:rPr>
        <w:t>公共配套设施齐备度</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咨询对象所在区域周边</w:t>
      </w:r>
      <w:r>
        <w:rPr>
          <w:rFonts w:ascii="Arial" w:hAnsi="Arial" w:cs="Arial"/>
          <w:sz w:val="28"/>
        </w:rPr>
        <w:t>2</w:t>
      </w:r>
      <w:r>
        <w:rPr>
          <w:rFonts w:ascii="Arial" w:hAnsi="Arial" w:cs="Arial"/>
          <w:sz w:val="28"/>
        </w:rPr>
        <w:t>公里范围内</w:t>
      </w:r>
      <w:proofErr w:type="gramStart"/>
      <w:r>
        <w:rPr>
          <w:rFonts w:ascii="Arial" w:hAnsi="Arial" w:cs="Arial"/>
          <w:sz w:val="28"/>
        </w:rPr>
        <w:t>有</w:t>
      </w:r>
      <w:r>
        <w:rPr>
          <w:rFonts w:ascii="Arial" w:hAnsi="Arial" w:cs="Arial" w:hint="eastAsia"/>
          <w:sz w:val="28"/>
        </w:rPr>
        <w:t>汇蕾学校</w:t>
      </w:r>
      <w:proofErr w:type="gramEnd"/>
      <w:r>
        <w:rPr>
          <w:rFonts w:ascii="Arial" w:hAnsi="Arial" w:cs="Arial" w:hint="eastAsia"/>
          <w:sz w:val="28"/>
        </w:rPr>
        <w:t>、北京市</w:t>
      </w:r>
      <w:proofErr w:type="gramStart"/>
      <w:r>
        <w:rPr>
          <w:rFonts w:ascii="Arial" w:hAnsi="Arial" w:cs="Arial" w:hint="eastAsia"/>
          <w:sz w:val="28"/>
        </w:rPr>
        <w:t>昌平区马池口中心</w:t>
      </w:r>
      <w:proofErr w:type="gramEnd"/>
      <w:r>
        <w:rPr>
          <w:rFonts w:ascii="Arial" w:hAnsi="Arial" w:cs="Arial" w:hint="eastAsia"/>
          <w:sz w:val="28"/>
        </w:rPr>
        <w:t>百泉庄小学、马池口小学、北京博仁祥医院、</w:t>
      </w:r>
      <w:proofErr w:type="gramStart"/>
      <w:r>
        <w:rPr>
          <w:rFonts w:ascii="Arial" w:hAnsi="Arial" w:cs="Arial" w:hint="eastAsia"/>
          <w:sz w:val="28"/>
        </w:rPr>
        <w:t>昌平区城南</w:t>
      </w:r>
      <w:proofErr w:type="gramEnd"/>
      <w:r>
        <w:rPr>
          <w:rFonts w:ascii="Arial" w:hAnsi="Arial" w:cs="Arial" w:hint="eastAsia"/>
          <w:sz w:val="28"/>
        </w:rPr>
        <w:t>社区卫生</w:t>
      </w:r>
      <w:proofErr w:type="gramStart"/>
      <w:r>
        <w:rPr>
          <w:rFonts w:ascii="Arial" w:hAnsi="Arial" w:cs="Arial" w:hint="eastAsia"/>
          <w:sz w:val="28"/>
        </w:rPr>
        <w:t>服务中心水屯社区</w:t>
      </w:r>
      <w:proofErr w:type="gramEnd"/>
      <w:r>
        <w:rPr>
          <w:rFonts w:ascii="Arial" w:hAnsi="Arial" w:cs="Arial" w:hint="eastAsia"/>
          <w:sz w:val="28"/>
        </w:rPr>
        <w:t>卫生服务站、北京农商银行（水南路分理处）、中国邮政储蓄</w:t>
      </w:r>
      <w:r>
        <w:rPr>
          <w:rFonts w:ascii="Arial" w:hAnsi="Arial" w:cs="Arial" w:hint="eastAsia"/>
          <w:sz w:val="28"/>
        </w:rPr>
        <w:lastRenderedPageBreak/>
        <w:t>银行（</w:t>
      </w:r>
      <w:proofErr w:type="gramStart"/>
      <w:r>
        <w:rPr>
          <w:rFonts w:ascii="Arial" w:hAnsi="Arial" w:cs="Arial" w:hint="eastAsia"/>
          <w:sz w:val="28"/>
        </w:rPr>
        <w:t>水屯营业所</w:t>
      </w:r>
      <w:proofErr w:type="gramEnd"/>
      <w:r>
        <w:rPr>
          <w:rFonts w:ascii="Arial" w:hAnsi="Arial" w:cs="Arial" w:hint="eastAsia"/>
          <w:sz w:val="28"/>
        </w:rPr>
        <w:t>）、北京银行（水南路支行）</w:t>
      </w:r>
      <w:r>
        <w:rPr>
          <w:rFonts w:ascii="Arial" w:hAnsi="Arial" w:cs="Arial"/>
          <w:sz w:val="28"/>
        </w:rPr>
        <w:t>等，各类配套设施齐备程度</w:t>
      </w:r>
      <w:r>
        <w:rPr>
          <w:rFonts w:ascii="Arial" w:hAnsi="Arial" w:cs="Arial" w:hint="eastAsia"/>
          <w:sz w:val="28"/>
        </w:rPr>
        <w:t>一般</w:t>
      </w:r>
      <w:r>
        <w:rPr>
          <w:rFonts w:ascii="Arial" w:hAnsi="Arial" w:cs="Arial"/>
          <w:sz w:val="28"/>
        </w:rPr>
        <w:t>，故公共配套设施状况一般。</w:t>
      </w:r>
    </w:p>
    <w:p w:rsidR="004935A9" w:rsidRDefault="00311723">
      <w:pPr>
        <w:spacing w:line="360" w:lineRule="auto"/>
        <w:ind w:firstLineChars="200" w:firstLine="560"/>
        <w:jc w:val="both"/>
        <w:rPr>
          <w:rFonts w:ascii="Arial" w:hAnsi="Arial" w:cs="Arial"/>
          <w:sz w:val="28"/>
        </w:rPr>
      </w:pPr>
      <w:r>
        <w:rPr>
          <w:rFonts w:ascii="Arial" w:hAnsi="Arial" w:cs="Arial"/>
          <w:sz w:val="28"/>
        </w:rPr>
        <w:t>综上所述，咨询对象所处区域地理位置条件</w:t>
      </w:r>
      <w:r>
        <w:rPr>
          <w:rFonts w:ascii="Arial" w:hAnsi="Arial" w:cs="Arial" w:hint="eastAsia"/>
          <w:sz w:val="28"/>
        </w:rPr>
        <w:t>一般</w:t>
      </w:r>
      <w:r>
        <w:rPr>
          <w:rFonts w:ascii="Arial" w:hAnsi="Arial" w:cs="Arial"/>
          <w:sz w:val="28"/>
        </w:rPr>
        <w:t>、交通条件</w:t>
      </w:r>
      <w:r>
        <w:rPr>
          <w:rFonts w:ascii="Arial" w:hAnsi="Arial" w:cs="Arial" w:hint="eastAsia"/>
          <w:sz w:val="28"/>
        </w:rPr>
        <w:t>较差</w:t>
      </w:r>
      <w:r>
        <w:rPr>
          <w:rFonts w:ascii="Arial" w:hAnsi="Arial" w:cs="Arial"/>
          <w:sz w:val="28"/>
        </w:rPr>
        <w:t>，基础设施水平</w:t>
      </w:r>
      <w:r>
        <w:rPr>
          <w:rFonts w:ascii="Arial" w:hAnsi="Arial" w:cs="Arial" w:hint="eastAsia"/>
          <w:sz w:val="28"/>
        </w:rPr>
        <w:t>完善</w:t>
      </w:r>
      <w:r>
        <w:rPr>
          <w:rFonts w:ascii="Arial" w:hAnsi="Arial" w:cs="Arial"/>
          <w:sz w:val="28"/>
        </w:rPr>
        <w:t>，环境条件一般，</w:t>
      </w:r>
      <w:r>
        <w:rPr>
          <w:rFonts w:ascii="Arial" w:hAnsi="Arial" w:cs="Arial" w:hint="eastAsia"/>
          <w:sz w:val="28"/>
        </w:rPr>
        <w:t>居住社区成熟度一般、商业</w:t>
      </w:r>
      <w:r>
        <w:rPr>
          <w:rFonts w:ascii="Arial" w:hAnsi="Arial" w:cs="Arial"/>
          <w:sz w:val="28"/>
        </w:rPr>
        <w:t>繁华度情况一般</w:t>
      </w:r>
      <w:r>
        <w:rPr>
          <w:rFonts w:ascii="Arial" w:hAnsi="Arial" w:cs="Arial" w:hint="eastAsia"/>
          <w:sz w:val="28"/>
        </w:rPr>
        <w:t>、公共配套设施齐备度一般</w:t>
      </w:r>
      <w:r>
        <w:rPr>
          <w:rFonts w:ascii="Arial" w:hAnsi="Arial" w:cs="Arial"/>
          <w:sz w:val="28"/>
        </w:rPr>
        <w:t>。总体评价影响咨询对象的区域因素一般。</w:t>
      </w:r>
    </w:p>
    <w:p w:rsidR="004935A9" w:rsidRDefault="00311723">
      <w:pPr>
        <w:spacing w:line="360" w:lineRule="auto"/>
        <w:jc w:val="both"/>
        <w:rPr>
          <w:rFonts w:ascii="Arial" w:hAnsi="Arial" w:cs="Arial"/>
          <w:sz w:val="28"/>
        </w:rPr>
      </w:pPr>
      <w:r>
        <w:rPr>
          <w:rFonts w:ascii="Arial" w:hAnsi="Arial" w:cs="Arial"/>
          <w:sz w:val="28"/>
        </w:rPr>
        <w:t>（三）个别因素</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咨询对象位置：咨询对象位于北京市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拟</w:t>
      </w:r>
      <w:r>
        <w:rPr>
          <w:rFonts w:ascii="Arial" w:hAnsi="Arial" w:cs="Arial"/>
          <w:sz w:val="28"/>
        </w:rPr>
        <w:t>开发建设的集体土地租赁住房项目。</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宗地规划用途、面积</w:t>
      </w:r>
    </w:p>
    <w:p w:rsidR="004935A9" w:rsidRDefault="00311723">
      <w:pPr>
        <w:spacing w:line="360" w:lineRule="auto"/>
        <w:ind w:firstLineChars="200" w:firstLine="560"/>
        <w:jc w:val="both"/>
        <w:rPr>
          <w:rFonts w:ascii="Arial" w:hAnsi="Arial" w:cs="Arial"/>
          <w:sz w:val="28"/>
        </w:rPr>
      </w:pPr>
      <w:r>
        <w:rPr>
          <w:rFonts w:ascii="Arial" w:hAnsi="Arial" w:cs="Arial"/>
          <w:sz w:val="28"/>
        </w:rPr>
        <w:t>咨询对象规划土地用途为</w:t>
      </w:r>
      <w:r>
        <w:rPr>
          <w:rFonts w:ascii="Arial" w:hAnsi="Arial" w:cs="Arial" w:hint="eastAsia"/>
          <w:sz w:val="28"/>
        </w:rPr>
        <w:t>公寓</w:t>
      </w:r>
      <w:r>
        <w:rPr>
          <w:rFonts w:ascii="Arial" w:hAnsi="Arial" w:cs="Arial"/>
          <w:sz w:val="28"/>
        </w:rPr>
        <w:t>、商业、地下车库，为</w:t>
      </w:r>
      <w:proofErr w:type="gramStart"/>
      <w:r>
        <w:rPr>
          <w:rFonts w:ascii="Arial" w:hAnsi="Arial" w:cs="Arial"/>
          <w:sz w:val="28"/>
        </w:rPr>
        <w:t>最佳最</w:t>
      </w:r>
      <w:proofErr w:type="gramEnd"/>
      <w:r>
        <w:rPr>
          <w:rFonts w:ascii="Arial" w:hAnsi="Arial" w:cs="Arial"/>
          <w:sz w:val="28"/>
        </w:rPr>
        <w:t>有效用途</w:t>
      </w:r>
      <w:r>
        <w:rPr>
          <w:rFonts w:ascii="Arial" w:hAnsi="Arial" w:cs="Arial" w:hint="eastAsia"/>
          <w:sz w:val="28"/>
        </w:rPr>
        <w:t>。</w:t>
      </w:r>
      <w:r>
        <w:rPr>
          <w:rFonts w:ascii="Arial" w:hAnsi="Arial" w:cs="Arial"/>
          <w:spacing w:val="-12"/>
          <w:sz w:val="28"/>
        </w:rPr>
        <w:t>咨询对象土地面积</w:t>
      </w:r>
      <w:r>
        <w:rPr>
          <w:rFonts w:ascii="Arial" w:hAnsi="Arial" w:cs="Arial"/>
          <w:bCs/>
          <w:kern w:val="2"/>
          <w:sz w:val="28"/>
        </w:rPr>
        <w:t>为</w:t>
      </w:r>
      <w:r>
        <w:rPr>
          <w:rFonts w:ascii="Arial" w:hAnsi="Arial" w:cs="Arial" w:hint="eastAsia"/>
          <w:sz w:val="28"/>
        </w:rPr>
        <w:t>18132</w:t>
      </w:r>
      <w:r>
        <w:rPr>
          <w:rFonts w:ascii="Arial" w:hAnsi="Arial" w:cs="Arial"/>
          <w:bCs/>
          <w:kern w:val="2"/>
          <w:sz w:val="28"/>
        </w:rPr>
        <w:t>平方</w:t>
      </w:r>
      <w:r>
        <w:rPr>
          <w:rFonts w:ascii="Arial" w:hAnsi="Arial" w:cs="Arial"/>
          <w:sz w:val="28"/>
        </w:rPr>
        <w:t>米。</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宗地容积率及可利用情况</w:t>
      </w:r>
    </w:p>
    <w:p w:rsidR="004935A9" w:rsidRDefault="00311723">
      <w:pPr>
        <w:spacing w:line="360" w:lineRule="auto"/>
        <w:ind w:firstLineChars="200" w:firstLine="560"/>
        <w:jc w:val="both"/>
        <w:rPr>
          <w:rFonts w:ascii="Arial" w:hAnsi="Arial" w:cs="Arial"/>
          <w:spacing w:val="-12"/>
          <w:sz w:val="28"/>
        </w:rPr>
      </w:pPr>
      <w:r>
        <w:rPr>
          <w:rFonts w:ascii="Arial" w:hAnsi="Arial" w:cs="Arial"/>
          <w:sz w:val="28"/>
        </w:rPr>
        <w:t>咨询对象规划建筑面积为</w:t>
      </w:r>
      <w:r>
        <w:rPr>
          <w:rFonts w:ascii="Arial" w:hAnsi="Arial" w:cs="Arial" w:hint="eastAsia"/>
          <w:sz w:val="28"/>
        </w:rPr>
        <w:t>43300</w:t>
      </w:r>
      <w:r>
        <w:rPr>
          <w:rFonts w:ascii="Arial" w:hAnsi="Arial" w:cs="Arial"/>
          <w:sz w:val="28"/>
        </w:rPr>
        <w:t>平方米，容积率为</w:t>
      </w:r>
      <w:r>
        <w:rPr>
          <w:rFonts w:ascii="Arial" w:hAnsi="Arial" w:cs="Arial"/>
          <w:sz w:val="28"/>
        </w:rPr>
        <w:t>1.8</w:t>
      </w:r>
      <w:r>
        <w:rPr>
          <w:rFonts w:ascii="Arial" w:hAnsi="Arial" w:cs="Arial"/>
          <w:sz w:val="28"/>
        </w:rPr>
        <w:t>。咨询对象宗地形状较规则、地形平坦、地质良好。综合评价咨询对象土地利用程度较好。</w:t>
      </w:r>
    </w:p>
    <w:p w:rsidR="004935A9" w:rsidRDefault="00311723">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宗地基础设施</w:t>
      </w:r>
      <w:r>
        <w:rPr>
          <w:rFonts w:ascii="Arial" w:hAnsi="Arial" w:cs="Arial"/>
          <w:sz w:val="28"/>
        </w:rPr>
        <w:t xml:space="preserve"> </w:t>
      </w:r>
    </w:p>
    <w:p w:rsidR="004935A9" w:rsidRDefault="00311723">
      <w:pPr>
        <w:spacing w:line="360" w:lineRule="auto"/>
        <w:ind w:firstLineChars="200" w:firstLine="528"/>
        <w:jc w:val="both"/>
        <w:rPr>
          <w:rFonts w:ascii="Arial" w:hAnsi="Arial" w:cs="Arial"/>
          <w:sz w:val="28"/>
        </w:rPr>
      </w:pPr>
      <w:r>
        <w:rPr>
          <w:rFonts w:ascii="Arial" w:hAnsi="Arial" w:cs="Arial"/>
          <w:spacing w:val="-8"/>
          <w:sz w:val="28"/>
        </w:rPr>
        <w:t>根据委托方提供的资料</w:t>
      </w:r>
      <w:r>
        <w:rPr>
          <w:rFonts w:ascii="Arial" w:hAnsi="Arial" w:cs="Arial" w:hint="eastAsia"/>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w:t>
      </w:r>
      <w:proofErr w:type="gramStart"/>
      <w:r>
        <w:rPr>
          <w:rFonts w:ascii="Arial" w:hAnsi="Arial" w:cs="Arial"/>
          <w:spacing w:val="-8"/>
          <w:sz w:val="28"/>
        </w:rPr>
        <w:t>”</w:t>
      </w:r>
      <w:proofErr w:type="gramEnd"/>
      <w:r>
        <w:rPr>
          <w:rFonts w:ascii="Arial" w:hAnsi="Arial" w:cs="Arial"/>
          <w:spacing w:val="-8"/>
          <w:sz w:val="28"/>
        </w:rPr>
        <w:t>，现状市政基础设施条件为红线外</w:t>
      </w:r>
      <w:r>
        <w:rPr>
          <w:rFonts w:ascii="Arial" w:hAnsi="Arial" w:cs="Arial"/>
          <w:spacing w:val="-8"/>
          <w:sz w:val="28"/>
        </w:rPr>
        <w:t>“</w:t>
      </w:r>
      <w:r>
        <w:rPr>
          <w:rFonts w:ascii="Arial" w:hAnsi="Arial" w:cs="Arial"/>
          <w:spacing w:val="-8"/>
          <w:sz w:val="28"/>
        </w:rPr>
        <w:t>三通</w:t>
      </w:r>
      <w:r>
        <w:rPr>
          <w:rFonts w:ascii="Arial" w:hAnsi="Arial" w:cs="Arial"/>
          <w:spacing w:val="-8"/>
          <w:sz w:val="28"/>
        </w:rPr>
        <w:t>”</w:t>
      </w:r>
      <w:r>
        <w:rPr>
          <w:rFonts w:ascii="Arial" w:hAnsi="Arial" w:cs="Arial"/>
          <w:sz w:val="28"/>
        </w:rPr>
        <w:t>。</w:t>
      </w:r>
    </w:p>
    <w:p w:rsidR="004935A9" w:rsidRDefault="004935A9">
      <w:pPr>
        <w:spacing w:line="360" w:lineRule="auto"/>
        <w:ind w:firstLineChars="200" w:firstLine="560"/>
        <w:jc w:val="both"/>
        <w:rPr>
          <w:rFonts w:ascii="Arial" w:hAnsi="Arial" w:cs="Arial"/>
          <w:sz w:val="28"/>
        </w:rPr>
      </w:pPr>
    </w:p>
    <w:p w:rsidR="004935A9" w:rsidRDefault="004935A9">
      <w:pPr>
        <w:spacing w:line="360" w:lineRule="auto"/>
        <w:ind w:firstLineChars="200" w:firstLine="560"/>
        <w:jc w:val="both"/>
        <w:rPr>
          <w:rFonts w:ascii="Arial" w:hAnsi="Arial" w:cs="Arial"/>
          <w:sz w:val="28"/>
        </w:rPr>
      </w:pPr>
    </w:p>
    <w:p w:rsidR="004935A9" w:rsidRDefault="004935A9">
      <w:pPr>
        <w:spacing w:line="360" w:lineRule="auto"/>
        <w:ind w:firstLineChars="200" w:firstLine="560"/>
        <w:jc w:val="both"/>
        <w:rPr>
          <w:rFonts w:ascii="Arial" w:hAnsi="Arial" w:cs="Arial"/>
          <w:sz w:val="28"/>
          <w:szCs w:val="18"/>
        </w:rPr>
      </w:pPr>
    </w:p>
    <w:p w:rsidR="004935A9" w:rsidRDefault="004935A9" w:rsidP="00A74041">
      <w:pPr>
        <w:spacing w:line="360" w:lineRule="auto"/>
        <w:ind w:firstLineChars="202" w:firstLine="566"/>
        <w:jc w:val="both"/>
        <w:rPr>
          <w:rFonts w:ascii="Arial" w:hAnsi="Arial" w:cs="Arial"/>
          <w:sz w:val="28"/>
          <w:szCs w:val="18"/>
        </w:rPr>
      </w:pPr>
      <w:bookmarkStart w:id="308" w:name="_Toc416783695"/>
      <w:bookmarkStart w:id="309" w:name="_Toc416783599"/>
    </w:p>
    <w:p w:rsidR="004935A9" w:rsidRDefault="004935A9" w:rsidP="00A74041">
      <w:pPr>
        <w:spacing w:line="360" w:lineRule="auto"/>
        <w:ind w:firstLineChars="202" w:firstLine="566"/>
        <w:jc w:val="both"/>
        <w:rPr>
          <w:rFonts w:ascii="Arial" w:hAnsi="Arial" w:cs="Arial"/>
          <w:sz w:val="28"/>
          <w:szCs w:val="18"/>
        </w:rPr>
        <w:sectPr w:rsidR="004935A9">
          <w:headerReference w:type="default" r:id="rId60"/>
          <w:footerReference w:type="even" r:id="rId61"/>
          <w:pgSz w:w="11907" w:h="16840"/>
          <w:pgMar w:top="1843" w:right="1304" w:bottom="1134" w:left="1304" w:header="1134" w:footer="907" w:gutter="0"/>
          <w:cols w:space="720"/>
          <w:docGrid w:linePitch="326"/>
        </w:sectPr>
      </w:pPr>
    </w:p>
    <w:p w:rsidR="004935A9" w:rsidRDefault="00311723">
      <w:pPr>
        <w:spacing w:line="360" w:lineRule="auto"/>
        <w:jc w:val="center"/>
        <w:outlineLvl w:val="0"/>
        <w:rPr>
          <w:rFonts w:ascii="Arial" w:hAnsi="Arial" w:cs="Arial"/>
          <w:sz w:val="32"/>
        </w:rPr>
      </w:pPr>
      <w:bookmarkStart w:id="310" w:name="_Toc18679"/>
      <w:bookmarkStart w:id="311" w:name="_Toc14390"/>
      <w:bookmarkStart w:id="312" w:name="_Toc18858"/>
      <w:bookmarkStart w:id="313" w:name="_Toc97732768"/>
      <w:bookmarkStart w:id="314" w:name="_Toc469066168"/>
      <w:bookmarkStart w:id="315" w:name="_Toc97732886"/>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土地估价</w:t>
      </w:r>
      <w:bookmarkEnd w:id="308"/>
      <w:bookmarkEnd w:id="309"/>
      <w:bookmarkEnd w:id="310"/>
      <w:bookmarkEnd w:id="311"/>
      <w:bookmarkEnd w:id="312"/>
      <w:bookmarkEnd w:id="313"/>
      <w:bookmarkEnd w:id="314"/>
      <w:bookmarkEnd w:id="315"/>
    </w:p>
    <w:p w:rsidR="004935A9" w:rsidRDefault="004935A9">
      <w:pPr>
        <w:spacing w:line="360" w:lineRule="auto"/>
        <w:rPr>
          <w:rFonts w:ascii="Arial" w:hAnsi="Arial" w:cs="Arial"/>
          <w:b/>
          <w:sz w:val="28"/>
        </w:rPr>
      </w:pPr>
    </w:p>
    <w:p w:rsidR="004935A9" w:rsidRDefault="00311723">
      <w:pPr>
        <w:spacing w:line="360" w:lineRule="auto"/>
        <w:outlineLvl w:val="1"/>
        <w:rPr>
          <w:rFonts w:ascii="Arial" w:hAnsi="Arial" w:cs="Arial"/>
          <w:sz w:val="28"/>
        </w:rPr>
      </w:pPr>
      <w:bookmarkStart w:id="316" w:name="_Toc97732887"/>
      <w:bookmarkStart w:id="317" w:name="_Toc469066169"/>
      <w:bookmarkStart w:id="318" w:name="_Toc26671"/>
      <w:bookmarkStart w:id="319" w:name="_Toc20056"/>
      <w:bookmarkStart w:id="320" w:name="_Toc28551"/>
      <w:bookmarkStart w:id="321" w:name="_Toc97732769"/>
      <w:bookmarkStart w:id="322" w:name="_Toc416783696"/>
      <w:bookmarkStart w:id="323" w:name="_Toc416783600"/>
      <w:r>
        <w:rPr>
          <w:rFonts w:ascii="Arial" w:hAnsi="Arial" w:cs="Arial"/>
          <w:b/>
          <w:sz w:val="28"/>
        </w:rPr>
        <w:t>一、估价原则</w:t>
      </w:r>
      <w:bookmarkEnd w:id="316"/>
      <w:bookmarkEnd w:id="317"/>
      <w:bookmarkEnd w:id="318"/>
      <w:bookmarkEnd w:id="319"/>
      <w:bookmarkEnd w:id="320"/>
      <w:bookmarkEnd w:id="321"/>
      <w:bookmarkEnd w:id="322"/>
      <w:bookmarkEnd w:id="323"/>
    </w:p>
    <w:p w:rsidR="004935A9" w:rsidRDefault="00311723">
      <w:pPr>
        <w:spacing w:line="360" w:lineRule="auto"/>
        <w:ind w:firstLineChars="200" w:firstLine="56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rsidR="004935A9" w:rsidRDefault="00311723">
      <w:pPr>
        <w:spacing w:beforeLines="25" w:before="60" w:afterLines="25" w:after="60" w:line="360" w:lineRule="auto"/>
        <w:jc w:val="both"/>
        <w:rPr>
          <w:rFonts w:ascii="Arial" w:hAnsi="Arial" w:cs="Arial"/>
          <w:sz w:val="28"/>
        </w:rPr>
      </w:pPr>
      <w:r>
        <w:rPr>
          <w:rFonts w:ascii="Arial" w:hAnsi="Arial" w:cs="Arial"/>
          <w:sz w:val="28"/>
        </w:rPr>
        <w:t>（一）替代原则</w:t>
      </w:r>
    </w:p>
    <w:p w:rsidR="004935A9" w:rsidRDefault="00311723">
      <w:pPr>
        <w:spacing w:line="360" w:lineRule="auto"/>
        <w:ind w:firstLineChars="200" w:firstLine="56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w:t>
      </w:r>
      <w:proofErr w:type="gramStart"/>
      <w:r>
        <w:rPr>
          <w:rFonts w:ascii="Arial" w:hAnsi="Arial" w:cs="Arial"/>
          <w:sz w:val="28"/>
        </w:rPr>
        <w:t>且咨询</w:t>
      </w:r>
      <w:proofErr w:type="gramEnd"/>
      <w:r>
        <w:rPr>
          <w:rFonts w:ascii="Arial" w:hAnsi="Arial" w:cs="Arial"/>
          <w:sz w:val="28"/>
        </w:rPr>
        <w:t>对象未来开发完成后的价格水平可参考周边项目的租售水平确定。</w:t>
      </w:r>
    </w:p>
    <w:p w:rsidR="004935A9" w:rsidRDefault="00311723">
      <w:pPr>
        <w:spacing w:beforeLines="25" w:before="60" w:afterLines="25" w:after="60" w:line="360" w:lineRule="auto"/>
        <w:jc w:val="both"/>
        <w:rPr>
          <w:rFonts w:ascii="Arial" w:hAnsi="Arial" w:cs="Arial"/>
          <w:sz w:val="28"/>
        </w:rPr>
      </w:pPr>
      <w:r>
        <w:rPr>
          <w:rFonts w:ascii="Arial" w:hAnsi="Arial" w:cs="Arial"/>
          <w:sz w:val="28"/>
        </w:rPr>
        <w:t>（二）最有效利用原则</w:t>
      </w:r>
    </w:p>
    <w:p w:rsidR="004935A9" w:rsidRDefault="00311723">
      <w:pPr>
        <w:spacing w:line="360" w:lineRule="auto"/>
        <w:ind w:firstLineChars="200" w:firstLine="56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4935A9" w:rsidRDefault="00311723">
      <w:pPr>
        <w:spacing w:beforeLines="25" w:before="60" w:afterLines="25" w:after="60" w:line="360" w:lineRule="auto"/>
        <w:jc w:val="both"/>
        <w:rPr>
          <w:rFonts w:ascii="Arial" w:hAnsi="Arial" w:cs="Arial"/>
          <w:sz w:val="28"/>
        </w:rPr>
      </w:pPr>
      <w:r>
        <w:rPr>
          <w:rFonts w:ascii="Arial" w:hAnsi="Arial" w:cs="Arial"/>
          <w:sz w:val="28"/>
        </w:rPr>
        <w:t>（三）预期收益原则</w:t>
      </w:r>
    </w:p>
    <w:p w:rsidR="004935A9" w:rsidRDefault="00311723">
      <w:pPr>
        <w:spacing w:line="360" w:lineRule="auto"/>
        <w:ind w:firstLineChars="200" w:firstLine="56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hAnsi="Arial" w:cs="Arial"/>
          <w:sz w:val="28"/>
        </w:rPr>
        <w:t>待估宗</w:t>
      </w:r>
      <w:proofErr w:type="gramEnd"/>
      <w:r>
        <w:rPr>
          <w:rFonts w:ascii="Arial" w:hAnsi="Arial" w:cs="Arial"/>
          <w:sz w:val="28"/>
        </w:rPr>
        <w:t>地在正常利用条件下的未来客观有效的预期收益。本次评估在运用剩余法计算咨询对象土地价格时，就是以该原则为原理。</w:t>
      </w:r>
    </w:p>
    <w:p w:rsidR="004935A9" w:rsidRDefault="00311723">
      <w:pPr>
        <w:spacing w:beforeLines="25" w:before="60" w:afterLines="25" w:after="60" w:line="360" w:lineRule="auto"/>
        <w:jc w:val="both"/>
        <w:rPr>
          <w:rFonts w:ascii="Arial" w:hAnsi="Arial" w:cs="Arial"/>
          <w:sz w:val="28"/>
        </w:rPr>
      </w:pPr>
      <w:r>
        <w:rPr>
          <w:rFonts w:ascii="Arial" w:hAnsi="Arial" w:cs="Arial"/>
          <w:sz w:val="28"/>
        </w:rPr>
        <w:lastRenderedPageBreak/>
        <w:t>（四）供需原则</w:t>
      </w:r>
    </w:p>
    <w:p w:rsidR="004935A9" w:rsidRDefault="00311723">
      <w:pPr>
        <w:spacing w:line="360" w:lineRule="auto"/>
        <w:ind w:firstLineChars="200" w:firstLine="56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属城区范围内，土地性质为集体建设用地使用权。区域内土地资产存在一定增值潜力。评估中剩余法的运用主要考虑此项原则。</w:t>
      </w:r>
    </w:p>
    <w:p w:rsidR="004935A9" w:rsidRDefault="00311723">
      <w:pPr>
        <w:spacing w:beforeLines="25" w:before="60" w:afterLines="25" w:after="60" w:line="360" w:lineRule="auto"/>
        <w:jc w:val="both"/>
        <w:rPr>
          <w:rFonts w:ascii="Arial" w:hAnsi="Arial" w:cs="Arial"/>
          <w:sz w:val="28"/>
        </w:rPr>
      </w:pPr>
      <w:r>
        <w:rPr>
          <w:rFonts w:ascii="Arial" w:hAnsi="Arial" w:cs="Arial"/>
          <w:sz w:val="28"/>
        </w:rPr>
        <w:t>（五）贡献原则</w:t>
      </w:r>
    </w:p>
    <w:p w:rsidR="004935A9" w:rsidRDefault="00311723">
      <w:pPr>
        <w:spacing w:line="360" w:lineRule="auto"/>
        <w:ind w:firstLineChars="200" w:firstLine="56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4935A9" w:rsidRDefault="004935A9">
      <w:pPr>
        <w:spacing w:line="360" w:lineRule="auto"/>
        <w:jc w:val="both"/>
        <w:rPr>
          <w:rFonts w:ascii="Arial" w:hAnsi="Arial" w:cs="Arial"/>
          <w:b/>
          <w:sz w:val="28"/>
        </w:rPr>
      </w:pPr>
    </w:p>
    <w:p w:rsidR="004935A9" w:rsidRDefault="00311723">
      <w:pPr>
        <w:spacing w:line="360" w:lineRule="auto"/>
        <w:jc w:val="both"/>
        <w:outlineLvl w:val="1"/>
        <w:rPr>
          <w:rFonts w:ascii="Arial" w:hAnsi="Arial" w:cs="Arial"/>
          <w:b/>
          <w:sz w:val="28"/>
        </w:rPr>
      </w:pPr>
      <w:bookmarkStart w:id="324" w:name="_Toc469066170"/>
      <w:bookmarkStart w:id="325" w:name="_Toc21441"/>
      <w:bookmarkStart w:id="326" w:name="_Toc97732770"/>
      <w:bookmarkStart w:id="327" w:name="_Toc14002"/>
      <w:bookmarkStart w:id="328" w:name="_Toc416783697"/>
      <w:bookmarkStart w:id="329" w:name="_Toc21116"/>
      <w:bookmarkStart w:id="330" w:name="_Toc416783601"/>
      <w:bookmarkStart w:id="331" w:name="_Toc97732888"/>
      <w:r>
        <w:rPr>
          <w:rFonts w:ascii="Arial" w:hAnsi="Arial" w:cs="Arial"/>
          <w:b/>
          <w:sz w:val="28"/>
        </w:rPr>
        <w:t>二、估价方法与估价过程</w:t>
      </w:r>
      <w:bookmarkEnd w:id="324"/>
      <w:bookmarkEnd w:id="325"/>
      <w:bookmarkEnd w:id="326"/>
      <w:bookmarkEnd w:id="327"/>
      <w:bookmarkEnd w:id="328"/>
      <w:bookmarkEnd w:id="329"/>
      <w:bookmarkEnd w:id="330"/>
      <w:bookmarkEnd w:id="331"/>
    </w:p>
    <w:p w:rsidR="004935A9" w:rsidRDefault="00311723">
      <w:pPr>
        <w:pStyle w:val="11"/>
        <w:autoSpaceDE w:val="0"/>
        <w:autoSpaceDN w:val="0"/>
        <w:spacing w:line="360" w:lineRule="auto"/>
        <w:ind w:right="140"/>
        <w:jc w:val="both"/>
        <w:textAlignment w:val="bottom"/>
        <w:rPr>
          <w:rFonts w:ascii="Arial" w:hAnsi="Arial" w:cs="Arial"/>
          <w:bCs/>
          <w:sz w:val="28"/>
        </w:rPr>
      </w:pPr>
      <w:r>
        <w:rPr>
          <w:rFonts w:ascii="Arial" w:hAnsi="Arial" w:cs="Arial"/>
          <w:bCs/>
          <w:sz w:val="28"/>
        </w:rPr>
        <w:t>（一）估价方法选择</w:t>
      </w:r>
    </w:p>
    <w:p w:rsidR="004935A9" w:rsidRDefault="00311723">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方法选择</w:t>
      </w:r>
    </w:p>
    <w:p w:rsidR="004935A9" w:rsidRDefault="00311723">
      <w:pPr>
        <w:spacing w:line="360" w:lineRule="auto"/>
        <w:ind w:firstLineChars="200" w:firstLine="560"/>
        <w:jc w:val="both"/>
        <w:rPr>
          <w:rFonts w:ascii="Arial" w:hAnsi="Arial" w:cs="Arial"/>
          <w:sz w:val="28"/>
        </w:rPr>
      </w:pPr>
      <w:r>
        <w:rPr>
          <w:rFonts w:ascii="Arial" w:hAnsi="Arial" w:cs="Arial"/>
          <w:sz w:val="28"/>
        </w:rPr>
        <w:t>根据《城镇土地估价规程》</w:t>
      </w:r>
      <w:r>
        <w:rPr>
          <w:rFonts w:ascii="Arial" w:hAnsi="Arial" w:cs="Arial"/>
          <w:sz w:val="28"/>
        </w:rPr>
        <w:t>[GB/T18508-2014]</w:t>
      </w:r>
      <w:r>
        <w:rPr>
          <w:rFonts w:ascii="Arial" w:hAnsi="Arial" w:cs="Arial"/>
          <w:sz w:val="28"/>
        </w:rPr>
        <w:t>，估价方法通常有市场比较法、收益还原法、成本逼近法、剩余法及基准地价系数修正法共五种估价方法。</w:t>
      </w:r>
    </w:p>
    <w:p w:rsidR="004935A9" w:rsidRDefault="00311723">
      <w:pPr>
        <w:pStyle w:val="11"/>
        <w:autoSpaceDE w:val="0"/>
        <w:autoSpaceDN w:val="0"/>
        <w:spacing w:line="360" w:lineRule="auto"/>
        <w:ind w:right="6" w:firstLineChars="200" w:firstLine="56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rsidR="004935A9" w:rsidRDefault="00311723">
      <w:pPr>
        <w:pStyle w:val="11"/>
        <w:autoSpaceDE w:val="0"/>
        <w:autoSpaceDN w:val="0"/>
        <w:spacing w:line="360" w:lineRule="auto"/>
        <w:ind w:right="6" w:firstLineChars="200" w:firstLine="56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w:t>
      </w:r>
      <w:r>
        <w:rPr>
          <w:rFonts w:ascii="Arial" w:hAnsi="Arial" w:cs="Arial"/>
          <w:sz w:val="28"/>
        </w:rPr>
        <w:lastRenderedPageBreak/>
        <w:t>价值或价格的方法。市场比较法主要用于同类房地产数量较多、经常发生交易且具有一定可比性的房地产。</w:t>
      </w:r>
    </w:p>
    <w:p w:rsidR="004935A9" w:rsidRDefault="00311723">
      <w:pPr>
        <w:spacing w:line="360" w:lineRule="auto"/>
        <w:ind w:firstLineChars="200" w:firstLine="56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rsidR="004935A9" w:rsidRDefault="00311723">
      <w:pPr>
        <w:spacing w:line="360" w:lineRule="auto"/>
        <w:ind w:leftChars="-1" w:left="-2" w:firstLineChars="200" w:firstLine="56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hyperlink r:id="rId62" w:tgtFrame="_blank" w:history="1">
        <w:r>
          <w:rPr>
            <w:rFonts w:ascii="Arial" w:hAnsi="Arial" w:cs="Arial"/>
            <w:sz w:val="28"/>
          </w:rPr>
          <w:t>土地所有权</w:t>
        </w:r>
      </w:hyperlink>
      <w:r>
        <w:rPr>
          <w:rFonts w:ascii="Arial" w:hAnsi="Arial" w:cs="Arial"/>
          <w:sz w:val="28"/>
        </w:rPr>
        <w:t>收益来确定</w:t>
      </w:r>
      <w:hyperlink r:id="rId63" w:tgtFrame="_blank" w:history="1">
        <w:r>
          <w:rPr>
            <w:rFonts w:ascii="Arial" w:hAnsi="Arial" w:cs="Arial"/>
            <w:sz w:val="28"/>
          </w:rPr>
          <w:t>土地价格</w:t>
        </w:r>
      </w:hyperlink>
      <w:r>
        <w:rPr>
          <w:rFonts w:ascii="Arial" w:hAnsi="Arial" w:cs="Arial"/>
          <w:sz w:val="28"/>
        </w:rPr>
        <w:t>的咨询方法。成本逼近法一般是用于新开发土地，或土地市场欠发育、交易实例少的地区的土地价格评估。</w:t>
      </w:r>
    </w:p>
    <w:p w:rsidR="004935A9" w:rsidRDefault="00311723">
      <w:pPr>
        <w:spacing w:line="360" w:lineRule="auto"/>
        <w:ind w:firstLineChars="200" w:firstLine="560"/>
        <w:jc w:val="both"/>
        <w:rPr>
          <w:rFonts w:ascii="Arial" w:hAnsi="Arial" w:cs="Arial"/>
          <w:sz w:val="28"/>
        </w:rPr>
      </w:pPr>
      <w:r>
        <w:rPr>
          <w:rFonts w:ascii="Arial" w:hAnsi="Arial" w:cs="Arial"/>
          <w:sz w:val="28"/>
        </w:rPr>
        <w:t>剩余（增值收益扣减）法</w:t>
      </w:r>
      <w:r>
        <w:rPr>
          <w:rFonts w:ascii="Arial" w:hAnsi="Arial" w:cs="Arial"/>
          <w:sz w:val="28"/>
        </w:rPr>
        <w:t>:</w:t>
      </w:r>
      <w:r>
        <w:rPr>
          <w:rFonts w:ascii="Arial" w:hAnsi="Arial" w:cs="Arial"/>
          <w:sz w:val="28"/>
        </w:rPr>
        <w:t>是在《城镇土地估价规程》剩余法</w:t>
      </w:r>
      <w:r>
        <w:rPr>
          <w:rFonts w:ascii="Arial" w:hAnsi="Arial" w:cs="Arial"/>
          <w:sz w:val="28"/>
        </w:rPr>
        <w:t xml:space="preserve"> </w:t>
      </w:r>
      <w:r>
        <w:rPr>
          <w:rFonts w:ascii="Arial" w:hAnsi="Arial" w:cs="Arial"/>
          <w:sz w:val="28"/>
        </w:rPr>
        <w:t>思路上衍生技术路线，通过出让土地使用权价格扣减土地增值收益的方</w:t>
      </w:r>
      <w:r>
        <w:rPr>
          <w:rFonts w:ascii="Arial" w:hAnsi="Arial" w:cs="Arial"/>
          <w:sz w:val="28"/>
        </w:rPr>
        <w:t xml:space="preserve"> </w:t>
      </w:r>
      <w:r>
        <w:rPr>
          <w:rFonts w:ascii="Arial" w:hAnsi="Arial" w:cs="Arial"/>
          <w:sz w:val="28"/>
        </w:rPr>
        <w:t>法评估划拨地价。咨询对象周边市场满足出让土地使用权价格评估，虽</w:t>
      </w:r>
      <w:r>
        <w:rPr>
          <w:rFonts w:ascii="Arial" w:hAnsi="Arial" w:cs="Arial"/>
          <w:sz w:val="28"/>
        </w:rPr>
        <w:t xml:space="preserve"> </w:t>
      </w:r>
      <w:r>
        <w:rPr>
          <w:rFonts w:ascii="Arial" w:hAnsi="Arial" w:cs="Arial"/>
          <w:sz w:val="28"/>
        </w:rPr>
        <w:t>然北京市暂未公布土地增值收益，但可以通</w:t>
      </w:r>
      <w:proofErr w:type="gramStart"/>
      <w:r>
        <w:rPr>
          <w:rFonts w:ascii="Arial" w:hAnsi="Arial" w:cs="Arial"/>
          <w:sz w:val="28"/>
        </w:rPr>
        <w:t>过招拍挂市场</w:t>
      </w:r>
      <w:proofErr w:type="gramEnd"/>
      <w:r>
        <w:rPr>
          <w:rFonts w:ascii="Arial" w:hAnsi="Arial" w:cs="Arial"/>
          <w:sz w:val="28"/>
        </w:rPr>
        <w:t>成交价与土地</w:t>
      </w:r>
      <w:r>
        <w:rPr>
          <w:rFonts w:ascii="Arial" w:hAnsi="Arial" w:cs="Arial"/>
          <w:sz w:val="28"/>
        </w:rPr>
        <w:t xml:space="preserve"> </w:t>
      </w:r>
      <w:r>
        <w:rPr>
          <w:rFonts w:ascii="Arial" w:hAnsi="Arial" w:cs="Arial"/>
          <w:sz w:val="28"/>
        </w:rPr>
        <w:t>一级开发成本差额计算土地增值收益。</w:t>
      </w:r>
    </w:p>
    <w:p w:rsidR="004935A9" w:rsidRDefault="00311723">
      <w:pPr>
        <w:spacing w:line="360" w:lineRule="auto"/>
        <w:ind w:firstLineChars="200" w:firstLine="560"/>
        <w:jc w:val="both"/>
        <w:rPr>
          <w:rFonts w:ascii="Arial" w:hAnsi="Arial" w:cs="Arial"/>
          <w:sz w:val="28"/>
        </w:rPr>
      </w:pPr>
      <w:r>
        <w:rPr>
          <w:rFonts w:ascii="Arial" w:hAnsi="Arial" w:cs="Arial"/>
          <w:sz w:val="28"/>
        </w:rPr>
        <w:t>基准地价系数修正法：该方法适用于政府或其有关部门已公布基准地价地区的土地咨询。</w:t>
      </w:r>
    </w:p>
    <w:p w:rsidR="004935A9" w:rsidRDefault="00311723">
      <w:pPr>
        <w:spacing w:line="360" w:lineRule="auto"/>
        <w:ind w:firstLineChars="200" w:firstLine="560"/>
        <w:jc w:val="both"/>
        <w:rPr>
          <w:rFonts w:ascii="Arial" w:hAnsi="Arial" w:cs="Arial"/>
          <w:sz w:val="28"/>
        </w:rPr>
      </w:pPr>
      <w:r>
        <w:rPr>
          <w:rFonts w:ascii="Arial" w:hAnsi="Arial" w:cs="Arial"/>
          <w:sz w:val="28"/>
        </w:rPr>
        <w:t>本评估项目评估对象的性质为集体土地使用权，开发建设项目未来将以住宅业</w:t>
      </w:r>
      <w:proofErr w:type="gramStart"/>
      <w:r>
        <w:rPr>
          <w:rFonts w:ascii="Arial" w:hAnsi="Arial" w:cs="Arial"/>
          <w:sz w:val="28"/>
        </w:rPr>
        <w:t>态为主</w:t>
      </w:r>
      <w:proofErr w:type="gramEnd"/>
      <w:r>
        <w:rPr>
          <w:rFonts w:ascii="Arial" w:hAnsi="Arial" w:cs="Arial"/>
          <w:sz w:val="28"/>
        </w:rPr>
        <w:t>并建设部分商业</w:t>
      </w:r>
      <w:proofErr w:type="gramStart"/>
      <w:r>
        <w:rPr>
          <w:rFonts w:ascii="Arial" w:hAnsi="Arial" w:cs="Arial"/>
          <w:sz w:val="28"/>
        </w:rPr>
        <w:t>业态采取</w:t>
      </w:r>
      <w:proofErr w:type="gramEnd"/>
      <w:r>
        <w:rPr>
          <w:rFonts w:ascii="Arial" w:hAnsi="Arial" w:cs="Arial"/>
          <w:sz w:val="28"/>
        </w:rPr>
        <w:t>出租收取租金的运营模式，该类开发建设项目属于新兴业</w:t>
      </w:r>
      <w:proofErr w:type="gramStart"/>
      <w:r>
        <w:rPr>
          <w:rFonts w:ascii="Arial" w:hAnsi="Arial" w:cs="Arial"/>
          <w:sz w:val="28"/>
        </w:rPr>
        <w:t>态目前</w:t>
      </w:r>
      <w:proofErr w:type="gramEnd"/>
      <w:r>
        <w:rPr>
          <w:rFonts w:ascii="Arial" w:hAnsi="Arial" w:cs="Arial"/>
          <w:sz w:val="28"/>
        </w:rPr>
        <w:t>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rsidR="004935A9" w:rsidRDefault="00311723">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w:t>
      </w:r>
      <w:r>
        <w:rPr>
          <w:rFonts w:ascii="Arial" w:hAnsi="Arial" w:cs="Arial"/>
          <w:sz w:val="28"/>
        </w:rPr>
        <w:lastRenderedPageBreak/>
        <w:t>科学地评估</w:t>
      </w:r>
      <w:proofErr w:type="gramStart"/>
      <w:r>
        <w:rPr>
          <w:rFonts w:ascii="Arial" w:hAnsi="Arial" w:cs="Arial"/>
          <w:sz w:val="28"/>
        </w:rPr>
        <w:t>出咨询</w:t>
      </w:r>
      <w:proofErr w:type="gramEnd"/>
      <w:r>
        <w:rPr>
          <w:rFonts w:ascii="Arial" w:hAnsi="Arial" w:cs="Arial"/>
          <w:sz w:val="28"/>
        </w:rPr>
        <w:t>对象的集体建设用地使用权价格。</w:t>
      </w:r>
    </w:p>
    <w:p w:rsidR="004935A9" w:rsidRDefault="00311723">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本次评估所采用的估价方法简述如下：</w:t>
      </w:r>
    </w:p>
    <w:p w:rsidR="004935A9" w:rsidRDefault="00311723" w:rsidP="00A74041">
      <w:pPr>
        <w:spacing w:line="360" w:lineRule="auto"/>
        <w:ind w:firstLineChars="192" w:firstLine="538"/>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w:t>
      </w:r>
      <w:proofErr w:type="gramStart"/>
      <w:r>
        <w:rPr>
          <w:rFonts w:ascii="Arial" w:hAnsi="Arial" w:cs="Arial"/>
          <w:sz w:val="28"/>
        </w:rPr>
        <w:t>待估宗</w:t>
      </w:r>
      <w:proofErr w:type="gramEnd"/>
      <w:r>
        <w:rPr>
          <w:rFonts w:ascii="Arial" w:hAnsi="Arial" w:cs="Arial"/>
          <w:sz w:val="28"/>
        </w:rPr>
        <w:t>地价格的方法。</w:t>
      </w:r>
    </w:p>
    <w:p w:rsidR="004935A9" w:rsidRDefault="00311723">
      <w:pPr>
        <w:spacing w:before="25" w:after="25" w:line="360" w:lineRule="auto"/>
        <w:ind w:firstLine="555"/>
        <w:rPr>
          <w:rFonts w:ascii="Arial" w:hAnsi="Arial" w:cs="Arial"/>
          <w:spacing w:val="10"/>
          <w:sz w:val="28"/>
        </w:rPr>
      </w:pPr>
      <w:r>
        <w:rPr>
          <w:rFonts w:ascii="Arial" w:hAnsi="Arial" w:cs="Arial"/>
          <w:spacing w:val="10"/>
          <w:sz w:val="28"/>
        </w:rPr>
        <w:t>其计算公式为：</w:t>
      </w:r>
    </w:p>
    <w:p w:rsidR="004935A9" w:rsidRDefault="00311723">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w:t>
      </w:r>
      <w:r>
        <w:rPr>
          <w:rFonts w:ascii="Arial" w:hAnsi="Arial" w:cs="Arial"/>
          <w:spacing w:val="10"/>
          <w:sz w:val="28"/>
        </w:rPr>
        <w:t>－</w:t>
      </w:r>
      <w:r>
        <w:rPr>
          <w:rFonts w:ascii="Arial" w:hAnsi="Arial" w:cs="Arial"/>
          <w:spacing w:val="10"/>
          <w:sz w:val="28"/>
        </w:rPr>
        <w:t>B</w:t>
      </w:r>
      <w:r>
        <w:rPr>
          <w:rFonts w:ascii="Arial" w:hAnsi="Arial" w:cs="Arial"/>
          <w:spacing w:val="10"/>
          <w:sz w:val="28"/>
        </w:rPr>
        <w:t>－</w:t>
      </w:r>
      <w:r>
        <w:rPr>
          <w:rFonts w:ascii="Arial" w:hAnsi="Arial" w:cs="Arial"/>
          <w:spacing w:val="10"/>
          <w:sz w:val="28"/>
        </w:rPr>
        <w:t>C</w:t>
      </w:r>
    </w:p>
    <w:p w:rsidR="004935A9" w:rsidRDefault="00311723">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rsidR="004935A9" w:rsidRDefault="00311723">
      <w:pPr>
        <w:spacing w:before="25" w:after="25" w:line="360" w:lineRule="auto"/>
        <w:ind w:firstLine="646"/>
        <w:rPr>
          <w:rFonts w:ascii="Arial" w:hAnsi="Arial" w:cs="Arial"/>
          <w:spacing w:val="10"/>
          <w:sz w:val="28"/>
        </w:rPr>
      </w:pPr>
      <w:r>
        <w:rPr>
          <w:rFonts w:ascii="Arial" w:hAnsi="Arial" w:cs="Arial"/>
          <w:spacing w:val="10"/>
          <w:sz w:val="28"/>
        </w:rPr>
        <w:t>P——</w:t>
      </w:r>
      <w:proofErr w:type="gramStart"/>
      <w:r>
        <w:rPr>
          <w:rFonts w:ascii="Arial" w:hAnsi="Arial" w:cs="Arial"/>
          <w:sz w:val="28"/>
        </w:rPr>
        <w:t>待估宗</w:t>
      </w:r>
      <w:proofErr w:type="gramEnd"/>
      <w:r>
        <w:rPr>
          <w:rFonts w:ascii="Arial" w:hAnsi="Arial" w:cs="Arial"/>
          <w:sz w:val="28"/>
        </w:rPr>
        <w:t>地价格</w:t>
      </w:r>
    </w:p>
    <w:p w:rsidR="004935A9" w:rsidRDefault="00311723">
      <w:pPr>
        <w:spacing w:before="25" w:after="25" w:line="360" w:lineRule="auto"/>
        <w:ind w:firstLine="646"/>
        <w:rPr>
          <w:rFonts w:ascii="Arial" w:hAnsi="Arial" w:cs="Arial"/>
          <w:sz w:val="28"/>
        </w:rPr>
      </w:pPr>
      <w:r>
        <w:rPr>
          <w:rFonts w:ascii="Arial" w:hAnsi="Arial" w:cs="Arial"/>
          <w:spacing w:val="10"/>
          <w:sz w:val="28"/>
        </w:rPr>
        <w:t>A——</w:t>
      </w:r>
      <w:r>
        <w:rPr>
          <w:rFonts w:ascii="Arial" w:hAnsi="Arial" w:cs="Arial"/>
          <w:spacing w:val="10"/>
          <w:sz w:val="28"/>
        </w:rPr>
        <w:t>不动产总价</w:t>
      </w:r>
    </w:p>
    <w:p w:rsidR="004935A9" w:rsidRDefault="00311723">
      <w:pPr>
        <w:spacing w:before="25" w:after="25" w:line="360" w:lineRule="auto"/>
        <w:ind w:firstLine="646"/>
        <w:rPr>
          <w:rFonts w:ascii="Arial" w:hAnsi="Arial" w:cs="Arial"/>
          <w:sz w:val="28"/>
        </w:rPr>
      </w:pPr>
      <w:r>
        <w:rPr>
          <w:rFonts w:ascii="Arial" w:hAnsi="Arial" w:cs="Arial"/>
          <w:spacing w:val="10"/>
          <w:sz w:val="28"/>
        </w:rPr>
        <w:t>B——</w:t>
      </w:r>
      <w:r>
        <w:rPr>
          <w:rFonts w:ascii="Arial" w:hAnsi="Arial" w:cs="Arial"/>
          <w:spacing w:val="10"/>
          <w:sz w:val="28"/>
        </w:rPr>
        <w:t>开发项目整体的开发成本</w:t>
      </w:r>
    </w:p>
    <w:p w:rsidR="004935A9" w:rsidRDefault="00311723">
      <w:pPr>
        <w:spacing w:line="360" w:lineRule="auto"/>
        <w:ind w:firstLineChars="225" w:firstLine="630"/>
        <w:textAlignment w:val="bottom"/>
        <w:rPr>
          <w:rFonts w:ascii="Arial" w:hAnsi="Arial" w:cs="Arial"/>
          <w:sz w:val="28"/>
        </w:rPr>
      </w:pPr>
      <w:r>
        <w:rPr>
          <w:rFonts w:ascii="Arial" w:hAnsi="Arial" w:cs="Arial"/>
          <w:sz w:val="28"/>
        </w:rPr>
        <w:t>C——</w:t>
      </w:r>
      <w:r>
        <w:rPr>
          <w:rFonts w:ascii="Arial" w:hAnsi="Arial" w:cs="Arial"/>
          <w:sz w:val="28"/>
        </w:rPr>
        <w:t>投资利润</w:t>
      </w:r>
    </w:p>
    <w:p w:rsidR="004935A9" w:rsidRDefault="00311723">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rsidR="004935A9" w:rsidRDefault="004935A9">
      <w:pPr>
        <w:spacing w:line="360" w:lineRule="auto"/>
        <w:jc w:val="both"/>
        <w:rPr>
          <w:rFonts w:ascii="Arial" w:hAnsi="Arial" w:cs="Arial"/>
          <w:b/>
          <w:sz w:val="28"/>
        </w:rPr>
      </w:pPr>
      <w:bookmarkStart w:id="332" w:name="_Toc416783698"/>
      <w:bookmarkStart w:id="333" w:name="_Toc416783602"/>
    </w:p>
    <w:p w:rsidR="004935A9" w:rsidRDefault="00311723">
      <w:pPr>
        <w:spacing w:line="360" w:lineRule="auto"/>
        <w:jc w:val="both"/>
        <w:rPr>
          <w:rFonts w:ascii="Arial" w:hAnsi="Arial" w:cs="Arial"/>
          <w:sz w:val="28"/>
        </w:rPr>
      </w:pPr>
      <w:r>
        <w:rPr>
          <w:rFonts w:ascii="Arial" w:hAnsi="Arial" w:cs="Arial"/>
          <w:sz w:val="28"/>
        </w:rPr>
        <w:t>（二）估价过程</w:t>
      </w:r>
      <w:bookmarkEnd w:id="332"/>
      <w:bookmarkEnd w:id="333"/>
    </w:p>
    <w:p w:rsidR="004935A9" w:rsidRDefault="00311723">
      <w:pPr>
        <w:pStyle w:val="11"/>
        <w:autoSpaceDE w:val="0"/>
        <w:autoSpaceDN w:val="0"/>
        <w:spacing w:line="360" w:lineRule="auto"/>
        <w:ind w:right="140" w:firstLineChars="200" w:firstLine="562"/>
        <w:jc w:val="both"/>
        <w:textAlignment w:val="bottom"/>
        <w:rPr>
          <w:rFonts w:ascii="Arial" w:hAnsi="Arial" w:cs="Arial"/>
          <w:b/>
          <w:sz w:val="28"/>
        </w:rPr>
      </w:pPr>
      <w:r>
        <w:rPr>
          <w:rFonts w:ascii="Arial" w:hAnsi="Arial" w:cs="Arial"/>
          <w:b/>
          <w:sz w:val="28"/>
        </w:rPr>
        <w:t>相关参数</w:t>
      </w:r>
    </w:p>
    <w:p w:rsidR="004935A9" w:rsidRDefault="00311723">
      <w:pPr>
        <w:pStyle w:val="11"/>
        <w:autoSpaceDE w:val="0"/>
        <w:autoSpaceDN w:val="0"/>
        <w:spacing w:line="360" w:lineRule="auto"/>
        <w:ind w:right="140" w:firstLineChars="200" w:firstLine="560"/>
        <w:jc w:val="both"/>
        <w:textAlignment w:val="bottom"/>
        <w:rPr>
          <w:rFonts w:ascii="Arial" w:hAnsi="Arial" w:cs="Arial"/>
          <w:sz w:val="28"/>
        </w:rPr>
      </w:pPr>
      <w:r>
        <w:rPr>
          <w:rFonts w:ascii="Arial" w:hAnsi="Arial" w:cs="Arial"/>
          <w:sz w:val="28"/>
        </w:rPr>
        <w:t>1.</w:t>
      </w:r>
      <w:r>
        <w:rPr>
          <w:rFonts w:ascii="Arial" w:hAnsi="Arial" w:cs="Arial"/>
          <w:sz w:val="28"/>
        </w:rPr>
        <w:t>咨询对象土地经济技术指标</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4935A9">
        <w:trPr>
          <w:trHeight w:val="280"/>
        </w:trPr>
        <w:tc>
          <w:tcPr>
            <w:tcW w:w="5526" w:type="dxa"/>
            <w:gridSpan w:val="3"/>
            <w:tcBorders>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数量</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4935A9">
        <w:trPr>
          <w:trHeight w:val="280"/>
        </w:trPr>
        <w:tc>
          <w:tcPr>
            <w:tcW w:w="1165" w:type="dxa"/>
            <w:vMerge w:val="restart"/>
            <w:tcBorders>
              <w:top w:val="nil"/>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4935A9">
        <w:trPr>
          <w:trHeight w:val="280"/>
        </w:trPr>
        <w:tc>
          <w:tcPr>
            <w:tcW w:w="1165" w:type="dxa"/>
            <w:vMerge/>
            <w:tcBorders>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4935A9" w:rsidRDefault="004935A9">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4935A9">
        <w:trPr>
          <w:trHeight w:val="280"/>
        </w:trPr>
        <w:tc>
          <w:tcPr>
            <w:tcW w:w="5526" w:type="dxa"/>
            <w:gridSpan w:val="3"/>
            <w:tcBorders>
              <w:top w:val="single" w:sz="4" w:space="0" w:color="auto"/>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4935A9" w:rsidRDefault="00311723">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4935A9" w:rsidRDefault="00311723">
      <w:pPr>
        <w:pStyle w:val="11"/>
        <w:autoSpaceDE w:val="0"/>
        <w:autoSpaceDN w:val="0"/>
        <w:spacing w:beforeLines="100" w:before="240" w:line="360" w:lineRule="auto"/>
        <w:ind w:right="142" w:firstLine="573"/>
        <w:jc w:val="both"/>
        <w:textAlignment w:val="bottom"/>
        <w:rPr>
          <w:rFonts w:ascii="Arial" w:hAnsi="Arial" w:cs="Arial"/>
          <w:sz w:val="28"/>
        </w:rPr>
      </w:pPr>
      <w:r>
        <w:rPr>
          <w:rFonts w:ascii="Arial" w:hAnsi="Arial" w:cs="Arial"/>
          <w:sz w:val="28"/>
        </w:rPr>
        <w:t>2.</w:t>
      </w:r>
      <w:r>
        <w:rPr>
          <w:rFonts w:ascii="Arial" w:hAnsi="Arial" w:cs="Arial"/>
          <w:sz w:val="28"/>
        </w:rPr>
        <w:t>工期情况说明：</w:t>
      </w:r>
    </w:p>
    <w:p w:rsidR="004935A9" w:rsidRDefault="00311723">
      <w:pPr>
        <w:pStyle w:val="11"/>
        <w:autoSpaceDE w:val="0"/>
        <w:autoSpaceDN w:val="0"/>
        <w:spacing w:line="360" w:lineRule="auto"/>
        <w:ind w:right="140" w:firstLine="570"/>
        <w:jc w:val="both"/>
        <w:textAlignment w:val="bottom"/>
        <w:rPr>
          <w:rFonts w:ascii="Arial" w:hAnsi="Arial" w:cs="Arial"/>
          <w:sz w:val="28"/>
        </w:rPr>
      </w:pPr>
      <w:commentRangeStart w:id="334"/>
      <w:r>
        <w:rPr>
          <w:rFonts w:ascii="Arial" w:hAnsi="Arial" w:cs="Arial"/>
          <w:sz w:val="28"/>
        </w:rPr>
        <w:t>土地开发期：</w:t>
      </w:r>
      <w:r>
        <w:rPr>
          <w:rFonts w:ascii="Arial" w:hAnsi="Arial" w:cs="Arial"/>
          <w:sz w:val="28"/>
        </w:rPr>
        <w:t>1</w:t>
      </w:r>
      <w:r>
        <w:rPr>
          <w:rFonts w:ascii="Arial" w:hAnsi="Arial" w:cs="Arial"/>
          <w:sz w:val="28"/>
        </w:rPr>
        <w:t>年</w:t>
      </w:r>
    </w:p>
    <w:p w:rsidR="004935A9" w:rsidRDefault="00311723">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建筑物建设期：</w:t>
      </w:r>
      <w:r>
        <w:rPr>
          <w:rFonts w:ascii="Arial" w:hAnsi="Arial" w:cs="Arial"/>
          <w:sz w:val="28"/>
        </w:rPr>
        <w:t>2</w:t>
      </w:r>
      <w:r>
        <w:rPr>
          <w:rFonts w:ascii="Arial" w:hAnsi="Arial" w:cs="Arial"/>
          <w:sz w:val="28"/>
        </w:rPr>
        <w:t>年</w:t>
      </w:r>
      <w:commentRangeEnd w:id="334"/>
      <w:r>
        <w:rPr>
          <w:rStyle w:val="af3"/>
          <w:rFonts w:ascii="Times New Roman"/>
        </w:rPr>
        <w:commentReference w:id="334"/>
      </w:r>
    </w:p>
    <w:p w:rsidR="004935A9" w:rsidRDefault="004935A9">
      <w:pPr>
        <w:pStyle w:val="11"/>
        <w:autoSpaceDE w:val="0"/>
        <w:autoSpaceDN w:val="0"/>
        <w:spacing w:line="360" w:lineRule="auto"/>
        <w:ind w:right="140" w:firstLine="570"/>
        <w:jc w:val="both"/>
        <w:textAlignment w:val="bottom"/>
        <w:rPr>
          <w:rFonts w:ascii="Arial" w:hAnsi="Arial" w:cs="Arial"/>
          <w:sz w:val="28"/>
        </w:rPr>
      </w:pPr>
    </w:p>
    <w:p w:rsidR="004935A9" w:rsidRDefault="00311723">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以上述条件为基础计算咨询对象的价格。</w:t>
      </w:r>
    </w:p>
    <w:p w:rsidR="004935A9" w:rsidRDefault="00311723">
      <w:pPr>
        <w:spacing w:line="360" w:lineRule="auto"/>
        <w:ind w:firstLineChars="200" w:firstLine="562"/>
        <w:jc w:val="both"/>
        <w:rPr>
          <w:rFonts w:ascii="Arial" w:hAnsi="Arial" w:cs="Arial"/>
          <w:b/>
          <w:sz w:val="28"/>
        </w:rPr>
      </w:pPr>
      <w:r>
        <w:rPr>
          <w:rFonts w:ascii="Arial" w:hAnsi="Arial" w:cs="Arial"/>
          <w:b/>
          <w:sz w:val="28"/>
        </w:rPr>
        <w:t>测算过程</w:t>
      </w:r>
    </w:p>
    <w:p w:rsidR="004935A9" w:rsidRDefault="00311723">
      <w:pPr>
        <w:spacing w:line="360" w:lineRule="auto"/>
        <w:ind w:firstLineChars="200" w:firstLine="562"/>
        <w:jc w:val="both"/>
        <w:rPr>
          <w:rFonts w:ascii="Arial" w:hAnsi="Arial" w:cs="Arial"/>
          <w:b/>
          <w:sz w:val="28"/>
        </w:rPr>
      </w:pPr>
      <w:r>
        <w:rPr>
          <w:rFonts w:ascii="Arial" w:hAnsi="Arial" w:cs="Arial"/>
          <w:b/>
          <w:sz w:val="28"/>
        </w:rPr>
        <w:t>剩余法</w:t>
      </w:r>
    </w:p>
    <w:p w:rsidR="004935A9" w:rsidRDefault="00311723">
      <w:pPr>
        <w:spacing w:line="360" w:lineRule="auto"/>
        <w:ind w:firstLineChars="200" w:firstLine="560"/>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w:t>
      </w:r>
      <w:r>
        <w:rPr>
          <w:rFonts w:ascii="Arial" w:hAnsi="Arial" w:cs="Arial"/>
          <w:bCs/>
          <w:sz w:val="28"/>
        </w:rPr>
        <w:t>土地最有效利用方式</w:t>
      </w:r>
    </w:p>
    <w:p w:rsidR="004935A9" w:rsidRDefault="00311723">
      <w:pPr>
        <w:snapToGrid w:val="0"/>
        <w:spacing w:line="360" w:lineRule="auto"/>
        <w:ind w:firstLineChars="200" w:firstLine="560"/>
        <w:jc w:val="both"/>
        <w:rPr>
          <w:rFonts w:ascii="Arial" w:hAnsi="Arial" w:cs="Arial"/>
          <w:sz w:val="28"/>
          <w:szCs w:val="28"/>
        </w:rPr>
      </w:pPr>
      <w:r>
        <w:rPr>
          <w:rFonts w:ascii="Arial" w:hAnsi="Arial" w:cs="Arial"/>
          <w:sz w:val="28"/>
          <w:szCs w:val="28"/>
        </w:rPr>
        <w:t>根据</w:t>
      </w:r>
      <w:r>
        <w:rPr>
          <w:rFonts w:ascii="Arial" w:hAnsi="Arial" w:cs="Arial"/>
          <w:sz w:val="28"/>
        </w:rPr>
        <w:t>委托方介绍及本次咨询目的</w:t>
      </w:r>
      <w:r>
        <w:rPr>
          <w:rFonts w:ascii="Arial" w:hAnsi="Arial" w:cs="Arial"/>
          <w:sz w:val="28"/>
          <w:szCs w:val="28"/>
        </w:rPr>
        <w:t>，本次评估设定如下：</w:t>
      </w:r>
    </w:p>
    <w:p w:rsidR="004935A9" w:rsidRDefault="00311723">
      <w:pPr>
        <w:numPr>
          <w:ilvl w:val="0"/>
          <w:numId w:val="8"/>
        </w:numPr>
        <w:spacing w:line="360" w:lineRule="auto"/>
        <w:rPr>
          <w:rFonts w:ascii="Arial" w:hAnsi="Arial" w:cs="Arial"/>
          <w:snapToGrid w:val="0"/>
          <w:sz w:val="28"/>
        </w:rPr>
      </w:pPr>
      <w:r>
        <w:rPr>
          <w:rFonts w:ascii="Arial" w:hAnsi="Arial" w:cs="Arial"/>
          <w:snapToGrid w:val="0"/>
          <w:sz w:val="28"/>
        </w:rPr>
        <w:t>设定咨询对象能够顺利完成预期的开发建设目标；</w:t>
      </w:r>
    </w:p>
    <w:p w:rsidR="004935A9" w:rsidRDefault="00311723">
      <w:pPr>
        <w:numPr>
          <w:ilvl w:val="0"/>
          <w:numId w:val="8"/>
        </w:numPr>
        <w:spacing w:line="360" w:lineRule="auto"/>
        <w:rPr>
          <w:rFonts w:ascii="Arial" w:hAnsi="Arial" w:cs="Arial"/>
          <w:snapToGrid w:val="0"/>
          <w:sz w:val="28"/>
        </w:rPr>
      </w:pPr>
      <w:r>
        <w:rPr>
          <w:rFonts w:ascii="Arial" w:hAnsi="Arial" w:cs="Arial"/>
          <w:snapToGrid w:val="0"/>
          <w:sz w:val="28"/>
        </w:rPr>
        <w:t>本项目建筑物建设周期为</w:t>
      </w:r>
      <w:r>
        <w:rPr>
          <w:rFonts w:ascii="Arial" w:hAnsi="Arial" w:cs="Arial"/>
          <w:snapToGrid w:val="0"/>
          <w:sz w:val="28"/>
        </w:rPr>
        <w:t>2.0</w:t>
      </w:r>
      <w:r>
        <w:rPr>
          <w:rFonts w:ascii="Arial" w:hAnsi="Arial" w:cs="Arial"/>
          <w:snapToGrid w:val="0"/>
          <w:sz w:val="28"/>
        </w:rPr>
        <w:t>年；</w:t>
      </w:r>
    </w:p>
    <w:p w:rsidR="004935A9" w:rsidRDefault="00311723">
      <w:pPr>
        <w:numPr>
          <w:ilvl w:val="0"/>
          <w:numId w:val="8"/>
        </w:numPr>
        <w:spacing w:line="360" w:lineRule="auto"/>
        <w:rPr>
          <w:rFonts w:ascii="Arial" w:hAnsi="Arial" w:cs="Arial"/>
          <w:snapToGrid w:val="0"/>
          <w:sz w:val="28"/>
        </w:rPr>
      </w:pPr>
      <w:r>
        <w:rPr>
          <w:rFonts w:ascii="Arial" w:hAnsi="Arial" w:cs="Arial"/>
          <w:snapToGrid w:val="0"/>
          <w:sz w:val="28"/>
        </w:rPr>
        <w:t>建安费用在项目周期内均匀投入，利息按复利计算；</w:t>
      </w:r>
    </w:p>
    <w:p w:rsidR="004935A9" w:rsidRDefault="00311723">
      <w:pPr>
        <w:numPr>
          <w:ilvl w:val="0"/>
          <w:numId w:val="8"/>
        </w:numPr>
        <w:spacing w:line="360" w:lineRule="auto"/>
        <w:ind w:right="14"/>
        <w:rPr>
          <w:rFonts w:ascii="Arial" w:hAnsi="Arial" w:cs="Arial"/>
          <w:snapToGrid w:val="0"/>
          <w:sz w:val="28"/>
        </w:rPr>
      </w:pPr>
      <w:r>
        <w:rPr>
          <w:rFonts w:ascii="Arial" w:hAnsi="Arial" w:cs="Arial"/>
          <w:snapToGrid w:val="0"/>
          <w:sz w:val="28"/>
        </w:rPr>
        <w:t>在开发建设期间，房地产市场不会发生大的变化；</w:t>
      </w:r>
    </w:p>
    <w:p w:rsidR="004935A9" w:rsidRDefault="00311723">
      <w:pPr>
        <w:numPr>
          <w:ilvl w:val="0"/>
          <w:numId w:val="8"/>
        </w:numPr>
        <w:spacing w:line="360" w:lineRule="auto"/>
        <w:ind w:right="14"/>
        <w:rPr>
          <w:rFonts w:ascii="Arial" w:hAnsi="Arial" w:cs="Arial"/>
          <w:snapToGrid w:val="0"/>
          <w:sz w:val="28"/>
        </w:rPr>
      </w:pPr>
      <w:r>
        <w:rPr>
          <w:rFonts w:ascii="Arial" w:hAnsi="Arial" w:cs="Arial"/>
          <w:snapToGrid w:val="0"/>
          <w:sz w:val="28"/>
        </w:rPr>
        <w:t>该项目在建成后即出租完毕；</w:t>
      </w:r>
    </w:p>
    <w:p w:rsidR="004935A9" w:rsidRDefault="00311723">
      <w:pPr>
        <w:numPr>
          <w:ilvl w:val="0"/>
          <w:numId w:val="8"/>
        </w:numPr>
        <w:spacing w:line="360" w:lineRule="auto"/>
        <w:ind w:right="14"/>
        <w:jc w:val="both"/>
        <w:rPr>
          <w:rFonts w:ascii="Arial" w:hAnsi="Arial" w:cs="Arial"/>
          <w:snapToGrid w:val="0"/>
          <w:sz w:val="28"/>
        </w:rPr>
      </w:pPr>
      <w:r>
        <w:rPr>
          <w:rFonts w:ascii="Arial" w:hAnsi="Arial" w:cs="Arial"/>
          <w:snapToGrid w:val="0"/>
          <w:sz w:val="28"/>
        </w:rPr>
        <w:t>在开发过程中或有调整规划用途情况建议参照本咨询结果价值水平。</w:t>
      </w:r>
    </w:p>
    <w:p w:rsidR="004935A9" w:rsidRDefault="00311723">
      <w:pPr>
        <w:spacing w:after="26" w:line="360" w:lineRule="auto"/>
        <w:ind w:firstLineChars="200" w:firstLine="560"/>
        <w:rPr>
          <w:rFonts w:ascii="Arial" w:hAnsi="Arial" w:cs="Arial"/>
          <w:snapToGrid w:val="0"/>
          <w:sz w:val="28"/>
        </w:rPr>
      </w:pPr>
      <w:r>
        <w:rPr>
          <w:rFonts w:ascii="Arial" w:hAnsi="Arial" w:cs="Arial"/>
          <w:snapToGrid w:val="0"/>
          <w:sz w:val="28"/>
        </w:rPr>
        <w:t>（</w:t>
      </w:r>
      <w:r>
        <w:rPr>
          <w:rFonts w:ascii="Arial" w:hAnsi="Arial" w:cs="Arial"/>
          <w:snapToGrid w:val="0"/>
          <w:sz w:val="28"/>
        </w:rPr>
        <w:t>2</w:t>
      </w:r>
      <w:r>
        <w:rPr>
          <w:rFonts w:ascii="Arial" w:hAnsi="Arial" w:cs="Arial"/>
          <w:snapToGrid w:val="0"/>
          <w:sz w:val="28"/>
        </w:rPr>
        <w:t>）开发完成后</w:t>
      </w:r>
      <w:r>
        <w:rPr>
          <w:rFonts w:ascii="Arial" w:hAnsi="Arial" w:cs="Arial"/>
          <w:bCs/>
          <w:sz w:val="28"/>
        </w:rPr>
        <w:t>的不动产总价</w:t>
      </w:r>
    </w:p>
    <w:p w:rsidR="004935A9" w:rsidRDefault="00311723">
      <w:pPr>
        <w:spacing w:line="360" w:lineRule="auto"/>
        <w:ind w:firstLineChars="200" w:firstLine="560"/>
        <w:outlineLvl w:val="2"/>
        <w:rPr>
          <w:rFonts w:ascii="Arial" w:hAnsi="Arial" w:cs="Arial"/>
          <w:sz w:val="28"/>
        </w:rPr>
      </w:pPr>
      <w:r>
        <w:rPr>
          <w:rFonts w:ascii="Arial" w:hAnsi="Arial" w:cs="Arial"/>
          <w:sz w:val="28"/>
        </w:rPr>
        <w:t>1</w:t>
      </w:r>
      <w:r>
        <w:rPr>
          <w:rFonts w:ascii="Arial" w:hAnsi="Arial" w:cs="Arial"/>
          <w:sz w:val="28"/>
        </w:rPr>
        <w:t>）住宅用房开发完成后不动产总价</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通过对</w:t>
      </w:r>
      <w:proofErr w:type="gramStart"/>
      <w:r>
        <w:rPr>
          <w:rFonts w:ascii="Arial" w:hAnsi="Arial" w:cs="Arial" w:hint="eastAsia"/>
          <w:sz w:val="28"/>
        </w:rPr>
        <w:t>昌平区</w:t>
      </w:r>
      <w:proofErr w:type="gramEnd"/>
      <w:r>
        <w:rPr>
          <w:rFonts w:ascii="Arial" w:hAnsi="Arial" w:cs="Arial" w:hint="eastAsia"/>
          <w:sz w:val="28"/>
        </w:rPr>
        <w:t>马池口镇百泉庄村附近公寓用房租赁市场的调查，选取近期同一供需圈及邻近地区实际成交的案例进行分析比较，咨询对象周边租金水平约</w:t>
      </w:r>
      <w:r>
        <w:rPr>
          <w:rFonts w:ascii="Arial" w:hAnsi="Arial" w:cs="Arial"/>
          <w:sz w:val="28"/>
        </w:rPr>
        <w:t>30-</w:t>
      </w:r>
      <w:r>
        <w:rPr>
          <w:rFonts w:ascii="Arial" w:hAnsi="Arial" w:cs="Arial" w:hint="eastAsia"/>
          <w:sz w:val="28"/>
        </w:rPr>
        <w:t>45</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月，结合咨询对象自身项目情况，最终估算咨询对象租金水平为</w:t>
      </w:r>
      <w:r>
        <w:rPr>
          <w:rFonts w:ascii="Arial" w:hAnsi="Arial" w:cs="Arial" w:hint="eastAsia"/>
          <w:sz w:val="28"/>
        </w:rPr>
        <w:t>40</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w:t>
      </w:r>
    </w:p>
    <w:tbl>
      <w:tblPr>
        <w:tblW w:w="5090" w:type="pct"/>
        <w:tblLayout w:type="fixed"/>
        <w:tblLook w:val="04A0" w:firstRow="1" w:lastRow="0" w:firstColumn="1" w:lastColumn="0" w:noHBand="0" w:noVBand="1"/>
      </w:tblPr>
      <w:tblGrid>
        <w:gridCol w:w="708"/>
        <w:gridCol w:w="1989"/>
        <w:gridCol w:w="988"/>
        <w:gridCol w:w="3400"/>
        <w:gridCol w:w="1561"/>
        <w:gridCol w:w="1040"/>
      </w:tblGrid>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序号</w:t>
            </w:r>
          </w:p>
        </w:tc>
        <w:tc>
          <w:tcPr>
            <w:tcW w:w="1025"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54"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05" w:type="pct"/>
            <w:tcBorders>
              <w:top w:val="single" w:sz="8" w:space="0" w:color="auto"/>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537" w:type="pct"/>
            <w:tcBorders>
              <w:top w:val="single" w:sz="8" w:space="0" w:color="auto"/>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1423</w:t>
            </w:r>
          </w:p>
        </w:tc>
        <w:tc>
          <w:tcPr>
            <w:tcW w:w="3097" w:type="pct"/>
            <w:gridSpan w:val="3"/>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p w:rsidR="004935A9" w:rsidRDefault="004935A9">
            <w:pPr>
              <w:widowControl/>
              <w:adjustRightInd/>
              <w:spacing w:line="240" w:lineRule="auto"/>
              <w:jc w:val="center"/>
              <w:textAlignment w:val="auto"/>
              <w:rPr>
                <w:rFonts w:ascii="Arial" w:hAnsi="Arial" w:cs="Arial"/>
                <w:snapToGrid w:val="0"/>
                <w:sz w:val="16"/>
              </w:rPr>
            </w:pPr>
          </w:p>
        </w:tc>
      </w:tr>
      <w:tr w:rsidR="004935A9">
        <w:trPr>
          <w:trHeight w:val="360"/>
        </w:trPr>
        <w:tc>
          <w:tcPr>
            <w:tcW w:w="365" w:type="pct"/>
            <w:vMerge w:val="restart"/>
            <w:tcBorders>
              <w:top w:val="single" w:sz="4" w:space="0" w:color="auto"/>
              <w:left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rsidR="004935A9" w:rsidRDefault="004935A9">
            <w:pPr>
              <w:spacing w:line="240" w:lineRule="auto"/>
              <w:rPr>
                <w:rFonts w:ascii="Arial" w:hAnsi="Arial" w:cs="Arial"/>
                <w:snapToGrid w:val="0"/>
                <w:sz w:val="16"/>
              </w:rPr>
            </w:pPr>
          </w:p>
        </w:tc>
        <w:tc>
          <w:tcPr>
            <w:tcW w:w="1025" w:type="pct"/>
            <w:vMerge w:val="restart"/>
            <w:tcBorders>
              <w:top w:val="single" w:sz="4" w:space="0" w:color="auto"/>
              <w:left w:val="single" w:sz="4" w:space="0" w:color="auto"/>
              <w:bottom w:val="single" w:sz="4" w:space="0" w:color="000000"/>
              <w:right w:val="single" w:sz="4" w:space="0" w:color="auto"/>
            </w:tcBorders>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1421</w:t>
            </w:r>
          </w:p>
        </w:tc>
        <w:tc>
          <w:tcPr>
            <w:tcW w:w="1754"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805" w:type="pct"/>
            <w:tcBorders>
              <w:top w:val="single" w:sz="4" w:space="0" w:color="auto"/>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snapToGrid w:val="0"/>
                <w:sz w:val="16"/>
              </w:rPr>
              <w:t>租金（元</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537" w:type="pct"/>
            <w:tcBorders>
              <w:top w:val="single" w:sz="4"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40</w:t>
            </w:r>
          </w:p>
        </w:tc>
      </w:tr>
      <w:tr w:rsidR="004935A9">
        <w:trPr>
          <w:trHeight w:val="360"/>
        </w:trPr>
        <w:tc>
          <w:tcPr>
            <w:tcW w:w="365" w:type="pct"/>
            <w:vMerge/>
            <w:tcBorders>
              <w:left w:val="single" w:sz="4" w:space="0" w:color="auto"/>
              <w:right w:val="single" w:sz="4" w:space="0" w:color="auto"/>
            </w:tcBorders>
            <w:noWrap/>
            <w:vAlign w:val="center"/>
          </w:tcPr>
          <w:p w:rsidR="004935A9" w:rsidRDefault="004935A9">
            <w:pPr>
              <w:spacing w:line="240" w:lineRule="auto"/>
              <w:rPr>
                <w:rFonts w:ascii="Arial" w:hAnsi="Arial" w:cs="Arial"/>
                <w:snapToGrid w:val="0"/>
                <w:sz w:val="16"/>
              </w:rPr>
            </w:pPr>
          </w:p>
        </w:tc>
        <w:tc>
          <w:tcPr>
            <w:tcW w:w="1025"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hint="eastAsia"/>
                <w:snapToGrid w:val="0"/>
                <w:sz w:val="16"/>
              </w:rPr>
              <w:t>面积</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31152</w:t>
            </w:r>
          </w:p>
        </w:tc>
      </w:tr>
      <w:tr w:rsidR="004935A9">
        <w:trPr>
          <w:trHeight w:val="360"/>
        </w:trPr>
        <w:tc>
          <w:tcPr>
            <w:tcW w:w="365" w:type="pct"/>
            <w:vMerge/>
            <w:tcBorders>
              <w:left w:val="single" w:sz="4" w:space="0" w:color="auto"/>
              <w:right w:val="single" w:sz="4" w:space="0" w:color="auto"/>
            </w:tcBorders>
            <w:noWrap/>
            <w:vAlign w:val="center"/>
          </w:tcPr>
          <w:p w:rsidR="004935A9" w:rsidRDefault="004935A9">
            <w:pPr>
              <w:spacing w:line="240" w:lineRule="auto"/>
              <w:rPr>
                <w:rFonts w:ascii="Arial" w:hAnsi="Arial" w:cs="Arial"/>
                <w:snapToGrid w:val="0"/>
                <w:sz w:val="16"/>
              </w:rPr>
            </w:pPr>
          </w:p>
        </w:tc>
        <w:tc>
          <w:tcPr>
            <w:tcW w:w="1025"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hint="eastAsia"/>
                <w:snapToGrid w:val="0"/>
                <w:sz w:val="16"/>
              </w:rPr>
              <w:t>月</w:t>
            </w:r>
            <w:r>
              <w:rPr>
                <w:rFonts w:ascii="Arial" w:hAnsi="Arial" w:cs="Arial"/>
                <w:snapToGrid w:val="0"/>
                <w:sz w:val="16"/>
              </w:rPr>
              <w:t>（</w:t>
            </w:r>
            <w:proofErr w:type="gramStart"/>
            <w:r>
              <w:rPr>
                <w:rFonts w:ascii="Arial" w:hAnsi="Arial" w:cs="Arial"/>
                <w:snapToGrid w:val="0"/>
                <w:sz w:val="16"/>
              </w:rPr>
              <w:t>个</w:t>
            </w:r>
            <w:proofErr w:type="gramEnd"/>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4935A9">
        <w:trPr>
          <w:trHeight w:val="360"/>
        </w:trPr>
        <w:tc>
          <w:tcPr>
            <w:tcW w:w="365" w:type="pct"/>
            <w:vMerge/>
            <w:tcBorders>
              <w:left w:val="single" w:sz="4" w:space="0" w:color="auto"/>
              <w:bottom w:val="single" w:sz="4" w:space="0" w:color="auto"/>
              <w:right w:val="single" w:sz="4" w:space="0" w:color="auto"/>
            </w:tcBorders>
            <w:noWrap/>
            <w:vAlign w:val="center"/>
          </w:tcPr>
          <w:p w:rsidR="004935A9" w:rsidRDefault="004935A9">
            <w:pPr>
              <w:widowControl/>
              <w:adjustRightInd/>
              <w:spacing w:line="240" w:lineRule="auto"/>
              <w:textAlignment w:val="auto"/>
              <w:rPr>
                <w:rFonts w:ascii="Arial" w:hAnsi="Arial" w:cs="Arial"/>
                <w:snapToGrid w:val="0"/>
                <w:sz w:val="16"/>
              </w:rPr>
            </w:pPr>
          </w:p>
        </w:tc>
        <w:tc>
          <w:tcPr>
            <w:tcW w:w="1025"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5"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p>
        </w:tc>
        <w:tc>
          <w:tcPr>
            <w:tcW w:w="1754"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805"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537" w:type="pct"/>
            <w:tcBorders>
              <w:top w:val="nil"/>
              <w:left w:val="nil"/>
              <w:bottom w:val="nil"/>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w:t>
            </w:r>
            <w:proofErr w:type="gramStart"/>
            <w:r>
              <w:rPr>
                <w:rFonts w:ascii="Arial" w:hAnsi="Arial" w:cs="Arial"/>
                <w:snapToGrid w:val="0"/>
                <w:sz w:val="16"/>
              </w:rPr>
              <w:t>一</w:t>
            </w:r>
            <w:proofErr w:type="gramEnd"/>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5" w:type="pct"/>
            <w:tcBorders>
              <w:top w:val="single" w:sz="4" w:space="0" w:color="auto"/>
              <w:left w:val="nil"/>
              <w:bottom w:val="single" w:sz="4" w:space="0" w:color="auto"/>
              <w:right w:val="single" w:sz="4" w:space="0" w:color="auto"/>
            </w:tcBorders>
            <w:vAlign w:val="center"/>
          </w:tcPr>
          <w:p w:rsidR="004935A9" w:rsidRDefault="00311723">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537" w:type="pct"/>
            <w:tcBorders>
              <w:top w:val="single" w:sz="4"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17757</w:t>
            </w:r>
          </w:p>
        </w:tc>
        <w:tc>
          <w:tcPr>
            <w:tcW w:w="1754"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80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537"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12844</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642</w:t>
            </w:r>
          </w:p>
        </w:tc>
        <w:tc>
          <w:tcPr>
            <w:tcW w:w="1754"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single" w:sz="4"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623</w:t>
            </w:r>
          </w:p>
        </w:tc>
        <w:tc>
          <w:tcPr>
            <w:tcW w:w="1754"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4</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647</w:t>
            </w:r>
          </w:p>
        </w:tc>
        <w:tc>
          <w:tcPr>
            <w:tcW w:w="1754"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257</w:t>
            </w:r>
          </w:p>
        </w:tc>
        <w:tc>
          <w:tcPr>
            <w:tcW w:w="1754"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2.0</w:t>
            </w:r>
            <w:r>
              <w:rPr>
                <w:rFonts w:ascii="Arial" w:hAnsi="Arial" w:cs="Arial"/>
                <w:snapToGrid w:val="0"/>
                <w:sz w:val="16"/>
              </w:rPr>
              <w:t>%</w:t>
            </w:r>
          </w:p>
        </w:tc>
      </w:tr>
      <w:tr w:rsidR="004935A9">
        <w:trPr>
          <w:trHeight w:val="324"/>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15013</w:t>
            </w:r>
          </w:p>
        </w:tc>
        <w:tc>
          <w:tcPr>
            <w:tcW w:w="2560" w:type="pct"/>
            <w:gridSpan w:val="2"/>
            <w:tcBorders>
              <w:top w:val="single" w:sz="4" w:space="0" w:color="auto"/>
              <w:left w:val="single" w:sz="4" w:space="0" w:color="auto"/>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537" w:type="pct"/>
            <w:tcBorders>
              <w:top w:val="nil"/>
              <w:left w:val="nil"/>
              <w:bottom w:val="single" w:sz="4" w:space="0" w:color="auto"/>
              <w:right w:val="single" w:sz="8"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300</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w:t>
            </w:r>
            <w:r>
              <w:rPr>
                <w:rFonts w:ascii="Arial" w:hAnsi="Arial" w:cs="Arial"/>
                <w:snapToGrid w:val="0"/>
                <w:sz w:val="16"/>
              </w:rPr>
              <w:t>0%</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sz="4" w:space="0" w:color="auto"/>
              <w:right w:val="single" w:sz="4"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c>
          <w:tcPr>
            <w:tcW w:w="2560" w:type="pct"/>
            <w:gridSpan w:val="2"/>
            <w:tcBorders>
              <w:top w:val="single" w:sz="4" w:space="0" w:color="auto"/>
              <w:left w:val="single" w:sz="4" w:space="0" w:color="auto"/>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的利息</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488</w:t>
            </w:r>
          </w:p>
        </w:tc>
        <w:tc>
          <w:tcPr>
            <w:tcW w:w="1754"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rsidR="004935A9">
        <w:trPr>
          <w:trHeight w:val="312"/>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0.001</w:t>
            </w:r>
          </w:p>
        </w:tc>
        <w:tc>
          <w:tcPr>
            <w:tcW w:w="1754"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3.19</w:t>
            </w:r>
            <w:r>
              <w:rPr>
                <w:rFonts w:ascii="Arial" w:hAnsi="Arial" w:cs="Arial"/>
                <w:snapToGrid w:val="0"/>
                <w:sz w:val="16"/>
              </w:rPr>
              <w:t>%</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sz="4" w:space="0" w:color="auto"/>
              <w:right w:val="single" w:sz="4"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c>
          <w:tcPr>
            <w:tcW w:w="1754"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的利润</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459</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3.0</w:t>
            </w:r>
            <w:r>
              <w:rPr>
                <w:rFonts w:ascii="Arial" w:hAnsi="Arial" w:cs="Arial"/>
                <w:snapToGrid w:val="0"/>
                <w:sz w:val="16"/>
              </w:rPr>
              <w:t>%</w:t>
            </w: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0.0009</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r>
      <w:tr w:rsidR="004935A9">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0.0524</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4935A9">
        <w:trPr>
          <w:trHeight w:val="360"/>
        </w:trPr>
        <w:tc>
          <w:tcPr>
            <w:tcW w:w="365" w:type="pct"/>
            <w:tcBorders>
              <w:top w:val="nil"/>
              <w:left w:val="single" w:sz="8" w:space="0" w:color="auto"/>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7</w:t>
            </w:r>
            <w:r>
              <w:rPr>
                <w:rFonts w:ascii="Arial" w:hAnsi="Arial" w:cs="Arial"/>
                <w:snapToGrid w:val="0"/>
                <w:sz w:val="16"/>
              </w:rPr>
              <w:t>）</w:t>
            </w:r>
          </w:p>
        </w:tc>
        <w:tc>
          <w:tcPr>
            <w:tcW w:w="1025"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510"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17757</w:t>
            </w:r>
          </w:p>
        </w:tc>
        <w:tc>
          <w:tcPr>
            <w:tcW w:w="1754" w:type="pct"/>
            <w:tcBorders>
              <w:top w:val="nil"/>
              <w:left w:val="nil"/>
              <w:bottom w:val="double" w:sz="6"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double" w:sz="6"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sz="4" w:space="0" w:color="auto"/>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353</w:t>
            </w:r>
          </w:p>
        </w:tc>
        <w:tc>
          <w:tcPr>
            <w:tcW w:w="1754"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805" w:type="pct"/>
            <w:tcBorders>
              <w:top w:val="nil"/>
              <w:left w:val="nil"/>
              <w:bottom w:val="single" w:sz="4" w:space="0" w:color="auto"/>
              <w:right w:val="nil"/>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510" w:type="pct"/>
            <w:tcBorders>
              <w:top w:val="nil"/>
              <w:left w:val="nil"/>
              <w:bottom w:val="single" w:sz="4" w:space="0" w:color="auto"/>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238.96</w:t>
            </w:r>
          </w:p>
        </w:tc>
        <w:tc>
          <w:tcPr>
            <w:tcW w:w="1754" w:type="pct"/>
            <w:tcBorders>
              <w:top w:val="nil"/>
              <w:left w:val="nil"/>
              <w:bottom w:val="single" w:sz="4" w:space="0" w:color="auto"/>
              <w:right w:val="nil"/>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805" w:type="pct"/>
            <w:tcBorders>
              <w:top w:val="nil"/>
              <w:left w:val="single" w:sz="4" w:space="0" w:color="auto"/>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537" w:type="pct"/>
            <w:tcBorders>
              <w:top w:val="nil"/>
              <w:left w:val="nil"/>
              <w:bottom w:val="single" w:sz="4" w:space="0" w:color="auto"/>
              <w:right w:val="single" w:sz="8" w:space="0" w:color="auto"/>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commentRangeStart w:id="335"/>
            <w:r>
              <w:rPr>
                <w:rFonts w:ascii="Arial" w:hAnsi="Arial" w:cs="Arial"/>
                <w:snapToGrid w:val="0"/>
                <w:sz w:val="16"/>
              </w:rPr>
              <w:t>两税两费</w:t>
            </w:r>
            <w:commentRangeEnd w:id="335"/>
            <w:r>
              <w:rPr>
                <w:rStyle w:val="af3"/>
              </w:rPr>
              <w:commentReference w:id="335"/>
            </w:r>
          </w:p>
        </w:tc>
        <w:tc>
          <w:tcPr>
            <w:tcW w:w="510" w:type="pct"/>
            <w:tcBorders>
              <w:top w:val="nil"/>
              <w:left w:val="nil"/>
              <w:bottom w:val="single" w:sz="4" w:space="0" w:color="auto"/>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74.43</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sz="4" w:space="0" w:color="auto"/>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162.4</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12.0</w:t>
            </w:r>
            <w:r>
              <w:rPr>
                <w:rFonts w:ascii="Arial" w:hAnsi="Arial" w:cs="Arial"/>
                <w:snapToGrid w:val="0"/>
                <w:sz w:val="16"/>
              </w:rPr>
              <w:t>%</w:t>
            </w:r>
          </w:p>
        </w:tc>
      </w:tr>
      <w:tr w:rsidR="004935A9">
        <w:trPr>
          <w:trHeight w:val="90"/>
        </w:trPr>
        <w:tc>
          <w:tcPr>
            <w:tcW w:w="365"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25"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2.13</w:t>
            </w:r>
          </w:p>
        </w:tc>
        <w:tc>
          <w:tcPr>
            <w:tcW w:w="1754"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tcPr>
          <w:p w:rsidR="004935A9" w:rsidRDefault="004935A9">
            <w:pPr>
              <w:spacing w:line="240" w:lineRule="auto"/>
              <w:jc w:val="center"/>
              <w:rPr>
                <w:rFonts w:ascii="Arial" w:hAnsi="Arial" w:cs="Arial"/>
                <w:snapToGrid w:val="0"/>
                <w:sz w:val="16"/>
              </w:rPr>
            </w:pP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14181.95</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sz="4" w:space="0" w:color="auto"/>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88.79</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sz="4" w:space="0" w:color="auto"/>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17.76</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4935A9">
        <w:trPr>
          <w:trHeight w:val="360"/>
        </w:trPr>
        <w:tc>
          <w:tcPr>
            <w:tcW w:w="365" w:type="pct"/>
            <w:tcBorders>
              <w:top w:val="nil"/>
              <w:left w:val="single" w:sz="8" w:space="0" w:color="auto"/>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25"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sz="6" w:space="0" w:color="auto"/>
              <w:right w:val="single" w:sz="4" w:space="0" w:color="auto"/>
            </w:tcBorders>
            <w:noWrap/>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7.12</w:t>
            </w:r>
          </w:p>
        </w:tc>
        <w:tc>
          <w:tcPr>
            <w:tcW w:w="1754" w:type="pct"/>
            <w:tcBorders>
              <w:top w:val="nil"/>
              <w:left w:val="nil"/>
              <w:bottom w:val="double" w:sz="6"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double" w:sz="6"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0.5</w:t>
            </w:r>
            <w:r>
              <w:rPr>
                <w:rFonts w:ascii="Arial" w:hAnsi="Arial" w:cs="Arial"/>
                <w:snapToGrid w:val="0"/>
                <w:sz w:val="16"/>
              </w:rPr>
              <w:t>%</w:t>
            </w:r>
          </w:p>
        </w:tc>
      </w:tr>
      <w:tr w:rsidR="004935A9">
        <w:trPr>
          <w:trHeight w:val="492"/>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sz="4" w:space="0" w:color="auto"/>
              <w:right w:val="single" w:sz="4" w:space="0" w:color="auto"/>
            </w:tcBorders>
            <w:noWrap/>
            <w:vAlign w:val="center"/>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1070</w:t>
            </w:r>
          </w:p>
        </w:tc>
        <w:tc>
          <w:tcPr>
            <w:tcW w:w="1754" w:type="pct"/>
            <w:tcBorders>
              <w:top w:val="nil"/>
              <w:left w:val="nil"/>
              <w:bottom w:val="single" w:sz="4" w:space="0" w:color="auto"/>
              <w:right w:val="nil"/>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805" w:type="pct"/>
            <w:tcBorders>
              <w:top w:val="nil"/>
              <w:left w:val="nil"/>
              <w:bottom w:val="single" w:sz="4" w:space="0" w:color="auto"/>
              <w:right w:val="nil"/>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65"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sz="4" w:space="0" w:color="auto"/>
            </w:tcBorders>
            <w:noWrap/>
            <w:vAlign w:val="center"/>
          </w:tcPr>
          <w:p w:rsidR="004935A9" w:rsidRDefault="00311723">
            <w:pPr>
              <w:spacing w:line="240" w:lineRule="auto"/>
              <w:jc w:val="center"/>
              <w:rPr>
                <w:rFonts w:ascii="Arial" w:hAnsi="Arial" w:cs="Arial"/>
                <w:snapToGrid w:val="0"/>
                <w:sz w:val="16"/>
              </w:rPr>
            </w:pPr>
            <w:r>
              <w:rPr>
                <w:rFonts w:ascii="Arial" w:hAnsi="Arial" w:cs="Arial" w:hint="eastAsia"/>
                <w:snapToGrid w:val="0"/>
                <w:sz w:val="16"/>
              </w:rPr>
              <w:t>22522</w:t>
            </w:r>
          </w:p>
        </w:tc>
        <w:tc>
          <w:tcPr>
            <w:tcW w:w="1754"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r>
              <w:rPr>
                <w:rFonts w:ascii="Arial" w:hAnsi="Arial" w:cs="Arial"/>
                <w:snapToGrid w:val="0"/>
                <w:sz w:val="16"/>
              </w:rPr>
              <w:t>%</w:t>
            </w:r>
          </w:p>
        </w:tc>
      </w:tr>
      <w:tr w:rsidR="004935A9">
        <w:trPr>
          <w:trHeight w:val="360"/>
        </w:trPr>
        <w:tc>
          <w:tcPr>
            <w:tcW w:w="365"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 xml:space="preserve">　</w:t>
            </w:r>
          </w:p>
        </w:tc>
        <w:tc>
          <w:tcPr>
            <w:tcW w:w="1025"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nil"/>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47.50</w:t>
            </w:r>
            <w:r>
              <w:rPr>
                <w:rFonts w:ascii="Arial" w:hAnsi="Arial" w:cs="Arial"/>
                <w:snapToGrid w:val="0"/>
                <w:sz w:val="16"/>
              </w:rPr>
              <w:t xml:space="preserve"> </w:t>
            </w:r>
          </w:p>
        </w:tc>
      </w:tr>
      <w:tr w:rsidR="004935A9">
        <w:trPr>
          <w:trHeight w:val="360"/>
        </w:trPr>
        <w:tc>
          <w:tcPr>
            <w:tcW w:w="365"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5"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537"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rsidR="004935A9">
        <w:trPr>
          <w:trHeight w:val="360"/>
        </w:trPr>
        <w:tc>
          <w:tcPr>
            <w:tcW w:w="365" w:type="pct"/>
            <w:tcBorders>
              <w:top w:val="nil"/>
              <w:left w:val="single" w:sz="8" w:space="0" w:color="auto"/>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510" w:type="pct"/>
            <w:tcBorders>
              <w:top w:val="nil"/>
              <w:left w:val="nil"/>
              <w:bottom w:val="single" w:sz="8"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hint="eastAsia"/>
                <w:snapToGrid w:val="0"/>
                <w:sz w:val="16"/>
              </w:rPr>
              <w:t>7230</w:t>
            </w:r>
          </w:p>
        </w:tc>
        <w:tc>
          <w:tcPr>
            <w:tcW w:w="1754"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805"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537" w:type="pct"/>
            <w:tcBorders>
              <w:top w:val="nil"/>
              <w:left w:val="nil"/>
              <w:bottom w:val="single" w:sz="8"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31152.00</w:t>
            </w:r>
            <w:r>
              <w:rPr>
                <w:rFonts w:ascii="Arial" w:hAnsi="Arial" w:cs="Arial"/>
                <w:snapToGrid w:val="0"/>
                <w:sz w:val="16"/>
              </w:rPr>
              <w:t xml:space="preserve"> </w:t>
            </w:r>
          </w:p>
        </w:tc>
      </w:tr>
    </w:tbl>
    <w:p w:rsidR="004935A9" w:rsidRDefault="004935A9">
      <w:pPr>
        <w:spacing w:after="26" w:line="360" w:lineRule="auto"/>
        <w:ind w:firstLineChars="200" w:firstLine="560"/>
        <w:rPr>
          <w:rFonts w:ascii="Arial" w:hAnsi="Arial" w:cs="Arial"/>
          <w:sz w:val="28"/>
        </w:rPr>
      </w:pP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）商业用房开发完成后不动产总价</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通过对</w:t>
      </w:r>
      <w:proofErr w:type="gramStart"/>
      <w:r>
        <w:rPr>
          <w:rFonts w:ascii="Arial" w:hAnsi="Arial" w:cs="Arial" w:hint="eastAsia"/>
          <w:sz w:val="28"/>
        </w:rPr>
        <w:t>昌平区</w:t>
      </w:r>
      <w:proofErr w:type="gramEnd"/>
      <w:r>
        <w:rPr>
          <w:rFonts w:ascii="Arial" w:hAnsi="Arial" w:cs="Arial" w:hint="eastAsia"/>
          <w:sz w:val="28"/>
        </w:rPr>
        <w:t>马池口镇百泉庄村附近商业用房租赁市场的调查，选取近期同一供需圈及邻近地区实际成交的案例进行分析比较，咨询对象周边租金水平约</w:t>
      </w:r>
      <w:r>
        <w:rPr>
          <w:rFonts w:ascii="Arial" w:hAnsi="Arial" w:cs="Arial" w:hint="eastAsia"/>
          <w:sz w:val="28"/>
        </w:rPr>
        <w:t>50-65</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月，结合咨询对象自身项目情况，最终估算咨询对象租金水平为</w:t>
      </w:r>
      <w:r>
        <w:rPr>
          <w:rFonts w:ascii="Arial" w:hAnsi="Arial" w:cs="Arial" w:hint="eastAsia"/>
          <w:sz w:val="28"/>
        </w:rPr>
        <w:t>58</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w:t>
      </w:r>
    </w:p>
    <w:tbl>
      <w:tblPr>
        <w:tblW w:w="5092" w:type="pct"/>
        <w:tblInd w:w="-176" w:type="dxa"/>
        <w:tblLayout w:type="fixed"/>
        <w:tblLook w:val="04A0" w:firstRow="1" w:lastRow="0" w:firstColumn="1" w:lastColumn="0" w:noHBand="0" w:noVBand="1"/>
      </w:tblPr>
      <w:tblGrid>
        <w:gridCol w:w="616"/>
        <w:gridCol w:w="2118"/>
        <w:gridCol w:w="952"/>
        <w:gridCol w:w="3504"/>
        <w:gridCol w:w="1599"/>
        <w:gridCol w:w="901"/>
      </w:tblGrid>
      <w:tr w:rsidR="004935A9">
        <w:trPr>
          <w:trHeight w:val="360"/>
        </w:trPr>
        <w:tc>
          <w:tcPr>
            <w:tcW w:w="318" w:type="pct"/>
            <w:tcBorders>
              <w:top w:val="single" w:sz="8" w:space="0" w:color="auto"/>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93"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491"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08"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25" w:type="pct"/>
            <w:tcBorders>
              <w:top w:val="single" w:sz="8" w:space="0" w:color="auto"/>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465" w:type="pct"/>
            <w:tcBorders>
              <w:top w:val="single" w:sz="8" w:space="0" w:color="auto"/>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18"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491"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3098" w:type="pct"/>
            <w:gridSpan w:val="3"/>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tc>
      </w:tr>
      <w:tr w:rsidR="004935A9">
        <w:trPr>
          <w:trHeight w:val="360"/>
        </w:trPr>
        <w:tc>
          <w:tcPr>
            <w:tcW w:w="318" w:type="pct"/>
            <w:vMerge w:val="restart"/>
            <w:tcBorders>
              <w:top w:val="single" w:sz="4" w:space="0" w:color="auto"/>
              <w:left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rsidR="004935A9" w:rsidRDefault="004935A9">
            <w:pPr>
              <w:spacing w:line="240" w:lineRule="auto"/>
              <w:rPr>
                <w:rFonts w:ascii="Arial" w:hAnsi="Arial" w:cs="Arial"/>
                <w:snapToGrid w:val="0"/>
                <w:sz w:val="16"/>
              </w:rPr>
            </w:pPr>
          </w:p>
        </w:tc>
        <w:tc>
          <w:tcPr>
            <w:tcW w:w="1093" w:type="pct"/>
            <w:vMerge w:val="restart"/>
            <w:tcBorders>
              <w:top w:val="single" w:sz="4" w:space="0" w:color="auto"/>
              <w:left w:val="single" w:sz="4" w:space="0" w:color="auto"/>
              <w:bottom w:val="single" w:sz="4" w:space="0" w:color="000000"/>
              <w:right w:val="single" w:sz="4" w:space="0" w:color="auto"/>
            </w:tcBorders>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491"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1808"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825" w:type="pct"/>
            <w:tcBorders>
              <w:top w:val="single" w:sz="4" w:space="0" w:color="auto"/>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snapToGrid w:val="0"/>
                <w:sz w:val="16"/>
              </w:rPr>
              <w:t>租金（元</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465" w:type="pct"/>
            <w:tcBorders>
              <w:top w:val="single" w:sz="4"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58</w:t>
            </w:r>
          </w:p>
        </w:tc>
      </w:tr>
      <w:tr w:rsidR="004935A9">
        <w:trPr>
          <w:trHeight w:val="447"/>
        </w:trPr>
        <w:tc>
          <w:tcPr>
            <w:tcW w:w="318" w:type="pct"/>
            <w:vMerge/>
            <w:tcBorders>
              <w:left w:val="single" w:sz="8" w:space="0" w:color="auto"/>
              <w:right w:val="single" w:sz="4" w:space="0" w:color="auto"/>
            </w:tcBorders>
            <w:noWrap/>
            <w:vAlign w:val="center"/>
          </w:tcPr>
          <w:p w:rsidR="004935A9" w:rsidRDefault="004935A9">
            <w:pPr>
              <w:spacing w:line="240" w:lineRule="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hint="eastAsia"/>
                <w:snapToGrid w:val="0"/>
                <w:sz w:val="16"/>
              </w:rPr>
              <w:t>面积</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796</w:t>
            </w:r>
          </w:p>
        </w:tc>
      </w:tr>
      <w:tr w:rsidR="004935A9">
        <w:trPr>
          <w:trHeight w:val="360"/>
        </w:trPr>
        <w:tc>
          <w:tcPr>
            <w:tcW w:w="318" w:type="pct"/>
            <w:vMerge/>
            <w:tcBorders>
              <w:left w:val="single" w:sz="8" w:space="0" w:color="auto"/>
              <w:right w:val="single" w:sz="4" w:space="0" w:color="auto"/>
            </w:tcBorders>
            <w:noWrap/>
            <w:vAlign w:val="center"/>
          </w:tcPr>
          <w:p w:rsidR="004935A9" w:rsidRDefault="004935A9">
            <w:pPr>
              <w:spacing w:line="240" w:lineRule="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hint="eastAsia"/>
                <w:snapToGrid w:val="0"/>
                <w:sz w:val="16"/>
              </w:rPr>
              <w:t>月</w:t>
            </w:r>
            <w:r>
              <w:rPr>
                <w:rFonts w:ascii="Arial" w:hAnsi="Arial" w:cs="Arial"/>
                <w:snapToGrid w:val="0"/>
                <w:sz w:val="16"/>
              </w:rPr>
              <w:t>（</w:t>
            </w:r>
            <w:proofErr w:type="gramStart"/>
            <w:r>
              <w:rPr>
                <w:rFonts w:ascii="Arial" w:hAnsi="Arial" w:cs="Arial"/>
                <w:snapToGrid w:val="0"/>
                <w:sz w:val="16"/>
              </w:rPr>
              <w:t>个</w:t>
            </w:r>
            <w:proofErr w:type="gramEnd"/>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4935A9">
        <w:trPr>
          <w:trHeight w:val="360"/>
        </w:trPr>
        <w:tc>
          <w:tcPr>
            <w:tcW w:w="318" w:type="pct"/>
            <w:vMerge/>
            <w:tcBorders>
              <w:left w:val="single" w:sz="8" w:space="0" w:color="auto"/>
              <w:bottom w:val="nil"/>
              <w:right w:val="single" w:sz="4" w:space="0" w:color="auto"/>
            </w:tcBorders>
            <w:noWrap/>
            <w:vAlign w:val="center"/>
          </w:tcPr>
          <w:p w:rsidR="004935A9" w:rsidRDefault="004935A9">
            <w:pPr>
              <w:widowControl/>
              <w:adjustRightInd/>
              <w:spacing w:line="240" w:lineRule="auto"/>
              <w:textAlignment w:val="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4935A9" w:rsidRDefault="00311723">
            <w:pPr>
              <w:spacing w:line="240" w:lineRule="auto"/>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ascii="Arial" w:hAnsi="Arial" w:cs="Arial" w:hint="eastAsia"/>
                <w:snapToGrid w:val="0"/>
                <w:sz w:val="16"/>
              </w:rPr>
              <w:t>0</w:t>
            </w:r>
            <w:r>
              <w:rPr>
                <w:rFonts w:ascii="Arial" w:hAnsi="Arial" w:cs="Arial"/>
                <w:snapToGrid w:val="0"/>
                <w:sz w:val="16"/>
              </w:rPr>
              <w:t>.0%</w:t>
            </w:r>
          </w:p>
        </w:tc>
      </w:tr>
      <w:tr w:rsidR="004935A9">
        <w:trPr>
          <w:trHeight w:val="360"/>
        </w:trPr>
        <w:tc>
          <w:tcPr>
            <w:tcW w:w="318" w:type="pct"/>
            <w:tcBorders>
              <w:top w:val="single" w:sz="4" w:space="0" w:color="auto"/>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491"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w:t>
            </w:r>
          </w:p>
        </w:tc>
        <w:tc>
          <w:tcPr>
            <w:tcW w:w="1808"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825"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w:t>
            </w:r>
            <w:proofErr w:type="gramStart"/>
            <w:r>
              <w:rPr>
                <w:rFonts w:ascii="Arial" w:hAnsi="Arial" w:cs="Arial"/>
                <w:snapToGrid w:val="0"/>
                <w:sz w:val="16"/>
              </w:rPr>
              <w:t>一</w:t>
            </w:r>
            <w:proofErr w:type="gramEnd"/>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single" w:sz="4" w:space="0" w:color="auto"/>
              <w:left w:val="nil"/>
              <w:bottom w:val="single" w:sz="4" w:space="0" w:color="auto"/>
              <w:right w:val="single" w:sz="4" w:space="0" w:color="auto"/>
            </w:tcBorders>
            <w:vAlign w:val="center"/>
          </w:tcPr>
          <w:p w:rsidR="004935A9" w:rsidRDefault="00311723">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sz="4"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18"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491"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465</w:t>
            </w:r>
          </w:p>
        </w:tc>
        <w:tc>
          <w:tcPr>
            <w:tcW w:w="1808"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82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46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491" w:type="pct"/>
            <w:tcBorders>
              <w:top w:val="nil"/>
              <w:left w:val="nil"/>
              <w:bottom w:val="single" w:sz="4" w:space="0" w:color="auto"/>
              <w:right w:val="nil"/>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328</w:t>
            </w:r>
          </w:p>
        </w:tc>
        <w:tc>
          <w:tcPr>
            <w:tcW w:w="3098" w:type="pct"/>
            <w:gridSpan w:val="3"/>
            <w:tcBorders>
              <w:top w:val="single" w:sz="4" w:space="0" w:color="auto"/>
              <w:left w:val="single" w:sz="4" w:space="0" w:color="auto"/>
              <w:bottom w:val="single" w:sz="4" w:space="0" w:color="auto"/>
              <w:right w:val="single" w:sz="4" w:space="0" w:color="auto"/>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16</w:t>
            </w:r>
          </w:p>
        </w:tc>
        <w:tc>
          <w:tcPr>
            <w:tcW w:w="1808"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4935A9">
        <w:trPr>
          <w:trHeight w:val="9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p>
        </w:tc>
        <w:tc>
          <w:tcPr>
            <w:tcW w:w="1808"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不计取</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4</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w:t>
            </w:r>
          </w:p>
        </w:tc>
        <w:tc>
          <w:tcPr>
            <w:tcW w:w="1808"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200</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w:t>
            </w:r>
          </w:p>
        </w:tc>
        <w:tc>
          <w:tcPr>
            <w:tcW w:w="1808"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368</w:t>
            </w:r>
          </w:p>
        </w:tc>
        <w:tc>
          <w:tcPr>
            <w:tcW w:w="2633" w:type="pct"/>
            <w:gridSpan w:val="2"/>
            <w:tcBorders>
              <w:top w:val="single" w:sz="4" w:space="0" w:color="auto"/>
              <w:left w:val="single" w:sz="4" w:space="0" w:color="auto"/>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3.0</w:t>
            </w:r>
            <w:r>
              <w:rPr>
                <w:rFonts w:ascii="Arial" w:hAnsi="Arial" w:cs="Arial"/>
                <w:snapToGrid w:val="0"/>
                <w:sz w:val="16"/>
              </w:rPr>
              <w:t>%</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2633" w:type="pct"/>
            <w:gridSpan w:val="2"/>
            <w:tcBorders>
              <w:top w:val="single" w:sz="4" w:space="0" w:color="auto"/>
              <w:left w:val="single" w:sz="4" w:space="0" w:color="auto"/>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的利息</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w:t>
            </w:r>
          </w:p>
        </w:tc>
        <w:tc>
          <w:tcPr>
            <w:tcW w:w="1808"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0.001</w:t>
            </w:r>
          </w:p>
        </w:tc>
        <w:tc>
          <w:tcPr>
            <w:tcW w:w="1808"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3.19</w:t>
            </w:r>
            <w:r>
              <w:rPr>
                <w:rFonts w:ascii="Arial" w:hAnsi="Arial" w:cs="Arial"/>
                <w:snapToGrid w:val="0"/>
                <w:sz w:val="16"/>
              </w:rPr>
              <w:t>%</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的利润</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38</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10.0%</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0.003</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0.0524</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4935A9">
        <w:trPr>
          <w:trHeight w:val="360"/>
        </w:trPr>
        <w:tc>
          <w:tcPr>
            <w:tcW w:w="318" w:type="pct"/>
            <w:tcBorders>
              <w:top w:val="nil"/>
              <w:left w:val="single" w:sz="8" w:space="0" w:color="auto"/>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w:t>
            </w:r>
            <w:r>
              <w:rPr>
                <w:rFonts w:ascii="Arial" w:hAnsi="Arial" w:cs="Arial"/>
                <w:snapToGrid w:val="0"/>
                <w:sz w:val="16"/>
              </w:rPr>
              <w:t>7</w:t>
            </w:r>
            <w:r>
              <w:rPr>
                <w:rFonts w:ascii="Arial" w:hAnsi="Arial" w:cs="Arial"/>
                <w:snapToGrid w:val="0"/>
                <w:sz w:val="16"/>
              </w:rPr>
              <w:t>）</w:t>
            </w:r>
          </w:p>
        </w:tc>
        <w:tc>
          <w:tcPr>
            <w:tcW w:w="1093"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491"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465</w:t>
            </w:r>
          </w:p>
        </w:tc>
        <w:tc>
          <w:tcPr>
            <w:tcW w:w="1808" w:type="pct"/>
            <w:tcBorders>
              <w:top w:val="nil"/>
              <w:left w:val="nil"/>
              <w:bottom w:val="double" w:sz="6"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double" w:sz="6"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11</w:t>
            </w:r>
          </w:p>
        </w:tc>
        <w:tc>
          <w:tcPr>
            <w:tcW w:w="1808"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825" w:type="pct"/>
            <w:tcBorders>
              <w:top w:val="nil"/>
              <w:left w:val="nil"/>
              <w:bottom w:val="single" w:sz="4" w:space="0" w:color="auto"/>
              <w:right w:val="nil"/>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8.38</w:t>
            </w:r>
          </w:p>
        </w:tc>
        <w:tc>
          <w:tcPr>
            <w:tcW w:w="1808" w:type="pct"/>
            <w:tcBorders>
              <w:top w:val="nil"/>
              <w:left w:val="nil"/>
              <w:bottom w:val="single" w:sz="4" w:space="0" w:color="auto"/>
              <w:right w:val="nil"/>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825" w:type="pct"/>
            <w:tcBorders>
              <w:top w:val="nil"/>
              <w:left w:val="single" w:sz="4" w:space="0" w:color="auto"/>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sz="4" w:space="0" w:color="auto"/>
              <w:right w:val="single" w:sz="8"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2.62</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5.71</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12</w:t>
            </w:r>
            <w:r>
              <w:rPr>
                <w:rFonts w:ascii="Arial" w:hAnsi="Arial" w:cs="Arial"/>
                <w:snapToGrid w:val="0"/>
                <w:sz w:val="16"/>
              </w:rPr>
              <w:t>.0%</w:t>
            </w:r>
          </w:p>
        </w:tc>
      </w:tr>
      <w:tr w:rsidR="004935A9">
        <w:trPr>
          <w:trHeight w:val="360"/>
        </w:trPr>
        <w:tc>
          <w:tcPr>
            <w:tcW w:w="318"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93"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491"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w:t>
            </w:r>
          </w:p>
        </w:tc>
        <w:tc>
          <w:tcPr>
            <w:tcW w:w="1808"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346.13</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2.33</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0.47</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4935A9">
        <w:trPr>
          <w:trHeight w:val="360"/>
        </w:trPr>
        <w:tc>
          <w:tcPr>
            <w:tcW w:w="318" w:type="pct"/>
            <w:tcBorders>
              <w:top w:val="nil"/>
              <w:left w:val="single" w:sz="8" w:space="0" w:color="auto"/>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93"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0.25</w:t>
            </w:r>
          </w:p>
        </w:tc>
        <w:tc>
          <w:tcPr>
            <w:tcW w:w="1808" w:type="pct"/>
            <w:tcBorders>
              <w:top w:val="nil"/>
              <w:left w:val="nil"/>
              <w:bottom w:val="double" w:sz="6"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double" w:sz="6"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4935A9">
        <w:trPr>
          <w:trHeight w:val="492"/>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39</w:t>
            </w:r>
          </w:p>
        </w:tc>
        <w:tc>
          <w:tcPr>
            <w:tcW w:w="1808" w:type="pct"/>
            <w:tcBorders>
              <w:top w:val="nil"/>
              <w:left w:val="nil"/>
              <w:bottom w:val="single" w:sz="4" w:space="0" w:color="auto"/>
              <w:right w:val="nil"/>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825" w:type="pct"/>
            <w:tcBorders>
              <w:top w:val="nil"/>
              <w:left w:val="nil"/>
              <w:bottom w:val="single" w:sz="4" w:space="0" w:color="auto"/>
              <w:right w:val="nil"/>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286"/>
        </w:trPr>
        <w:tc>
          <w:tcPr>
            <w:tcW w:w="318"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491"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701</w:t>
            </w:r>
          </w:p>
        </w:tc>
        <w:tc>
          <w:tcPr>
            <w:tcW w:w="1808"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w:t>
            </w:r>
            <w:r>
              <w:rPr>
                <w:rFonts w:ascii="Arial" w:hAnsi="Arial" w:cs="Arial"/>
                <w:snapToGrid w:val="0"/>
                <w:sz w:val="16"/>
              </w:rPr>
              <w:t>.0%</w:t>
            </w:r>
          </w:p>
        </w:tc>
      </w:tr>
      <w:tr w:rsidR="004935A9">
        <w:trPr>
          <w:trHeight w:val="360"/>
        </w:trPr>
        <w:tc>
          <w:tcPr>
            <w:tcW w:w="318"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47.50</w:t>
            </w:r>
          </w:p>
        </w:tc>
      </w:tr>
      <w:tr w:rsidR="004935A9">
        <w:trPr>
          <w:trHeight w:val="360"/>
        </w:trPr>
        <w:tc>
          <w:tcPr>
            <w:tcW w:w="318"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rsidR="004935A9">
        <w:trPr>
          <w:trHeight w:val="360"/>
        </w:trPr>
        <w:tc>
          <w:tcPr>
            <w:tcW w:w="318" w:type="pct"/>
            <w:tcBorders>
              <w:top w:val="nil"/>
              <w:left w:val="single" w:sz="8" w:space="0" w:color="auto"/>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491"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8807</w:t>
            </w:r>
          </w:p>
        </w:tc>
        <w:tc>
          <w:tcPr>
            <w:tcW w:w="1808"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825"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sz="8"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796</w:t>
            </w:r>
          </w:p>
        </w:tc>
      </w:tr>
    </w:tbl>
    <w:p w:rsidR="004935A9" w:rsidRDefault="004935A9">
      <w:pPr>
        <w:pStyle w:val="ac"/>
        <w:ind w:firstLine="560"/>
        <w:jc w:val="both"/>
        <w:rPr>
          <w:rFonts w:ascii="Arial" w:hAnsi="Arial" w:cs="Arial"/>
          <w:sz w:val="28"/>
          <w:szCs w:val="20"/>
        </w:rPr>
      </w:pP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w:t>
      </w:r>
      <w:r>
        <w:rPr>
          <w:rFonts w:ascii="Arial" w:hAnsi="Arial" w:cs="Arial" w:hint="eastAsia"/>
          <w:sz w:val="28"/>
        </w:rPr>
        <w:t>地下</w:t>
      </w:r>
      <w:r>
        <w:rPr>
          <w:rFonts w:ascii="Arial" w:hAnsi="Arial" w:cs="Arial"/>
          <w:sz w:val="28"/>
        </w:rPr>
        <w:t>车库用房开发完成后不动产总价</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通过对</w:t>
      </w:r>
      <w:proofErr w:type="gramStart"/>
      <w:r>
        <w:rPr>
          <w:rFonts w:ascii="Arial" w:hAnsi="Arial" w:cs="Arial" w:hint="eastAsia"/>
          <w:sz w:val="28"/>
        </w:rPr>
        <w:t>昌平区</w:t>
      </w:r>
      <w:proofErr w:type="gramEnd"/>
      <w:r>
        <w:rPr>
          <w:rFonts w:ascii="Arial" w:hAnsi="Arial" w:cs="Arial" w:hint="eastAsia"/>
          <w:sz w:val="28"/>
        </w:rPr>
        <w:t>马池口镇百泉庄村附近地下车库用房租赁市场的调查，选取近期同一供需圈及邻近地区实际成交的案例进行分析比较，咨询对象周边租金水平约</w:t>
      </w:r>
      <w:r>
        <w:rPr>
          <w:rFonts w:ascii="Arial" w:hAnsi="Arial" w:cs="Arial" w:hint="eastAsia"/>
          <w:sz w:val="28"/>
        </w:rPr>
        <w:t>150-300</w:t>
      </w:r>
      <w:r>
        <w:rPr>
          <w:rFonts w:ascii="Arial" w:hAnsi="Arial" w:cs="Arial" w:hint="eastAsia"/>
          <w:sz w:val="28"/>
        </w:rPr>
        <w:t>元</w:t>
      </w:r>
      <w:r>
        <w:rPr>
          <w:rFonts w:ascii="Arial" w:hAnsi="Arial" w:cs="Arial" w:hint="eastAsia"/>
          <w:sz w:val="28"/>
        </w:rPr>
        <w:t>/</w:t>
      </w:r>
      <w:proofErr w:type="gramStart"/>
      <w:r>
        <w:rPr>
          <w:rFonts w:ascii="Arial" w:hAnsi="Arial" w:cs="Arial" w:hint="eastAsia"/>
          <w:sz w:val="28"/>
        </w:rPr>
        <w:t>个</w:t>
      </w:r>
      <w:proofErr w:type="gramEnd"/>
      <w:r>
        <w:rPr>
          <w:rFonts w:ascii="Arial" w:hAnsi="Arial" w:cs="Arial" w:hint="eastAsia"/>
          <w:sz w:val="28"/>
        </w:rPr>
        <w:t>/</w:t>
      </w:r>
      <w:r>
        <w:rPr>
          <w:rFonts w:ascii="Arial" w:hAnsi="Arial" w:cs="Arial" w:hint="eastAsia"/>
          <w:sz w:val="28"/>
        </w:rPr>
        <w:t>月，根据委托方提供的《估价委托书》中的规划条件及介绍，最终估算咨询对象租金水平为</w:t>
      </w:r>
      <w:r>
        <w:rPr>
          <w:rFonts w:ascii="Arial" w:hAnsi="Arial" w:cs="Arial" w:hint="eastAsia"/>
          <w:sz w:val="28"/>
        </w:rPr>
        <w:t>200</w:t>
      </w:r>
      <w:r>
        <w:rPr>
          <w:rFonts w:ascii="Arial" w:hAnsi="Arial" w:cs="Arial" w:hint="eastAsia"/>
          <w:sz w:val="28"/>
        </w:rPr>
        <w:t>元</w:t>
      </w:r>
      <w:r>
        <w:rPr>
          <w:rFonts w:ascii="Arial" w:hAnsi="Arial" w:cs="Arial" w:hint="eastAsia"/>
          <w:sz w:val="28"/>
        </w:rPr>
        <w:t>/</w:t>
      </w:r>
      <w:proofErr w:type="gramStart"/>
      <w:r>
        <w:rPr>
          <w:rFonts w:ascii="Arial" w:hAnsi="Arial" w:cs="Arial" w:hint="eastAsia"/>
          <w:sz w:val="28"/>
        </w:rPr>
        <w:t>个</w:t>
      </w:r>
      <w:proofErr w:type="gramEnd"/>
      <w:r>
        <w:rPr>
          <w:rFonts w:ascii="Arial" w:hAnsi="Arial" w:cs="Arial" w:hint="eastAsia"/>
          <w:sz w:val="28"/>
        </w:rPr>
        <w:t>/</w:t>
      </w:r>
      <w:r>
        <w:rPr>
          <w:rFonts w:ascii="Arial" w:hAnsi="Arial" w:cs="Arial" w:hint="eastAsia"/>
          <w:sz w:val="28"/>
        </w:rPr>
        <w:t>月。</w:t>
      </w:r>
    </w:p>
    <w:tbl>
      <w:tblPr>
        <w:tblW w:w="5090" w:type="pct"/>
        <w:tblInd w:w="-176" w:type="dxa"/>
        <w:tblLayout w:type="fixed"/>
        <w:tblLook w:val="04A0" w:firstRow="1" w:lastRow="0" w:firstColumn="1" w:lastColumn="0" w:noHBand="0" w:noVBand="1"/>
      </w:tblPr>
      <w:tblGrid>
        <w:gridCol w:w="621"/>
        <w:gridCol w:w="2143"/>
        <w:gridCol w:w="988"/>
        <w:gridCol w:w="3520"/>
        <w:gridCol w:w="1513"/>
        <w:gridCol w:w="901"/>
      </w:tblGrid>
      <w:tr w:rsidR="004935A9">
        <w:trPr>
          <w:trHeight w:val="360"/>
        </w:trPr>
        <w:tc>
          <w:tcPr>
            <w:tcW w:w="320" w:type="pct"/>
            <w:tcBorders>
              <w:top w:val="single" w:sz="8" w:space="0" w:color="auto"/>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106"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16" w:type="pct"/>
            <w:tcBorders>
              <w:top w:val="single" w:sz="8"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780" w:type="pct"/>
            <w:tcBorders>
              <w:top w:val="single" w:sz="8" w:space="0" w:color="auto"/>
              <w:left w:val="nil"/>
              <w:bottom w:val="single" w:sz="4" w:space="0" w:color="auto"/>
              <w:right w:val="nil"/>
            </w:tcBorders>
            <w:noWrap/>
            <w:vAlign w:val="center"/>
          </w:tcPr>
          <w:p w:rsidR="004935A9" w:rsidRDefault="00311723">
            <w:pPr>
              <w:widowControl/>
              <w:adjustRightInd/>
              <w:spacing w:line="240" w:lineRule="auto"/>
              <w:jc w:val="right"/>
              <w:textAlignment w:val="auto"/>
              <w:rPr>
                <w:rFonts w:ascii="Arial" w:hAnsi="Arial" w:cs="Arial"/>
                <w:snapToGrid w:val="0"/>
                <w:sz w:val="16"/>
              </w:rPr>
            </w:pPr>
            <w:r>
              <w:rPr>
                <w:rFonts w:ascii="Arial" w:hAnsi="Arial" w:cs="Arial"/>
                <w:snapToGrid w:val="0"/>
                <w:sz w:val="16"/>
              </w:rPr>
              <w:t>取费标准</w:t>
            </w:r>
          </w:p>
        </w:tc>
        <w:tc>
          <w:tcPr>
            <w:tcW w:w="465" w:type="pct"/>
            <w:tcBorders>
              <w:top w:val="single" w:sz="8"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20"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3062" w:type="pct"/>
            <w:gridSpan w:val="3"/>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tc>
      </w:tr>
      <w:tr w:rsidR="004935A9">
        <w:trPr>
          <w:trHeight w:val="360"/>
        </w:trPr>
        <w:tc>
          <w:tcPr>
            <w:tcW w:w="320" w:type="pct"/>
            <w:vMerge w:val="restart"/>
            <w:tcBorders>
              <w:top w:val="single" w:sz="4" w:space="0" w:color="auto"/>
              <w:left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rsidR="004935A9" w:rsidRDefault="004935A9">
            <w:pPr>
              <w:spacing w:line="240" w:lineRule="auto"/>
              <w:rPr>
                <w:rFonts w:ascii="Arial" w:hAnsi="Arial" w:cs="Arial"/>
                <w:snapToGrid w:val="0"/>
                <w:sz w:val="16"/>
              </w:rPr>
            </w:pPr>
          </w:p>
        </w:tc>
        <w:tc>
          <w:tcPr>
            <w:tcW w:w="1106" w:type="pct"/>
            <w:vMerge w:val="restart"/>
            <w:tcBorders>
              <w:top w:val="single" w:sz="4" w:space="0" w:color="auto"/>
              <w:left w:val="single" w:sz="4" w:space="0" w:color="auto"/>
              <w:bottom w:val="single" w:sz="4" w:space="0" w:color="000000"/>
              <w:right w:val="single" w:sz="4" w:space="0" w:color="auto"/>
            </w:tcBorders>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1816"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780" w:type="pct"/>
            <w:tcBorders>
              <w:top w:val="single" w:sz="4" w:space="0" w:color="auto"/>
              <w:left w:val="nil"/>
              <w:bottom w:val="single" w:sz="4" w:space="0" w:color="auto"/>
              <w:right w:val="single" w:sz="4" w:space="0" w:color="auto"/>
            </w:tcBorders>
            <w:noWrap/>
            <w:vAlign w:val="center"/>
          </w:tcPr>
          <w:p w:rsidR="004935A9" w:rsidRDefault="00311723">
            <w:pPr>
              <w:rPr>
                <w:rFonts w:ascii="Arial" w:hAnsi="Arial" w:cs="Arial"/>
                <w:snapToGrid w:val="0"/>
                <w:sz w:val="16"/>
              </w:rPr>
            </w:pPr>
            <w:r>
              <w:rPr>
                <w:rFonts w:ascii="Arial" w:hAnsi="Arial" w:cs="Arial"/>
                <w:snapToGrid w:val="0"/>
                <w:sz w:val="16"/>
              </w:rPr>
              <w:t>租金（元</w:t>
            </w:r>
            <w:r>
              <w:rPr>
                <w:rFonts w:ascii="Arial" w:hAnsi="Arial" w:cs="Arial"/>
                <w:snapToGrid w:val="0"/>
                <w:sz w:val="16"/>
              </w:rPr>
              <w:t>/</w:t>
            </w:r>
            <w:proofErr w:type="gramStart"/>
            <w:r>
              <w:rPr>
                <w:rFonts w:ascii="Arial" w:hAnsi="Arial" w:cs="Arial" w:hint="eastAsia"/>
                <w:snapToGrid w:val="0"/>
                <w:sz w:val="16"/>
              </w:rPr>
              <w:t>个</w:t>
            </w:r>
            <w:proofErr w:type="gramEnd"/>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465" w:type="pct"/>
            <w:tcBorders>
              <w:top w:val="single" w:sz="4"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200</w:t>
            </w:r>
          </w:p>
        </w:tc>
      </w:tr>
      <w:tr w:rsidR="004935A9">
        <w:trPr>
          <w:trHeight w:val="90"/>
        </w:trPr>
        <w:tc>
          <w:tcPr>
            <w:tcW w:w="320" w:type="pct"/>
            <w:vMerge/>
            <w:tcBorders>
              <w:left w:val="single" w:sz="8" w:space="0" w:color="auto"/>
              <w:right w:val="single" w:sz="4" w:space="0" w:color="auto"/>
            </w:tcBorders>
            <w:noWrap/>
            <w:vAlign w:val="center"/>
          </w:tcPr>
          <w:p w:rsidR="004935A9" w:rsidRDefault="004935A9">
            <w:pPr>
              <w:spacing w:line="240" w:lineRule="auto"/>
              <w:rPr>
                <w:rFonts w:ascii="Arial" w:hAnsi="Arial" w:cs="Arial"/>
                <w:snapToGrid w:val="0"/>
                <w:sz w:val="16"/>
              </w:rPr>
            </w:pPr>
          </w:p>
        </w:tc>
        <w:tc>
          <w:tcPr>
            <w:tcW w:w="1106"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4935A9" w:rsidRDefault="00311723">
            <w:pPr>
              <w:rPr>
                <w:rFonts w:ascii="Arial" w:hAnsi="Arial" w:cs="Arial"/>
                <w:snapToGrid w:val="0"/>
                <w:sz w:val="16"/>
              </w:rPr>
            </w:pPr>
            <w:r>
              <w:rPr>
                <w:rFonts w:ascii="Arial" w:hAnsi="Arial" w:cs="Arial" w:hint="eastAsia"/>
                <w:snapToGrid w:val="0"/>
                <w:sz w:val="16"/>
              </w:rPr>
              <w:t>个数</w:t>
            </w:r>
            <w:r>
              <w:rPr>
                <w:rFonts w:ascii="Arial" w:hAnsi="Arial" w:cs="Arial"/>
                <w:snapToGrid w:val="0"/>
                <w:sz w:val="16"/>
              </w:rPr>
              <w:t>（</w:t>
            </w:r>
            <w:proofErr w:type="gramStart"/>
            <w:r>
              <w:rPr>
                <w:rFonts w:ascii="Arial" w:hAnsi="Arial" w:cs="Arial" w:hint="eastAsia"/>
                <w:snapToGrid w:val="0"/>
                <w:sz w:val="16"/>
              </w:rPr>
              <w:t>个</w:t>
            </w:r>
            <w:proofErr w:type="gramEnd"/>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218</w:t>
            </w:r>
          </w:p>
        </w:tc>
      </w:tr>
      <w:tr w:rsidR="004935A9">
        <w:trPr>
          <w:trHeight w:val="360"/>
        </w:trPr>
        <w:tc>
          <w:tcPr>
            <w:tcW w:w="320" w:type="pct"/>
            <w:vMerge/>
            <w:tcBorders>
              <w:left w:val="single" w:sz="8" w:space="0" w:color="auto"/>
              <w:right w:val="single" w:sz="4" w:space="0" w:color="auto"/>
            </w:tcBorders>
            <w:noWrap/>
            <w:vAlign w:val="center"/>
          </w:tcPr>
          <w:p w:rsidR="004935A9" w:rsidRDefault="004935A9">
            <w:pPr>
              <w:spacing w:line="240" w:lineRule="auto"/>
              <w:rPr>
                <w:rFonts w:ascii="Arial" w:hAnsi="Arial" w:cs="Arial"/>
                <w:snapToGrid w:val="0"/>
                <w:sz w:val="16"/>
              </w:rPr>
            </w:pPr>
          </w:p>
        </w:tc>
        <w:tc>
          <w:tcPr>
            <w:tcW w:w="1106"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4935A9" w:rsidRDefault="00311723">
            <w:pPr>
              <w:rPr>
                <w:rFonts w:ascii="Arial" w:hAnsi="Arial" w:cs="Arial"/>
                <w:snapToGrid w:val="0"/>
                <w:sz w:val="16"/>
              </w:rPr>
            </w:pPr>
            <w:r>
              <w:rPr>
                <w:rFonts w:ascii="Arial" w:hAnsi="Arial" w:cs="Arial" w:hint="eastAsia"/>
                <w:snapToGrid w:val="0"/>
                <w:sz w:val="16"/>
              </w:rPr>
              <w:t>月</w:t>
            </w:r>
            <w:r>
              <w:rPr>
                <w:rFonts w:ascii="Arial" w:hAnsi="Arial" w:cs="Arial"/>
                <w:snapToGrid w:val="0"/>
                <w:sz w:val="16"/>
              </w:rPr>
              <w:t>（</w:t>
            </w:r>
            <w:proofErr w:type="gramStart"/>
            <w:r>
              <w:rPr>
                <w:rFonts w:ascii="Arial" w:hAnsi="Arial" w:cs="Arial"/>
                <w:snapToGrid w:val="0"/>
                <w:sz w:val="16"/>
              </w:rPr>
              <w:t>个</w:t>
            </w:r>
            <w:proofErr w:type="gramEnd"/>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4935A9">
        <w:trPr>
          <w:trHeight w:val="360"/>
        </w:trPr>
        <w:tc>
          <w:tcPr>
            <w:tcW w:w="320" w:type="pct"/>
            <w:vMerge/>
            <w:tcBorders>
              <w:left w:val="single" w:sz="8" w:space="0" w:color="auto"/>
              <w:bottom w:val="nil"/>
              <w:right w:val="single" w:sz="4" w:space="0" w:color="auto"/>
            </w:tcBorders>
            <w:noWrap/>
            <w:vAlign w:val="center"/>
          </w:tcPr>
          <w:p w:rsidR="004935A9" w:rsidRDefault="004935A9">
            <w:pPr>
              <w:widowControl/>
              <w:adjustRightInd/>
              <w:spacing w:line="240" w:lineRule="auto"/>
              <w:textAlignment w:val="auto"/>
              <w:rPr>
                <w:rFonts w:ascii="Arial" w:hAnsi="Arial" w:cs="Arial"/>
                <w:snapToGrid w:val="0"/>
                <w:sz w:val="16"/>
              </w:rPr>
            </w:pPr>
          </w:p>
        </w:tc>
        <w:tc>
          <w:tcPr>
            <w:tcW w:w="1106" w:type="pct"/>
            <w:vMerge/>
            <w:tcBorders>
              <w:top w:val="single" w:sz="4" w:space="0" w:color="auto"/>
              <w:left w:val="single" w:sz="4" w:space="0" w:color="auto"/>
              <w:bottom w:val="single" w:sz="4" w:space="0" w:color="000000"/>
              <w:right w:val="single" w:sz="4" w:space="0" w:color="auto"/>
            </w:tcBorders>
            <w:vAlign w:val="center"/>
          </w:tcPr>
          <w:p w:rsidR="004935A9" w:rsidRDefault="004935A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4935A9" w:rsidRDefault="00311723">
            <w:pPr>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4935A9">
        <w:trPr>
          <w:trHeight w:val="360"/>
        </w:trPr>
        <w:tc>
          <w:tcPr>
            <w:tcW w:w="320" w:type="pct"/>
            <w:tcBorders>
              <w:top w:val="single" w:sz="4" w:space="0" w:color="auto"/>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6"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.09</w:t>
            </w:r>
          </w:p>
        </w:tc>
        <w:tc>
          <w:tcPr>
            <w:tcW w:w="1816" w:type="pct"/>
            <w:tcBorders>
              <w:top w:val="single" w:sz="4" w:space="0" w:color="auto"/>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780"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w:t>
            </w:r>
            <w:proofErr w:type="gramStart"/>
            <w:r>
              <w:rPr>
                <w:rFonts w:ascii="Arial" w:hAnsi="Arial" w:cs="Arial"/>
                <w:snapToGrid w:val="0"/>
                <w:sz w:val="16"/>
              </w:rPr>
              <w:t>一</w:t>
            </w:r>
            <w:proofErr w:type="gramEnd"/>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single" w:sz="4" w:space="0" w:color="auto"/>
              <w:left w:val="nil"/>
              <w:bottom w:val="single" w:sz="4" w:space="0" w:color="auto"/>
              <w:right w:val="single" w:sz="4" w:space="0" w:color="auto"/>
            </w:tcBorders>
            <w:vAlign w:val="center"/>
          </w:tcPr>
          <w:p w:rsidR="004935A9" w:rsidRDefault="00311723">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sz="4" w:space="0" w:color="auto"/>
              <w:right w:val="single" w:sz="4" w:space="0" w:color="auto"/>
            </w:tcBorders>
            <w:noWrap/>
            <w:vAlign w:val="center"/>
          </w:tcPr>
          <w:p w:rsidR="004935A9" w:rsidRDefault="004935A9">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sz="4" w:space="0" w:color="auto"/>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20" w:type="pct"/>
            <w:tcBorders>
              <w:top w:val="single" w:sz="4" w:space="0" w:color="auto"/>
              <w:left w:val="single" w:sz="4"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2521</w:t>
            </w:r>
          </w:p>
        </w:tc>
        <w:tc>
          <w:tcPr>
            <w:tcW w:w="1816"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780"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465"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4935A9">
        <w:trPr>
          <w:trHeight w:val="360"/>
        </w:trPr>
        <w:tc>
          <w:tcPr>
            <w:tcW w:w="320" w:type="pct"/>
            <w:tcBorders>
              <w:top w:val="single" w:sz="4" w:space="0" w:color="auto"/>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single" w:sz="4" w:space="0" w:color="auto"/>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sz="4" w:space="0" w:color="auto"/>
              <w:left w:val="nil"/>
              <w:bottom w:val="single" w:sz="4" w:space="0" w:color="auto"/>
              <w:right w:val="nil"/>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1846</w:t>
            </w:r>
          </w:p>
        </w:tc>
        <w:tc>
          <w:tcPr>
            <w:tcW w:w="3062" w:type="pct"/>
            <w:gridSpan w:val="3"/>
            <w:tcBorders>
              <w:top w:val="single" w:sz="4" w:space="0" w:color="auto"/>
              <w:left w:val="single" w:sz="4" w:space="0" w:color="auto"/>
              <w:bottom w:val="single" w:sz="4" w:space="0" w:color="auto"/>
              <w:right w:val="single" w:sz="4" w:space="0" w:color="auto"/>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92</w:t>
            </w:r>
          </w:p>
        </w:tc>
        <w:tc>
          <w:tcPr>
            <w:tcW w:w="181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0</w:t>
            </w:r>
          </w:p>
        </w:tc>
        <w:tc>
          <w:tcPr>
            <w:tcW w:w="181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4</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115</w:t>
            </w:r>
          </w:p>
        </w:tc>
        <w:tc>
          <w:tcPr>
            <w:tcW w:w="181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37</w:t>
            </w:r>
          </w:p>
        </w:tc>
        <w:tc>
          <w:tcPr>
            <w:tcW w:w="181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2090</w:t>
            </w:r>
          </w:p>
        </w:tc>
        <w:tc>
          <w:tcPr>
            <w:tcW w:w="2597" w:type="pct"/>
            <w:gridSpan w:val="2"/>
            <w:tcBorders>
              <w:top w:val="single" w:sz="4" w:space="0" w:color="auto"/>
              <w:left w:val="single" w:sz="4" w:space="0" w:color="auto"/>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403"/>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42</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 xml:space="preserve">　</w:t>
            </w:r>
          </w:p>
        </w:tc>
        <w:tc>
          <w:tcPr>
            <w:tcW w:w="2597" w:type="pct"/>
            <w:gridSpan w:val="2"/>
            <w:tcBorders>
              <w:top w:val="single" w:sz="4" w:space="0" w:color="auto"/>
              <w:left w:val="single" w:sz="4" w:space="0" w:color="auto"/>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的利息</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68</w:t>
            </w:r>
          </w:p>
        </w:tc>
        <w:tc>
          <w:tcPr>
            <w:tcW w:w="181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0</w:t>
            </w:r>
            <w:r>
              <w:rPr>
                <w:rFonts w:ascii="Arial" w:hAnsi="Arial" w:cs="Arial" w:hint="eastAsia"/>
                <w:snapToGrid w:val="0"/>
                <w:sz w:val="16"/>
              </w:rPr>
              <w:t>.001</w:t>
            </w:r>
          </w:p>
        </w:tc>
        <w:tc>
          <w:tcPr>
            <w:tcW w:w="181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3.25</w:t>
            </w:r>
            <w:r>
              <w:rPr>
                <w:rFonts w:ascii="Arial" w:hAnsi="Arial" w:cs="Arial"/>
                <w:snapToGrid w:val="0"/>
                <w:sz w:val="16"/>
              </w:rPr>
              <w:t>%</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780" w:type="pct"/>
            <w:tcBorders>
              <w:top w:val="nil"/>
              <w:left w:val="nil"/>
              <w:bottom w:val="single" w:sz="4" w:space="0" w:color="auto"/>
              <w:right w:val="nil"/>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的利润</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107</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780"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5.0%</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0</w:t>
            </w:r>
            <w:r>
              <w:rPr>
                <w:rFonts w:ascii="Arial" w:hAnsi="Arial" w:cs="Arial" w:hint="eastAsia"/>
                <w:snapToGrid w:val="0"/>
                <w:sz w:val="16"/>
              </w:rPr>
              <w:t>.0015</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0.0</w:t>
            </w:r>
            <w:r>
              <w:rPr>
                <w:rFonts w:ascii="Arial" w:hAnsi="Arial" w:cs="Arial" w:hint="eastAsia"/>
                <w:snapToGrid w:val="0"/>
                <w:sz w:val="16"/>
              </w:rPr>
              <w:t>524</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4935A9">
        <w:trPr>
          <w:trHeight w:val="360"/>
        </w:trPr>
        <w:tc>
          <w:tcPr>
            <w:tcW w:w="320" w:type="pct"/>
            <w:tcBorders>
              <w:top w:val="nil"/>
              <w:left w:val="single" w:sz="8" w:space="0" w:color="auto"/>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7</w:t>
            </w:r>
            <w:r>
              <w:rPr>
                <w:rFonts w:ascii="Arial" w:hAnsi="Arial" w:cs="Arial"/>
                <w:snapToGrid w:val="0"/>
                <w:sz w:val="16"/>
              </w:rPr>
              <w:t>）</w:t>
            </w:r>
          </w:p>
        </w:tc>
        <w:tc>
          <w:tcPr>
            <w:tcW w:w="1106"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510" w:type="pct"/>
            <w:tcBorders>
              <w:top w:val="nil"/>
              <w:left w:val="nil"/>
              <w:bottom w:val="double" w:sz="6"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2521</w:t>
            </w:r>
          </w:p>
        </w:tc>
        <w:tc>
          <w:tcPr>
            <w:tcW w:w="1816" w:type="pct"/>
            <w:tcBorders>
              <w:top w:val="nil"/>
              <w:left w:val="nil"/>
              <w:bottom w:val="double" w:sz="6"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double" w:sz="6"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24</w:t>
            </w:r>
          </w:p>
        </w:tc>
        <w:tc>
          <w:tcPr>
            <w:tcW w:w="1816"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780" w:type="pct"/>
            <w:tcBorders>
              <w:top w:val="nil"/>
              <w:left w:val="nil"/>
              <w:bottom w:val="single" w:sz="4" w:space="0" w:color="auto"/>
              <w:right w:val="nil"/>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8.69</w:t>
            </w:r>
          </w:p>
        </w:tc>
        <w:tc>
          <w:tcPr>
            <w:tcW w:w="1816" w:type="pct"/>
            <w:tcBorders>
              <w:top w:val="nil"/>
              <w:left w:val="nil"/>
              <w:bottom w:val="single" w:sz="4" w:space="0" w:color="auto"/>
              <w:right w:val="nil"/>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780" w:type="pct"/>
            <w:tcBorders>
              <w:top w:val="nil"/>
              <w:left w:val="single" w:sz="4" w:space="0" w:color="auto"/>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sz="4" w:space="0" w:color="auto"/>
              <w:right w:val="single" w:sz="8" w:space="0" w:color="auto"/>
            </w:tcBorders>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2.62</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5.71</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w:t>
            </w:r>
            <w:r>
              <w:rPr>
                <w:rFonts w:ascii="Arial" w:hAnsi="Arial" w:cs="Arial"/>
                <w:snapToGrid w:val="0"/>
                <w:sz w:val="16"/>
              </w:rPr>
              <w:t>.0%</w:t>
            </w:r>
          </w:p>
        </w:tc>
      </w:tr>
      <w:tr w:rsidR="004935A9">
        <w:trPr>
          <w:trHeight w:val="360"/>
        </w:trPr>
        <w:tc>
          <w:tcPr>
            <w:tcW w:w="320"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106" w:type="pct"/>
            <w:tcBorders>
              <w:top w:val="nil"/>
              <w:left w:val="nil"/>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0.36</w:t>
            </w:r>
          </w:p>
        </w:tc>
        <w:tc>
          <w:tcPr>
            <w:tcW w:w="1816"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2415.92</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12.61</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2.52</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4935A9">
        <w:trPr>
          <w:trHeight w:val="360"/>
        </w:trPr>
        <w:tc>
          <w:tcPr>
            <w:tcW w:w="320" w:type="pct"/>
            <w:tcBorders>
              <w:top w:val="nil"/>
              <w:left w:val="single" w:sz="8" w:space="0" w:color="auto"/>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106"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sz="6"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0.25</w:t>
            </w:r>
          </w:p>
        </w:tc>
        <w:tc>
          <w:tcPr>
            <w:tcW w:w="1816" w:type="pct"/>
            <w:tcBorders>
              <w:top w:val="nil"/>
              <w:left w:val="nil"/>
              <w:bottom w:val="double" w:sz="6"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double" w:sz="6"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double" w:sz="6"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4935A9">
        <w:trPr>
          <w:trHeight w:val="492"/>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26</w:t>
            </w:r>
          </w:p>
        </w:tc>
        <w:tc>
          <w:tcPr>
            <w:tcW w:w="1816" w:type="pct"/>
            <w:tcBorders>
              <w:top w:val="nil"/>
              <w:left w:val="nil"/>
              <w:bottom w:val="single" w:sz="4" w:space="0" w:color="auto"/>
              <w:right w:val="nil"/>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780" w:type="pct"/>
            <w:tcBorders>
              <w:top w:val="nil"/>
              <w:left w:val="nil"/>
              <w:bottom w:val="single" w:sz="4" w:space="0" w:color="auto"/>
              <w:right w:val="nil"/>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4935A9">
        <w:trPr>
          <w:trHeight w:val="360"/>
        </w:trPr>
        <w:tc>
          <w:tcPr>
            <w:tcW w:w="320"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506</w:t>
            </w:r>
          </w:p>
        </w:tc>
        <w:tc>
          <w:tcPr>
            <w:tcW w:w="1816"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5.0</w:t>
            </w:r>
            <w:r>
              <w:rPr>
                <w:rFonts w:ascii="Arial" w:hAnsi="Arial" w:cs="Arial"/>
                <w:snapToGrid w:val="0"/>
                <w:sz w:val="16"/>
              </w:rPr>
              <w:t>%</w:t>
            </w:r>
          </w:p>
        </w:tc>
      </w:tr>
      <w:tr w:rsidR="004935A9">
        <w:trPr>
          <w:trHeight w:val="360"/>
        </w:trPr>
        <w:tc>
          <w:tcPr>
            <w:tcW w:w="320" w:type="pct"/>
            <w:tcBorders>
              <w:top w:val="nil"/>
              <w:left w:val="single" w:sz="8" w:space="0" w:color="auto"/>
              <w:bottom w:val="nil"/>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nil"/>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nil"/>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47.5</w:t>
            </w:r>
            <w:r>
              <w:rPr>
                <w:rFonts w:ascii="Arial" w:hAnsi="Arial" w:cs="Arial"/>
                <w:snapToGrid w:val="0"/>
                <w:sz w:val="16"/>
              </w:rPr>
              <w:t xml:space="preserve"> </w:t>
            </w:r>
          </w:p>
        </w:tc>
      </w:tr>
      <w:tr w:rsidR="004935A9">
        <w:trPr>
          <w:trHeight w:val="360"/>
        </w:trPr>
        <w:tc>
          <w:tcPr>
            <w:tcW w:w="320" w:type="pct"/>
            <w:tcBorders>
              <w:top w:val="nil"/>
              <w:left w:val="single" w:sz="8" w:space="0" w:color="auto"/>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single" w:sz="4" w:space="0" w:color="auto"/>
              <w:right w:val="single" w:sz="4" w:space="0" w:color="auto"/>
            </w:tcBorders>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465" w:type="pct"/>
            <w:tcBorders>
              <w:top w:val="nil"/>
              <w:left w:val="nil"/>
              <w:bottom w:val="single" w:sz="4"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1.0%</w:t>
            </w:r>
          </w:p>
        </w:tc>
      </w:tr>
      <w:tr w:rsidR="004935A9">
        <w:trPr>
          <w:trHeight w:val="360"/>
        </w:trPr>
        <w:tc>
          <w:tcPr>
            <w:tcW w:w="320" w:type="pct"/>
            <w:tcBorders>
              <w:top w:val="nil"/>
              <w:left w:val="single" w:sz="8" w:space="0" w:color="auto"/>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510" w:type="pct"/>
            <w:tcBorders>
              <w:top w:val="nil"/>
              <w:left w:val="nil"/>
              <w:bottom w:val="single" w:sz="8" w:space="0" w:color="auto"/>
              <w:right w:val="single" w:sz="4" w:space="0" w:color="auto"/>
            </w:tcBorders>
            <w:noWrap/>
            <w:vAlign w:val="center"/>
          </w:tcPr>
          <w:p w:rsidR="004935A9" w:rsidRDefault="00311723">
            <w:pPr>
              <w:jc w:val="center"/>
              <w:rPr>
                <w:rFonts w:ascii="Arial" w:hAnsi="Arial" w:cs="Arial"/>
                <w:snapToGrid w:val="0"/>
                <w:sz w:val="16"/>
              </w:rPr>
            </w:pPr>
            <w:r>
              <w:rPr>
                <w:rFonts w:ascii="Arial" w:hAnsi="Arial" w:cs="Arial" w:hint="eastAsia"/>
                <w:snapToGrid w:val="0"/>
                <w:sz w:val="16"/>
              </w:rPr>
              <w:t>911</w:t>
            </w:r>
          </w:p>
        </w:tc>
        <w:tc>
          <w:tcPr>
            <w:tcW w:w="1816"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780" w:type="pct"/>
            <w:tcBorders>
              <w:top w:val="nil"/>
              <w:left w:val="nil"/>
              <w:bottom w:val="single" w:sz="8" w:space="0" w:color="auto"/>
              <w:right w:val="single" w:sz="4"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sz="8" w:space="0" w:color="auto"/>
              <w:right w:val="single" w:sz="8" w:space="0" w:color="auto"/>
            </w:tcBorders>
            <w:noWrap/>
            <w:vAlign w:val="center"/>
          </w:tcPr>
          <w:p w:rsidR="004935A9" w:rsidRDefault="00311723">
            <w:pPr>
              <w:widowControl/>
              <w:adjustRightInd/>
              <w:spacing w:line="240" w:lineRule="auto"/>
              <w:textAlignment w:val="auto"/>
              <w:rPr>
                <w:rFonts w:ascii="Arial" w:hAnsi="Arial" w:cs="Arial"/>
                <w:snapToGrid w:val="0"/>
                <w:sz w:val="16"/>
              </w:rPr>
            </w:pPr>
            <w:r>
              <w:rPr>
                <w:rFonts w:ascii="Arial" w:hAnsi="Arial" w:cs="Arial" w:hint="eastAsia"/>
                <w:snapToGrid w:val="0"/>
                <w:sz w:val="16"/>
              </w:rPr>
              <w:t>5556</w:t>
            </w:r>
          </w:p>
        </w:tc>
      </w:tr>
    </w:tbl>
    <w:p w:rsidR="004935A9" w:rsidRDefault="004935A9">
      <w:pPr>
        <w:pStyle w:val="ac"/>
        <w:ind w:firstLine="560"/>
        <w:jc w:val="both"/>
        <w:rPr>
          <w:rFonts w:ascii="Arial" w:hAnsi="Arial" w:cs="Arial"/>
          <w:sz w:val="28"/>
          <w:szCs w:val="20"/>
        </w:rPr>
      </w:pPr>
    </w:p>
    <w:p w:rsidR="004935A9" w:rsidRDefault="00311723">
      <w:pPr>
        <w:spacing w:line="360" w:lineRule="auto"/>
        <w:ind w:firstLineChars="200" w:firstLine="560"/>
        <w:jc w:val="both"/>
        <w:rPr>
          <w:rFonts w:ascii="Arial" w:hAnsi="Arial" w:cs="Arial"/>
          <w:bCs/>
          <w:sz w:val="28"/>
        </w:rPr>
      </w:pPr>
      <w:r>
        <w:rPr>
          <w:rFonts w:ascii="Arial" w:hAnsi="Arial" w:cs="Arial"/>
          <w:sz w:val="28"/>
        </w:rPr>
        <w:t>4</w:t>
      </w:r>
      <w:r>
        <w:rPr>
          <w:rFonts w:ascii="Arial" w:hAnsi="Arial" w:cs="Arial"/>
          <w:sz w:val="28"/>
        </w:rPr>
        <w:t>）开发完成后不动产总价</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咨询</w:t>
      </w:r>
      <w:r>
        <w:rPr>
          <w:rFonts w:ascii="Arial" w:hAnsi="Arial" w:cs="Arial"/>
          <w:sz w:val="28"/>
        </w:rPr>
        <w:t>对象开发完成后不动产总价为前述各用途用房开发完成后的不动产总价之</w:t>
      </w:r>
      <w:proofErr w:type="gramStart"/>
      <w:r>
        <w:rPr>
          <w:rFonts w:ascii="Arial" w:hAnsi="Arial" w:cs="Arial"/>
          <w:sz w:val="28"/>
        </w:rPr>
        <w:t>和</w:t>
      </w:r>
      <w:proofErr w:type="gramEnd"/>
      <w:r>
        <w:rPr>
          <w:rFonts w:ascii="Arial" w:hAnsi="Arial" w:cs="Arial"/>
          <w:sz w:val="28"/>
        </w:rPr>
        <w:t>。则有：</w:t>
      </w:r>
    </w:p>
    <w:p w:rsidR="004935A9" w:rsidRDefault="00311723">
      <w:pPr>
        <w:spacing w:line="360" w:lineRule="auto"/>
        <w:ind w:firstLineChars="200" w:firstLine="560"/>
        <w:jc w:val="both"/>
        <w:rPr>
          <w:rFonts w:ascii="Arial" w:hAnsi="Arial" w:cs="Arial"/>
          <w:sz w:val="28"/>
        </w:rPr>
      </w:pPr>
      <w:r>
        <w:rPr>
          <w:rFonts w:ascii="Arial" w:hAnsi="Arial" w:cs="Arial"/>
          <w:sz w:val="28"/>
        </w:rPr>
        <w:t>开发完成后不动产总价＝</w:t>
      </w:r>
      <w:r>
        <w:rPr>
          <w:rFonts w:ascii="Arial" w:hAnsi="Arial" w:cs="Arial" w:hint="eastAsia"/>
          <w:sz w:val="28"/>
        </w:rPr>
        <w:t>22522</w:t>
      </w:r>
      <w:r>
        <w:rPr>
          <w:rFonts w:ascii="Arial" w:hAnsi="Arial" w:cs="Arial"/>
          <w:sz w:val="28"/>
        </w:rPr>
        <w:t>+</w:t>
      </w:r>
      <w:r>
        <w:rPr>
          <w:rFonts w:ascii="Arial" w:hAnsi="Arial" w:cs="Arial" w:hint="eastAsia"/>
          <w:sz w:val="28"/>
        </w:rPr>
        <w:t>701</w:t>
      </w:r>
      <w:r>
        <w:rPr>
          <w:rFonts w:ascii="Arial" w:hAnsi="Arial" w:cs="Arial"/>
          <w:sz w:val="28"/>
        </w:rPr>
        <w:t>+</w:t>
      </w:r>
      <w:r>
        <w:rPr>
          <w:rFonts w:ascii="Arial" w:hAnsi="Arial" w:cs="Arial" w:hint="eastAsia"/>
          <w:sz w:val="28"/>
        </w:rPr>
        <w:t>506</w:t>
      </w:r>
      <w:r>
        <w:rPr>
          <w:rFonts w:ascii="Arial" w:hAnsi="Arial" w:cs="Arial"/>
          <w:sz w:val="28"/>
        </w:rPr>
        <w:t>＝</w:t>
      </w:r>
      <w:r>
        <w:rPr>
          <w:rFonts w:ascii="Arial" w:hAnsi="Arial" w:cs="Arial" w:hint="eastAsia"/>
          <w:sz w:val="28"/>
        </w:rPr>
        <w:t>23729</w:t>
      </w:r>
      <w:r>
        <w:rPr>
          <w:rFonts w:ascii="Arial" w:hAnsi="Arial" w:cs="Arial"/>
          <w:sz w:val="28"/>
        </w:rPr>
        <w:t>(</w:t>
      </w:r>
      <w:r>
        <w:rPr>
          <w:rFonts w:ascii="Arial" w:hAnsi="Arial" w:cs="Arial"/>
          <w:sz w:val="28"/>
        </w:rPr>
        <w:t>万元</w:t>
      </w:r>
      <w:r>
        <w:rPr>
          <w:rFonts w:ascii="Arial" w:hAnsi="Arial" w:cs="Arial"/>
          <w:sz w:val="28"/>
        </w:rPr>
        <w:t>)</w:t>
      </w:r>
    </w:p>
    <w:p w:rsidR="004935A9" w:rsidRDefault="00311723">
      <w:pPr>
        <w:spacing w:line="360" w:lineRule="auto"/>
        <w:ind w:firstLineChars="200" w:firstLine="560"/>
        <w:jc w:val="both"/>
        <w:rPr>
          <w:rFonts w:ascii="Arial" w:hAnsi="Arial" w:cs="Arial"/>
          <w:sz w:val="28"/>
        </w:rPr>
      </w:pPr>
      <w:r>
        <w:rPr>
          <w:rFonts w:ascii="Arial" w:hAnsi="Arial" w:cs="Arial"/>
          <w:sz w:val="28"/>
        </w:rPr>
        <w:lastRenderedPageBreak/>
        <w:t>（</w:t>
      </w:r>
      <w:r>
        <w:rPr>
          <w:rFonts w:ascii="Arial" w:hAnsi="Arial" w:cs="Arial"/>
          <w:sz w:val="28"/>
        </w:rPr>
        <w:t>3</w:t>
      </w:r>
      <w:r>
        <w:rPr>
          <w:rFonts w:ascii="Arial" w:hAnsi="Arial" w:cs="Arial"/>
          <w:sz w:val="28"/>
        </w:rPr>
        <w:t>）求取土地使用权价格</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544"/>
        <w:gridCol w:w="3017"/>
        <w:gridCol w:w="1318"/>
        <w:gridCol w:w="1101"/>
        <w:gridCol w:w="815"/>
        <w:gridCol w:w="2560"/>
      </w:tblGrid>
      <w:tr w:rsidR="004935A9">
        <w:trPr>
          <w:cantSplit/>
          <w:tblHeader/>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序号</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项目名称</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总额</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面积</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相关系数</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备注</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开发完成后不动产总价</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23729</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bCs/>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开发成本</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21118</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w:t>
            </w:r>
            <w:r>
              <w:rPr>
                <w:rFonts w:ascii="Arial" w:hAnsi="Arial" w:cs="Arial"/>
                <w:bCs/>
                <w:sz w:val="18"/>
                <w:szCs w:val="18"/>
              </w:rPr>
              <w:t>-</w:t>
            </w:r>
            <w:r>
              <w:rPr>
                <w:rFonts w:ascii="Arial" w:hAnsi="Arial" w:cs="Arial"/>
                <w:bCs/>
                <w:sz w:val="18"/>
                <w:szCs w:val="18"/>
              </w:rPr>
              <w:t>（</w:t>
            </w:r>
            <w:r>
              <w:rPr>
                <w:rFonts w:ascii="Arial" w:hAnsi="Arial" w:cs="Arial"/>
                <w:bCs/>
                <w:sz w:val="18"/>
                <w:szCs w:val="18"/>
              </w:rPr>
              <w:t>8</w:t>
            </w:r>
            <w:r>
              <w:rPr>
                <w:rFonts w:ascii="Arial" w:hAnsi="Arial" w:cs="Arial"/>
                <w:bCs/>
                <w:sz w:val="18"/>
                <w:szCs w:val="18"/>
              </w:rPr>
              <w:t>）之和</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房屋建造成本</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17501</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sz w:val="18"/>
                <w:szCs w:val="18"/>
              </w:rPr>
            </w:pPr>
            <w:r>
              <w:rPr>
                <w:rFonts w:ascii="Arial" w:hAnsi="Arial" w:cs="Arial"/>
                <w:sz w:val="18"/>
                <w:szCs w:val="18"/>
              </w:rPr>
              <w:t>下述</w:t>
            </w:r>
            <w:r>
              <w:rPr>
                <w:rFonts w:ascii="Arial" w:hAnsi="Arial" w:cs="Arial"/>
                <w:sz w:val="18"/>
                <w:szCs w:val="18"/>
              </w:rPr>
              <w:t>5</w:t>
            </w:r>
            <w:r>
              <w:rPr>
                <w:rFonts w:ascii="Arial" w:hAnsi="Arial" w:cs="Arial"/>
                <w:sz w:val="18"/>
                <w:szCs w:val="18"/>
              </w:rPr>
              <w:t>项之和</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建安费用</w:t>
            </w:r>
          </w:p>
        </w:tc>
        <w:tc>
          <w:tcPr>
            <w:tcW w:w="540" w:type="pct"/>
            <w:tcBorders>
              <w:top w:val="single" w:sz="2" w:space="0" w:color="404040"/>
              <w:left w:val="single" w:sz="2" w:space="0" w:color="404040"/>
              <w:bottom w:val="single" w:sz="2" w:space="0" w:color="404040"/>
              <w:right w:val="single" w:sz="2" w:space="0" w:color="404040"/>
            </w:tcBorders>
            <w:noWrap/>
          </w:tcPr>
          <w:p w:rsidR="004935A9" w:rsidRDefault="00311723">
            <w:pPr>
              <w:spacing w:line="240" w:lineRule="auto"/>
              <w:rPr>
                <w:rFonts w:ascii="Arial" w:hAnsi="Arial" w:cs="Arial"/>
                <w:bCs/>
                <w:sz w:val="18"/>
                <w:szCs w:val="18"/>
              </w:rPr>
            </w:pPr>
            <w:commentRangeStart w:id="336"/>
            <w:r>
              <w:rPr>
                <w:rFonts w:ascii="Arial" w:hAnsi="Arial" w:cs="Arial" w:hint="eastAsia"/>
                <w:bCs/>
                <w:sz w:val="18"/>
                <w:szCs w:val="18"/>
              </w:rPr>
              <w:t>15018</w:t>
            </w:r>
            <w:commentRangeEnd w:id="336"/>
            <w:r w:rsidR="00A50A4A">
              <w:rPr>
                <w:rStyle w:val="af3"/>
              </w:rPr>
              <w:commentReference w:id="336"/>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bCs/>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勘察设计和前期工程费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spacing w:line="240" w:lineRule="auto"/>
              <w:rPr>
                <w:rFonts w:ascii="Arial" w:hAnsi="Arial" w:cs="Arial"/>
                <w:bCs/>
                <w:sz w:val="18"/>
                <w:szCs w:val="18"/>
              </w:rPr>
            </w:pPr>
            <w:r>
              <w:rPr>
                <w:rFonts w:ascii="Arial" w:hAnsi="Arial" w:cs="Arial" w:hint="eastAsia"/>
                <w:bCs/>
                <w:sz w:val="18"/>
                <w:szCs w:val="18"/>
              </w:rPr>
              <w:t>751</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5</w:t>
            </w:r>
            <w:r>
              <w:rPr>
                <w:rFonts w:ascii="Arial" w:hAnsi="Arial" w:cs="Arial"/>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以建安费用为基数计取</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3</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公共配套设施费用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spacing w:line="240" w:lineRule="auto"/>
              <w:rPr>
                <w:rFonts w:ascii="Arial" w:hAnsi="Arial" w:cs="Arial"/>
                <w:bCs/>
                <w:sz w:val="18"/>
                <w:szCs w:val="18"/>
              </w:rPr>
            </w:pPr>
            <w:r>
              <w:rPr>
                <w:rFonts w:ascii="Arial" w:hAnsi="Arial" w:cs="Arial" w:hint="eastAsia"/>
                <w:bCs/>
                <w:sz w:val="18"/>
                <w:szCs w:val="18"/>
              </w:rPr>
              <w:t>623</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5</w:t>
            </w:r>
            <w:r>
              <w:rPr>
                <w:rFonts w:ascii="Arial" w:hAnsi="Arial" w:cs="Arial"/>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以住宅用房建安费用为基数计取</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4</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红线内市政费用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spacing w:line="240" w:lineRule="auto"/>
              <w:rPr>
                <w:rFonts w:ascii="Arial" w:hAnsi="Arial" w:cs="Arial"/>
                <w:bCs/>
                <w:sz w:val="18"/>
                <w:szCs w:val="18"/>
              </w:rPr>
            </w:pPr>
            <w:r>
              <w:rPr>
                <w:rFonts w:ascii="Arial" w:hAnsi="Arial" w:cs="Arial" w:hint="eastAsia"/>
                <w:bCs/>
                <w:sz w:val="18"/>
                <w:szCs w:val="18"/>
              </w:rPr>
              <w:t>809</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bCs/>
                <w:sz w:val="18"/>
                <w:szCs w:val="18"/>
              </w:rPr>
              <w:t>40463</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bCs/>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5</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相关税费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spacing w:line="240" w:lineRule="auto"/>
              <w:rPr>
                <w:rFonts w:ascii="Arial" w:hAnsi="Arial" w:cs="Arial"/>
                <w:bCs/>
                <w:sz w:val="18"/>
                <w:szCs w:val="18"/>
              </w:rPr>
            </w:pPr>
            <w:r>
              <w:rPr>
                <w:rFonts w:ascii="Arial" w:hAnsi="Arial" w:cs="Arial" w:hint="eastAsia"/>
                <w:bCs/>
                <w:sz w:val="18"/>
                <w:szCs w:val="18"/>
              </w:rPr>
              <w:t>300</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1.5%</w:t>
            </w:r>
          </w:p>
        </w:tc>
        <w:tc>
          <w:tcPr>
            <w:tcW w:w="1401"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以建安费用为基数计取</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2</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红线外市政费用（土地开发费用）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不计取</w:t>
            </w: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bCs/>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3</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城市基础设施建设费（行政收费）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684</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bCs/>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住宅</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498</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31152</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160</w:t>
            </w: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非住宅</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bCs/>
                <w:sz w:val="18"/>
                <w:szCs w:val="18"/>
              </w:rPr>
              <w:t>186</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9311</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4</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管理费用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364</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2</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以</w:t>
            </w:r>
            <w:r>
              <w:rPr>
                <w:rFonts w:ascii="Arial" w:hAnsi="Arial" w:cs="Arial"/>
                <w:bCs/>
                <w:sz w:val="18"/>
                <w:szCs w:val="18"/>
              </w:rPr>
              <w:t>“</w:t>
            </w:r>
            <w:r>
              <w:rPr>
                <w:rFonts w:ascii="Arial" w:hAnsi="Arial" w:cs="Arial"/>
                <w:bCs/>
                <w:sz w:val="18"/>
                <w:szCs w:val="18"/>
              </w:rPr>
              <w:t>（</w:t>
            </w:r>
            <w:r>
              <w:rPr>
                <w:rFonts w:ascii="Arial" w:hAnsi="Arial" w:cs="Arial"/>
                <w:bCs/>
                <w:sz w:val="18"/>
                <w:szCs w:val="18"/>
              </w:rPr>
              <w:t>1</w:t>
            </w:r>
            <w:r>
              <w:rPr>
                <w:rFonts w:ascii="Arial" w:hAnsi="Arial" w:cs="Arial"/>
                <w:bCs/>
                <w:sz w:val="18"/>
                <w:szCs w:val="18"/>
              </w:rPr>
              <w:t>）</w:t>
            </w:r>
            <w:r>
              <w:rPr>
                <w:rFonts w:ascii="Arial" w:hAnsi="Arial" w:cs="Arial"/>
                <w:bCs/>
                <w:sz w:val="18"/>
                <w:szCs w:val="18"/>
              </w:rPr>
              <w:t>-</w:t>
            </w:r>
            <w:r>
              <w:rPr>
                <w:rFonts w:ascii="Arial" w:hAnsi="Arial" w:cs="Arial"/>
                <w:bCs/>
                <w:sz w:val="18"/>
                <w:szCs w:val="18"/>
              </w:rPr>
              <w:t>（</w:t>
            </w:r>
            <w:r>
              <w:rPr>
                <w:rFonts w:ascii="Arial" w:hAnsi="Arial" w:cs="Arial"/>
                <w:bCs/>
                <w:sz w:val="18"/>
                <w:szCs w:val="18"/>
              </w:rPr>
              <w:t>3</w:t>
            </w:r>
            <w:r>
              <w:rPr>
                <w:rFonts w:ascii="Arial" w:hAnsi="Arial" w:cs="Arial"/>
                <w:bCs/>
                <w:sz w:val="18"/>
                <w:szCs w:val="18"/>
              </w:rPr>
              <w:t>）</w:t>
            </w:r>
            <w:r>
              <w:rPr>
                <w:rFonts w:ascii="Arial" w:hAnsi="Arial" w:cs="Arial"/>
                <w:bCs/>
                <w:sz w:val="18"/>
                <w:szCs w:val="18"/>
              </w:rPr>
              <w:t>”</w:t>
            </w:r>
            <w:r>
              <w:rPr>
                <w:rFonts w:ascii="Arial" w:hAnsi="Arial" w:cs="Arial"/>
                <w:bCs/>
                <w:sz w:val="18"/>
                <w:szCs w:val="18"/>
              </w:rPr>
              <w:t>为基数计算</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5</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销售费用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712</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3</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sz w:val="18"/>
                <w:szCs w:val="18"/>
              </w:rPr>
            </w:pPr>
            <w:r>
              <w:rPr>
                <w:rFonts w:ascii="Arial" w:hAnsi="Arial" w:cs="Arial"/>
                <w:sz w:val="18"/>
                <w:szCs w:val="18"/>
              </w:rPr>
              <w:t>以</w:t>
            </w:r>
            <w:r>
              <w:rPr>
                <w:rFonts w:ascii="Arial" w:hAnsi="Arial" w:cs="Arial"/>
                <w:sz w:val="18"/>
                <w:szCs w:val="18"/>
              </w:rPr>
              <w:t>1</w:t>
            </w:r>
            <w:r>
              <w:rPr>
                <w:rFonts w:ascii="Arial" w:hAnsi="Arial" w:cs="Arial"/>
                <w:sz w:val="18"/>
                <w:szCs w:val="18"/>
              </w:rPr>
              <w:t>为基数计取</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6</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购地税费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0.029</w:t>
            </w:r>
            <w:r>
              <w:rPr>
                <w:rFonts w:ascii="Arial" w:hAnsi="Arial" w:cs="Arial"/>
                <w:bCs/>
                <w:sz w:val="18"/>
                <w:szCs w:val="18"/>
              </w:rPr>
              <w:t>%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bottom"/>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3.05%</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以</w:t>
            </w:r>
            <w:r>
              <w:rPr>
                <w:rFonts w:ascii="Arial" w:hAnsi="Arial" w:cs="Arial" w:hint="eastAsia"/>
                <w:bCs/>
                <w:sz w:val="18"/>
                <w:szCs w:val="18"/>
              </w:rPr>
              <w:t>咨询</w:t>
            </w:r>
            <w:r>
              <w:rPr>
                <w:rFonts w:ascii="Arial" w:hAnsi="Arial" w:cs="Arial"/>
                <w:bCs/>
                <w:sz w:val="18"/>
                <w:szCs w:val="18"/>
              </w:rPr>
              <w:t>对象土地价格</w:t>
            </w:r>
            <w:r>
              <w:rPr>
                <w:rFonts w:ascii="Arial" w:hAnsi="Arial" w:cs="Arial"/>
                <w:bCs/>
                <w:sz w:val="18"/>
                <w:szCs w:val="18"/>
              </w:rPr>
              <w:t>/(1+5%)</w:t>
            </w:r>
            <w:r>
              <w:rPr>
                <w:rFonts w:ascii="Arial" w:hAnsi="Arial" w:cs="Arial"/>
                <w:bCs/>
                <w:sz w:val="18"/>
                <w:szCs w:val="18"/>
              </w:rPr>
              <w:t>为基数记取</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7</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投资利息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614+</w:t>
            </w:r>
            <w:r>
              <w:rPr>
                <w:rFonts w:ascii="Arial" w:hAnsi="Arial" w:cs="Arial"/>
                <w:bCs/>
                <w:sz w:val="18"/>
                <w:szCs w:val="18"/>
              </w:rPr>
              <w:t>0.</w:t>
            </w:r>
            <w:r>
              <w:rPr>
                <w:rFonts w:ascii="Arial" w:hAnsi="Arial" w:cs="Arial" w:hint="eastAsia"/>
                <w:bCs/>
                <w:sz w:val="18"/>
                <w:szCs w:val="18"/>
              </w:rPr>
              <w:t>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3.19</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sz w:val="18"/>
                <w:szCs w:val="18"/>
              </w:rPr>
            </w:pPr>
            <w:r>
              <w:rPr>
                <w:rFonts w:ascii="Arial" w:hAnsi="Arial" w:cs="Arial"/>
                <w:sz w:val="18"/>
                <w:szCs w:val="18"/>
              </w:rPr>
              <w:t>复利计息。后续开发成本、管理费用及销售费用产生的利息</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土地购买价格及购地税</w:t>
            </w:r>
            <w:proofErr w:type="gramStart"/>
            <w:r>
              <w:rPr>
                <w:rFonts w:ascii="Arial" w:hAnsi="Arial" w:cs="Arial"/>
                <w:sz w:val="18"/>
                <w:szCs w:val="18"/>
              </w:rPr>
              <w:t>费产生</w:t>
            </w:r>
            <w:proofErr w:type="gramEnd"/>
            <w:r>
              <w:rPr>
                <w:rFonts w:ascii="Arial" w:hAnsi="Arial" w:cs="Arial"/>
                <w:sz w:val="18"/>
                <w:szCs w:val="18"/>
              </w:rPr>
              <w:t>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bCs/>
                <w:sz w:val="18"/>
                <w:szCs w:val="18"/>
              </w:rPr>
              <w:t>0.0667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取得税费率</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年利率</w:t>
            </w:r>
            <w:r>
              <w:rPr>
                <w:rFonts w:ascii="Arial" w:hAnsi="Arial" w:cs="Arial"/>
                <w:sz w:val="18"/>
                <w:szCs w:val="18"/>
              </w:rPr>
              <w:t>×</w:t>
            </w:r>
            <w:r>
              <w:rPr>
                <w:rFonts w:ascii="Arial" w:hAnsi="Arial" w:cs="Arial"/>
                <w:sz w:val="18"/>
                <w:szCs w:val="18"/>
              </w:rPr>
              <w:t>建设期</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5</w:t>
            </w:r>
            <w:r>
              <w:rPr>
                <w:rFonts w:ascii="Arial" w:hAnsi="Arial" w:cs="Arial"/>
                <w:sz w:val="18"/>
                <w:szCs w:val="18"/>
              </w:rPr>
              <w:t>）</w:t>
            </w:r>
            <w:proofErr w:type="gramStart"/>
            <w:r>
              <w:rPr>
                <w:rFonts w:ascii="Arial" w:hAnsi="Arial" w:cs="Arial"/>
                <w:sz w:val="18"/>
                <w:szCs w:val="18"/>
              </w:rPr>
              <w:t>项产生</w:t>
            </w:r>
            <w:proofErr w:type="gramEnd"/>
            <w:r>
              <w:rPr>
                <w:rFonts w:ascii="Arial" w:hAnsi="Arial" w:cs="Arial"/>
                <w:sz w:val="18"/>
                <w:szCs w:val="18"/>
              </w:rPr>
              <w:t>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614</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4</w:t>
            </w:r>
            <w:r>
              <w:rPr>
                <w:rFonts w:ascii="Arial" w:hAnsi="Arial" w:cs="Arial"/>
                <w:sz w:val="18"/>
                <w:szCs w:val="18"/>
              </w:rPr>
              <w:t>）项</w:t>
            </w:r>
            <w:r>
              <w:rPr>
                <w:rFonts w:ascii="Arial" w:hAnsi="Arial" w:cs="Arial"/>
                <w:sz w:val="18"/>
                <w:szCs w:val="18"/>
              </w:rPr>
              <w:t>×</w:t>
            </w:r>
            <w:r>
              <w:rPr>
                <w:rFonts w:ascii="Arial" w:hAnsi="Arial" w:cs="Arial"/>
                <w:sz w:val="18"/>
                <w:szCs w:val="18"/>
              </w:rPr>
              <w:t>年利率</w:t>
            </w:r>
            <w:r>
              <w:rPr>
                <w:rFonts w:ascii="Arial" w:hAnsi="Arial" w:cs="Arial"/>
                <w:sz w:val="18"/>
                <w:szCs w:val="18"/>
              </w:rPr>
              <w:t>×</w:t>
            </w:r>
            <w:r>
              <w:rPr>
                <w:rFonts w:ascii="Arial" w:hAnsi="Arial" w:cs="Arial"/>
                <w:sz w:val="18"/>
                <w:szCs w:val="18"/>
              </w:rPr>
              <w:t>建设期</w:t>
            </w:r>
            <w:r>
              <w:rPr>
                <w:rFonts w:ascii="Arial" w:hAnsi="Arial" w:cs="Arial"/>
                <w:sz w:val="18"/>
                <w:szCs w:val="18"/>
              </w:rPr>
              <w:t>÷2</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8</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销售税费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1243</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5.5</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sz w:val="18"/>
                <w:szCs w:val="18"/>
              </w:rPr>
            </w:pPr>
            <w:r>
              <w:rPr>
                <w:rFonts w:ascii="Arial" w:hAnsi="Arial" w:cs="Arial"/>
                <w:sz w:val="18"/>
                <w:szCs w:val="18"/>
              </w:rPr>
              <w:t>以</w:t>
            </w:r>
            <w:r>
              <w:rPr>
                <w:rFonts w:ascii="Arial" w:hAnsi="Arial" w:cs="Arial"/>
                <w:sz w:val="18"/>
                <w:szCs w:val="18"/>
              </w:rPr>
              <w:t>“</w:t>
            </w:r>
            <w:r>
              <w:rPr>
                <w:rFonts w:ascii="Arial" w:hAnsi="Arial" w:cs="Arial"/>
                <w:sz w:val="18"/>
                <w:szCs w:val="18"/>
              </w:rPr>
              <w:t>开发完成后不动产总价</w:t>
            </w:r>
            <w:r>
              <w:rPr>
                <w:rFonts w:ascii="Arial" w:hAnsi="Arial" w:cs="Arial"/>
                <w:sz w:val="18"/>
                <w:szCs w:val="18"/>
              </w:rPr>
              <w:t>/</w:t>
            </w:r>
            <w:r>
              <w:rPr>
                <w:rFonts w:ascii="Arial" w:hAnsi="Arial" w:cs="Arial"/>
                <w:sz w:val="18"/>
                <w:szCs w:val="18"/>
              </w:rPr>
              <w:t>（</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为基数计取</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投资利润</w:t>
            </w:r>
          </w:p>
        </w:tc>
        <w:tc>
          <w:tcPr>
            <w:tcW w:w="540"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578+</w:t>
            </w:r>
            <w:r>
              <w:rPr>
                <w:rFonts w:ascii="Arial" w:hAnsi="Arial" w:cs="Arial"/>
                <w:bCs/>
                <w:sz w:val="18"/>
                <w:szCs w:val="18"/>
              </w:rPr>
              <w:t>0.0</w:t>
            </w:r>
            <w:r>
              <w:rPr>
                <w:rFonts w:ascii="Arial" w:hAnsi="Arial" w:cs="Arial" w:hint="eastAsia"/>
                <w:bCs/>
                <w:sz w:val="18"/>
                <w:szCs w:val="18"/>
              </w:rPr>
              <w:t>309</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3</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sz w:val="18"/>
                <w:szCs w:val="18"/>
              </w:rPr>
            </w:pP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土地购买价格及购地税费应计的利润</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0.0</w:t>
            </w:r>
            <w:r>
              <w:rPr>
                <w:rFonts w:ascii="Arial" w:hAnsi="Arial" w:cs="Arial" w:hint="eastAsia"/>
                <w:sz w:val="18"/>
                <w:szCs w:val="18"/>
              </w:rPr>
              <w:t>309</w:t>
            </w:r>
            <w:r>
              <w:rPr>
                <w:rFonts w:ascii="Arial" w:hAnsi="Arial" w:cs="Arial"/>
                <w:bCs/>
                <w:sz w:val="18"/>
                <w:szCs w:val="18"/>
              </w:rPr>
              <w:t>P</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rsidR="004935A9" w:rsidRDefault="004935A9">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P+P*</w:t>
            </w:r>
            <w:r>
              <w:rPr>
                <w:rFonts w:ascii="Arial" w:hAnsi="Arial" w:cs="Arial"/>
                <w:sz w:val="18"/>
                <w:szCs w:val="18"/>
              </w:rPr>
              <w:t>取得税费</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利润率</w:t>
            </w:r>
          </w:p>
        </w:tc>
      </w:tr>
      <w:tr w:rsidR="004935A9">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5</w:t>
            </w:r>
            <w:r>
              <w:rPr>
                <w:rFonts w:ascii="Arial" w:hAnsi="Arial" w:cs="Arial"/>
                <w:sz w:val="18"/>
                <w:szCs w:val="18"/>
              </w:rPr>
              <w:t>）项及销售费用产生的利息</w:t>
            </w:r>
          </w:p>
        </w:tc>
        <w:tc>
          <w:tcPr>
            <w:tcW w:w="540" w:type="pct"/>
            <w:tcBorders>
              <w:top w:val="single" w:sz="2" w:space="0" w:color="404040"/>
              <w:left w:val="single" w:sz="2" w:space="0" w:color="404040"/>
              <w:bottom w:val="single" w:sz="2" w:space="0" w:color="404040"/>
              <w:right w:val="single" w:sz="2" w:space="0" w:color="404040"/>
            </w:tcBorders>
            <w:vAlign w:val="center"/>
          </w:tcPr>
          <w:p w:rsidR="004935A9" w:rsidRDefault="00311723">
            <w:pPr>
              <w:widowControl/>
              <w:adjustRightInd/>
              <w:spacing w:line="240" w:lineRule="auto"/>
              <w:rPr>
                <w:rFonts w:ascii="Arial" w:hAnsi="Arial" w:cs="Arial"/>
                <w:sz w:val="18"/>
                <w:szCs w:val="18"/>
              </w:rPr>
            </w:pPr>
            <w:r>
              <w:rPr>
                <w:rFonts w:ascii="Arial" w:hAnsi="Arial" w:cs="Arial" w:hint="eastAsia"/>
                <w:sz w:val="18"/>
                <w:szCs w:val="18"/>
              </w:rPr>
              <w:t>578</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rsidR="004935A9" w:rsidRDefault="004935A9">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4935A9">
            <w:pPr>
              <w:widowControl/>
              <w:adjustRightInd/>
              <w:spacing w:line="240" w:lineRule="auto"/>
              <w:rPr>
                <w:rFonts w:ascii="Arial" w:hAnsi="Arial" w:cs="Arial"/>
                <w:sz w:val="18"/>
                <w:szCs w:val="18"/>
              </w:rPr>
            </w:pPr>
          </w:p>
        </w:tc>
      </w:tr>
      <w:tr w:rsidR="004935A9">
        <w:trPr>
          <w:cantSplit/>
          <w:jc w:val="center"/>
        </w:trPr>
        <w:tc>
          <w:tcPr>
            <w:tcW w:w="1937" w:type="pct"/>
            <w:gridSpan w:val="2"/>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4 .</w:t>
            </w:r>
            <w:r>
              <w:rPr>
                <w:rFonts w:ascii="Arial" w:hAnsi="Arial" w:cs="Arial"/>
                <w:bCs/>
                <w:sz w:val="18"/>
                <w:szCs w:val="18"/>
              </w:rPr>
              <w:t>土地价格</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4935A9" w:rsidRDefault="00311723">
            <w:pPr>
              <w:widowControl/>
              <w:adjustRightInd/>
              <w:spacing w:line="240" w:lineRule="auto"/>
              <w:rPr>
                <w:rFonts w:ascii="Arial" w:hAnsi="Arial" w:cs="Arial"/>
                <w:bCs/>
                <w:sz w:val="18"/>
                <w:szCs w:val="18"/>
              </w:rPr>
            </w:pPr>
            <w:r>
              <w:rPr>
                <w:rFonts w:ascii="Arial" w:hAnsi="Arial" w:cs="Arial" w:hint="eastAsia"/>
                <w:bCs/>
                <w:sz w:val="18"/>
                <w:szCs w:val="18"/>
              </w:rPr>
              <w:t>1805</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4935A9" w:rsidRDefault="004935A9">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4935A9" w:rsidRDefault="00311723">
            <w:pPr>
              <w:widowControl/>
              <w:adjustRightInd/>
              <w:spacing w:line="240" w:lineRule="auto"/>
              <w:rPr>
                <w:rFonts w:ascii="Arial" w:hAnsi="Arial" w:cs="Arial"/>
                <w:bCs/>
                <w:sz w:val="18"/>
                <w:szCs w:val="18"/>
              </w:rPr>
            </w:pPr>
            <w:r>
              <w:rPr>
                <w:rFonts w:ascii="Arial" w:hAnsi="Arial" w:cs="Arial"/>
                <w:bCs/>
                <w:sz w:val="18"/>
                <w:szCs w:val="18"/>
              </w:rPr>
              <w:t>1-2-3</w:t>
            </w:r>
          </w:p>
        </w:tc>
      </w:tr>
    </w:tbl>
    <w:p w:rsidR="004935A9" w:rsidRDefault="00311723">
      <w:pPr>
        <w:spacing w:before="50" w:after="50" w:line="360" w:lineRule="auto"/>
        <w:rPr>
          <w:rFonts w:ascii="Arial" w:hAnsi="Arial" w:cs="Arial"/>
          <w:sz w:val="21"/>
          <w:szCs w:val="21"/>
        </w:rPr>
      </w:pPr>
      <w:r>
        <w:rPr>
          <w:rFonts w:ascii="Arial" w:hAnsi="Arial" w:cs="Arial"/>
          <w:sz w:val="21"/>
          <w:szCs w:val="21"/>
        </w:rPr>
        <w:t>单位：万元、平方米、元</w:t>
      </w:r>
      <w:r>
        <w:rPr>
          <w:rFonts w:ascii="Arial" w:hAnsi="Arial" w:cs="Arial"/>
          <w:sz w:val="21"/>
          <w:szCs w:val="21"/>
        </w:rPr>
        <w:t>/</w:t>
      </w:r>
      <w:r>
        <w:rPr>
          <w:rFonts w:ascii="Arial" w:hAnsi="Arial" w:cs="Arial"/>
          <w:sz w:val="21"/>
          <w:szCs w:val="21"/>
        </w:rPr>
        <w:t>平方米</w:t>
      </w:r>
    </w:p>
    <w:p w:rsidR="004935A9" w:rsidRDefault="004935A9">
      <w:pPr>
        <w:spacing w:line="360" w:lineRule="auto"/>
        <w:jc w:val="both"/>
        <w:outlineLvl w:val="1"/>
        <w:rPr>
          <w:rFonts w:ascii="Arial" w:hAnsi="Arial" w:cs="Arial"/>
          <w:b/>
          <w:bCs/>
          <w:sz w:val="28"/>
        </w:rPr>
        <w:sectPr w:rsidR="004935A9">
          <w:headerReference w:type="default" r:id="rId64"/>
          <w:footerReference w:type="default" r:id="rId65"/>
          <w:pgSz w:w="11907" w:h="16840"/>
          <w:pgMar w:top="1843" w:right="1304" w:bottom="1134" w:left="1304" w:header="1134" w:footer="907" w:gutter="0"/>
          <w:cols w:space="720"/>
          <w:docGrid w:linePitch="326"/>
        </w:sectPr>
      </w:pPr>
      <w:bookmarkStart w:id="338" w:name="_Toc97732771"/>
      <w:bookmarkStart w:id="339" w:name="_Toc416783702"/>
      <w:bookmarkStart w:id="340" w:name="_Toc469066171"/>
      <w:bookmarkStart w:id="341" w:name="_Toc416783606"/>
      <w:bookmarkStart w:id="342" w:name="_Toc97732889"/>
    </w:p>
    <w:p w:rsidR="004935A9" w:rsidRDefault="00311723">
      <w:pPr>
        <w:spacing w:line="360" w:lineRule="auto"/>
        <w:jc w:val="both"/>
        <w:outlineLvl w:val="1"/>
        <w:rPr>
          <w:rFonts w:ascii="Arial" w:hAnsi="Arial" w:cs="Arial"/>
          <w:b/>
          <w:bCs/>
          <w:sz w:val="28"/>
        </w:rPr>
      </w:pPr>
      <w:bookmarkStart w:id="343" w:name="_Toc29336"/>
      <w:bookmarkStart w:id="344" w:name="_Toc19105"/>
      <w:bookmarkStart w:id="345" w:name="_Toc18708"/>
      <w:r>
        <w:rPr>
          <w:rFonts w:ascii="Arial" w:hAnsi="Arial" w:cs="Arial"/>
          <w:b/>
          <w:bCs/>
          <w:sz w:val="28"/>
        </w:rPr>
        <w:lastRenderedPageBreak/>
        <w:t>三、咨询结果的确定</w:t>
      </w:r>
      <w:bookmarkEnd w:id="338"/>
      <w:bookmarkEnd w:id="339"/>
      <w:bookmarkEnd w:id="340"/>
      <w:bookmarkEnd w:id="341"/>
      <w:bookmarkEnd w:id="342"/>
      <w:bookmarkEnd w:id="343"/>
      <w:bookmarkEnd w:id="344"/>
      <w:bookmarkEnd w:id="345"/>
    </w:p>
    <w:p w:rsidR="004935A9" w:rsidRDefault="00311723">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4935A9" w:rsidRDefault="00311723">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4935A9" w:rsidRDefault="00311723">
      <w:pPr>
        <w:spacing w:line="360" w:lineRule="auto"/>
        <w:ind w:firstLine="570"/>
        <w:jc w:val="both"/>
        <w:rPr>
          <w:rFonts w:ascii="Arial" w:hAnsi="Arial" w:cs="Arial"/>
          <w:sz w:val="28"/>
        </w:rPr>
      </w:pPr>
      <w:r>
        <w:rPr>
          <w:rFonts w:ascii="Arial" w:hAnsi="Arial" w:cs="Arial"/>
          <w:sz w:val="28"/>
        </w:rPr>
        <w:t>大写金额：人民币</w:t>
      </w:r>
      <w:proofErr w:type="gramStart"/>
      <w:r>
        <w:rPr>
          <w:rFonts w:ascii="Arial" w:hAnsi="Arial" w:cs="Arial" w:hint="eastAsia"/>
          <w:sz w:val="28"/>
        </w:rPr>
        <w:t>壹仟捌佰零肆万伍仟肆佰</w:t>
      </w:r>
      <w:proofErr w:type="gramEnd"/>
      <w:r>
        <w:rPr>
          <w:rFonts w:ascii="Arial" w:hAnsi="Arial" w:cs="Arial"/>
          <w:sz w:val="28"/>
        </w:rPr>
        <w:t>元整</w:t>
      </w:r>
    </w:p>
    <w:p w:rsidR="004935A9" w:rsidRDefault="00311723">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4935A9" w:rsidRDefault="00311723">
      <w:pPr>
        <w:spacing w:line="360" w:lineRule="auto"/>
        <w:ind w:firstLineChars="200" w:firstLine="560"/>
        <w:jc w:val="both"/>
        <w:rPr>
          <w:rFonts w:ascii="Arial" w:hAnsi="Arial" w:cs="Arial"/>
          <w:sz w:val="28"/>
        </w:rPr>
      </w:pPr>
      <w:r>
        <w:rPr>
          <w:rFonts w:ascii="Arial" w:hAnsi="Arial" w:cs="Arial"/>
          <w:sz w:val="28"/>
        </w:rPr>
        <w:t xml:space="preserve">  </w:t>
      </w:r>
      <w:r>
        <w:rPr>
          <w:rFonts w:ascii="Arial" w:hAnsi="Arial" w:cs="Arial"/>
          <w:sz w:val="28"/>
        </w:rPr>
        <w:t>备注：</w:t>
      </w:r>
    </w:p>
    <w:p w:rsidR="004935A9" w:rsidRDefault="00311723">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昌平区马池口镇百泉庄村</w:t>
      </w:r>
      <w:r>
        <w:rPr>
          <w:rFonts w:ascii="Arial" w:hAnsi="Arial" w:cs="Arial"/>
          <w:sz w:val="28"/>
        </w:rPr>
        <w:t>经济</w:t>
      </w:r>
      <w:r>
        <w:rPr>
          <w:rFonts w:ascii="Arial" w:hAnsi="Arial" w:cs="Arial" w:hint="eastAsia"/>
          <w:sz w:val="28"/>
        </w:rPr>
        <w:t>组织</w:t>
      </w:r>
      <w:r>
        <w:rPr>
          <w:rFonts w:ascii="Arial" w:hAnsi="Arial" w:cs="Arial"/>
          <w:sz w:val="28"/>
        </w:rPr>
        <w:t>集体土地租赁住房项目核准的批复》等相关项目资料，本次评估过程中涉及的相关测算参数主要是依据委托方提供的</w:t>
      </w:r>
      <w:r>
        <w:rPr>
          <w:rFonts w:ascii="Arial" w:hAnsi="Arial" w:cs="Arial" w:hint="eastAsia"/>
          <w:sz w:val="28"/>
        </w:rPr>
        <w:t>相关资料</w:t>
      </w:r>
      <w:r>
        <w:rPr>
          <w:rFonts w:ascii="Arial" w:hAnsi="Arial" w:cs="Arial"/>
          <w:sz w:val="28"/>
        </w:rPr>
        <w:t>及介绍的情况</w:t>
      </w:r>
      <w:r>
        <w:rPr>
          <w:rFonts w:ascii="Arial" w:hAnsi="Arial" w:cs="Arial" w:hint="eastAsia"/>
          <w:sz w:val="28"/>
        </w:rPr>
        <w:t>进行</w:t>
      </w:r>
      <w:r>
        <w:rPr>
          <w:rFonts w:ascii="Arial" w:hAnsi="Arial" w:cs="Arial"/>
          <w:sz w:val="28"/>
        </w:rPr>
        <w:t>测算，如上述数据发生变化，可能会对目前的</w:t>
      </w:r>
      <w:r>
        <w:rPr>
          <w:rFonts w:ascii="Arial" w:hAnsi="Arial" w:cs="Arial" w:hint="eastAsia"/>
          <w:sz w:val="28"/>
        </w:rPr>
        <w:t>咨询</w:t>
      </w:r>
      <w:r>
        <w:rPr>
          <w:rFonts w:ascii="Arial" w:hAnsi="Arial" w:cs="Arial"/>
          <w:sz w:val="28"/>
        </w:rPr>
        <w:t>结论产生影响。</w:t>
      </w:r>
    </w:p>
    <w:p w:rsidR="004935A9" w:rsidRDefault="00311723">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4935A9" w:rsidRDefault="00311723">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4935A9" w:rsidRDefault="00311723">
      <w:pPr>
        <w:spacing w:line="360" w:lineRule="auto"/>
        <w:ind w:firstLineChars="200" w:firstLine="560"/>
        <w:jc w:val="both"/>
        <w:rPr>
          <w:rFonts w:ascii="Arial" w:hAnsi="Arial" w:cs="Arial"/>
          <w:b/>
          <w:sz w:val="32"/>
        </w:rPr>
        <w:sectPr w:rsidR="004935A9">
          <w:pgSz w:w="11907" w:h="16840"/>
          <w:pgMar w:top="1843" w:right="1304" w:bottom="1134" w:left="1304" w:header="1134" w:footer="907" w:gutter="0"/>
          <w:cols w:space="720"/>
          <w:docGrid w:linePitch="326"/>
        </w:sectPr>
      </w:pPr>
      <w:r>
        <w:rPr>
          <w:rFonts w:ascii="Arial" w:hAnsi="Arial" w:cs="Arial"/>
          <w:sz w:val="28"/>
        </w:rPr>
        <w:lastRenderedPageBreak/>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时相关政策行文件</w:t>
      </w:r>
      <w:proofErr w:type="gramEnd"/>
      <w:r>
        <w:rPr>
          <w:rFonts w:ascii="Arial" w:hAnsi="Arial" w:cs="Arial"/>
          <w:sz w:val="28"/>
        </w:rPr>
        <w:t>尚未正式出台，故届时将按照有关规定执行。综上所述，本次评估</w:t>
      </w:r>
      <w:r>
        <w:rPr>
          <w:rFonts w:ascii="Arial" w:hAnsi="Arial" w:cs="Arial" w:hint="eastAsia"/>
          <w:sz w:val="28"/>
        </w:rPr>
        <w:t>设定土地开发期及建筑物建设期为</w:t>
      </w:r>
      <w:r>
        <w:rPr>
          <w:rFonts w:ascii="Arial" w:hAnsi="Arial" w:cs="Arial" w:hint="eastAsia"/>
          <w:sz w:val="28"/>
        </w:rPr>
        <w:t>2.5</w:t>
      </w:r>
      <w:r>
        <w:rPr>
          <w:rFonts w:ascii="Arial" w:hAnsi="Arial" w:cs="Arial" w:hint="eastAsia"/>
          <w:sz w:val="28"/>
        </w:rPr>
        <w:t>年，</w:t>
      </w:r>
      <w:r>
        <w:rPr>
          <w:rFonts w:ascii="Arial" w:hAnsi="Arial" w:cs="Arial"/>
          <w:sz w:val="28"/>
        </w:rPr>
        <w:t>只考虑</w:t>
      </w:r>
      <w:r>
        <w:rPr>
          <w:rFonts w:ascii="Arial" w:hAnsi="Arial" w:cs="Arial" w:hint="eastAsia"/>
          <w:sz w:val="28"/>
        </w:rPr>
        <w:t>47.5</w:t>
      </w:r>
      <w:r>
        <w:rPr>
          <w:rFonts w:ascii="Arial" w:hAnsi="Arial" w:cs="Arial"/>
          <w:sz w:val="28"/>
        </w:rPr>
        <w:t>年合作期限内的收益。</w:t>
      </w:r>
    </w:p>
    <w:p w:rsidR="004935A9" w:rsidRDefault="00311723">
      <w:pPr>
        <w:spacing w:line="360" w:lineRule="auto"/>
        <w:jc w:val="center"/>
        <w:outlineLvl w:val="0"/>
        <w:rPr>
          <w:rFonts w:ascii="Arial" w:hAnsi="Arial" w:cs="Arial"/>
          <w:b/>
          <w:sz w:val="32"/>
        </w:rPr>
      </w:pPr>
      <w:bookmarkStart w:id="346" w:name="_Toc469066172"/>
      <w:bookmarkStart w:id="347" w:name="_Toc20569"/>
      <w:bookmarkStart w:id="348" w:name="_Toc97732890"/>
      <w:bookmarkStart w:id="349" w:name="_Toc3228"/>
      <w:bookmarkStart w:id="350" w:name="_Toc97732772"/>
      <w:bookmarkStart w:id="351" w:name="_Toc416783610"/>
      <w:bookmarkStart w:id="352" w:name="_Toc3207"/>
      <w:bookmarkStart w:id="353" w:name="_Toc416783706"/>
      <w:r>
        <w:rPr>
          <w:rFonts w:ascii="Arial" w:hAnsi="Arial" w:cs="Arial"/>
          <w:b/>
          <w:sz w:val="32"/>
        </w:rPr>
        <w:lastRenderedPageBreak/>
        <w:t>第四部分</w:t>
      </w:r>
      <w:r>
        <w:rPr>
          <w:rFonts w:ascii="Arial" w:hAnsi="Arial" w:cs="Arial"/>
          <w:b/>
          <w:sz w:val="32"/>
        </w:rPr>
        <w:t xml:space="preserve">  </w:t>
      </w:r>
      <w:r>
        <w:rPr>
          <w:rFonts w:ascii="Arial" w:hAnsi="Arial" w:cs="Arial"/>
          <w:b/>
          <w:sz w:val="32"/>
        </w:rPr>
        <w:t>附</w:t>
      </w:r>
      <w:r>
        <w:rPr>
          <w:rFonts w:ascii="Arial" w:hAnsi="Arial" w:cs="Arial"/>
          <w:b/>
          <w:sz w:val="32"/>
        </w:rPr>
        <w:t xml:space="preserve">  </w:t>
      </w:r>
      <w:r>
        <w:rPr>
          <w:rFonts w:ascii="Arial" w:hAnsi="Arial" w:cs="Arial"/>
          <w:b/>
          <w:sz w:val="32"/>
        </w:rPr>
        <w:t>件</w:t>
      </w:r>
      <w:bookmarkEnd w:id="346"/>
      <w:bookmarkEnd w:id="347"/>
      <w:bookmarkEnd w:id="348"/>
      <w:bookmarkEnd w:id="349"/>
      <w:bookmarkEnd w:id="350"/>
      <w:bookmarkEnd w:id="351"/>
      <w:bookmarkEnd w:id="352"/>
      <w:bookmarkEnd w:id="353"/>
    </w:p>
    <w:p w:rsidR="004935A9" w:rsidRDefault="004935A9">
      <w:pPr>
        <w:spacing w:line="360" w:lineRule="auto"/>
        <w:jc w:val="center"/>
        <w:rPr>
          <w:rFonts w:ascii="Arial" w:hAnsi="Arial" w:cs="Arial"/>
          <w:b/>
          <w:sz w:val="32"/>
        </w:rPr>
      </w:pP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sz w:val="28"/>
        </w:rPr>
        <w:t>.</w:t>
      </w:r>
      <w:r>
        <w:rPr>
          <w:rFonts w:ascii="Arial" w:hAnsi="Arial" w:cs="Arial"/>
          <w:sz w:val="28"/>
        </w:rPr>
        <w:t>咨询对象所在位置示意图</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sz w:val="28"/>
        </w:rPr>
        <w:t>.</w:t>
      </w:r>
      <w:r>
        <w:rPr>
          <w:rFonts w:ascii="Arial" w:hAnsi="Arial" w:cs="Arial"/>
          <w:sz w:val="28"/>
          <w:szCs w:val="28"/>
        </w:rPr>
        <w:t>咨询对象实地勘察相关照片</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sz w:val="28"/>
        </w:rPr>
        <w:t>.</w:t>
      </w:r>
      <w:r>
        <w:rPr>
          <w:rFonts w:ascii="Arial" w:hAnsi="Arial" w:cs="Arial"/>
          <w:sz w:val="28"/>
        </w:rPr>
        <w:t>委托方《营业执照（副本）》复印件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sz w:val="28"/>
        </w:rPr>
        <w:t>.</w:t>
      </w:r>
      <w:r>
        <w:rPr>
          <w:rFonts w:ascii="Arial" w:hAnsi="Arial" w:cs="Arial"/>
          <w:sz w:val="28"/>
        </w:rPr>
        <w:t>估价机构《营业执照（副本）》复印件</w:t>
      </w:r>
    </w:p>
    <w:p w:rsidR="004935A9" w:rsidRDefault="00311723">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sz w:val="28"/>
        </w:rPr>
        <w:t>.</w:t>
      </w:r>
      <w:r>
        <w:rPr>
          <w:rFonts w:ascii="Arial" w:hAnsi="Arial" w:cs="Arial"/>
          <w:sz w:val="28"/>
        </w:rPr>
        <w:t>估价机构估价资格证书复印件</w:t>
      </w:r>
    </w:p>
    <w:p w:rsidR="004935A9" w:rsidRDefault="004935A9">
      <w:pPr>
        <w:spacing w:line="360" w:lineRule="auto"/>
        <w:ind w:left="720" w:hangingChars="300" w:hanging="720"/>
        <w:jc w:val="both"/>
        <w:rPr>
          <w:rFonts w:ascii="Arial" w:hAnsi="Arial" w:cs="Arial"/>
        </w:rPr>
      </w:pPr>
    </w:p>
    <w:sectPr w:rsidR="004935A9">
      <w:headerReference w:type="first" r:id="rId66"/>
      <w:footerReference w:type="first" r:id="rId67"/>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5" w:author="hp" w:date="2025-10-17T15:11:00Z" w:initials="h">
    <w:p w:rsidR="00311723" w:rsidRDefault="00311723">
      <w:pPr>
        <w:pStyle w:val="a4"/>
      </w:pPr>
      <w:r>
        <w:rPr>
          <w:rStyle w:val="af3"/>
        </w:rPr>
        <w:annotationRef/>
      </w:r>
      <w:r>
        <w:t>宗地红线内</w:t>
      </w:r>
    </w:p>
  </w:comment>
  <w:comment w:id="66" w:author="hp" w:date="2025-10-17T15:14:00Z" w:initials="h">
    <w:p w:rsidR="00311723" w:rsidRDefault="00311723">
      <w:pPr>
        <w:pStyle w:val="a4"/>
      </w:pPr>
      <w:r>
        <w:rPr>
          <w:rStyle w:val="af3"/>
        </w:rPr>
        <w:annotationRef/>
      </w:r>
      <w:r>
        <w:t>单位</w:t>
      </w:r>
    </w:p>
  </w:comment>
  <w:comment w:id="298" w:author="hp" w:date="2025-10-17T16:46:00Z" w:initials="h">
    <w:p w:rsidR="00311723" w:rsidRDefault="00311723">
      <w:pPr>
        <w:pStyle w:val="a4"/>
      </w:pPr>
      <w:r>
        <w:rPr>
          <w:rStyle w:val="af3"/>
        </w:rPr>
        <w:annotationRef/>
      </w:r>
    </w:p>
  </w:comment>
  <w:comment w:id="299" w:author="hp" w:date="2025-10-17T16:46:00Z" w:initials="h">
    <w:p w:rsidR="00311723" w:rsidRDefault="00311723">
      <w:pPr>
        <w:pStyle w:val="a4"/>
      </w:pPr>
      <w:r>
        <w:rPr>
          <w:rStyle w:val="af3"/>
        </w:rPr>
        <w:annotationRef/>
      </w:r>
    </w:p>
  </w:comment>
  <w:comment w:id="334" w:author="hp" w:date="2025-10-17T16:49:00Z" w:initials="h">
    <w:p w:rsidR="00311723" w:rsidRDefault="00311723">
      <w:pPr>
        <w:pStyle w:val="a4"/>
      </w:pPr>
      <w:r>
        <w:rPr>
          <w:rStyle w:val="af3"/>
        </w:rPr>
        <w:annotationRef/>
      </w:r>
      <w:r>
        <w:t>和</w:t>
      </w:r>
      <w:r>
        <w:rPr>
          <w:rFonts w:hint="eastAsia"/>
        </w:rPr>
        <w:t>2.5</w:t>
      </w:r>
      <w:r>
        <w:rPr>
          <w:rFonts w:hint="eastAsia"/>
        </w:rPr>
        <w:t>年对应？</w:t>
      </w:r>
    </w:p>
  </w:comment>
  <w:comment w:id="335" w:author="hp" w:date="2025-10-17T16:55:00Z" w:initials="h">
    <w:p w:rsidR="00311723" w:rsidRDefault="00311723">
      <w:pPr>
        <w:pStyle w:val="a4"/>
      </w:pPr>
      <w:r>
        <w:rPr>
          <w:rStyle w:val="af3"/>
        </w:rPr>
        <w:annotationRef/>
      </w:r>
      <w:proofErr w:type="gramStart"/>
      <w:r>
        <w:t>哪二税</w:t>
      </w:r>
      <w:proofErr w:type="gramEnd"/>
    </w:p>
  </w:comment>
  <w:comment w:id="336" w:author="hp" w:date="2025-10-17T16:58:00Z" w:initials="h">
    <w:p w:rsidR="00A50A4A" w:rsidRDefault="00A50A4A">
      <w:pPr>
        <w:pStyle w:val="a4"/>
      </w:pPr>
      <w:r>
        <w:rPr>
          <w:rStyle w:val="af3"/>
        </w:rPr>
        <w:annotationRef/>
      </w:r>
      <w:r>
        <w:t>怎么来的</w:t>
      </w:r>
      <w:bookmarkStart w:id="337" w:name="_GoBack"/>
      <w:bookmarkEnd w:id="33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0EB" w:rsidRDefault="002160EB">
      <w:pPr>
        <w:spacing w:line="240" w:lineRule="auto"/>
      </w:pPr>
      <w:r>
        <w:separator/>
      </w:r>
    </w:p>
  </w:endnote>
  <w:endnote w:type="continuationSeparator" w:id="0">
    <w:p w:rsidR="002160EB" w:rsidRDefault="00216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仿宋"/>
    <w:charset w:val="86"/>
    <w:family w:val="swiss"/>
    <w:pitch w:val="default"/>
    <w:sig w:usb0="00000000" w:usb1="00000000" w:usb2="00000010" w:usb3="00000000" w:csb0="00040000" w:csb1="00000000"/>
  </w:font>
  <w:font w:name="黑体萄">
    <w:altName w:val="方正舒体"/>
    <w:charset w:val="86"/>
    <w:family w:val="swiss"/>
    <w:pitch w:val="default"/>
    <w:sig w:usb0="00000000" w:usb1="0000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仿宋_GB2312;仿宋">
    <w:altName w:val="宋体"/>
    <w:charset w:val="86"/>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311723" w:rsidRDefault="00311723">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Bdr>
        <w:top w:val="single" w:sz="4" w:space="1" w:color="404040"/>
      </w:pBdr>
      <w:jc w:val="center"/>
      <w:rPr>
        <w:szCs w:val="18"/>
      </w:rPr>
    </w:pPr>
    <w:r>
      <w:rPr>
        <w:szCs w:val="18"/>
      </w:rPr>
      <w:fldChar w:fldCharType="begin"/>
    </w:r>
    <w:r>
      <w:rPr>
        <w:szCs w:val="18"/>
      </w:rPr>
      <w:instrText>PAGE   \* MERGEFORMAT</w:instrText>
    </w:r>
    <w:r>
      <w:rPr>
        <w:szCs w:val="18"/>
      </w:rPr>
      <w:fldChar w:fldCharType="separate"/>
    </w:r>
    <w:r w:rsidRPr="00311723">
      <w:rPr>
        <w:rFonts w:ascii="Arial" w:hAnsi="Arial"/>
        <w:noProof/>
        <w:szCs w:val="18"/>
        <w:lang w:val="zh-CN"/>
      </w:rPr>
      <w:t>1</w:t>
    </w:r>
    <w:r>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311723" w:rsidRDefault="00311723">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Bdr>
        <w:top w:val="single" w:sz="4" w:space="1" w:color="auto"/>
      </w:pBdr>
      <w:jc w:val="center"/>
    </w:pPr>
    <w:r>
      <w:fldChar w:fldCharType="begin"/>
    </w:r>
    <w:r>
      <w:instrText>PAGE   \* MERGEFORMAT</w:instrText>
    </w:r>
    <w:r>
      <w:fldChar w:fldCharType="separate"/>
    </w:r>
    <w:r w:rsidR="00A50A4A" w:rsidRPr="00A50A4A">
      <w:rPr>
        <w:rFonts w:ascii="Arial" w:hAnsi="Arial"/>
        <w:noProof/>
        <w:lang w:val="zh-CN"/>
      </w:rPr>
      <w:t>55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Bdr>
        <w:top w:val="single" w:sz="4" w:space="1" w:color="auto"/>
      </w:pBdr>
    </w:pPr>
  </w:p>
  <w:p w:rsidR="00311723" w:rsidRDefault="00311723">
    <w:pPr>
      <w:pStyle w:val="aa"/>
      <w:framePr w:wrap="around" w:vAnchor="text" w:hAnchor="margin" w:xAlign="center" w:y="136"/>
      <w:rPr>
        <w:rStyle w:val="af1"/>
        <w:sz w:val="21"/>
      </w:rPr>
    </w:pPr>
    <w:r>
      <w:rPr>
        <w:rStyle w:val="af1"/>
        <w:sz w:val="21"/>
        <w:szCs w:val="21"/>
      </w:rPr>
      <w:t xml:space="preserve">- </w:t>
    </w:r>
    <w:r>
      <w:rPr>
        <w:rStyle w:val="af1"/>
        <w:sz w:val="21"/>
        <w:szCs w:val="21"/>
      </w:rPr>
      <w:fldChar w:fldCharType="begin"/>
    </w:r>
    <w:r>
      <w:rPr>
        <w:rStyle w:val="af1"/>
        <w:sz w:val="21"/>
        <w:szCs w:val="21"/>
      </w:rPr>
      <w:instrText xml:space="preserve"> PAGE </w:instrText>
    </w:r>
    <w:r>
      <w:rPr>
        <w:rStyle w:val="af1"/>
        <w:sz w:val="21"/>
        <w:szCs w:val="21"/>
      </w:rPr>
      <w:fldChar w:fldCharType="separate"/>
    </w:r>
    <w:r>
      <w:rPr>
        <w:rStyle w:val="af1"/>
        <w:rFonts w:ascii="Arial" w:hAnsi="Arial"/>
        <w:sz w:val="21"/>
        <w:szCs w:val="21"/>
      </w:rPr>
      <w:t>37</w:t>
    </w:r>
    <w:r>
      <w:rPr>
        <w:rStyle w:val="af1"/>
        <w:sz w:val="21"/>
        <w:szCs w:val="21"/>
      </w:rPr>
      <w:fldChar w:fldCharType="end"/>
    </w:r>
    <w:r>
      <w:rPr>
        <w:rStyle w:val="af1"/>
        <w:sz w:val="21"/>
        <w:szCs w:val="21"/>
      </w:rPr>
      <w:t xml:space="preserve"> -</w:t>
    </w:r>
  </w:p>
  <w:p w:rsidR="00311723" w:rsidRDefault="0031172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framePr w:wrap="around" w:vAnchor="text" w:hAnchor="margin" w:xAlign="center" w:y="1"/>
      <w:rPr>
        <w:rStyle w:val="af1"/>
        <w:sz w:val="21"/>
      </w:rPr>
    </w:pPr>
  </w:p>
  <w:p w:rsidR="00311723" w:rsidRDefault="00311723">
    <w:pPr>
      <w:pStyle w:val="aa"/>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311723" w:rsidRDefault="00311723">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Bdr>
        <w:top w:val="single" w:sz="4" w:space="1" w:color="auto"/>
      </w:pBdr>
      <w:jc w:val="center"/>
      <w:rPr>
        <w:rStyle w:val="af1"/>
      </w:rPr>
    </w:pPr>
    <w:r>
      <w:fldChar w:fldCharType="begin"/>
    </w:r>
    <w:r>
      <w:instrText>PAGE   \* MERGEFORMAT</w:instrText>
    </w:r>
    <w:r>
      <w:fldChar w:fldCharType="separate"/>
    </w:r>
    <w:r w:rsidRPr="00311723">
      <w:rPr>
        <w:rFonts w:ascii="Arial" w:hAnsi="Arial"/>
        <w:noProof/>
        <w:lang w:val="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Bdr>
        <w:top w:val="single" w:sz="8" w:space="15" w:color="auto"/>
      </w:pBdr>
      <w:jc w:val="center"/>
    </w:pPr>
    <w:r>
      <w:t xml:space="preserve">- </w:t>
    </w:r>
    <w:r>
      <w:fldChar w:fldCharType="begin"/>
    </w:r>
    <w:r>
      <w:instrText xml:space="preserve"> PAGE </w:instrText>
    </w:r>
    <w:r>
      <w:fldChar w:fldCharType="separate"/>
    </w:r>
    <w:r>
      <w:rPr>
        <w:rFonts w:ascii="Arial" w:hAnsi="Arial"/>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311723">
      <w:rPr>
        <w:rFonts w:ascii="Arial" w:hAnsi="Arial" w:cs="Arial"/>
        <w:noProof/>
        <w:lang w:val="zh-CN"/>
      </w:rPr>
      <w:t>53</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framePr w:w="13887" w:wrap="around" w:vAnchor="text" w:hAnchor="page" w:x="1560" w:y="341"/>
      <w:jc w:val="center"/>
      <w:rPr>
        <w:rStyle w:val="af1"/>
        <w:sz w:val="21"/>
      </w:rPr>
    </w:pPr>
    <w:r>
      <w:rPr>
        <w:rStyle w:val="af1"/>
        <w:sz w:val="21"/>
        <w:szCs w:val="21"/>
      </w:rPr>
      <w:t xml:space="preserve">- </w:t>
    </w:r>
    <w:r>
      <w:rPr>
        <w:rStyle w:val="af1"/>
        <w:sz w:val="21"/>
        <w:szCs w:val="21"/>
      </w:rPr>
      <w:fldChar w:fldCharType="begin"/>
    </w:r>
    <w:r>
      <w:rPr>
        <w:rStyle w:val="af1"/>
        <w:sz w:val="21"/>
        <w:szCs w:val="21"/>
      </w:rPr>
      <w:instrText xml:space="preserve"> PAGE </w:instrText>
    </w:r>
    <w:r>
      <w:rPr>
        <w:rStyle w:val="af1"/>
        <w:sz w:val="21"/>
        <w:szCs w:val="21"/>
      </w:rPr>
      <w:fldChar w:fldCharType="separate"/>
    </w:r>
    <w:r>
      <w:rPr>
        <w:rStyle w:val="af1"/>
        <w:rFonts w:ascii="Arial" w:hAnsi="Arial"/>
        <w:sz w:val="21"/>
        <w:szCs w:val="21"/>
      </w:rPr>
      <w:t>8</w:t>
    </w:r>
    <w:r>
      <w:rPr>
        <w:rStyle w:val="af1"/>
        <w:sz w:val="21"/>
        <w:szCs w:val="21"/>
      </w:rPr>
      <w:fldChar w:fldCharType="end"/>
    </w:r>
    <w:r>
      <w:rPr>
        <w:rStyle w:val="af1"/>
        <w:sz w:val="21"/>
        <w:szCs w:val="21"/>
      </w:rPr>
      <w:t xml:space="preserve"> -</w:t>
    </w:r>
  </w:p>
  <w:p w:rsidR="00311723" w:rsidRDefault="00311723">
    <w:pPr>
      <w:pStyle w:val="aa"/>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a"/>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311723">
      <w:rPr>
        <w:rFonts w:ascii="Arial" w:hAnsi="Arial" w:cs="Arial"/>
        <w:noProof/>
        <w:lang w:val="zh-CN"/>
      </w:rPr>
      <w:t>44</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0EB" w:rsidRDefault="002160EB">
      <w:pPr>
        <w:spacing w:line="240" w:lineRule="auto"/>
      </w:pPr>
      <w:r>
        <w:separator/>
      </w:r>
    </w:p>
  </w:footnote>
  <w:footnote w:type="continuationSeparator" w:id="0">
    <w:p w:rsidR="002160EB" w:rsidRDefault="002160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pPr>
    <w:r>
      <w:rPr>
        <w:noProof/>
      </w:rPr>
      <w:drawing>
        <wp:inline distT="0" distB="0" distL="0" distR="0">
          <wp:extent cx="5904230" cy="28003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00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pPr>
    <w:r>
      <w:rPr>
        <w:noProof/>
      </w:rPr>
      <w:drawing>
        <wp:inline distT="0" distB="0" distL="0" distR="0">
          <wp:extent cx="5904230" cy="285115"/>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p w:rsidR="00311723" w:rsidRDefault="00311723">
    <w:pPr>
      <w:pStyle w:val="ab"/>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pPr>
    <w:r>
      <w:rPr>
        <w:noProof/>
      </w:rPr>
      <w:drawing>
        <wp:inline distT="0" distB="0" distL="0" distR="0">
          <wp:extent cx="5904230" cy="285115"/>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pPr>
    <w:r>
      <w:rPr>
        <w:noProof/>
      </w:rPr>
      <w:drawing>
        <wp:inline distT="0" distB="0" distL="0" distR="0">
          <wp:extent cx="5904230" cy="285115"/>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pPr>
    <w:r>
      <w:rPr>
        <w:noProof/>
      </w:rPr>
      <w:drawing>
        <wp:inline distT="0" distB="0" distL="0" distR="0">
          <wp:extent cx="5904230" cy="285115"/>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pPr>
    <w:r>
      <w:rPr>
        <w:noProof/>
      </w:rPr>
      <w:drawing>
        <wp:inline distT="0" distB="0" distL="0" distR="0">
          <wp:extent cx="5904230" cy="285115"/>
          <wp:effectExtent l="0" t="0" r="0" b="0"/>
          <wp:docPr id="4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pPr>
    <w:r>
      <w:rPr>
        <w:noProof/>
      </w:rPr>
      <w:drawing>
        <wp:inline distT="0" distB="0" distL="0" distR="0">
          <wp:extent cx="5497195" cy="285115"/>
          <wp:effectExtent l="0" t="0" r="0" b="0"/>
          <wp:docPr id="4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85115"/>
                  </a:xfrm>
                  <a:prstGeom prst="rect">
                    <a:avLst/>
                  </a:prstGeom>
                  <a:noFill/>
                  <a:ln>
                    <a:noFill/>
                  </a:ln>
                </pic:spPr>
              </pic:pic>
            </a:graphicData>
          </a:graphic>
        </wp:inline>
      </w:drawing>
    </w:r>
  </w:p>
  <w:p w:rsidR="00311723" w:rsidRDefault="00311723">
    <w:pPr>
      <w:pStyle w:val="ab"/>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pPr>
    <w:r>
      <w:rPr>
        <w:noProof/>
      </w:rPr>
      <w:drawing>
        <wp:inline distT="0" distB="0" distL="0" distR="0">
          <wp:extent cx="5904230"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pPr>
    <w:r>
      <w:rPr>
        <w:noProof/>
      </w:rPr>
      <w:drawing>
        <wp:inline distT="0" distB="0" distL="0" distR="0">
          <wp:extent cx="5904230"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pPr>
    <w:r>
      <w:rPr>
        <w:noProof/>
      </w:rPr>
      <w:drawing>
        <wp:inline distT="0" distB="0" distL="0" distR="0">
          <wp:extent cx="5904230"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0" distR="0">
          <wp:extent cx="8863965" cy="391160"/>
          <wp:effectExtent l="0" t="0" r="0" b="0"/>
          <wp:docPr id="45" name="图片 36"/>
          <wp:cNvGraphicFramePr/>
          <a:graphic xmlns:a="http://schemas.openxmlformats.org/drawingml/2006/main">
            <a:graphicData uri="http://schemas.openxmlformats.org/drawingml/2006/picture">
              <pic:pic xmlns:pic="http://schemas.openxmlformats.org/drawingml/2006/picture">
                <pic:nvPicPr>
                  <pic:cNvPr id="45" name="图片 3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3965" cy="3911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rPr>
        <w:rFonts w:ascii="楷体_GB2312" w:eastAsia="楷体_GB2312"/>
        <w:spacing w:val="-20"/>
        <w:sz w:val="24"/>
      </w:rPr>
    </w:pPr>
    <w:r>
      <w:rPr>
        <w:noProof/>
      </w:rPr>
      <w:drawing>
        <wp:inline distT="0" distB="0" distL="0" distR="0">
          <wp:extent cx="5904230" cy="285115"/>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rPr>
        <w:rFonts w:ascii="楷体_GB2312" w:eastAsia="楷体_GB2312"/>
        <w:spacing w:val="-20"/>
        <w:sz w:val="24"/>
      </w:rPr>
    </w:pPr>
    <w:r>
      <w:rPr>
        <w:noProof/>
      </w:rPr>
      <w:drawing>
        <wp:inline distT="0" distB="0" distL="0" distR="0">
          <wp:extent cx="5904230" cy="285115"/>
          <wp:effectExtent l="0" t="0" r="0" b="0"/>
          <wp:docPr id="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23" w:rsidRDefault="00311723">
    <w:pPr>
      <w:pStyle w:val="ab"/>
      <w:pBdr>
        <w:bottom w:val="none" w:sz="0" w:space="0" w:color="auto"/>
      </w:pBdr>
      <w:jc w:val="both"/>
    </w:pPr>
    <w:r>
      <w:rPr>
        <w:noProof/>
      </w:rPr>
      <w:drawing>
        <wp:inline distT="0" distB="0" distL="0" distR="0">
          <wp:extent cx="5904230" cy="285115"/>
          <wp:effectExtent l="0" t="0" r="0" b="0"/>
          <wp:docPr id="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nsid w:val="42711A3B"/>
    <w:multiLevelType w:val="multilevel"/>
    <w:tmpl w:val="42711A3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4">
    <w:nsid w:val="6E3F4F67"/>
    <w:multiLevelType w:val="singleLevel"/>
    <w:tmpl w:val="6E3F4F67"/>
    <w:lvl w:ilvl="0">
      <w:start w:val="8"/>
      <w:numFmt w:val="chineseCounting"/>
      <w:suff w:val="nothing"/>
      <w:lvlText w:val="%1、"/>
      <w:lvlJc w:val="left"/>
      <w:rPr>
        <w:rFonts w:hint="eastAsia"/>
      </w:rPr>
    </w:lvl>
  </w:abstractNum>
  <w:abstractNum w:abstractNumId="5">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7DFCDDBF"/>
    <w:multiLevelType w:val="singleLevel"/>
    <w:tmpl w:val="7DFCDDBF"/>
    <w:lvl w:ilvl="0">
      <w:start w:val="3"/>
      <w:numFmt w:val="chineseCounting"/>
      <w:suff w:val="nothing"/>
      <w:lvlText w:val="（%1）"/>
      <w:lvlJc w:val="left"/>
      <w:rPr>
        <w:rFonts w:hint="eastAsia"/>
      </w:rPr>
    </w:lvl>
  </w:abstractNum>
  <w:num w:numId="1">
    <w:abstractNumId w:val="6"/>
  </w:num>
  <w:num w:numId="2">
    <w:abstractNumId w:val="5"/>
  </w:num>
  <w:num w:numId="3">
    <w:abstractNumId w:val="0"/>
  </w:num>
  <w:num w:numId="4">
    <w:abstractNumId w:val="3"/>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grammar="clean"/>
  <w:defaultTabStop w:val="420"/>
  <w:drawingGridVerticalSpacing w:val="156"/>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10109"/>
    <w:rsid w:val="00020655"/>
    <w:rsid w:val="00022A81"/>
    <w:rsid w:val="00022AEF"/>
    <w:rsid w:val="00022D26"/>
    <w:rsid w:val="00022E09"/>
    <w:rsid w:val="00023A9D"/>
    <w:rsid w:val="0002583D"/>
    <w:rsid w:val="000335C0"/>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81ECD"/>
    <w:rsid w:val="0008235C"/>
    <w:rsid w:val="0008487F"/>
    <w:rsid w:val="000874F1"/>
    <w:rsid w:val="00090F6E"/>
    <w:rsid w:val="0009241E"/>
    <w:rsid w:val="0009253E"/>
    <w:rsid w:val="00092DE8"/>
    <w:rsid w:val="00094171"/>
    <w:rsid w:val="000A02EB"/>
    <w:rsid w:val="000A174F"/>
    <w:rsid w:val="000A6EFF"/>
    <w:rsid w:val="000C07B6"/>
    <w:rsid w:val="000C4251"/>
    <w:rsid w:val="000C6F13"/>
    <w:rsid w:val="000D0C1F"/>
    <w:rsid w:val="000D7FD2"/>
    <w:rsid w:val="000E38E9"/>
    <w:rsid w:val="000F4961"/>
    <w:rsid w:val="000F4D50"/>
    <w:rsid w:val="000F5B7A"/>
    <w:rsid w:val="000F7BF6"/>
    <w:rsid w:val="00111886"/>
    <w:rsid w:val="001119D8"/>
    <w:rsid w:val="00117659"/>
    <w:rsid w:val="00120689"/>
    <w:rsid w:val="00120A72"/>
    <w:rsid w:val="00120C20"/>
    <w:rsid w:val="001248ED"/>
    <w:rsid w:val="00134B7C"/>
    <w:rsid w:val="0013780B"/>
    <w:rsid w:val="00137E12"/>
    <w:rsid w:val="00140155"/>
    <w:rsid w:val="001421D2"/>
    <w:rsid w:val="0014421E"/>
    <w:rsid w:val="00144DAD"/>
    <w:rsid w:val="00145624"/>
    <w:rsid w:val="0015240C"/>
    <w:rsid w:val="00152BCA"/>
    <w:rsid w:val="00152BE0"/>
    <w:rsid w:val="00154465"/>
    <w:rsid w:val="00156953"/>
    <w:rsid w:val="00156F88"/>
    <w:rsid w:val="001632D8"/>
    <w:rsid w:val="00163358"/>
    <w:rsid w:val="00170A33"/>
    <w:rsid w:val="001731EA"/>
    <w:rsid w:val="0017469E"/>
    <w:rsid w:val="001769D7"/>
    <w:rsid w:val="00177F4C"/>
    <w:rsid w:val="001838C3"/>
    <w:rsid w:val="0018515C"/>
    <w:rsid w:val="0018781B"/>
    <w:rsid w:val="0019089B"/>
    <w:rsid w:val="00191A67"/>
    <w:rsid w:val="00192533"/>
    <w:rsid w:val="001942A4"/>
    <w:rsid w:val="00194C21"/>
    <w:rsid w:val="00196F58"/>
    <w:rsid w:val="00197A5E"/>
    <w:rsid w:val="001A0B0D"/>
    <w:rsid w:val="001B2396"/>
    <w:rsid w:val="001B3D44"/>
    <w:rsid w:val="001B44EE"/>
    <w:rsid w:val="001B47B8"/>
    <w:rsid w:val="001C076D"/>
    <w:rsid w:val="001C3012"/>
    <w:rsid w:val="001D515B"/>
    <w:rsid w:val="001D79DD"/>
    <w:rsid w:val="001E4531"/>
    <w:rsid w:val="001E6A68"/>
    <w:rsid w:val="001F1D45"/>
    <w:rsid w:val="001F2814"/>
    <w:rsid w:val="001F5529"/>
    <w:rsid w:val="001F780D"/>
    <w:rsid w:val="00202C3A"/>
    <w:rsid w:val="00202EC5"/>
    <w:rsid w:val="00204944"/>
    <w:rsid w:val="0020629B"/>
    <w:rsid w:val="002131D5"/>
    <w:rsid w:val="002160EB"/>
    <w:rsid w:val="0021724D"/>
    <w:rsid w:val="00221B39"/>
    <w:rsid w:val="0022376C"/>
    <w:rsid w:val="0022512A"/>
    <w:rsid w:val="002254C5"/>
    <w:rsid w:val="002316DB"/>
    <w:rsid w:val="00232D19"/>
    <w:rsid w:val="0023355D"/>
    <w:rsid w:val="00235889"/>
    <w:rsid w:val="00236537"/>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908E0"/>
    <w:rsid w:val="00292192"/>
    <w:rsid w:val="00293DE5"/>
    <w:rsid w:val="002977A8"/>
    <w:rsid w:val="002A0F54"/>
    <w:rsid w:val="002A10A5"/>
    <w:rsid w:val="002A148B"/>
    <w:rsid w:val="002A5CC8"/>
    <w:rsid w:val="002A6AA9"/>
    <w:rsid w:val="002A749A"/>
    <w:rsid w:val="002B105C"/>
    <w:rsid w:val="002B3FEF"/>
    <w:rsid w:val="002B47CF"/>
    <w:rsid w:val="002B51E0"/>
    <w:rsid w:val="002B67C8"/>
    <w:rsid w:val="002C1F9C"/>
    <w:rsid w:val="002C3C92"/>
    <w:rsid w:val="002C560C"/>
    <w:rsid w:val="002D6449"/>
    <w:rsid w:val="002E0834"/>
    <w:rsid w:val="002E3112"/>
    <w:rsid w:val="002E54A6"/>
    <w:rsid w:val="002F1264"/>
    <w:rsid w:val="002F1863"/>
    <w:rsid w:val="002F4573"/>
    <w:rsid w:val="002F4903"/>
    <w:rsid w:val="002F49F8"/>
    <w:rsid w:val="002F709D"/>
    <w:rsid w:val="002F7371"/>
    <w:rsid w:val="00301791"/>
    <w:rsid w:val="00304DF3"/>
    <w:rsid w:val="003067EC"/>
    <w:rsid w:val="00311723"/>
    <w:rsid w:val="00315B54"/>
    <w:rsid w:val="003160E1"/>
    <w:rsid w:val="00317EA7"/>
    <w:rsid w:val="003246D6"/>
    <w:rsid w:val="00326C81"/>
    <w:rsid w:val="00327283"/>
    <w:rsid w:val="00332CBE"/>
    <w:rsid w:val="003375E2"/>
    <w:rsid w:val="00340A4E"/>
    <w:rsid w:val="00343F11"/>
    <w:rsid w:val="00345EFE"/>
    <w:rsid w:val="00350F79"/>
    <w:rsid w:val="00352B7B"/>
    <w:rsid w:val="0035403B"/>
    <w:rsid w:val="00354770"/>
    <w:rsid w:val="00354E7A"/>
    <w:rsid w:val="00356C67"/>
    <w:rsid w:val="00361861"/>
    <w:rsid w:val="00361D48"/>
    <w:rsid w:val="003671A9"/>
    <w:rsid w:val="00367C4A"/>
    <w:rsid w:val="003820DF"/>
    <w:rsid w:val="00383822"/>
    <w:rsid w:val="00383D1A"/>
    <w:rsid w:val="00383F44"/>
    <w:rsid w:val="00391CCD"/>
    <w:rsid w:val="003A0AF4"/>
    <w:rsid w:val="003B14B1"/>
    <w:rsid w:val="003B1634"/>
    <w:rsid w:val="003B56CD"/>
    <w:rsid w:val="003C0C11"/>
    <w:rsid w:val="003C1524"/>
    <w:rsid w:val="003C26C6"/>
    <w:rsid w:val="003C3095"/>
    <w:rsid w:val="003D1C97"/>
    <w:rsid w:val="003E00D3"/>
    <w:rsid w:val="003E4FE2"/>
    <w:rsid w:val="003E7A2D"/>
    <w:rsid w:val="003F1157"/>
    <w:rsid w:val="003F5E55"/>
    <w:rsid w:val="003F7C33"/>
    <w:rsid w:val="004003E3"/>
    <w:rsid w:val="00400D0C"/>
    <w:rsid w:val="00405685"/>
    <w:rsid w:val="00411DE0"/>
    <w:rsid w:val="004210FA"/>
    <w:rsid w:val="0042679D"/>
    <w:rsid w:val="0043174D"/>
    <w:rsid w:val="00436024"/>
    <w:rsid w:val="00436B1B"/>
    <w:rsid w:val="00440587"/>
    <w:rsid w:val="00440C06"/>
    <w:rsid w:val="00443AAE"/>
    <w:rsid w:val="00445EAD"/>
    <w:rsid w:val="004521BC"/>
    <w:rsid w:val="0045386B"/>
    <w:rsid w:val="00454CF9"/>
    <w:rsid w:val="00460138"/>
    <w:rsid w:val="0046160C"/>
    <w:rsid w:val="00462DFD"/>
    <w:rsid w:val="00471492"/>
    <w:rsid w:val="00475970"/>
    <w:rsid w:val="0048029B"/>
    <w:rsid w:val="0048234D"/>
    <w:rsid w:val="00491C66"/>
    <w:rsid w:val="004935A9"/>
    <w:rsid w:val="00494CCE"/>
    <w:rsid w:val="0049773E"/>
    <w:rsid w:val="004B09BA"/>
    <w:rsid w:val="004B3AA0"/>
    <w:rsid w:val="004B42A9"/>
    <w:rsid w:val="004B50EE"/>
    <w:rsid w:val="004B6CCC"/>
    <w:rsid w:val="004B79BA"/>
    <w:rsid w:val="004B7BB5"/>
    <w:rsid w:val="004C0429"/>
    <w:rsid w:val="004C1361"/>
    <w:rsid w:val="004C136E"/>
    <w:rsid w:val="004C68B9"/>
    <w:rsid w:val="004D0BCA"/>
    <w:rsid w:val="004D31CD"/>
    <w:rsid w:val="004D6719"/>
    <w:rsid w:val="004D74F4"/>
    <w:rsid w:val="004E01B4"/>
    <w:rsid w:val="004E3416"/>
    <w:rsid w:val="004E7E58"/>
    <w:rsid w:val="004F216F"/>
    <w:rsid w:val="004F6F92"/>
    <w:rsid w:val="00504671"/>
    <w:rsid w:val="00511544"/>
    <w:rsid w:val="00512A86"/>
    <w:rsid w:val="005136C1"/>
    <w:rsid w:val="00517ACD"/>
    <w:rsid w:val="00521F40"/>
    <w:rsid w:val="00522129"/>
    <w:rsid w:val="005224A8"/>
    <w:rsid w:val="0052677F"/>
    <w:rsid w:val="00532E27"/>
    <w:rsid w:val="005345F8"/>
    <w:rsid w:val="00534F8B"/>
    <w:rsid w:val="005356FB"/>
    <w:rsid w:val="005357F7"/>
    <w:rsid w:val="00540133"/>
    <w:rsid w:val="00543B14"/>
    <w:rsid w:val="00544019"/>
    <w:rsid w:val="00554049"/>
    <w:rsid w:val="00557C18"/>
    <w:rsid w:val="00561BE3"/>
    <w:rsid w:val="00561C9D"/>
    <w:rsid w:val="00565014"/>
    <w:rsid w:val="00567003"/>
    <w:rsid w:val="005719DE"/>
    <w:rsid w:val="00573D43"/>
    <w:rsid w:val="00582273"/>
    <w:rsid w:val="0058261F"/>
    <w:rsid w:val="00582D43"/>
    <w:rsid w:val="00595A93"/>
    <w:rsid w:val="005961B7"/>
    <w:rsid w:val="00596857"/>
    <w:rsid w:val="005A0AE9"/>
    <w:rsid w:val="005A20C8"/>
    <w:rsid w:val="005A68D5"/>
    <w:rsid w:val="005A6B63"/>
    <w:rsid w:val="005C0F2D"/>
    <w:rsid w:val="005C1CF5"/>
    <w:rsid w:val="005C1F9C"/>
    <w:rsid w:val="005C77B6"/>
    <w:rsid w:val="005D49D2"/>
    <w:rsid w:val="005E1D49"/>
    <w:rsid w:val="005E2DCA"/>
    <w:rsid w:val="005E48AF"/>
    <w:rsid w:val="005E575C"/>
    <w:rsid w:val="005E5CF8"/>
    <w:rsid w:val="005E6F31"/>
    <w:rsid w:val="005E7C27"/>
    <w:rsid w:val="005F0B10"/>
    <w:rsid w:val="00600697"/>
    <w:rsid w:val="00601E54"/>
    <w:rsid w:val="006029F9"/>
    <w:rsid w:val="00603B3C"/>
    <w:rsid w:val="006054D5"/>
    <w:rsid w:val="0062473A"/>
    <w:rsid w:val="00630AF9"/>
    <w:rsid w:val="0063236C"/>
    <w:rsid w:val="0063507E"/>
    <w:rsid w:val="006352C1"/>
    <w:rsid w:val="00637654"/>
    <w:rsid w:val="00640CB1"/>
    <w:rsid w:val="00643A5E"/>
    <w:rsid w:val="0065126F"/>
    <w:rsid w:val="006643A0"/>
    <w:rsid w:val="00672C2B"/>
    <w:rsid w:val="00675AC6"/>
    <w:rsid w:val="00676094"/>
    <w:rsid w:val="00681897"/>
    <w:rsid w:val="00682ECC"/>
    <w:rsid w:val="00683546"/>
    <w:rsid w:val="00683D9D"/>
    <w:rsid w:val="0068411A"/>
    <w:rsid w:val="00692E68"/>
    <w:rsid w:val="0069312D"/>
    <w:rsid w:val="00694196"/>
    <w:rsid w:val="00696AF0"/>
    <w:rsid w:val="006972C7"/>
    <w:rsid w:val="006A27B1"/>
    <w:rsid w:val="006A4978"/>
    <w:rsid w:val="006B052F"/>
    <w:rsid w:val="006B0CFC"/>
    <w:rsid w:val="006B0DBC"/>
    <w:rsid w:val="006B16A1"/>
    <w:rsid w:val="006B175B"/>
    <w:rsid w:val="006B1FA5"/>
    <w:rsid w:val="006B26A0"/>
    <w:rsid w:val="006B3DEE"/>
    <w:rsid w:val="006B7005"/>
    <w:rsid w:val="006B79CC"/>
    <w:rsid w:val="006B7B6B"/>
    <w:rsid w:val="006C2355"/>
    <w:rsid w:val="006C4741"/>
    <w:rsid w:val="006D27AD"/>
    <w:rsid w:val="006D3C3B"/>
    <w:rsid w:val="006D6232"/>
    <w:rsid w:val="006D6FA9"/>
    <w:rsid w:val="006D7085"/>
    <w:rsid w:val="006E1DD9"/>
    <w:rsid w:val="006E401B"/>
    <w:rsid w:val="006F7F27"/>
    <w:rsid w:val="00700628"/>
    <w:rsid w:val="00702B03"/>
    <w:rsid w:val="007057C1"/>
    <w:rsid w:val="0070699A"/>
    <w:rsid w:val="00716811"/>
    <w:rsid w:val="007204E4"/>
    <w:rsid w:val="00722749"/>
    <w:rsid w:val="007250C3"/>
    <w:rsid w:val="00725C57"/>
    <w:rsid w:val="00730BF1"/>
    <w:rsid w:val="00735669"/>
    <w:rsid w:val="007377D7"/>
    <w:rsid w:val="00737E0F"/>
    <w:rsid w:val="00741811"/>
    <w:rsid w:val="00743FE4"/>
    <w:rsid w:val="007516F3"/>
    <w:rsid w:val="00756886"/>
    <w:rsid w:val="00763ADF"/>
    <w:rsid w:val="007640D0"/>
    <w:rsid w:val="00765615"/>
    <w:rsid w:val="00770175"/>
    <w:rsid w:val="007726FA"/>
    <w:rsid w:val="00772CE9"/>
    <w:rsid w:val="007741C3"/>
    <w:rsid w:val="00775B32"/>
    <w:rsid w:val="00776D0B"/>
    <w:rsid w:val="007807FC"/>
    <w:rsid w:val="007836F7"/>
    <w:rsid w:val="007872B6"/>
    <w:rsid w:val="007878B6"/>
    <w:rsid w:val="007A5876"/>
    <w:rsid w:val="007A643E"/>
    <w:rsid w:val="007B0FE3"/>
    <w:rsid w:val="007B6D9D"/>
    <w:rsid w:val="007C30B8"/>
    <w:rsid w:val="007C313C"/>
    <w:rsid w:val="007C5B10"/>
    <w:rsid w:val="007C6D37"/>
    <w:rsid w:val="007C71E8"/>
    <w:rsid w:val="007D2E09"/>
    <w:rsid w:val="007E05B8"/>
    <w:rsid w:val="007E1EDF"/>
    <w:rsid w:val="007E2F0A"/>
    <w:rsid w:val="007E5B45"/>
    <w:rsid w:val="007F4900"/>
    <w:rsid w:val="007F4C69"/>
    <w:rsid w:val="007F642F"/>
    <w:rsid w:val="007F6D62"/>
    <w:rsid w:val="00803C59"/>
    <w:rsid w:val="00806D61"/>
    <w:rsid w:val="00807FB4"/>
    <w:rsid w:val="00810DCC"/>
    <w:rsid w:val="00812EA4"/>
    <w:rsid w:val="008159BB"/>
    <w:rsid w:val="008163DA"/>
    <w:rsid w:val="00820AF9"/>
    <w:rsid w:val="00821AFA"/>
    <w:rsid w:val="008232D2"/>
    <w:rsid w:val="00825B7D"/>
    <w:rsid w:val="008261F3"/>
    <w:rsid w:val="00827530"/>
    <w:rsid w:val="008321CA"/>
    <w:rsid w:val="008326E2"/>
    <w:rsid w:val="00836D17"/>
    <w:rsid w:val="008405E6"/>
    <w:rsid w:val="00840CDE"/>
    <w:rsid w:val="00846677"/>
    <w:rsid w:val="00850352"/>
    <w:rsid w:val="00850642"/>
    <w:rsid w:val="0085115B"/>
    <w:rsid w:val="00853FDD"/>
    <w:rsid w:val="0085505B"/>
    <w:rsid w:val="00856B66"/>
    <w:rsid w:val="00857C84"/>
    <w:rsid w:val="008614E4"/>
    <w:rsid w:val="00861D6A"/>
    <w:rsid w:val="00864072"/>
    <w:rsid w:val="00865B2D"/>
    <w:rsid w:val="008710F3"/>
    <w:rsid w:val="008711C4"/>
    <w:rsid w:val="00875564"/>
    <w:rsid w:val="00876574"/>
    <w:rsid w:val="00877B1E"/>
    <w:rsid w:val="00880E25"/>
    <w:rsid w:val="00883D26"/>
    <w:rsid w:val="0088613D"/>
    <w:rsid w:val="00886B6C"/>
    <w:rsid w:val="0088769F"/>
    <w:rsid w:val="00887867"/>
    <w:rsid w:val="00893E72"/>
    <w:rsid w:val="00894CAD"/>
    <w:rsid w:val="008960C3"/>
    <w:rsid w:val="00897794"/>
    <w:rsid w:val="008A088E"/>
    <w:rsid w:val="008A154D"/>
    <w:rsid w:val="008A57A3"/>
    <w:rsid w:val="008A7869"/>
    <w:rsid w:val="008B0492"/>
    <w:rsid w:val="008B2E01"/>
    <w:rsid w:val="008B45E4"/>
    <w:rsid w:val="008B4F9E"/>
    <w:rsid w:val="008B59F8"/>
    <w:rsid w:val="008C19D1"/>
    <w:rsid w:val="008C2A10"/>
    <w:rsid w:val="008C2AD6"/>
    <w:rsid w:val="008C30ED"/>
    <w:rsid w:val="008C55D0"/>
    <w:rsid w:val="008D1160"/>
    <w:rsid w:val="008D19BC"/>
    <w:rsid w:val="008D6298"/>
    <w:rsid w:val="008D6D22"/>
    <w:rsid w:val="008D7FC6"/>
    <w:rsid w:val="008E111F"/>
    <w:rsid w:val="008E1A68"/>
    <w:rsid w:val="008E1EFA"/>
    <w:rsid w:val="008E2F85"/>
    <w:rsid w:val="008E6990"/>
    <w:rsid w:val="008F0466"/>
    <w:rsid w:val="008F1A5C"/>
    <w:rsid w:val="008F4BBD"/>
    <w:rsid w:val="008F4C62"/>
    <w:rsid w:val="008F5414"/>
    <w:rsid w:val="008F6051"/>
    <w:rsid w:val="00902146"/>
    <w:rsid w:val="009045B5"/>
    <w:rsid w:val="0090609D"/>
    <w:rsid w:val="0090670E"/>
    <w:rsid w:val="009162B2"/>
    <w:rsid w:val="009200EB"/>
    <w:rsid w:val="00923F5E"/>
    <w:rsid w:val="009241E4"/>
    <w:rsid w:val="009278BB"/>
    <w:rsid w:val="009311C6"/>
    <w:rsid w:val="00933E47"/>
    <w:rsid w:val="00936F86"/>
    <w:rsid w:val="00937DCE"/>
    <w:rsid w:val="00941918"/>
    <w:rsid w:val="00945BBE"/>
    <w:rsid w:val="00947166"/>
    <w:rsid w:val="00947DFF"/>
    <w:rsid w:val="00952A0A"/>
    <w:rsid w:val="00953F08"/>
    <w:rsid w:val="009546BE"/>
    <w:rsid w:val="00956BDC"/>
    <w:rsid w:val="0095752C"/>
    <w:rsid w:val="00960B1C"/>
    <w:rsid w:val="00960B76"/>
    <w:rsid w:val="009644D0"/>
    <w:rsid w:val="0096493C"/>
    <w:rsid w:val="00966CB2"/>
    <w:rsid w:val="009677F9"/>
    <w:rsid w:val="00970D62"/>
    <w:rsid w:val="009722A9"/>
    <w:rsid w:val="00974283"/>
    <w:rsid w:val="00984CBA"/>
    <w:rsid w:val="0098667A"/>
    <w:rsid w:val="00986B09"/>
    <w:rsid w:val="00990B6E"/>
    <w:rsid w:val="00992A24"/>
    <w:rsid w:val="00992D73"/>
    <w:rsid w:val="00993022"/>
    <w:rsid w:val="00993366"/>
    <w:rsid w:val="00994FB5"/>
    <w:rsid w:val="00997FAF"/>
    <w:rsid w:val="009A5898"/>
    <w:rsid w:val="009B129D"/>
    <w:rsid w:val="009B35FD"/>
    <w:rsid w:val="009B5DB2"/>
    <w:rsid w:val="009B6138"/>
    <w:rsid w:val="009B7D1E"/>
    <w:rsid w:val="009C2524"/>
    <w:rsid w:val="009D2E6C"/>
    <w:rsid w:val="009D5DEB"/>
    <w:rsid w:val="009D6783"/>
    <w:rsid w:val="009E17CC"/>
    <w:rsid w:val="009E4A70"/>
    <w:rsid w:val="009E762E"/>
    <w:rsid w:val="009F7FD5"/>
    <w:rsid w:val="00A01C75"/>
    <w:rsid w:val="00A0230D"/>
    <w:rsid w:val="00A04BD2"/>
    <w:rsid w:val="00A06733"/>
    <w:rsid w:val="00A07409"/>
    <w:rsid w:val="00A103B1"/>
    <w:rsid w:val="00A105C6"/>
    <w:rsid w:val="00A11629"/>
    <w:rsid w:val="00A12C6B"/>
    <w:rsid w:val="00A14647"/>
    <w:rsid w:val="00A16FC7"/>
    <w:rsid w:val="00A17DB4"/>
    <w:rsid w:val="00A262C8"/>
    <w:rsid w:val="00A307AD"/>
    <w:rsid w:val="00A31407"/>
    <w:rsid w:val="00A45C6C"/>
    <w:rsid w:val="00A460F2"/>
    <w:rsid w:val="00A47077"/>
    <w:rsid w:val="00A50A4A"/>
    <w:rsid w:val="00A523B7"/>
    <w:rsid w:val="00A52406"/>
    <w:rsid w:val="00A5390E"/>
    <w:rsid w:val="00A570FF"/>
    <w:rsid w:val="00A62043"/>
    <w:rsid w:val="00A63F7D"/>
    <w:rsid w:val="00A641EB"/>
    <w:rsid w:val="00A656DC"/>
    <w:rsid w:val="00A701AB"/>
    <w:rsid w:val="00A70306"/>
    <w:rsid w:val="00A70C28"/>
    <w:rsid w:val="00A70CBD"/>
    <w:rsid w:val="00A74041"/>
    <w:rsid w:val="00A75069"/>
    <w:rsid w:val="00A76C3D"/>
    <w:rsid w:val="00A7755E"/>
    <w:rsid w:val="00A84D0F"/>
    <w:rsid w:val="00A86EAC"/>
    <w:rsid w:val="00A95488"/>
    <w:rsid w:val="00AA0373"/>
    <w:rsid w:val="00AA2BFB"/>
    <w:rsid w:val="00AA3919"/>
    <w:rsid w:val="00AA5493"/>
    <w:rsid w:val="00AA6869"/>
    <w:rsid w:val="00AB18F1"/>
    <w:rsid w:val="00AB38CA"/>
    <w:rsid w:val="00AB4E18"/>
    <w:rsid w:val="00AC0612"/>
    <w:rsid w:val="00AC297F"/>
    <w:rsid w:val="00AC4A70"/>
    <w:rsid w:val="00AC5AEA"/>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6B6F"/>
    <w:rsid w:val="00AF76CE"/>
    <w:rsid w:val="00B065C2"/>
    <w:rsid w:val="00B0741E"/>
    <w:rsid w:val="00B14065"/>
    <w:rsid w:val="00B14AA2"/>
    <w:rsid w:val="00B22AF8"/>
    <w:rsid w:val="00B247E9"/>
    <w:rsid w:val="00B256CC"/>
    <w:rsid w:val="00B25AE2"/>
    <w:rsid w:val="00B262B6"/>
    <w:rsid w:val="00B2748D"/>
    <w:rsid w:val="00B3169F"/>
    <w:rsid w:val="00B32F96"/>
    <w:rsid w:val="00B40B4C"/>
    <w:rsid w:val="00B548D3"/>
    <w:rsid w:val="00B56F57"/>
    <w:rsid w:val="00B72A10"/>
    <w:rsid w:val="00B77407"/>
    <w:rsid w:val="00B7756E"/>
    <w:rsid w:val="00B80456"/>
    <w:rsid w:val="00B824DB"/>
    <w:rsid w:val="00B93CEA"/>
    <w:rsid w:val="00B94637"/>
    <w:rsid w:val="00B96690"/>
    <w:rsid w:val="00BA1CD3"/>
    <w:rsid w:val="00BA3347"/>
    <w:rsid w:val="00BA3DD4"/>
    <w:rsid w:val="00BA42CB"/>
    <w:rsid w:val="00BB3021"/>
    <w:rsid w:val="00BB3CFE"/>
    <w:rsid w:val="00BC033E"/>
    <w:rsid w:val="00BC0D70"/>
    <w:rsid w:val="00BC125D"/>
    <w:rsid w:val="00BC6048"/>
    <w:rsid w:val="00BD0C4A"/>
    <w:rsid w:val="00BD61F0"/>
    <w:rsid w:val="00BD64DD"/>
    <w:rsid w:val="00BE468A"/>
    <w:rsid w:val="00BE6D46"/>
    <w:rsid w:val="00BF563C"/>
    <w:rsid w:val="00BF5C35"/>
    <w:rsid w:val="00BF5EF6"/>
    <w:rsid w:val="00C011D0"/>
    <w:rsid w:val="00C038B6"/>
    <w:rsid w:val="00C07484"/>
    <w:rsid w:val="00C1223D"/>
    <w:rsid w:val="00C1471B"/>
    <w:rsid w:val="00C16986"/>
    <w:rsid w:val="00C16DAC"/>
    <w:rsid w:val="00C267C2"/>
    <w:rsid w:val="00C30981"/>
    <w:rsid w:val="00C343FE"/>
    <w:rsid w:val="00C3474F"/>
    <w:rsid w:val="00C34A96"/>
    <w:rsid w:val="00C40B4B"/>
    <w:rsid w:val="00C46BB1"/>
    <w:rsid w:val="00C54049"/>
    <w:rsid w:val="00C556FA"/>
    <w:rsid w:val="00C56F23"/>
    <w:rsid w:val="00C60253"/>
    <w:rsid w:val="00C60AFF"/>
    <w:rsid w:val="00C62E99"/>
    <w:rsid w:val="00C655B6"/>
    <w:rsid w:val="00C65787"/>
    <w:rsid w:val="00C6786B"/>
    <w:rsid w:val="00C7286E"/>
    <w:rsid w:val="00C739B7"/>
    <w:rsid w:val="00C75768"/>
    <w:rsid w:val="00C75E6A"/>
    <w:rsid w:val="00C770CC"/>
    <w:rsid w:val="00C778B7"/>
    <w:rsid w:val="00C77AD8"/>
    <w:rsid w:val="00C81F0A"/>
    <w:rsid w:val="00C84FA1"/>
    <w:rsid w:val="00C90375"/>
    <w:rsid w:val="00C91871"/>
    <w:rsid w:val="00C9198C"/>
    <w:rsid w:val="00C91C98"/>
    <w:rsid w:val="00C968BD"/>
    <w:rsid w:val="00CA2409"/>
    <w:rsid w:val="00CA265D"/>
    <w:rsid w:val="00CB4411"/>
    <w:rsid w:val="00CB563C"/>
    <w:rsid w:val="00CC7996"/>
    <w:rsid w:val="00CD3EF4"/>
    <w:rsid w:val="00CD7A42"/>
    <w:rsid w:val="00CE1FD9"/>
    <w:rsid w:val="00CE2D8B"/>
    <w:rsid w:val="00CE3A54"/>
    <w:rsid w:val="00CE4026"/>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20A9"/>
    <w:rsid w:val="00D3310A"/>
    <w:rsid w:val="00D35264"/>
    <w:rsid w:val="00D360CD"/>
    <w:rsid w:val="00D46A4A"/>
    <w:rsid w:val="00D5282D"/>
    <w:rsid w:val="00D53885"/>
    <w:rsid w:val="00D53C71"/>
    <w:rsid w:val="00D561E8"/>
    <w:rsid w:val="00D62E0C"/>
    <w:rsid w:val="00D63381"/>
    <w:rsid w:val="00D8099E"/>
    <w:rsid w:val="00D81E60"/>
    <w:rsid w:val="00D83993"/>
    <w:rsid w:val="00D83F77"/>
    <w:rsid w:val="00D854D6"/>
    <w:rsid w:val="00D9012B"/>
    <w:rsid w:val="00D90AA0"/>
    <w:rsid w:val="00D9270D"/>
    <w:rsid w:val="00DA17F0"/>
    <w:rsid w:val="00DA3890"/>
    <w:rsid w:val="00DA4084"/>
    <w:rsid w:val="00DA710C"/>
    <w:rsid w:val="00DB2472"/>
    <w:rsid w:val="00DB762D"/>
    <w:rsid w:val="00DC1A04"/>
    <w:rsid w:val="00DC225D"/>
    <w:rsid w:val="00DC2EB9"/>
    <w:rsid w:val="00DC4EB6"/>
    <w:rsid w:val="00DC5292"/>
    <w:rsid w:val="00DC5CD6"/>
    <w:rsid w:val="00DD1F6E"/>
    <w:rsid w:val="00DD2117"/>
    <w:rsid w:val="00DD7847"/>
    <w:rsid w:val="00DE06D5"/>
    <w:rsid w:val="00DE42FE"/>
    <w:rsid w:val="00DE5EBC"/>
    <w:rsid w:val="00DE7C05"/>
    <w:rsid w:val="00DE7CD8"/>
    <w:rsid w:val="00DF2723"/>
    <w:rsid w:val="00DF2C68"/>
    <w:rsid w:val="00E026BD"/>
    <w:rsid w:val="00E10007"/>
    <w:rsid w:val="00E17BFA"/>
    <w:rsid w:val="00E22D04"/>
    <w:rsid w:val="00E24311"/>
    <w:rsid w:val="00E25BD1"/>
    <w:rsid w:val="00E335C8"/>
    <w:rsid w:val="00E33D28"/>
    <w:rsid w:val="00E34589"/>
    <w:rsid w:val="00E35652"/>
    <w:rsid w:val="00E3649E"/>
    <w:rsid w:val="00E40AA6"/>
    <w:rsid w:val="00E42515"/>
    <w:rsid w:val="00E4532D"/>
    <w:rsid w:val="00E4552F"/>
    <w:rsid w:val="00E475A2"/>
    <w:rsid w:val="00E55E09"/>
    <w:rsid w:val="00E560ED"/>
    <w:rsid w:val="00E60575"/>
    <w:rsid w:val="00E645F2"/>
    <w:rsid w:val="00E65ECF"/>
    <w:rsid w:val="00E66ACB"/>
    <w:rsid w:val="00E67BC0"/>
    <w:rsid w:val="00E67DCE"/>
    <w:rsid w:val="00E77909"/>
    <w:rsid w:val="00E80629"/>
    <w:rsid w:val="00E84DAA"/>
    <w:rsid w:val="00E93133"/>
    <w:rsid w:val="00E93C80"/>
    <w:rsid w:val="00EA0A25"/>
    <w:rsid w:val="00EA0DAE"/>
    <w:rsid w:val="00EA1938"/>
    <w:rsid w:val="00EA5D1B"/>
    <w:rsid w:val="00EA7DD7"/>
    <w:rsid w:val="00EB19A1"/>
    <w:rsid w:val="00EB5050"/>
    <w:rsid w:val="00EB7426"/>
    <w:rsid w:val="00EC03AB"/>
    <w:rsid w:val="00EC308A"/>
    <w:rsid w:val="00EC7E42"/>
    <w:rsid w:val="00ED5380"/>
    <w:rsid w:val="00ED5EDD"/>
    <w:rsid w:val="00ED67E4"/>
    <w:rsid w:val="00EE0141"/>
    <w:rsid w:val="00EE05B1"/>
    <w:rsid w:val="00EF32BF"/>
    <w:rsid w:val="00EF3DDF"/>
    <w:rsid w:val="00EF6388"/>
    <w:rsid w:val="00F00902"/>
    <w:rsid w:val="00F009F9"/>
    <w:rsid w:val="00F00E7A"/>
    <w:rsid w:val="00F015BD"/>
    <w:rsid w:val="00F01AD4"/>
    <w:rsid w:val="00F03C4F"/>
    <w:rsid w:val="00F0631A"/>
    <w:rsid w:val="00F06E0A"/>
    <w:rsid w:val="00F07FAD"/>
    <w:rsid w:val="00F10F9D"/>
    <w:rsid w:val="00F11346"/>
    <w:rsid w:val="00F140DB"/>
    <w:rsid w:val="00F15C4E"/>
    <w:rsid w:val="00F16B9B"/>
    <w:rsid w:val="00F21451"/>
    <w:rsid w:val="00F24872"/>
    <w:rsid w:val="00F25BF2"/>
    <w:rsid w:val="00F32103"/>
    <w:rsid w:val="00F32DD8"/>
    <w:rsid w:val="00F36DBE"/>
    <w:rsid w:val="00F36E99"/>
    <w:rsid w:val="00F43CD5"/>
    <w:rsid w:val="00F44AB7"/>
    <w:rsid w:val="00F515CB"/>
    <w:rsid w:val="00F521C0"/>
    <w:rsid w:val="00F54F56"/>
    <w:rsid w:val="00F56320"/>
    <w:rsid w:val="00F56D71"/>
    <w:rsid w:val="00F61C9B"/>
    <w:rsid w:val="00F64CEB"/>
    <w:rsid w:val="00F6779B"/>
    <w:rsid w:val="00F703D1"/>
    <w:rsid w:val="00F73757"/>
    <w:rsid w:val="00F76184"/>
    <w:rsid w:val="00F772F5"/>
    <w:rsid w:val="00F82EA1"/>
    <w:rsid w:val="00F84477"/>
    <w:rsid w:val="00F85272"/>
    <w:rsid w:val="00F907B1"/>
    <w:rsid w:val="00F90E82"/>
    <w:rsid w:val="00F92D0C"/>
    <w:rsid w:val="00F95E93"/>
    <w:rsid w:val="00FA36B3"/>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 w:val="010963D4"/>
    <w:rsid w:val="01635C49"/>
    <w:rsid w:val="031A0660"/>
    <w:rsid w:val="14665D24"/>
    <w:rsid w:val="161A0B74"/>
    <w:rsid w:val="1DB25736"/>
    <w:rsid w:val="23627FFE"/>
    <w:rsid w:val="25016C26"/>
    <w:rsid w:val="2A2658E2"/>
    <w:rsid w:val="2B3E5E03"/>
    <w:rsid w:val="2FA8724D"/>
    <w:rsid w:val="3E7569E0"/>
    <w:rsid w:val="3F676329"/>
    <w:rsid w:val="457D0613"/>
    <w:rsid w:val="46F51E8F"/>
    <w:rsid w:val="49C64593"/>
    <w:rsid w:val="4A207245"/>
    <w:rsid w:val="4B9E7938"/>
    <w:rsid w:val="4E630603"/>
    <w:rsid w:val="55A777ED"/>
    <w:rsid w:val="568110AA"/>
    <w:rsid w:val="569D0AAA"/>
    <w:rsid w:val="5BEA2363"/>
    <w:rsid w:val="60285208"/>
    <w:rsid w:val="6037369D"/>
    <w:rsid w:val="646929D4"/>
    <w:rsid w:val="6635067F"/>
    <w:rsid w:val="69323556"/>
    <w:rsid w:val="6F902A4A"/>
    <w:rsid w:val="765E32DA"/>
    <w:rsid w:val="77AB74E8"/>
    <w:rsid w:val="7F113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lsdException w:name="footnote text" w:semiHidden="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uiPriority="0" w:unhideWhenUsed="0"/>
    <w:lsdException w:name="Body Text First Indent 2" w:semiHidden="1"/>
    <w:lsdException w:name="Note Heading" w:semiHidden="1"/>
    <w:lsdException w:name="Body Text 2" w:uiPriority="0" w:unhideWhenUsed="0" w:qFormat="1"/>
    <w:lsdException w:name="Body Text 3" w:uiPriority="0" w:unhideWhenUsed="0"/>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semiHidden="1" w:uiPriority="0" w:unhideWhenUsed="0"/>
    <w:lsdException w:name="Plain Text" w:uiPriority="0" w:unhideWhenUsed="0"/>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qFormat="1"/>
    <w:lsdException w:name="HTML Sample" w:semiHidden="1"/>
    <w:lsdException w:name="HTML Typewriter" w:semiHidden="1"/>
    <w:lsdException w:name="HTML Variable" w:semiHidden="1"/>
    <w:lsdException w:name="Normal Table"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unhideWhenUsed="0"/>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Document Map"/>
    <w:basedOn w:val="a"/>
    <w:link w:val="Char"/>
    <w:semiHidden/>
    <w:pPr>
      <w:shd w:val="clear" w:color="auto" w:fill="000080"/>
    </w:pPr>
  </w:style>
  <w:style w:type="paragraph" w:styleId="a4">
    <w:name w:val="annotation text"/>
    <w:basedOn w:val="a"/>
    <w:link w:val="Char0"/>
    <w:uiPriority w:val="99"/>
    <w:unhideWhenUsed/>
  </w:style>
  <w:style w:type="paragraph" w:styleId="30">
    <w:name w:val="Body Text 3"/>
    <w:basedOn w:val="a"/>
    <w:link w:val="3Char0"/>
    <w:pPr>
      <w:spacing w:line="288" w:lineRule="auto"/>
      <w:jc w:val="both"/>
    </w:pPr>
    <w:rPr>
      <w:rFonts w:ascii="楷体_GB2312" w:eastAsia="楷体_GB2312" w:hAnsi="Arial"/>
      <w:sz w:val="32"/>
    </w:rPr>
  </w:style>
  <w:style w:type="paragraph" w:styleId="a5">
    <w:name w:val="Body Text"/>
    <w:basedOn w:val="a"/>
    <w:link w:val="Char1"/>
    <w:qFormat/>
    <w:pPr>
      <w:adjustRightInd/>
      <w:spacing w:line="240" w:lineRule="auto"/>
      <w:jc w:val="both"/>
      <w:textAlignment w:val="auto"/>
    </w:pPr>
    <w:rPr>
      <w:rFonts w:ascii="宋体"/>
      <w:sz w:val="30"/>
    </w:rPr>
  </w:style>
  <w:style w:type="paragraph" w:styleId="a6">
    <w:name w:val="Body Text Indent"/>
    <w:basedOn w:val="a"/>
    <w:link w:val="Char2"/>
    <w:qFormat/>
    <w:pPr>
      <w:spacing w:line="400" w:lineRule="atLeast"/>
      <w:ind w:firstLine="570"/>
    </w:pPr>
    <w:rPr>
      <w:rFonts w:ascii="仿宋_GB2312" w:eastAsia="仿宋_GB2312"/>
      <w:sz w:val="28"/>
    </w:rPr>
  </w:style>
  <w:style w:type="paragraph" w:styleId="5">
    <w:name w:val="toc 5"/>
    <w:basedOn w:val="a"/>
    <w:next w:val="a"/>
    <w:uiPriority w:val="39"/>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7">
    <w:name w:val="Plain Text"/>
    <w:basedOn w:val="a"/>
    <w:link w:val="Char3"/>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8">
    <w:name w:val="Date"/>
    <w:basedOn w:val="a"/>
    <w:next w:val="a"/>
    <w:link w:val="Char4"/>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9">
    <w:name w:val="Balloon Text"/>
    <w:basedOn w:val="a"/>
    <w:link w:val="Char5"/>
    <w:semiHidden/>
    <w:rPr>
      <w:sz w:val="18"/>
      <w:szCs w:val="18"/>
    </w:rPr>
  </w:style>
  <w:style w:type="paragraph" w:styleId="aa">
    <w:name w:val="footer"/>
    <w:basedOn w:val="a"/>
    <w:link w:val="Char6"/>
    <w:uiPriority w:val="99"/>
    <w:qFormat/>
    <w:pPr>
      <w:tabs>
        <w:tab w:val="center" w:pos="4153"/>
        <w:tab w:val="right" w:pos="8306"/>
      </w:tabs>
      <w:spacing w:line="240" w:lineRule="atLeast"/>
    </w:pPr>
    <w:rPr>
      <w:sz w:val="18"/>
    </w:rPr>
  </w:style>
  <w:style w:type="paragraph" w:styleId="ab">
    <w:name w:val="header"/>
    <w:basedOn w:val="a"/>
    <w:link w:val="Char7"/>
    <w:uiPriority w:val="99"/>
    <w:qFormat/>
    <w:pPr>
      <w:pBdr>
        <w:bottom w:val="single" w:sz="6" w:space="1" w:color="auto"/>
      </w:pBdr>
      <w:tabs>
        <w:tab w:val="center" w:pos="4153"/>
        <w:tab w:val="right" w:pos="8306"/>
      </w:tabs>
      <w:spacing w:line="240" w:lineRule="atLeast"/>
      <w:jc w:val="center"/>
    </w:pPr>
    <w:rPr>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pPr>
      <w:tabs>
        <w:tab w:val="right" w:leader="dot" w:pos="8931"/>
      </w:tabs>
      <w:spacing w:line="360" w:lineRule="auto"/>
      <w:ind w:leftChars="200" w:left="480"/>
    </w:pPr>
  </w:style>
  <w:style w:type="paragraph" w:styleId="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c">
    <w:name w:val="Normal (Web)"/>
    <w:basedOn w:val="a"/>
    <w:uiPriority w:val="99"/>
    <w:qFormat/>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uiPriority w:val="99"/>
    <w:unhideWhenUsed/>
    <w:rPr>
      <w:b/>
      <w:bCs/>
    </w:rPr>
  </w:style>
  <w:style w:type="paragraph" w:styleId="ae">
    <w:name w:val="Body Text First Indent"/>
    <w:basedOn w:val="a5"/>
    <w:link w:val="Char9"/>
    <w:pPr>
      <w:spacing w:after="120"/>
      <w:ind w:firstLine="420"/>
    </w:pPr>
    <w:rPr>
      <w:rFonts w:ascii="Times New Roman"/>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qFormat/>
    <w:rPr>
      <w:b/>
      <w:bCs/>
    </w:rPr>
  </w:style>
  <w:style w:type="character" w:styleId="af1">
    <w:name w:val="page number"/>
    <w:qFormat/>
  </w:style>
  <w:style w:type="character" w:styleId="af2">
    <w:name w:val="Hyperlink"/>
    <w:uiPriority w:val="99"/>
    <w:unhideWhenUsed/>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link w:val="1"/>
    <w:rPr>
      <w:rFonts w:ascii="Arial" w:eastAsia="仿宋_GB2312" w:hAnsi="Arial" w:cs="Arial"/>
      <w:b/>
      <w:kern w:val="0"/>
      <w:sz w:val="28"/>
      <w:szCs w:val="20"/>
    </w:rPr>
  </w:style>
  <w:style w:type="character" w:customStyle="1" w:styleId="2Char">
    <w:name w:val="标题 2 Char"/>
    <w:link w:val="2"/>
    <w:rPr>
      <w:rFonts w:ascii="Arial" w:eastAsia="仿宋_GB2312" w:hAnsi="Arial" w:cs="Arial"/>
      <w:b/>
      <w:bCs/>
      <w:kern w:val="0"/>
      <w:sz w:val="28"/>
      <w:szCs w:val="20"/>
    </w:rPr>
  </w:style>
  <w:style w:type="character" w:customStyle="1" w:styleId="3Char">
    <w:name w:val="标题 3 Char"/>
    <w:link w:val="3"/>
    <w:rPr>
      <w:rFonts w:ascii="仿宋_GB2312" w:eastAsia="仿宋_GB2312" w:hAnsi="Arial" w:cs="Arial"/>
      <w:kern w:val="0"/>
      <w:sz w:val="28"/>
      <w:szCs w:val="20"/>
    </w:rPr>
  </w:style>
  <w:style w:type="character" w:customStyle="1" w:styleId="4Char">
    <w:name w:val="标题 4 Char"/>
    <w:link w:val="4"/>
    <w:rPr>
      <w:rFonts w:ascii="仿宋_GB2312" w:eastAsia="仿宋_GB2312" w:hAnsi="Times New Roman" w:cs="Times New Roman"/>
      <w:kern w:val="0"/>
      <w:sz w:val="28"/>
      <w:szCs w:val="20"/>
    </w:rPr>
  </w:style>
  <w:style w:type="character" w:customStyle="1" w:styleId="Char">
    <w:name w:val="文档结构图 Char"/>
    <w:link w:val="a3"/>
    <w:semiHidden/>
    <w:qFormat/>
    <w:rPr>
      <w:rFonts w:ascii="Times New Roman" w:eastAsia="宋体" w:hAnsi="Times New Roman" w:cs="Times New Roman"/>
      <w:kern w:val="0"/>
      <w:sz w:val="24"/>
      <w:szCs w:val="20"/>
      <w:shd w:val="clear" w:color="auto" w:fill="000080"/>
    </w:rPr>
  </w:style>
  <w:style w:type="character" w:customStyle="1" w:styleId="Char0">
    <w:name w:val="批注文字 Char"/>
    <w:link w:val="a4"/>
    <w:uiPriority w:val="99"/>
    <w:semiHidden/>
    <w:rPr>
      <w:rFonts w:ascii="Times New Roman" w:hAnsi="Times New Roman"/>
      <w:sz w:val="24"/>
    </w:rPr>
  </w:style>
  <w:style w:type="character" w:customStyle="1" w:styleId="3Char0">
    <w:name w:val="正文文本 3 Char"/>
    <w:link w:val="30"/>
    <w:rPr>
      <w:rFonts w:ascii="楷体_GB2312" w:eastAsia="楷体_GB2312" w:hAnsi="Arial" w:cs="Times New Roman"/>
      <w:kern w:val="0"/>
      <w:sz w:val="32"/>
      <w:szCs w:val="20"/>
    </w:rPr>
  </w:style>
  <w:style w:type="character" w:customStyle="1" w:styleId="Char1">
    <w:name w:val="正文文本 Char"/>
    <w:link w:val="a5"/>
    <w:rPr>
      <w:rFonts w:ascii="宋体" w:eastAsia="宋体" w:hAnsi="Times New Roman" w:cs="Times New Roman"/>
      <w:sz w:val="30"/>
      <w:szCs w:val="20"/>
    </w:rPr>
  </w:style>
  <w:style w:type="character" w:customStyle="1" w:styleId="Char2">
    <w:name w:val="正文文本缩进 Char"/>
    <w:link w:val="a6"/>
    <w:qFormat/>
    <w:rPr>
      <w:rFonts w:ascii="仿宋_GB2312" w:eastAsia="仿宋_GB2312" w:cs="Times New Roman"/>
      <w:kern w:val="0"/>
      <w:sz w:val="28"/>
      <w:szCs w:val="20"/>
    </w:rPr>
  </w:style>
  <w:style w:type="character" w:customStyle="1" w:styleId="Char3">
    <w:name w:val="纯文本 Char"/>
    <w:link w:val="a7"/>
    <w:qFormat/>
    <w:rPr>
      <w:rFonts w:ascii="宋体" w:eastAsia="宋体" w:hAnsi="Courier New" w:cs="Times New Roman"/>
      <w:szCs w:val="20"/>
    </w:rPr>
  </w:style>
  <w:style w:type="character" w:customStyle="1" w:styleId="Char4">
    <w:name w:val="日期 Char"/>
    <w:link w:val="a8"/>
    <w:qFormat/>
    <w:rPr>
      <w:rFonts w:ascii="楷体_GB2312" w:eastAsia="楷体_GB2312" w:hAnsi="Times New Roman" w:cs="Times New Roman"/>
      <w:b/>
      <w:kern w:val="0"/>
      <w:sz w:val="28"/>
      <w:szCs w:val="20"/>
    </w:rPr>
  </w:style>
  <w:style w:type="character" w:customStyle="1" w:styleId="2Char0">
    <w:name w:val="正文文本缩进 2 Char"/>
    <w:link w:val="20"/>
    <w:qFormat/>
    <w:rPr>
      <w:rFonts w:ascii="仿宋_GB2312" w:eastAsia="仿宋_GB2312" w:hAnsi="Times New Roman" w:cs="Times New Roman"/>
      <w:kern w:val="0"/>
      <w:sz w:val="28"/>
      <w:szCs w:val="20"/>
    </w:rPr>
  </w:style>
  <w:style w:type="character" w:customStyle="1" w:styleId="Char5">
    <w:name w:val="批注框文本 Char"/>
    <w:link w:val="a9"/>
    <w:semiHidden/>
    <w:rPr>
      <w:rFonts w:ascii="Times New Roman" w:eastAsia="宋体" w:hAnsi="Times New Roman" w:cs="Times New Roman"/>
      <w:kern w:val="0"/>
      <w:sz w:val="18"/>
      <w:szCs w:val="18"/>
    </w:rPr>
  </w:style>
  <w:style w:type="character" w:customStyle="1" w:styleId="Char6">
    <w:name w:val="页脚 Char"/>
    <w:link w:val="aa"/>
    <w:uiPriority w:val="99"/>
    <w:qFormat/>
    <w:rPr>
      <w:rFonts w:ascii="Times New Roman" w:eastAsia="宋体" w:hAnsi="Times New Roman" w:cs="Times New Roman"/>
      <w:kern w:val="0"/>
      <w:sz w:val="18"/>
      <w:szCs w:val="20"/>
    </w:rPr>
  </w:style>
  <w:style w:type="character" w:customStyle="1" w:styleId="Char7">
    <w:name w:val="页眉 Char"/>
    <w:link w:val="ab"/>
    <w:uiPriority w:val="99"/>
    <w:rPr>
      <w:rFonts w:ascii="Times New Roman" w:eastAsia="宋体" w:hAnsi="Times New Roman" w:cs="Times New Roman"/>
      <w:kern w:val="0"/>
      <w:sz w:val="18"/>
      <w:szCs w:val="20"/>
    </w:rPr>
  </w:style>
  <w:style w:type="character" w:customStyle="1" w:styleId="3Char1">
    <w:name w:val="正文文本缩进 3 Char"/>
    <w:link w:val="32"/>
    <w:rPr>
      <w:rFonts w:ascii="Arial" w:eastAsia="仿宋_GB2312" w:hAnsi="Arial" w:cs="Arial"/>
      <w:kern w:val="0"/>
      <w:sz w:val="28"/>
      <w:szCs w:val="20"/>
    </w:rPr>
  </w:style>
  <w:style w:type="character" w:customStyle="1" w:styleId="2Char1">
    <w:name w:val="正文文本 2 Char"/>
    <w:link w:val="22"/>
    <w:qFormat/>
    <w:rPr>
      <w:rFonts w:ascii="仿宋_GB2312" w:eastAsia="仿宋_GB2312" w:hAnsi="Arial" w:cs="Times New Roman"/>
      <w:kern w:val="0"/>
      <w:sz w:val="28"/>
      <w:szCs w:val="20"/>
    </w:rPr>
  </w:style>
  <w:style w:type="character" w:customStyle="1" w:styleId="HTMLChar">
    <w:name w:val="HTML 预设格式 Char"/>
    <w:link w:val="HTML"/>
    <w:rPr>
      <w:rFonts w:ascii="宋体" w:eastAsia="宋体" w:hAnsi="宋体" w:cs="Times New Roman"/>
      <w:kern w:val="0"/>
      <w:sz w:val="24"/>
      <w:szCs w:val="24"/>
    </w:rPr>
  </w:style>
  <w:style w:type="character" w:customStyle="1" w:styleId="Char8">
    <w:name w:val="批注主题 Char"/>
    <w:link w:val="ad"/>
    <w:uiPriority w:val="99"/>
    <w:semiHidden/>
    <w:rPr>
      <w:rFonts w:ascii="Times New Roman" w:hAnsi="Times New Roman"/>
      <w:b/>
      <w:bCs/>
      <w:sz w:val="24"/>
    </w:rPr>
  </w:style>
  <w:style w:type="character" w:customStyle="1" w:styleId="Char9">
    <w:name w:val="正文首行缩进 Char"/>
    <w:link w:val="ae"/>
    <w:rPr>
      <w:rFonts w:ascii="Times New Roman" w:eastAsia="宋体" w:hAnsi="Times New Roman" w:cs="Times New Roman"/>
      <w:sz w:val="30"/>
      <w:szCs w:val="20"/>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paragraph" w:customStyle="1" w:styleId="23">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a">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12">
    <w:name w:val="修订1"/>
    <w:uiPriority w:val="99"/>
    <w:semiHidden/>
    <w:rPr>
      <w:sz w:val="24"/>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styleId="af4">
    <w:name w:val="List Paragraph"/>
    <w:basedOn w:val="a"/>
    <w:uiPriority w:val="34"/>
    <w:qFormat/>
    <w:pPr>
      <w:ind w:firstLineChars="200" w:firstLine="420"/>
    </w:pPr>
  </w:style>
  <w:style w:type="paragraph" w:customStyle="1" w:styleId="13">
    <w:name w:val="正文1"/>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lsdException w:name="footnote text" w:semiHidden="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uiPriority="0" w:unhideWhenUsed="0"/>
    <w:lsdException w:name="Body Text First Indent 2" w:semiHidden="1"/>
    <w:lsdException w:name="Note Heading" w:semiHidden="1"/>
    <w:lsdException w:name="Body Text 2" w:uiPriority="0" w:unhideWhenUsed="0" w:qFormat="1"/>
    <w:lsdException w:name="Body Text 3" w:uiPriority="0" w:unhideWhenUsed="0"/>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semiHidden="1" w:uiPriority="0" w:unhideWhenUsed="0"/>
    <w:lsdException w:name="Plain Text" w:uiPriority="0" w:unhideWhenUsed="0"/>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qFormat="1"/>
    <w:lsdException w:name="HTML Sample" w:semiHidden="1"/>
    <w:lsdException w:name="HTML Typewriter" w:semiHidden="1"/>
    <w:lsdException w:name="HTML Variable" w:semiHidden="1"/>
    <w:lsdException w:name="Normal Table"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unhideWhenUsed="0"/>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Document Map"/>
    <w:basedOn w:val="a"/>
    <w:link w:val="Char"/>
    <w:semiHidden/>
    <w:pPr>
      <w:shd w:val="clear" w:color="auto" w:fill="000080"/>
    </w:pPr>
  </w:style>
  <w:style w:type="paragraph" w:styleId="a4">
    <w:name w:val="annotation text"/>
    <w:basedOn w:val="a"/>
    <w:link w:val="Char0"/>
    <w:uiPriority w:val="99"/>
    <w:unhideWhenUsed/>
  </w:style>
  <w:style w:type="paragraph" w:styleId="30">
    <w:name w:val="Body Text 3"/>
    <w:basedOn w:val="a"/>
    <w:link w:val="3Char0"/>
    <w:pPr>
      <w:spacing w:line="288" w:lineRule="auto"/>
      <w:jc w:val="both"/>
    </w:pPr>
    <w:rPr>
      <w:rFonts w:ascii="楷体_GB2312" w:eastAsia="楷体_GB2312" w:hAnsi="Arial"/>
      <w:sz w:val="32"/>
    </w:rPr>
  </w:style>
  <w:style w:type="paragraph" w:styleId="a5">
    <w:name w:val="Body Text"/>
    <w:basedOn w:val="a"/>
    <w:link w:val="Char1"/>
    <w:qFormat/>
    <w:pPr>
      <w:adjustRightInd/>
      <w:spacing w:line="240" w:lineRule="auto"/>
      <w:jc w:val="both"/>
      <w:textAlignment w:val="auto"/>
    </w:pPr>
    <w:rPr>
      <w:rFonts w:ascii="宋体"/>
      <w:sz w:val="30"/>
    </w:rPr>
  </w:style>
  <w:style w:type="paragraph" w:styleId="a6">
    <w:name w:val="Body Text Indent"/>
    <w:basedOn w:val="a"/>
    <w:link w:val="Char2"/>
    <w:qFormat/>
    <w:pPr>
      <w:spacing w:line="400" w:lineRule="atLeast"/>
      <w:ind w:firstLine="570"/>
    </w:pPr>
    <w:rPr>
      <w:rFonts w:ascii="仿宋_GB2312" w:eastAsia="仿宋_GB2312"/>
      <w:sz w:val="28"/>
    </w:rPr>
  </w:style>
  <w:style w:type="paragraph" w:styleId="5">
    <w:name w:val="toc 5"/>
    <w:basedOn w:val="a"/>
    <w:next w:val="a"/>
    <w:uiPriority w:val="39"/>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7">
    <w:name w:val="Plain Text"/>
    <w:basedOn w:val="a"/>
    <w:link w:val="Char3"/>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8">
    <w:name w:val="Date"/>
    <w:basedOn w:val="a"/>
    <w:next w:val="a"/>
    <w:link w:val="Char4"/>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9">
    <w:name w:val="Balloon Text"/>
    <w:basedOn w:val="a"/>
    <w:link w:val="Char5"/>
    <w:semiHidden/>
    <w:rPr>
      <w:sz w:val="18"/>
      <w:szCs w:val="18"/>
    </w:rPr>
  </w:style>
  <w:style w:type="paragraph" w:styleId="aa">
    <w:name w:val="footer"/>
    <w:basedOn w:val="a"/>
    <w:link w:val="Char6"/>
    <w:uiPriority w:val="99"/>
    <w:qFormat/>
    <w:pPr>
      <w:tabs>
        <w:tab w:val="center" w:pos="4153"/>
        <w:tab w:val="right" w:pos="8306"/>
      </w:tabs>
      <w:spacing w:line="240" w:lineRule="atLeast"/>
    </w:pPr>
    <w:rPr>
      <w:sz w:val="18"/>
    </w:rPr>
  </w:style>
  <w:style w:type="paragraph" w:styleId="ab">
    <w:name w:val="header"/>
    <w:basedOn w:val="a"/>
    <w:link w:val="Char7"/>
    <w:uiPriority w:val="99"/>
    <w:qFormat/>
    <w:pPr>
      <w:pBdr>
        <w:bottom w:val="single" w:sz="6" w:space="1" w:color="auto"/>
      </w:pBdr>
      <w:tabs>
        <w:tab w:val="center" w:pos="4153"/>
        <w:tab w:val="right" w:pos="8306"/>
      </w:tabs>
      <w:spacing w:line="240" w:lineRule="atLeast"/>
      <w:jc w:val="center"/>
    </w:pPr>
    <w:rPr>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pPr>
      <w:tabs>
        <w:tab w:val="right" w:leader="dot" w:pos="8931"/>
      </w:tabs>
      <w:spacing w:line="360" w:lineRule="auto"/>
      <w:ind w:leftChars="200" w:left="480"/>
    </w:pPr>
  </w:style>
  <w:style w:type="paragraph" w:styleId="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c">
    <w:name w:val="Normal (Web)"/>
    <w:basedOn w:val="a"/>
    <w:uiPriority w:val="99"/>
    <w:qFormat/>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uiPriority w:val="99"/>
    <w:unhideWhenUsed/>
    <w:rPr>
      <w:b/>
      <w:bCs/>
    </w:rPr>
  </w:style>
  <w:style w:type="paragraph" w:styleId="ae">
    <w:name w:val="Body Text First Indent"/>
    <w:basedOn w:val="a5"/>
    <w:link w:val="Char9"/>
    <w:pPr>
      <w:spacing w:after="120"/>
      <w:ind w:firstLine="420"/>
    </w:pPr>
    <w:rPr>
      <w:rFonts w:ascii="Times New Roman"/>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qFormat/>
    <w:rPr>
      <w:b/>
      <w:bCs/>
    </w:rPr>
  </w:style>
  <w:style w:type="character" w:styleId="af1">
    <w:name w:val="page number"/>
    <w:qFormat/>
  </w:style>
  <w:style w:type="character" w:styleId="af2">
    <w:name w:val="Hyperlink"/>
    <w:uiPriority w:val="99"/>
    <w:unhideWhenUsed/>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link w:val="1"/>
    <w:rPr>
      <w:rFonts w:ascii="Arial" w:eastAsia="仿宋_GB2312" w:hAnsi="Arial" w:cs="Arial"/>
      <w:b/>
      <w:kern w:val="0"/>
      <w:sz w:val="28"/>
      <w:szCs w:val="20"/>
    </w:rPr>
  </w:style>
  <w:style w:type="character" w:customStyle="1" w:styleId="2Char">
    <w:name w:val="标题 2 Char"/>
    <w:link w:val="2"/>
    <w:rPr>
      <w:rFonts w:ascii="Arial" w:eastAsia="仿宋_GB2312" w:hAnsi="Arial" w:cs="Arial"/>
      <w:b/>
      <w:bCs/>
      <w:kern w:val="0"/>
      <w:sz w:val="28"/>
      <w:szCs w:val="20"/>
    </w:rPr>
  </w:style>
  <w:style w:type="character" w:customStyle="1" w:styleId="3Char">
    <w:name w:val="标题 3 Char"/>
    <w:link w:val="3"/>
    <w:rPr>
      <w:rFonts w:ascii="仿宋_GB2312" w:eastAsia="仿宋_GB2312" w:hAnsi="Arial" w:cs="Arial"/>
      <w:kern w:val="0"/>
      <w:sz w:val="28"/>
      <w:szCs w:val="20"/>
    </w:rPr>
  </w:style>
  <w:style w:type="character" w:customStyle="1" w:styleId="4Char">
    <w:name w:val="标题 4 Char"/>
    <w:link w:val="4"/>
    <w:rPr>
      <w:rFonts w:ascii="仿宋_GB2312" w:eastAsia="仿宋_GB2312" w:hAnsi="Times New Roman" w:cs="Times New Roman"/>
      <w:kern w:val="0"/>
      <w:sz w:val="28"/>
      <w:szCs w:val="20"/>
    </w:rPr>
  </w:style>
  <w:style w:type="character" w:customStyle="1" w:styleId="Char">
    <w:name w:val="文档结构图 Char"/>
    <w:link w:val="a3"/>
    <w:semiHidden/>
    <w:qFormat/>
    <w:rPr>
      <w:rFonts w:ascii="Times New Roman" w:eastAsia="宋体" w:hAnsi="Times New Roman" w:cs="Times New Roman"/>
      <w:kern w:val="0"/>
      <w:sz w:val="24"/>
      <w:szCs w:val="20"/>
      <w:shd w:val="clear" w:color="auto" w:fill="000080"/>
    </w:rPr>
  </w:style>
  <w:style w:type="character" w:customStyle="1" w:styleId="Char0">
    <w:name w:val="批注文字 Char"/>
    <w:link w:val="a4"/>
    <w:uiPriority w:val="99"/>
    <w:semiHidden/>
    <w:rPr>
      <w:rFonts w:ascii="Times New Roman" w:hAnsi="Times New Roman"/>
      <w:sz w:val="24"/>
    </w:rPr>
  </w:style>
  <w:style w:type="character" w:customStyle="1" w:styleId="3Char0">
    <w:name w:val="正文文本 3 Char"/>
    <w:link w:val="30"/>
    <w:rPr>
      <w:rFonts w:ascii="楷体_GB2312" w:eastAsia="楷体_GB2312" w:hAnsi="Arial" w:cs="Times New Roman"/>
      <w:kern w:val="0"/>
      <w:sz w:val="32"/>
      <w:szCs w:val="20"/>
    </w:rPr>
  </w:style>
  <w:style w:type="character" w:customStyle="1" w:styleId="Char1">
    <w:name w:val="正文文本 Char"/>
    <w:link w:val="a5"/>
    <w:rPr>
      <w:rFonts w:ascii="宋体" w:eastAsia="宋体" w:hAnsi="Times New Roman" w:cs="Times New Roman"/>
      <w:sz w:val="30"/>
      <w:szCs w:val="20"/>
    </w:rPr>
  </w:style>
  <w:style w:type="character" w:customStyle="1" w:styleId="Char2">
    <w:name w:val="正文文本缩进 Char"/>
    <w:link w:val="a6"/>
    <w:qFormat/>
    <w:rPr>
      <w:rFonts w:ascii="仿宋_GB2312" w:eastAsia="仿宋_GB2312" w:cs="Times New Roman"/>
      <w:kern w:val="0"/>
      <w:sz w:val="28"/>
      <w:szCs w:val="20"/>
    </w:rPr>
  </w:style>
  <w:style w:type="character" w:customStyle="1" w:styleId="Char3">
    <w:name w:val="纯文本 Char"/>
    <w:link w:val="a7"/>
    <w:qFormat/>
    <w:rPr>
      <w:rFonts w:ascii="宋体" w:eastAsia="宋体" w:hAnsi="Courier New" w:cs="Times New Roman"/>
      <w:szCs w:val="20"/>
    </w:rPr>
  </w:style>
  <w:style w:type="character" w:customStyle="1" w:styleId="Char4">
    <w:name w:val="日期 Char"/>
    <w:link w:val="a8"/>
    <w:qFormat/>
    <w:rPr>
      <w:rFonts w:ascii="楷体_GB2312" w:eastAsia="楷体_GB2312" w:hAnsi="Times New Roman" w:cs="Times New Roman"/>
      <w:b/>
      <w:kern w:val="0"/>
      <w:sz w:val="28"/>
      <w:szCs w:val="20"/>
    </w:rPr>
  </w:style>
  <w:style w:type="character" w:customStyle="1" w:styleId="2Char0">
    <w:name w:val="正文文本缩进 2 Char"/>
    <w:link w:val="20"/>
    <w:qFormat/>
    <w:rPr>
      <w:rFonts w:ascii="仿宋_GB2312" w:eastAsia="仿宋_GB2312" w:hAnsi="Times New Roman" w:cs="Times New Roman"/>
      <w:kern w:val="0"/>
      <w:sz w:val="28"/>
      <w:szCs w:val="20"/>
    </w:rPr>
  </w:style>
  <w:style w:type="character" w:customStyle="1" w:styleId="Char5">
    <w:name w:val="批注框文本 Char"/>
    <w:link w:val="a9"/>
    <w:semiHidden/>
    <w:rPr>
      <w:rFonts w:ascii="Times New Roman" w:eastAsia="宋体" w:hAnsi="Times New Roman" w:cs="Times New Roman"/>
      <w:kern w:val="0"/>
      <w:sz w:val="18"/>
      <w:szCs w:val="18"/>
    </w:rPr>
  </w:style>
  <w:style w:type="character" w:customStyle="1" w:styleId="Char6">
    <w:name w:val="页脚 Char"/>
    <w:link w:val="aa"/>
    <w:uiPriority w:val="99"/>
    <w:qFormat/>
    <w:rPr>
      <w:rFonts w:ascii="Times New Roman" w:eastAsia="宋体" w:hAnsi="Times New Roman" w:cs="Times New Roman"/>
      <w:kern w:val="0"/>
      <w:sz w:val="18"/>
      <w:szCs w:val="20"/>
    </w:rPr>
  </w:style>
  <w:style w:type="character" w:customStyle="1" w:styleId="Char7">
    <w:name w:val="页眉 Char"/>
    <w:link w:val="ab"/>
    <w:uiPriority w:val="99"/>
    <w:rPr>
      <w:rFonts w:ascii="Times New Roman" w:eastAsia="宋体" w:hAnsi="Times New Roman" w:cs="Times New Roman"/>
      <w:kern w:val="0"/>
      <w:sz w:val="18"/>
      <w:szCs w:val="20"/>
    </w:rPr>
  </w:style>
  <w:style w:type="character" w:customStyle="1" w:styleId="3Char1">
    <w:name w:val="正文文本缩进 3 Char"/>
    <w:link w:val="32"/>
    <w:rPr>
      <w:rFonts w:ascii="Arial" w:eastAsia="仿宋_GB2312" w:hAnsi="Arial" w:cs="Arial"/>
      <w:kern w:val="0"/>
      <w:sz w:val="28"/>
      <w:szCs w:val="20"/>
    </w:rPr>
  </w:style>
  <w:style w:type="character" w:customStyle="1" w:styleId="2Char1">
    <w:name w:val="正文文本 2 Char"/>
    <w:link w:val="22"/>
    <w:qFormat/>
    <w:rPr>
      <w:rFonts w:ascii="仿宋_GB2312" w:eastAsia="仿宋_GB2312" w:hAnsi="Arial" w:cs="Times New Roman"/>
      <w:kern w:val="0"/>
      <w:sz w:val="28"/>
      <w:szCs w:val="20"/>
    </w:rPr>
  </w:style>
  <w:style w:type="character" w:customStyle="1" w:styleId="HTMLChar">
    <w:name w:val="HTML 预设格式 Char"/>
    <w:link w:val="HTML"/>
    <w:rPr>
      <w:rFonts w:ascii="宋体" w:eastAsia="宋体" w:hAnsi="宋体" w:cs="Times New Roman"/>
      <w:kern w:val="0"/>
      <w:sz w:val="24"/>
      <w:szCs w:val="24"/>
    </w:rPr>
  </w:style>
  <w:style w:type="character" w:customStyle="1" w:styleId="Char8">
    <w:name w:val="批注主题 Char"/>
    <w:link w:val="ad"/>
    <w:uiPriority w:val="99"/>
    <w:semiHidden/>
    <w:rPr>
      <w:rFonts w:ascii="Times New Roman" w:hAnsi="Times New Roman"/>
      <w:b/>
      <w:bCs/>
      <w:sz w:val="24"/>
    </w:rPr>
  </w:style>
  <w:style w:type="character" w:customStyle="1" w:styleId="Char9">
    <w:name w:val="正文首行缩进 Char"/>
    <w:link w:val="ae"/>
    <w:rPr>
      <w:rFonts w:ascii="Times New Roman" w:eastAsia="宋体" w:hAnsi="Times New Roman" w:cs="Times New Roman"/>
      <w:sz w:val="30"/>
      <w:szCs w:val="20"/>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paragraph" w:customStyle="1" w:styleId="23">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a">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12">
    <w:name w:val="修订1"/>
    <w:uiPriority w:val="99"/>
    <w:semiHidden/>
    <w:rPr>
      <w:sz w:val="24"/>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styleId="af4">
    <w:name w:val="List Paragraph"/>
    <w:basedOn w:val="a"/>
    <w:uiPriority w:val="34"/>
    <w:qFormat/>
    <w:pPr>
      <w:ind w:firstLineChars="200" w:firstLine="420"/>
    </w:pPr>
  </w:style>
  <w:style w:type="paragraph" w:customStyle="1" w:styleId="13">
    <w:name w:val="正文1"/>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image" Target="media/image11.png"/><Relationship Id="rId21" Type="http://schemas.openxmlformats.org/officeDocument/2006/relationships/comments" Target="comments.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baike.baidu.com/item/%E5%9C%9F%E5%9C%B0%E6%89%80%E6%9C%89%E6%9D%83" TargetMode="External"/><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hyperlink" Target="http://baike.baidu.com/item/%E5%9C%9F%E5%9C%B0%E4%BB%B7%E6%A0%BC"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chart" Target="charts/chart4.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0.xml"/><Relationship Id="rId53" Type="http://schemas.openxmlformats.org/officeDocument/2006/relationships/hyperlink" Target="http://www.baidu.com/link?url=WR4ik0HfoP3GU1rlTYIFq3n2WBRxMHa-d8GcgMgJUtKKn1Pe8laCRZpZkd9wT3bWx0Da0HhCv5MAzf-34H8xnjpEjz3Kk8n4fMGDiYPYgW3" TargetMode="External"/><Relationship Id="rId58" Type="http://schemas.openxmlformats.org/officeDocument/2006/relationships/chart" Target="charts/chart7.xml"/><Relationship Id="rId66" Type="http://schemas.openxmlformats.org/officeDocument/2006/relationships/header" Target="header17.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chart" Target="charts/chart2.xml"/><Relationship Id="rId36" Type="http://schemas.openxmlformats.org/officeDocument/2006/relationships/image" Target="media/image8.png"/><Relationship Id="rId49" Type="http://schemas.openxmlformats.org/officeDocument/2006/relationships/header" Target="header11.xml"/><Relationship Id="rId57" Type="http://schemas.openxmlformats.org/officeDocument/2006/relationships/chart" Target="charts/chart6.xml"/><Relationship Id="rId61"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footer" Target="footer9.xml"/><Relationship Id="rId52" Type="http://schemas.openxmlformats.org/officeDocument/2006/relationships/header" Target="header13.xml"/><Relationship Id="rId60" Type="http://schemas.openxmlformats.org/officeDocument/2006/relationships/header" Target="header15.xml"/><Relationship Id="rId65" Type="http://schemas.openxmlformats.org/officeDocument/2006/relationships/footer" Target="foot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header" Target="header9.xml"/><Relationship Id="rId48" Type="http://schemas.openxmlformats.org/officeDocument/2006/relationships/hyperlink" Target="http://baike.baidu.com/item/%E5%9C%9F%E5%9C%B0%E4%BB%B7%E6%A0%BC" TargetMode="External"/><Relationship Id="rId56" Type="http://schemas.openxmlformats.org/officeDocument/2006/relationships/chart" Target="charts/chart5.xml"/><Relationship Id="rId64" Type="http://schemas.openxmlformats.org/officeDocument/2006/relationships/header" Target="header16.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chart" Target="charts/chart8.xml"/><Relationship Id="rId67" Type="http://schemas.openxmlformats.org/officeDocument/2006/relationships/footer" Target="footer14.xml"/><Relationship Id="rId20" Type="http://schemas.openxmlformats.org/officeDocument/2006/relationships/footer" Target="footer6.xml"/><Relationship Id="rId41" Type="http://schemas.openxmlformats.org/officeDocument/2006/relationships/image" Target="media/image13.png"/><Relationship Id="rId54" Type="http://schemas.openxmlformats.org/officeDocument/2006/relationships/footer" Target="footer11.xml"/><Relationship Id="rId62" Type="http://schemas.openxmlformats.org/officeDocument/2006/relationships/hyperlink" Target="http://baike.baidu.com/item/%E5%9C%9F%E5%9C%B0%E6%89%80%E6%9C%89%E6%9D%8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340812160"/>
        <c:axId val="34081369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340815232"/>
        <c:axId val="340821120"/>
      </c:lineChart>
      <c:catAx>
        <c:axId val="34081216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813696"/>
        <c:crosses val="autoZero"/>
        <c:auto val="1"/>
        <c:lblAlgn val="ctr"/>
        <c:lblOffset val="100"/>
        <c:noMultiLvlLbl val="0"/>
      </c:catAx>
      <c:valAx>
        <c:axId val="34081369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812160"/>
        <c:crosses val="autoZero"/>
        <c:crossBetween val="between"/>
        <c:majorUnit val="500"/>
      </c:valAx>
      <c:catAx>
        <c:axId val="340815232"/>
        <c:scaling>
          <c:orientation val="minMax"/>
        </c:scaling>
        <c:delete val="1"/>
        <c:axPos val="b"/>
        <c:numFmt formatCode="General" sourceLinked="1"/>
        <c:majorTickMark val="out"/>
        <c:minorTickMark val="none"/>
        <c:tickLblPos val="nextTo"/>
        <c:crossAx val="340821120"/>
        <c:crosses val="autoZero"/>
        <c:auto val="1"/>
        <c:lblAlgn val="ctr"/>
        <c:lblOffset val="100"/>
        <c:noMultiLvlLbl val="0"/>
      </c:catAx>
      <c:valAx>
        <c:axId val="34082112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81523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bd7388f4-5550-459b-a82a-8d656c7e15c2}"/>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49343832021000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9921259842519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0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71128608923883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398950131233599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340834560"/>
        <c:axId val="342904832"/>
      </c:barChart>
      <c:catAx>
        <c:axId val="34083456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endParaRPr lang="zh-CN"/>
          </a:p>
        </c:txPr>
        <c:crossAx val="342904832"/>
        <c:crosses val="autoZero"/>
        <c:auto val="1"/>
        <c:lblAlgn val="ctr"/>
        <c:lblOffset val="100"/>
        <c:noMultiLvlLbl val="0"/>
      </c:catAx>
      <c:valAx>
        <c:axId val="342904832"/>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834560"/>
        <c:crosses val="autoZero"/>
        <c:crossBetween val="between"/>
        <c:minorUnit val="60000"/>
      </c:valAx>
    </c:plotArea>
    <c:plotVisOnly val="1"/>
    <c:dispBlanksAs val="gap"/>
    <c:showDLblsOverMax val="0"/>
    <c:extLst>
      <c:ext uri="{0b15fc19-7d7d-44ad-8c2d-2c3a37ce22c3}">
        <chartProps xmlns="https://web.wps.cn/et/2018/main" chartId="{74caa265-b40e-4c18-a0cd-719bb2859e03}"/>
      </c:ext>
    </c:extLst>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p>
        </c:rich>
      </c:tx>
      <c:layout>
        <c:manualLayout>
          <c:xMode val="edge"/>
          <c:yMode val="edge"/>
          <c:x val="0.352597971167599"/>
          <c:y val="1.38888888888889E-2"/>
        </c:manualLayout>
      </c:layout>
      <c:overlay val="1"/>
    </c:title>
    <c:autoTitleDeleted val="0"/>
    <c:plotArea>
      <c:layout>
        <c:manualLayout>
          <c:layoutTarget val="inner"/>
          <c:xMode val="edge"/>
          <c:yMode val="edge"/>
          <c:x val="8.0847599033580506E-2"/>
          <c:y val="0.13010425780110799"/>
          <c:w val="0.89219162185586998"/>
          <c:h val="0.64242089530475399"/>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1.22548995957043E-2"/>
                  <c:y val="-4.938273525137949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2.4510764144132298E-3"/>
                  <c:y val="-4.9382735251380398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416985856"/>
        <c:axId val="416987392"/>
      </c:barChart>
      <c:catAx>
        <c:axId val="4169858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16987392"/>
        <c:crosses val="autoZero"/>
        <c:auto val="1"/>
        <c:lblAlgn val="ctr"/>
        <c:lblOffset val="100"/>
        <c:noMultiLvlLbl val="0"/>
      </c:catAx>
      <c:valAx>
        <c:axId val="4169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16985856"/>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18f21ef1-0c83-4fea-a951-17ad4763b69e}"/>
      </c:ext>
    </c:extLst>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6999"/>
          <c:y val="6.5289442986293397E-2"/>
          <c:w val="0.767886985746147"/>
          <c:h val="0.72112459900845705"/>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0997E-17"/>
                  <c:y val="-9.494320959404220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29485275108601E-2"/>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986698972310899E-3"/>
                  <c:y val="8.255931269047150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31481481481481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30237250761886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2593210907066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40329984"/>
        <c:axId val="340331520"/>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tx>
                <c:rich>
                  <a:bodyPr/>
                  <a:lstStyle/>
                  <a:p>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986698972310899E-3"/>
                  <c:y val="7.430338142142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986698972310197E-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8.0100000000000005E-2</c:v>
                </c:pt>
                <c:pt idx="1">
                  <c:v>5.2200000000000003E-2</c:v>
                </c:pt>
                <c:pt idx="2">
                  <c:v>7.1300000000000002E-2</c:v>
                </c:pt>
                <c:pt idx="3">
                  <c:v>3.3999999999999998E-3</c:v>
                </c:pt>
                <c:pt idx="4">
                  <c:v>1.3299999999999999E-2</c:v>
                </c:pt>
                <c:pt idx="5">
                  <c:v>2.9399999999999999E-2</c:v>
                </c:pt>
                <c:pt idx="6">
                  <c:v>0.10970000000000001</c:v>
                </c:pt>
                <c:pt idx="7">
                  <c:v>2.5899999999999999E-2</c:v>
                </c:pt>
              </c:numCache>
            </c:numRef>
          </c:val>
          <c:smooth val="0"/>
        </c:ser>
        <c:dLbls>
          <c:showLegendKey val="0"/>
          <c:showVal val="0"/>
          <c:showCatName val="0"/>
          <c:showSerName val="0"/>
          <c:showPercent val="0"/>
          <c:showBubbleSize val="0"/>
        </c:dLbls>
        <c:marker val="1"/>
        <c:smooth val="0"/>
        <c:axId val="340349696"/>
        <c:axId val="340351232"/>
      </c:lineChart>
      <c:catAx>
        <c:axId val="34032998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331520"/>
        <c:crosses val="autoZero"/>
        <c:auto val="1"/>
        <c:lblAlgn val="ctr"/>
        <c:lblOffset val="100"/>
        <c:noMultiLvlLbl val="0"/>
      </c:catAx>
      <c:valAx>
        <c:axId val="340331520"/>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1" charset="-122"/>
                <a:cs typeface="Arial" panose="020B0604020202020204" pitchFamily="2" charset="0"/>
              </a:defRPr>
            </a:pPr>
            <a:endParaRPr lang="zh-CN"/>
          </a:p>
        </c:txPr>
        <c:crossAx val="340329984"/>
        <c:crosses val="autoZero"/>
        <c:crossBetween val="between"/>
        <c:majorUnit val="10000"/>
      </c:valAx>
      <c:catAx>
        <c:axId val="340349696"/>
        <c:scaling>
          <c:orientation val="minMax"/>
        </c:scaling>
        <c:delete val="1"/>
        <c:axPos val="b"/>
        <c:numFmt formatCode="General" sourceLinked="1"/>
        <c:majorTickMark val="out"/>
        <c:minorTickMark val="none"/>
        <c:tickLblPos val="nextTo"/>
        <c:crossAx val="340351232"/>
        <c:crosses val="autoZero"/>
        <c:auto val="1"/>
        <c:lblAlgn val="ctr"/>
        <c:lblOffset val="100"/>
        <c:noMultiLvlLbl val="0"/>
      </c:catAx>
      <c:valAx>
        <c:axId val="340351232"/>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349696"/>
        <c:crosses val="max"/>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70c3d92b-6f75-41f2-903d-ad608709f256}"/>
      </c:ext>
    </c:extLst>
  </c:chart>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340465536"/>
        <c:axId val="34046707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340485248"/>
        <c:axId val="340486784"/>
      </c:lineChart>
      <c:catAx>
        <c:axId val="340465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467072"/>
        <c:crosses val="autoZero"/>
        <c:auto val="1"/>
        <c:lblAlgn val="ctr"/>
        <c:lblOffset val="100"/>
        <c:noMultiLvlLbl val="0"/>
      </c:catAx>
      <c:valAx>
        <c:axId val="34046707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465536"/>
        <c:crosses val="autoZero"/>
        <c:crossBetween val="between"/>
        <c:majorUnit val="500"/>
      </c:valAx>
      <c:catAx>
        <c:axId val="340485248"/>
        <c:scaling>
          <c:orientation val="minMax"/>
        </c:scaling>
        <c:delete val="1"/>
        <c:axPos val="b"/>
        <c:numFmt formatCode="General" sourceLinked="1"/>
        <c:majorTickMark val="out"/>
        <c:minorTickMark val="none"/>
        <c:tickLblPos val="nextTo"/>
        <c:crossAx val="340486784"/>
        <c:crosses val="autoZero"/>
        <c:auto val="1"/>
        <c:lblAlgn val="ctr"/>
        <c:lblOffset val="100"/>
        <c:noMultiLvlLbl val="0"/>
      </c:catAx>
      <c:valAx>
        <c:axId val="34048678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48524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e3ef2dc2-15a5-4ee3-b0ef-d3c6aeae2191}"/>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49343832021000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9921259842519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0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71128608923883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398950131233599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340721664"/>
        <c:axId val="340723200"/>
      </c:barChart>
      <c:catAx>
        <c:axId val="340721664"/>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endParaRPr lang="zh-CN"/>
          </a:p>
        </c:txPr>
        <c:crossAx val="340723200"/>
        <c:crosses val="autoZero"/>
        <c:auto val="1"/>
        <c:lblAlgn val="ctr"/>
        <c:lblOffset val="100"/>
        <c:noMultiLvlLbl val="0"/>
      </c:catAx>
      <c:valAx>
        <c:axId val="340723200"/>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721664"/>
        <c:crosses val="autoZero"/>
        <c:crossBetween val="between"/>
        <c:minorUnit val="60000"/>
      </c:valAx>
    </c:plotArea>
    <c:plotVisOnly val="1"/>
    <c:dispBlanksAs val="gap"/>
    <c:showDLblsOverMax val="0"/>
    <c:extLst>
      <c:ext uri="{0b15fc19-7d7d-44ad-8c2d-2c3a37ce22c3}">
        <chartProps xmlns="https://web.wps.cn/et/2018/main" chartId="{de16623f-ab83-43b5-a819-9b63b2d9d464}"/>
      </c:ext>
    </c:extLst>
  </c:chart>
  <c:txPr>
    <a:bodyPr/>
    <a:lstStyle/>
    <a:p>
      <a:pPr>
        <a:defRPr lang="zh-CN"/>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p>
        </c:rich>
      </c:tx>
      <c:layout>
        <c:manualLayout>
          <c:xMode val="edge"/>
          <c:yMode val="edge"/>
          <c:x val="0.352597971167599"/>
          <c:y val="1.38888888888889E-2"/>
        </c:manualLayout>
      </c:layout>
      <c:overlay val="1"/>
    </c:title>
    <c:autoTitleDeleted val="0"/>
    <c:plotArea>
      <c:layout>
        <c:manualLayout>
          <c:layoutTarget val="inner"/>
          <c:xMode val="edge"/>
          <c:yMode val="edge"/>
          <c:x val="8.0847599033580506E-2"/>
          <c:y val="0.13010425780110799"/>
          <c:w val="0.89219162185586998"/>
          <c:h val="0.64242089530475399"/>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1.22548995957043E-2"/>
                  <c:y val="-4.938273525137949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2.4510764144132298E-3"/>
                  <c:y val="-4.9382735251380398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340753024"/>
        <c:axId val="340758912"/>
      </c:barChart>
      <c:catAx>
        <c:axId val="3407530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40758912"/>
        <c:crosses val="autoZero"/>
        <c:auto val="1"/>
        <c:lblAlgn val="ctr"/>
        <c:lblOffset val="100"/>
        <c:noMultiLvlLbl val="0"/>
      </c:catAx>
      <c:valAx>
        <c:axId val="34075891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4075302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a905f435-80b5-4a6b-9815-a66f8bf92a8d}"/>
      </c:ext>
    </c:extLst>
  </c:chart>
  <c:txPr>
    <a:bodyPr/>
    <a:lstStyle/>
    <a:p>
      <a:pPr>
        <a:defRPr lang="zh-CN"/>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6999"/>
          <c:y val="6.5289442986293397E-2"/>
          <c:w val="0.767886985746147"/>
          <c:h val="0.72112459900845705"/>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0997E-17"/>
                  <c:y val="-9.494320959404220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29485275108601E-2"/>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986698972310899E-3"/>
                  <c:y val="8.255931269047150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31481481481481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30237250761886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2593210907066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40626816"/>
        <c:axId val="340640896"/>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tx>
                <c:rich>
                  <a:bodyPr/>
                  <a:lstStyle/>
                  <a:p>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986698972310899E-3"/>
                  <c:y val="7.430338142142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986698972310197E-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8.0100000000000005E-2</c:v>
                </c:pt>
                <c:pt idx="1">
                  <c:v>5.2200000000000003E-2</c:v>
                </c:pt>
                <c:pt idx="2">
                  <c:v>7.1300000000000002E-2</c:v>
                </c:pt>
                <c:pt idx="3">
                  <c:v>3.3999999999999998E-3</c:v>
                </c:pt>
                <c:pt idx="4">
                  <c:v>1.3299999999999999E-2</c:v>
                </c:pt>
                <c:pt idx="5">
                  <c:v>2.9399999999999999E-2</c:v>
                </c:pt>
                <c:pt idx="6">
                  <c:v>0.10970000000000001</c:v>
                </c:pt>
                <c:pt idx="7">
                  <c:v>2.5899999999999999E-2</c:v>
                </c:pt>
              </c:numCache>
            </c:numRef>
          </c:val>
          <c:smooth val="0"/>
        </c:ser>
        <c:dLbls>
          <c:showLegendKey val="0"/>
          <c:showVal val="0"/>
          <c:showCatName val="0"/>
          <c:showSerName val="0"/>
          <c:showPercent val="0"/>
          <c:showBubbleSize val="0"/>
        </c:dLbls>
        <c:marker val="1"/>
        <c:smooth val="0"/>
        <c:axId val="340642432"/>
        <c:axId val="340861312"/>
      </c:lineChart>
      <c:catAx>
        <c:axId val="3406268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640896"/>
        <c:crosses val="autoZero"/>
        <c:auto val="1"/>
        <c:lblAlgn val="ctr"/>
        <c:lblOffset val="100"/>
        <c:noMultiLvlLbl val="0"/>
      </c:catAx>
      <c:valAx>
        <c:axId val="340640896"/>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1" charset="-122"/>
                <a:cs typeface="Arial" panose="020B0604020202020204" pitchFamily="2" charset="0"/>
              </a:defRPr>
            </a:pPr>
            <a:endParaRPr lang="zh-CN"/>
          </a:p>
        </c:txPr>
        <c:crossAx val="340626816"/>
        <c:crosses val="autoZero"/>
        <c:crossBetween val="between"/>
        <c:majorUnit val="10000"/>
      </c:valAx>
      <c:catAx>
        <c:axId val="340642432"/>
        <c:scaling>
          <c:orientation val="minMax"/>
        </c:scaling>
        <c:delete val="1"/>
        <c:axPos val="b"/>
        <c:numFmt formatCode="General" sourceLinked="1"/>
        <c:majorTickMark val="out"/>
        <c:minorTickMark val="none"/>
        <c:tickLblPos val="nextTo"/>
        <c:crossAx val="340861312"/>
        <c:crosses val="autoZero"/>
        <c:auto val="1"/>
        <c:lblAlgn val="ctr"/>
        <c:lblOffset val="100"/>
        <c:noMultiLvlLbl val="0"/>
      </c:catAx>
      <c:valAx>
        <c:axId val="340861312"/>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0642432"/>
        <c:crosses val="max"/>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27d5e310-6919-4c27-a00d-91c4739f00e9}"/>
      </c:ext>
    </c:extLst>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419DD4-D405-43FE-A738-2FAF9F18D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115</Pages>
  <Words>10604</Words>
  <Characters>60446</Characters>
  <Application>Microsoft Office Word</Application>
  <DocSecurity>0</DocSecurity>
  <Lines>503</Lines>
  <Paragraphs>141</Paragraphs>
  <ScaleCrop>false</ScaleCrop>
  <Company>微软中国</Company>
  <LinksUpToDate>false</LinksUpToDate>
  <CharactersWithSpaces>70909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5</cp:revision>
  <cp:lastPrinted>2022-07-15T02:00:00Z</cp:lastPrinted>
  <dcterms:created xsi:type="dcterms:W3CDTF">2025-10-17T07:14:00Z</dcterms:created>
  <dcterms:modified xsi:type="dcterms:W3CDTF">2025-10-17T08:58:00Z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D08F652506B4446EA9DA02BFFF7B5BBD_13</vt:lpwstr>
  </property>
  <property fmtid="{D5CDD505-2E9C-101B-9397-08002B2CF9AE}" pid="4" name="KSOTemplateDocerSaveRecord">
    <vt:lpwstr>eyJoZGlkIjoiOTcwMTMwZTgwZjBhOWY5ZDIzMzA3YjZmYWI3ZGQ5NjUiLCJ1c2VySWQiOiIyMDkxMDc5NzUifQ==</vt:lpwstr>
  </property>
</Properties>
</file>