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015BA4" w:rsidRPr="00015BA4">
        <w:rPr>
          <w:sz w:val="28"/>
          <w:szCs w:val="28"/>
        </w:rPr>
        <w:t>F221122003KZ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717F53">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jc w:val="center"/>
        <w:rPr>
          <w:sz w:val="28"/>
          <w:szCs w:val="28"/>
        </w:rPr>
      </w:pPr>
    </w:p>
    <w:p w:rsidR="0045586D" w:rsidRPr="00717F53"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9C54A5">
      <w:r>
        <w:rPr>
          <w:rFonts w:hint="eastAsia"/>
        </w:rPr>
        <w:t xml:space="preserve"> </w:t>
      </w:r>
    </w:p>
    <w:p w:rsidR="00EB3290" w:rsidRDefault="00EB3290" w:rsidP="00EB3290">
      <w:pPr>
        <w:ind w:firstLineChars="2600" w:firstLine="5460"/>
        <w:rPr>
          <w:b/>
          <w:bCs/>
          <w:sz w:val="24"/>
        </w:rPr>
      </w:pPr>
      <w:r>
        <w:rPr>
          <w:rFonts w:hint="eastAsia"/>
          <w:szCs w:val="21"/>
        </w:rPr>
        <w:lastRenderedPageBreak/>
        <w:t>业务编码：</w:t>
      </w:r>
      <w:r>
        <w:rPr>
          <w:rFonts w:hint="eastAsia"/>
          <w:szCs w:val="21"/>
        </w:rPr>
        <w:t>F221122003KZ</w:t>
      </w:r>
      <w:r>
        <w:rPr>
          <w:rFonts w:hint="eastAsia"/>
          <w:sz w:val="24"/>
        </w:rPr>
        <w:t xml:space="preserve">                                                </w:t>
      </w:r>
    </w:p>
    <w:p w:rsidR="00EB3290" w:rsidRDefault="00EB3290" w:rsidP="00EB3290">
      <w:pPr>
        <w:jc w:val="center"/>
        <w:rPr>
          <w:rFonts w:ascii="黑体" w:eastAsia="黑体"/>
          <w:sz w:val="36"/>
          <w:szCs w:val="36"/>
        </w:rPr>
      </w:pPr>
      <w:r>
        <w:rPr>
          <w:rFonts w:ascii="黑体" w:eastAsia="黑体" w:hint="eastAsia"/>
          <w:sz w:val="36"/>
          <w:szCs w:val="36"/>
        </w:rPr>
        <w:t>盛京银行北京分行委托评估业务备案登记表</w:t>
      </w:r>
    </w:p>
    <w:p w:rsidR="00EB3290" w:rsidRDefault="00EB3290" w:rsidP="00EB3290">
      <w:pPr>
        <w:jc w:val="center"/>
        <w:rPr>
          <w:sz w:val="18"/>
        </w:rPr>
      </w:pPr>
    </w:p>
    <w:p w:rsidR="00EB3290" w:rsidRDefault="00EB3290" w:rsidP="00EB3290">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w:t>
      </w:r>
      <w:r>
        <w:rPr>
          <w:rFonts w:hint="eastAsia"/>
          <w:sz w:val="24"/>
        </w:rPr>
        <w:t>年</w:t>
      </w:r>
      <w:r>
        <w:rPr>
          <w:rFonts w:hint="eastAsia"/>
          <w:sz w:val="24"/>
        </w:rPr>
        <w:t xml:space="preserve"> 11</w:t>
      </w:r>
      <w:r>
        <w:rPr>
          <w:rFonts w:hint="eastAsia"/>
          <w:sz w:val="24"/>
        </w:rPr>
        <w:t>月</w:t>
      </w:r>
      <w:r>
        <w:rPr>
          <w:rFonts w:hint="eastAsia"/>
          <w:sz w:val="24"/>
        </w:rPr>
        <w:t xml:space="preserve"> 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EB3290" w:rsidTr="00BC5D6C">
        <w:trPr>
          <w:cantSplit/>
          <w:trHeight w:val="508"/>
        </w:trPr>
        <w:tc>
          <w:tcPr>
            <w:tcW w:w="9220" w:type="dxa"/>
            <w:vAlign w:val="center"/>
          </w:tcPr>
          <w:p w:rsidR="00EB3290" w:rsidRDefault="00EB3290"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EB3290" w:rsidTr="00BC5D6C">
        <w:trPr>
          <w:cantSplit/>
          <w:trHeight w:val="506"/>
        </w:trPr>
        <w:tc>
          <w:tcPr>
            <w:tcW w:w="9220" w:type="dxa"/>
            <w:vAlign w:val="center"/>
          </w:tcPr>
          <w:p w:rsidR="00EB3290" w:rsidRDefault="00EB3290"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EB3290" w:rsidTr="00BC5D6C">
        <w:trPr>
          <w:cantSplit/>
          <w:trHeight w:val="506"/>
        </w:trPr>
        <w:tc>
          <w:tcPr>
            <w:tcW w:w="9220" w:type="dxa"/>
            <w:vAlign w:val="center"/>
          </w:tcPr>
          <w:p w:rsidR="00EB3290" w:rsidRDefault="00EB3290"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EB3290" w:rsidTr="00BC5D6C">
        <w:trPr>
          <w:cantSplit/>
          <w:trHeight w:val="632"/>
        </w:trPr>
        <w:tc>
          <w:tcPr>
            <w:tcW w:w="9220" w:type="dxa"/>
            <w:tcBorders>
              <w:bottom w:val="nil"/>
            </w:tcBorders>
            <w:vAlign w:val="center"/>
          </w:tcPr>
          <w:p w:rsidR="00EB3290" w:rsidRDefault="00EB3290"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EB3290" w:rsidRDefault="00EB3290"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EB3290" w:rsidTr="00BC5D6C">
        <w:trPr>
          <w:cantSplit/>
          <w:trHeight w:val="643"/>
        </w:trPr>
        <w:tc>
          <w:tcPr>
            <w:tcW w:w="9220" w:type="dxa"/>
            <w:tcBorders>
              <w:top w:val="nil"/>
              <w:bottom w:val="single" w:sz="4" w:space="0" w:color="auto"/>
              <w:right w:val="single" w:sz="4" w:space="0" w:color="auto"/>
            </w:tcBorders>
          </w:tcPr>
          <w:p w:rsidR="00EB3290" w:rsidRDefault="00EB3290"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EB3290" w:rsidRDefault="00EB3290" w:rsidP="00BC5D6C">
            <w:pPr>
              <w:rPr>
                <w:sz w:val="24"/>
              </w:rPr>
            </w:pPr>
            <w:r>
              <w:rPr>
                <w:rFonts w:hint="eastAsia"/>
                <w:sz w:val="24"/>
              </w:rPr>
              <w:t>原评估值：</w:t>
            </w:r>
            <w:r>
              <w:rPr>
                <w:rFonts w:hint="eastAsia"/>
                <w:sz w:val="24"/>
              </w:rPr>
              <w:t xml:space="preserve">              </w:t>
            </w:r>
            <w:r>
              <w:rPr>
                <w:rFonts w:hint="eastAsia"/>
                <w:sz w:val="24"/>
              </w:rPr>
              <w:t>原评估师：</w:t>
            </w:r>
          </w:p>
        </w:tc>
      </w:tr>
      <w:tr w:rsidR="00EB3290" w:rsidTr="00BC5D6C">
        <w:trPr>
          <w:cantSplit/>
          <w:trHeight w:val="2642"/>
        </w:trPr>
        <w:tc>
          <w:tcPr>
            <w:tcW w:w="9220" w:type="dxa"/>
            <w:tcBorders>
              <w:top w:val="single" w:sz="4" w:space="0" w:color="auto"/>
              <w:bottom w:val="single" w:sz="4" w:space="0" w:color="auto"/>
              <w:right w:val="single" w:sz="4" w:space="0" w:color="auto"/>
            </w:tcBorders>
          </w:tcPr>
          <w:p w:rsidR="00EB3290" w:rsidRDefault="00EB3290" w:rsidP="00BC5D6C">
            <w:pPr>
              <w:rPr>
                <w:sz w:val="24"/>
              </w:rPr>
            </w:pPr>
            <w:r>
              <w:rPr>
                <w:rFonts w:hint="eastAsia"/>
                <w:sz w:val="24"/>
              </w:rPr>
              <w:t>委评事项：（此处内容包括评估对象、评估目的、评估范围、评估报告使用范围、评估报告提交期限及方式）</w:t>
            </w:r>
          </w:p>
          <w:p w:rsidR="00EB3290" w:rsidRDefault="00EB3290" w:rsidP="00BC5D6C">
            <w:pPr>
              <w:ind w:firstLineChars="200" w:firstLine="480"/>
              <w:rPr>
                <w:sz w:val="24"/>
              </w:rPr>
            </w:pPr>
            <w:r>
              <w:rPr>
                <w:rFonts w:hint="eastAsia"/>
                <w:sz w:val="24"/>
              </w:rPr>
              <w:t>根据总行交叉评估工作要求，现需对北京市丰台区南四环西路</w:t>
            </w:r>
            <w:r>
              <w:rPr>
                <w:rFonts w:hint="eastAsia"/>
                <w:sz w:val="24"/>
              </w:rPr>
              <w:t>188</w:t>
            </w:r>
            <w:r>
              <w:rPr>
                <w:rFonts w:hint="eastAsia"/>
                <w:sz w:val="24"/>
              </w:rPr>
              <w:t>号十五区</w:t>
            </w:r>
            <w:r>
              <w:rPr>
                <w:rFonts w:hint="eastAsia"/>
                <w:sz w:val="24"/>
              </w:rPr>
              <w:t>2</w:t>
            </w:r>
            <w:r>
              <w:rPr>
                <w:rFonts w:hint="eastAsia"/>
                <w:sz w:val="24"/>
              </w:rPr>
              <w:t>号楼</w:t>
            </w:r>
            <w:r>
              <w:rPr>
                <w:rFonts w:hint="eastAsia"/>
                <w:sz w:val="24"/>
              </w:rPr>
              <w:t>1-11</w:t>
            </w:r>
            <w:r>
              <w:rPr>
                <w:rFonts w:hint="eastAsia"/>
                <w:sz w:val="24"/>
              </w:rPr>
              <w:t>层全部、</w:t>
            </w:r>
            <w:r>
              <w:rPr>
                <w:rFonts w:hint="eastAsia"/>
                <w:sz w:val="24"/>
              </w:rPr>
              <w:t>3</w:t>
            </w:r>
            <w:r>
              <w:rPr>
                <w:rFonts w:hint="eastAsia"/>
                <w:sz w:val="24"/>
              </w:rPr>
              <w:t>号楼</w:t>
            </w:r>
            <w:r>
              <w:rPr>
                <w:rFonts w:hint="eastAsia"/>
                <w:sz w:val="24"/>
              </w:rPr>
              <w:t>1-10</w:t>
            </w:r>
            <w:r>
              <w:rPr>
                <w:rFonts w:hint="eastAsia"/>
                <w:sz w:val="24"/>
              </w:rPr>
              <w:t>层全部房地产抵押价值进行预评，按照总行制定的《委托评估业务预评报告书》模板撰写相关评估报告，并于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EB3290" w:rsidTr="00BC5D6C">
        <w:trPr>
          <w:cantSplit/>
          <w:trHeight w:val="1134"/>
        </w:trPr>
        <w:tc>
          <w:tcPr>
            <w:tcW w:w="9220" w:type="dxa"/>
            <w:tcBorders>
              <w:top w:val="single" w:sz="4" w:space="0" w:color="auto"/>
              <w:bottom w:val="single" w:sz="4" w:space="0" w:color="auto"/>
              <w:right w:val="single" w:sz="4" w:space="0" w:color="auto"/>
            </w:tcBorders>
          </w:tcPr>
          <w:p w:rsidR="00EB3290" w:rsidRDefault="00EB3290" w:rsidP="00BC5D6C">
            <w:pPr>
              <w:widowControl/>
              <w:jc w:val="left"/>
              <w:rPr>
                <w:sz w:val="24"/>
              </w:rPr>
            </w:pPr>
            <w:r>
              <w:rPr>
                <w:rFonts w:hint="eastAsia"/>
                <w:sz w:val="24"/>
              </w:rPr>
              <w:t>风险管理部意见：</w:t>
            </w:r>
          </w:p>
          <w:p w:rsidR="00EB3290" w:rsidRDefault="00EB3290" w:rsidP="00BC5D6C">
            <w:pPr>
              <w:widowControl/>
              <w:jc w:val="left"/>
              <w:rPr>
                <w:sz w:val="24"/>
              </w:rPr>
            </w:pPr>
          </w:p>
          <w:p w:rsidR="00EB3290" w:rsidRDefault="00EB3290"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EB3290" w:rsidRDefault="00EB3290" w:rsidP="00BC5D6C">
            <w:pPr>
              <w:jc w:val="left"/>
              <w:rPr>
                <w:sz w:val="24"/>
              </w:rPr>
            </w:pPr>
          </w:p>
        </w:tc>
      </w:tr>
      <w:tr w:rsidR="00EB3290" w:rsidTr="00BC5D6C">
        <w:trPr>
          <w:cantSplit/>
          <w:trHeight w:val="3206"/>
        </w:trPr>
        <w:tc>
          <w:tcPr>
            <w:tcW w:w="9220" w:type="dxa"/>
            <w:vAlign w:val="center"/>
          </w:tcPr>
          <w:p w:rsidR="00EB3290" w:rsidRDefault="00EB3290" w:rsidP="00BC5D6C">
            <w:pPr>
              <w:rPr>
                <w:sz w:val="24"/>
              </w:rPr>
            </w:pPr>
            <w:r>
              <w:rPr>
                <w:rFonts w:hint="eastAsia"/>
                <w:sz w:val="24"/>
              </w:rPr>
              <w:t>评估机构评估结论：（评估机构需根据委评事项内容进行相应回复）</w:t>
            </w:r>
          </w:p>
          <w:p w:rsidR="00EB3290" w:rsidRDefault="00EB3290" w:rsidP="00BC5D6C">
            <w:pPr>
              <w:jc w:val="center"/>
              <w:rPr>
                <w:sz w:val="24"/>
              </w:rPr>
            </w:pPr>
          </w:p>
          <w:p w:rsidR="00EB3290" w:rsidRPr="006013D7" w:rsidRDefault="00EB3290" w:rsidP="00BC5D6C">
            <w:pPr>
              <w:ind w:firstLineChars="200" w:firstLine="480"/>
              <w:jc w:val="left"/>
              <w:rPr>
                <w:sz w:val="24"/>
              </w:rPr>
            </w:pPr>
            <w:r w:rsidRPr="006013D7">
              <w:rPr>
                <w:rFonts w:hint="eastAsia"/>
                <w:sz w:val="24"/>
              </w:rPr>
              <w:t>位于北京市丰台区南四环西路</w:t>
            </w:r>
            <w:r w:rsidRPr="006013D7">
              <w:rPr>
                <w:rFonts w:hint="eastAsia"/>
                <w:sz w:val="24"/>
              </w:rPr>
              <w:t>188</w:t>
            </w:r>
            <w:r w:rsidRPr="006013D7">
              <w:rPr>
                <w:rFonts w:hint="eastAsia"/>
                <w:sz w:val="24"/>
              </w:rPr>
              <w:t>号十五区</w:t>
            </w:r>
            <w:r w:rsidRPr="006013D7">
              <w:rPr>
                <w:rFonts w:hint="eastAsia"/>
                <w:sz w:val="24"/>
              </w:rPr>
              <w:t>2</w:t>
            </w:r>
            <w:r w:rsidRPr="006013D7">
              <w:rPr>
                <w:rFonts w:hint="eastAsia"/>
                <w:sz w:val="24"/>
              </w:rPr>
              <w:t>号楼</w:t>
            </w:r>
            <w:r w:rsidRPr="006013D7">
              <w:rPr>
                <w:rFonts w:hint="eastAsia"/>
                <w:sz w:val="24"/>
              </w:rPr>
              <w:t>1-11</w:t>
            </w:r>
            <w:r w:rsidRPr="006013D7">
              <w:rPr>
                <w:rFonts w:hint="eastAsia"/>
                <w:sz w:val="24"/>
              </w:rPr>
              <w:t>层全部、</w:t>
            </w:r>
            <w:r w:rsidRPr="006013D7">
              <w:rPr>
                <w:rFonts w:hint="eastAsia"/>
                <w:sz w:val="24"/>
              </w:rPr>
              <w:t>3</w:t>
            </w:r>
            <w:r w:rsidRPr="006013D7">
              <w:rPr>
                <w:rFonts w:hint="eastAsia"/>
                <w:sz w:val="24"/>
              </w:rPr>
              <w:t>号楼</w:t>
            </w:r>
            <w:r w:rsidRPr="006013D7">
              <w:rPr>
                <w:rFonts w:hint="eastAsia"/>
                <w:sz w:val="24"/>
              </w:rPr>
              <w:t>1-10</w:t>
            </w:r>
            <w:r w:rsidRPr="006013D7">
              <w:rPr>
                <w:rFonts w:hint="eastAsia"/>
                <w:sz w:val="24"/>
              </w:rPr>
              <w:t>层全部</w:t>
            </w:r>
            <w:r>
              <w:rPr>
                <w:rFonts w:hint="eastAsia"/>
                <w:sz w:val="24"/>
              </w:rPr>
              <w:t>工业</w:t>
            </w:r>
            <w:r w:rsidRPr="006013D7">
              <w:rPr>
                <w:rFonts w:hint="eastAsia"/>
                <w:sz w:val="24"/>
              </w:rPr>
              <w:t>用房房地产。评估房地产建筑面积为</w:t>
            </w:r>
            <w:r w:rsidRPr="006013D7">
              <w:rPr>
                <w:sz w:val="24"/>
              </w:rPr>
              <w:t>5902.89</w:t>
            </w:r>
            <w:r w:rsidRPr="006013D7">
              <w:rPr>
                <w:rFonts w:hint="eastAsia"/>
                <w:sz w:val="24"/>
              </w:rPr>
              <w:t>平方米。在价值时点</w:t>
            </w:r>
            <w:r w:rsidRPr="006013D7">
              <w:rPr>
                <w:rFonts w:hint="eastAsia"/>
                <w:sz w:val="24"/>
              </w:rPr>
              <w:t>2022</w:t>
            </w:r>
            <w:r w:rsidRPr="006013D7">
              <w:rPr>
                <w:rFonts w:hint="eastAsia"/>
                <w:sz w:val="24"/>
              </w:rPr>
              <w:t>年</w:t>
            </w:r>
            <w:r w:rsidRPr="006013D7">
              <w:rPr>
                <w:rFonts w:hint="eastAsia"/>
                <w:sz w:val="24"/>
              </w:rPr>
              <w:t>11</w:t>
            </w:r>
            <w:r w:rsidRPr="006013D7">
              <w:rPr>
                <w:rFonts w:hint="eastAsia"/>
                <w:sz w:val="24"/>
              </w:rPr>
              <w:t>月</w:t>
            </w:r>
            <w:r w:rsidRPr="006013D7">
              <w:rPr>
                <w:rFonts w:hint="eastAsia"/>
                <w:sz w:val="24"/>
              </w:rPr>
              <w:t>23</w:t>
            </w:r>
            <w:r w:rsidRPr="006013D7">
              <w:rPr>
                <w:rFonts w:hint="eastAsia"/>
                <w:sz w:val="24"/>
              </w:rPr>
              <w:t>日的预评估总价为</w:t>
            </w:r>
            <w:r w:rsidR="000702FC" w:rsidRPr="000702FC">
              <w:rPr>
                <w:sz w:val="24"/>
              </w:rPr>
              <w:t>14634</w:t>
            </w:r>
            <w:r w:rsidRPr="006013D7">
              <w:rPr>
                <w:rFonts w:hint="eastAsia"/>
                <w:sz w:val="24"/>
              </w:rPr>
              <w:t>万元。</w:t>
            </w:r>
          </w:p>
          <w:p w:rsidR="00EB3290" w:rsidRDefault="00EB3290" w:rsidP="00BC5D6C">
            <w:pPr>
              <w:jc w:val="center"/>
              <w:rPr>
                <w:sz w:val="24"/>
              </w:rPr>
            </w:pPr>
          </w:p>
          <w:p w:rsidR="00EB3290" w:rsidRDefault="00EB3290" w:rsidP="00BC5D6C">
            <w:pPr>
              <w:jc w:val="center"/>
              <w:rPr>
                <w:sz w:val="24"/>
              </w:rPr>
            </w:pPr>
          </w:p>
          <w:p w:rsidR="00EB3290" w:rsidRDefault="00EB3290" w:rsidP="00BC5D6C">
            <w:pPr>
              <w:jc w:val="center"/>
              <w:rPr>
                <w:sz w:val="24"/>
              </w:rPr>
            </w:pPr>
          </w:p>
          <w:p w:rsidR="00EB3290" w:rsidRDefault="00EB3290" w:rsidP="00BC5D6C">
            <w:pPr>
              <w:tabs>
                <w:tab w:val="left" w:pos="7214"/>
              </w:tabs>
              <w:ind w:firstLineChars="2800" w:firstLine="6720"/>
              <w:rPr>
                <w:sz w:val="24"/>
              </w:rPr>
            </w:pPr>
            <w:r>
              <w:rPr>
                <w:rFonts w:hint="eastAsia"/>
                <w:sz w:val="24"/>
              </w:rPr>
              <w:t>评估机构盖章</w:t>
            </w:r>
          </w:p>
        </w:tc>
      </w:tr>
    </w:tbl>
    <w:p w:rsidR="00EB3290" w:rsidRDefault="00EB3290" w:rsidP="00EB3290">
      <w:pPr>
        <w:rPr>
          <w:sz w:val="24"/>
        </w:rPr>
      </w:pPr>
    </w:p>
    <w:p w:rsidR="00EB3290" w:rsidRDefault="00EB3290" w:rsidP="00EB3290">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EB3290" w:rsidRDefault="00EB3290" w:rsidP="00EB3290">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717F53" w:rsidRDefault="00EB3290" w:rsidP="00EB3290">
      <w:pPr>
        <w:ind w:firstLineChars="200" w:firstLine="480"/>
        <w:rPr>
          <w:sz w:val="24"/>
        </w:rPr>
        <w:sectPr w:rsidR="00717F53">
          <w:pgSz w:w="11906" w:h="16838"/>
          <w:pgMar w:top="1701" w:right="1531" w:bottom="1701" w:left="1531" w:header="851" w:footer="992" w:gutter="0"/>
          <w:cols w:space="0"/>
          <w:docGrid w:type="lines" w:linePitch="312"/>
        </w:sectPr>
      </w:pPr>
      <w:r>
        <w:rPr>
          <w:rFonts w:hint="eastAsia"/>
          <w:sz w:val="24"/>
        </w:rPr>
        <w:t>3</w:t>
      </w:r>
      <w:r>
        <w:rPr>
          <w:rFonts w:hint="eastAsia"/>
          <w:sz w:val="24"/>
        </w:rPr>
        <w:t>、加急为一个工作日、急为两个工作日、正常为三个工作日</w:t>
      </w: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717F53"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717F53" w:rsidRPr="00052620" w:rsidRDefault="00717F53"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717F53"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717F53" w:rsidRPr="00052620" w:rsidRDefault="00717F53"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717F53" w:rsidRPr="00052620" w:rsidTr="00BC5D6C">
        <w:trPr>
          <w:trHeight w:val="252"/>
        </w:trPr>
        <w:tc>
          <w:tcPr>
            <w:tcW w:w="16620" w:type="dxa"/>
            <w:gridSpan w:val="28"/>
            <w:tcBorders>
              <w:top w:val="nil"/>
              <w:left w:val="nil"/>
              <w:bottom w:val="nil"/>
              <w:right w:val="nil"/>
            </w:tcBorders>
            <w:shd w:val="clear" w:color="auto" w:fill="auto"/>
            <w:vAlign w:val="center"/>
          </w:tcPr>
          <w:p w:rsidR="00717F53" w:rsidRPr="00052620" w:rsidRDefault="00717F53"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00617070" w:rsidRPr="00617070">
              <w:rPr>
                <w:rFonts w:ascii="Times New Roman" w:hAnsi="Times New Roman"/>
                <w:kern w:val="0"/>
                <w:sz w:val="20"/>
                <w:szCs w:val="20"/>
              </w:rPr>
              <w:t xml:space="preserve">F221122003KZ  </w:t>
            </w:r>
            <w:r w:rsidRPr="0077506F">
              <w:rPr>
                <w:rFonts w:ascii="Times New Roman" w:hAnsi="Times New Roman"/>
                <w:kern w:val="0"/>
                <w:sz w:val="20"/>
                <w:szCs w:val="20"/>
              </w:rPr>
              <w:t xml:space="preserve">        </w:t>
            </w:r>
          </w:p>
        </w:tc>
      </w:tr>
      <w:tr w:rsidR="00717F53"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717F53"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717F53" w:rsidRPr="00052620" w:rsidTr="00302F69">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717F53" w:rsidRPr="0077506F" w:rsidRDefault="00717F53"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0702FC" w:rsidRPr="00052620" w:rsidTr="000702FC">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1</w:t>
            </w:r>
          </w:p>
        </w:tc>
        <w:tc>
          <w:tcPr>
            <w:tcW w:w="108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北京市丰台区南四环西路188号十五区2号楼1至11层全部</w:t>
            </w:r>
          </w:p>
        </w:tc>
        <w:tc>
          <w:tcPr>
            <w:tcW w:w="200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京（2019）丰不动产权第0041674号</w:t>
            </w:r>
          </w:p>
        </w:tc>
        <w:tc>
          <w:tcPr>
            <w:tcW w:w="1316"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北京建龙重工集团有限公司</w:t>
            </w:r>
          </w:p>
        </w:tc>
        <w:tc>
          <w:tcPr>
            <w:tcW w:w="1672" w:type="dxa"/>
            <w:gridSpan w:val="3"/>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丰台区南四环西路188号十五区2号楼1至11层全部</w:t>
            </w:r>
          </w:p>
        </w:tc>
        <w:tc>
          <w:tcPr>
            <w:tcW w:w="673" w:type="dxa"/>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2006</w:t>
            </w:r>
          </w:p>
        </w:tc>
        <w:tc>
          <w:tcPr>
            <w:tcW w:w="1207" w:type="dxa"/>
            <w:gridSpan w:val="3"/>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钢筋混凝土结构</w:t>
            </w:r>
          </w:p>
        </w:tc>
        <w:tc>
          <w:tcPr>
            <w:tcW w:w="673" w:type="dxa"/>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工业</w:t>
            </w:r>
          </w:p>
        </w:tc>
        <w:tc>
          <w:tcPr>
            <w:tcW w:w="108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1-11层/11层</w:t>
            </w:r>
          </w:p>
        </w:tc>
        <w:tc>
          <w:tcPr>
            <w:tcW w:w="1081"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3096.23</w:t>
            </w:r>
          </w:p>
        </w:tc>
        <w:tc>
          <w:tcPr>
            <w:tcW w:w="100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196.83</w:t>
            </w:r>
          </w:p>
        </w:tc>
        <w:tc>
          <w:tcPr>
            <w:tcW w:w="923" w:type="dxa"/>
            <w:gridSpan w:val="2"/>
            <w:tcBorders>
              <w:top w:val="nil"/>
              <w:left w:val="nil"/>
              <w:bottom w:val="single" w:sz="4" w:space="0" w:color="auto"/>
              <w:right w:val="single" w:sz="4" w:space="0" w:color="auto"/>
            </w:tcBorders>
            <w:shd w:val="clear" w:color="auto" w:fill="auto"/>
            <w:vAlign w:val="center"/>
          </w:tcPr>
          <w:p w:rsidR="000702FC" w:rsidRPr="000702FC" w:rsidRDefault="000702FC" w:rsidP="000702FC">
            <w:pPr>
              <w:jc w:val="center"/>
              <w:rPr>
                <w:rFonts w:ascii="宋体" w:eastAsia="宋体" w:hAnsi="宋体" w:cs="宋体"/>
                <w:kern w:val="0"/>
                <w:sz w:val="20"/>
                <w:szCs w:val="20"/>
              </w:rPr>
            </w:pPr>
            <w:r w:rsidRPr="000702FC">
              <w:rPr>
                <w:rFonts w:ascii="宋体" w:eastAsia="宋体" w:hAnsi="宋体" w:cs="宋体"/>
                <w:kern w:val="0"/>
                <w:sz w:val="20"/>
                <w:szCs w:val="20"/>
              </w:rPr>
              <w:t>24792</w:t>
            </w:r>
          </w:p>
        </w:tc>
        <w:tc>
          <w:tcPr>
            <w:tcW w:w="1260" w:type="dxa"/>
            <w:tcBorders>
              <w:top w:val="nil"/>
              <w:left w:val="nil"/>
              <w:bottom w:val="single" w:sz="4" w:space="0" w:color="auto"/>
              <w:right w:val="single" w:sz="4" w:space="0" w:color="auto"/>
            </w:tcBorders>
            <w:shd w:val="clear" w:color="auto" w:fill="auto"/>
            <w:vAlign w:val="center"/>
          </w:tcPr>
          <w:p w:rsidR="000702FC" w:rsidRPr="000702FC" w:rsidRDefault="000702FC" w:rsidP="000702FC">
            <w:pPr>
              <w:jc w:val="center"/>
              <w:rPr>
                <w:rFonts w:ascii="宋体" w:eastAsia="宋体" w:hAnsi="宋体" w:cs="宋体"/>
                <w:kern w:val="0"/>
                <w:sz w:val="20"/>
                <w:szCs w:val="20"/>
              </w:rPr>
            </w:pPr>
            <w:r w:rsidRPr="000702FC">
              <w:rPr>
                <w:rFonts w:ascii="宋体" w:eastAsia="宋体" w:hAnsi="宋体" w:cs="宋体"/>
                <w:kern w:val="0"/>
                <w:sz w:val="20"/>
                <w:szCs w:val="20"/>
              </w:rPr>
              <w:t>7676</w:t>
            </w:r>
          </w:p>
        </w:tc>
      </w:tr>
      <w:tr w:rsidR="000702FC" w:rsidRPr="00052620" w:rsidTr="000702FC">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2</w:t>
            </w:r>
          </w:p>
        </w:tc>
        <w:tc>
          <w:tcPr>
            <w:tcW w:w="108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北京市丰台区南四环西路188号十五区3号楼1至10层全部</w:t>
            </w:r>
          </w:p>
        </w:tc>
        <w:tc>
          <w:tcPr>
            <w:tcW w:w="200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京（2019）丰不动产权第0044199号</w:t>
            </w:r>
          </w:p>
        </w:tc>
        <w:tc>
          <w:tcPr>
            <w:tcW w:w="1316"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北京建龙重工集团有限公司</w:t>
            </w:r>
          </w:p>
        </w:tc>
        <w:tc>
          <w:tcPr>
            <w:tcW w:w="1672" w:type="dxa"/>
            <w:gridSpan w:val="3"/>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丰台区南四环西路188号十五区3号楼1至10层全部</w:t>
            </w:r>
          </w:p>
        </w:tc>
        <w:tc>
          <w:tcPr>
            <w:tcW w:w="673" w:type="dxa"/>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2006</w:t>
            </w:r>
          </w:p>
        </w:tc>
        <w:tc>
          <w:tcPr>
            <w:tcW w:w="1207" w:type="dxa"/>
            <w:gridSpan w:val="3"/>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钢筋混凝土结构</w:t>
            </w:r>
          </w:p>
        </w:tc>
        <w:tc>
          <w:tcPr>
            <w:tcW w:w="673" w:type="dxa"/>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工业</w:t>
            </w:r>
          </w:p>
        </w:tc>
        <w:tc>
          <w:tcPr>
            <w:tcW w:w="108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1-10层/10层</w:t>
            </w:r>
          </w:p>
        </w:tc>
        <w:tc>
          <w:tcPr>
            <w:tcW w:w="1081"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2806.66</w:t>
            </w:r>
          </w:p>
        </w:tc>
        <w:tc>
          <w:tcPr>
            <w:tcW w:w="100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hint="eastAsia"/>
                <w:kern w:val="0"/>
                <w:sz w:val="20"/>
                <w:szCs w:val="20"/>
              </w:rPr>
              <w:t>178.42</w:t>
            </w:r>
          </w:p>
        </w:tc>
        <w:tc>
          <w:tcPr>
            <w:tcW w:w="923" w:type="dxa"/>
            <w:gridSpan w:val="2"/>
            <w:tcBorders>
              <w:top w:val="nil"/>
              <w:left w:val="nil"/>
              <w:bottom w:val="single" w:sz="4" w:space="0" w:color="auto"/>
              <w:right w:val="single" w:sz="4" w:space="0" w:color="auto"/>
            </w:tcBorders>
            <w:shd w:val="clear" w:color="auto" w:fill="auto"/>
            <w:vAlign w:val="center"/>
          </w:tcPr>
          <w:p w:rsidR="000702FC" w:rsidRPr="000702FC" w:rsidRDefault="000702FC" w:rsidP="000702FC">
            <w:pPr>
              <w:jc w:val="center"/>
              <w:rPr>
                <w:rFonts w:ascii="宋体" w:eastAsia="宋体" w:hAnsi="宋体" w:cs="宋体"/>
                <w:kern w:val="0"/>
                <w:sz w:val="20"/>
                <w:szCs w:val="20"/>
              </w:rPr>
            </w:pPr>
            <w:r w:rsidRPr="000702FC">
              <w:rPr>
                <w:rFonts w:ascii="宋体" w:eastAsia="宋体" w:hAnsi="宋体" w:cs="宋体"/>
                <w:kern w:val="0"/>
                <w:sz w:val="20"/>
                <w:szCs w:val="20"/>
              </w:rPr>
              <w:t>24792</w:t>
            </w:r>
          </w:p>
        </w:tc>
        <w:tc>
          <w:tcPr>
            <w:tcW w:w="1260" w:type="dxa"/>
            <w:tcBorders>
              <w:top w:val="nil"/>
              <w:left w:val="nil"/>
              <w:bottom w:val="single" w:sz="4" w:space="0" w:color="auto"/>
              <w:right w:val="single" w:sz="4" w:space="0" w:color="auto"/>
            </w:tcBorders>
            <w:shd w:val="clear" w:color="auto" w:fill="auto"/>
            <w:vAlign w:val="center"/>
          </w:tcPr>
          <w:p w:rsidR="000702FC" w:rsidRPr="000702FC" w:rsidRDefault="000702FC" w:rsidP="000702FC">
            <w:pPr>
              <w:jc w:val="center"/>
              <w:rPr>
                <w:rFonts w:ascii="宋体" w:eastAsia="宋体" w:hAnsi="宋体" w:cs="宋体"/>
                <w:kern w:val="0"/>
                <w:sz w:val="20"/>
                <w:szCs w:val="20"/>
              </w:rPr>
            </w:pPr>
            <w:r w:rsidRPr="000702FC">
              <w:rPr>
                <w:rFonts w:ascii="宋体" w:eastAsia="宋体" w:hAnsi="宋体" w:cs="宋体"/>
                <w:kern w:val="0"/>
                <w:sz w:val="20"/>
                <w:szCs w:val="20"/>
              </w:rPr>
              <w:t>6958</w:t>
            </w:r>
          </w:p>
        </w:tc>
      </w:tr>
      <w:tr w:rsidR="000702FC" w:rsidRPr="00052620" w:rsidTr="000702FC">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0702FC" w:rsidRPr="0077506F" w:rsidRDefault="000702FC" w:rsidP="000702FC">
            <w:pPr>
              <w:jc w:val="center"/>
              <w:rPr>
                <w:rFonts w:ascii="宋体" w:eastAsia="宋体" w:hAnsi="宋体" w:cs="宋体"/>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kern w:val="0"/>
                <w:sz w:val="20"/>
                <w:szCs w:val="20"/>
              </w:rPr>
              <w:t>5902.89</w:t>
            </w:r>
          </w:p>
        </w:tc>
        <w:tc>
          <w:tcPr>
            <w:tcW w:w="1000" w:type="dxa"/>
            <w:gridSpan w:val="2"/>
            <w:tcBorders>
              <w:top w:val="nil"/>
              <w:left w:val="nil"/>
              <w:bottom w:val="single" w:sz="4" w:space="0" w:color="auto"/>
              <w:right w:val="single" w:sz="4" w:space="0" w:color="auto"/>
            </w:tcBorders>
            <w:shd w:val="clear" w:color="auto" w:fill="auto"/>
            <w:vAlign w:val="center"/>
          </w:tcPr>
          <w:p w:rsidR="000702FC" w:rsidRPr="00617070" w:rsidRDefault="000702FC" w:rsidP="000702FC">
            <w:pPr>
              <w:jc w:val="center"/>
              <w:rPr>
                <w:rFonts w:ascii="宋体" w:eastAsia="宋体" w:hAnsi="宋体" w:cs="宋体"/>
                <w:kern w:val="0"/>
                <w:sz w:val="20"/>
                <w:szCs w:val="20"/>
              </w:rPr>
            </w:pPr>
            <w:r w:rsidRPr="00617070">
              <w:rPr>
                <w:rFonts w:ascii="宋体" w:eastAsia="宋体" w:hAnsi="宋体" w:cs="宋体"/>
                <w:kern w:val="0"/>
                <w:sz w:val="20"/>
                <w:szCs w:val="20"/>
              </w:rPr>
              <w:t>375.25</w:t>
            </w:r>
          </w:p>
        </w:tc>
        <w:tc>
          <w:tcPr>
            <w:tcW w:w="923" w:type="dxa"/>
            <w:gridSpan w:val="2"/>
            <w:tcBorders>
              <w:top w:val="nil"/>
              <w:left w:val="nil"/>
              <w:bottom w:val="single" w:sz="4" w:space="0" w:color="auto"/>
              <w:right w:val="single" w:sz="4" w:space="0" w:color="auto"/>
            </w:tcBorders>
            <w:shd w:val="clear" w:color="auto" w:fill="auto"/>
            <w:vAlign w:val="center"/>
          </w:tcPr>
          <w:p w:rsidR="000702FC" w:rsidRPr="000702FC" w:rsidRDefault="000702FC" w:rsidP="000702FC">
            <w:pPr>
              <w:jc w:val="center"/>
              <w:rPr>
                <w:rFonts w:ascii="宋体" w:eastAsia="宋体" w:hAnsi="宋体" w:cs="宋体"/>
                <w:kern w:val="0"/>
                <w:sz w:val="20"/>
                <w:szCs w:val="20"/>
              </w:rPr>
            </w:pPr>
            <w:r w:rsidRPr="000702FC">
              <w:rPr>
                <w:rFonts w:ascii="宋体" w:eastAsia="宋体" w:hAnsi="宋体" w:cs="宋体"/>
                <w:kern w:val="0"/>
                <w:sz w:val="20"/>
                <w:szCs w:val="20"/>
              </w:rPr>
              <w:t>2479</w:t>
            </w:r>
            <w:r w:rsidR="000239AC">
              <w:rPr>
                <w:rFonts w:ascii="宋体" w:eastAsia="宋体" w:hAnsi="宋体" w:cs="宋体"/>
                <w:kern w:val="0"/>
                <w:sz w:val="20"/>
                <w:szCs w:val="20"/>
              </w:rPr>
              <w:t>2</w:t>
            </w:r>
          </w:p>
        </w:tc>
        <w:tc>
          <w:tcPr>
            <w:tcW w:w="1260" w:type="dxa"/>
            <w:tcBorders>
              <w:top w:val="nil"/>
              <w:left w:val="nil"/>
              <w:bottom w:val="single" w:sz="4" w:space="0" w:color="auto"/>
              <w:right w:val="single" w:sz="4" w:space="0" w:color="auto"/>
            </w:tcBorders>
            <w:shd w:val="clear" w:color="auto" w:fill="auto"/>
            <w:vAlign w:val="center"/>
          </w:tcPr>
          <w:p w:rsidR="000702FC" w:rsidRPr="000702FC" w:rsidRDefault="000702FC" w:rsidP="000702FC">
            <w:pPr>
              <w:jc w:val="center"/>
              <w:rPr>
                <w:rFonts w:ascii="宋体" w:eastAsia="宋体" w:hAnsi="宋体" w:cs="宋体"/>
                <w:kern w:val="0"/>
                <w:sz w:val="20"/>
                <w:szCs w:val="20"/>
              </w:rPr>
            </w:pPr>
            <w:r w:rsidRPr="000702FC">
              <w:rPr>
                <w:rFonts w:ascii="宋体" w:eastAsia="宋体" w:hAnsi="宋体" w:cs="宋体"/>
                <w:kern w:val="0"/>
                <w:sz w:val="20"/>
                <w:szCs w:val="20"/>
              </w:rPr>
              <w:t>14634</w:t>
            </w:r>
          </w:p>
        </w:tc>
      </w:tr>
      <w:tr w:rsidR="00617070" w:rsidRPr="00052620" w:rsidTr="00302F69">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617070" w:rsidRPr="0077506F" w:rsidRDefault="00617070"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1、区位情况：位于丰台区南四环西路188号十五区，所属项目用地四至为东临丰葆路、南临六圈路、西临广场南一路、北至广场南街。所属项目用地形状规则，场地地势较平坦。</w:t>
            </w:r>
            <w:r w:rsidR="000702FC" w:rsidRPr="000702FC">
              <w:rPr>
                <w:rFonts w:ascii="宋体" w:eastAsia="宋体" w:hAnsi="宋体" w:cs="宋体" w:hint="eastAsia"/>
                <w:kern w:val="0"/>
                <w:sz w:val="20"/>
                <w:szCs w:val="20"/>
              </w:rPr>
              <w:t>交通便捷度：4-5环  城市</w:t>
            </w:r>
            <w:r w:rsidR="00A50E4E">
              <w:rPr>
                <w:rFonts w:ascii="宋体" w:eastAsia="宋体" w:hAnsi="宋体" w:cs="宋体" w:hint="eastAsia"/>
                <w:kern w:val="0"/>
                <w:sz w:val="20"/>
                <w:szCs w:val="20"/>
              </w:rPr>
              <w:t>支路</w:t>
            </w:r>
            <w:r w:rsidR="000702FC" w:rsidRPr="000702FC">
              <w:rPr>
                <w:rFonts w:ascii="宋体" w:eastAsia="宋体" w:hAnsi="宋体" w:cs="宋体" w:hint="eastAsia"/>
                <w:kern w:val="0"/>
                <w:sz w:val="20"/>
                <w:szCs w:val="20"/>
              </w:rPr>
              <w:t>——</w:t>
            </w:r>
            <w:r w:rsidR="00A50E4E" w:rsidRPr="00617070">
              <w:rPr>
                <w:rFonts w:ascii="宋体" w:eastAsia="宋体" w:hAnsi="宋体" w:cs="宋体" w:hint="eastAsia"/>
                <w:kern w:val="0"/>
                <w:sz w:val="20"/>
                <w:szCs w:val="20"/>
              </w:rPr>
              <w:t>丰葆路</w:t>
            </w:r>
            <w:r w:rsidR="000702FC" w:rsidRPr="000702FC">
              <w:rPr>
                <w:rFonts w:ascii="宋体" w:eastAsia="宋体" w:hAnsi="宋体" w:cs="宋体" w:hint="eastAsia"/>
                <w:kern w:val="0"/>
                <w:sz w:val="20"/>
                <w:szCs w:val="20"/>
              </w:rPr>
              <w:t xml:space="preserve">  公交:</w:t>
            </w:r>
            <w:r w:rsidR="00A50E4E">
              <w:rPr>
                <w:rFonts w:ascii="宋体" w:eastAsia="宋体" w:hAnsi="宋体" w:cs="宋体"/>
                <w:kern w:val="0"/>
                <w:sz w:val="20"/>
                <w:szCs w:val="20"/>
              </w:rPr>
              <w:t>477</w:t>
            </w:r>
            <w:r w:rsidR="00A50E4E">
              <w:rPr>
                <w:rFonts w:ascii="宋体" w:eastAsia="宋体" w:hAnsi="宋体" w:cs="宋体" w:hint="eastAsia"/>
                <w:kern w:val="0"/>
                <w:sz w:val="20"/>
                <w:szCs w:val="20"/>
              </w:rPr>
              <w:t>、4</w:t>
            </w:r>
            <w:r w:rsidR="00A50E4E">
              <w:rPr>
                <w:rFonts w:ascii="宋体" w:eastAsia="宋体" w:hAnsi="宋体" w:cs="宋体"/>
                <w:kern w:val="0"/>
                <w:sz w:val="20"/>
                <w:szCs w:val="20"/>
              </w:rPr>
              <w:t>80</w:t>
            </w:r>
            <w:r w:rsidR="00A50E4E">
              <w:rPr>
                <w:rFonts w:ascii="宋体" w:eastAsia="宋体" w:hAnsi="宋体" w:cs="宋体" w:hint="eastAsia"/>
                <w:kern w:val="0"/>
                <w:sz w:val="20"/>
                <w:szCs w:val="20"/>
              </w:rPr>
              <w:t>、6</w:t>
            </w:r>
            <w:r w:rsidR="00A50E4E">
              <w:rPr>
                <w:rFonts w:ascii="宋体" w:eastAsia="宋体" w:hAnsi="宋体" w:cs="宋体"/>
                <w:kern w:val="0"/>
                <w:sz w:val="20"/>
                <w:szCs w:val="20"/>
              </w:rPr>
              <w:t>92</w:t>
            </w:r>
            <w:r w:rsidR="00A50E4E">
              <w:rPr>
                <w:rFonts w:ascii="宋体" w:eastAsia="宋体" w:hAnsi="宋体" w:cs="宋体" w:hint="eastAsia"/>
                <w:kern w:val="0"/>
                <w:sz w:val="20"/>
                <w:szCs w:val="20"/>
              </w:rPr>
              <w:t xml:space="preserve">路等 </w:t>
            </w:r>
            <w:r w:rsidR="00A50E4E">
              <w:rPr>
                <w:rFonts w:ascii="宋体" w:eastAsia="宋体" w:hAnsi="宋体" w:cs="宋体"/>
                <w:kern w:val="0"/>
                <w:sz w:val="20"/>
                <w:szCs w:val="20"/>
              </w:rPr>
              <w:t xml:space="preserve"> </w:t>
            </w:r>
            <w:r w:rsidR="000702FC" w:rsidRPr="000702FC">
              <w:rPr>
                <w:rFonts w:ascii="宋体" w:eastAsia="宋体" w:hAnsi="宋体" w:cs="宋体" w:hint="eastAsia"/>
                <w:kern w:val="0"/>
                <w:sz w:val="20"/>
                <w:szCs w:val="20"/>
              </w:rPr>
              <w:t>地铁:</w:t>
            </w:r>
            <w:r w:rsidR="00A50E4E">
              <w:rPr>
                <w:rFonts w:ascii="宋体" w:eastAsia="宋体" w:hAnsi="宋体" w:cs="宋体" w:hint="eastAsia"/>
                <w:kern w:val="0"/>
                <w:sz w:val="20"/>
                <w:szCs w:val="20"/>
              </w:rPr>
              <w:t>临近地铁9号线丰台科技园站</w:t>
            </w:r>
            <w:r w:rsidR="000702FC" w:rsidRPr="000702FC">
              <w:rPr>
                <w:rFonts w:ascii="宋体" w:eastAsia="宋体" w:hAnsi="宋体" w:cs="宋体" w:hint="eastAsia"/>
                <w:kern w:val="0"/>
                <w:sz w:val="20"/>
                <w:szCs w:val="20"/>
              </w:rPr>
              <w:t>；自然人文环境质量：较好；</w:t>
            </w:r>
            <w:r w:rsidR="00A50E4E">
              <w:rPr>
                <w:rFonts w:ascii="宋体" w:eastAsia="宋体" w:hAnsi="宋体" w:cs="宋体" w:hint="eastAsia"/>
                <w:kern w:val="0"/>
                <w:sz w:val="20"/>
                <w:szCs w:val="20"/>
              </w:rPr>
              <w:t>产业集聚程度</w:t>
            </w:r>
            <w:r w:rsidR="000702FC" w:rsidRPr="000702FC">
              <w:rPr>
                <w:rFonts w:ascii="宋体" w:eastAsia="宋体" w:hAnsi="宋体" w:cs="宋体" w:hint="eastAsia"/>
                <w:kern w:val="0"/>
                <w:sz w:val="20"/>
                <w:szCs w:val="20"/>
              </w:rPr>
              <w:t>：</w:t>
            </w:r>
            <w:r w:rsidR="000239AC">
              <w:rPr>
                <w:rFonts w:ascii="宋体" w:eastAsia="宋体" w:hAnsi="宋体" w:cs="宋体" w:hint="eastAsia"/>
                <w:kern w:val="0"/>
                <w:sz w:val="20"/>
                <w:szCs w:val="20"/>
              </w:rPr>
              <w:t>较好，</w:t>
            </w:r>
            <w:r w:rsidR="000239AC" w:rsidRPr="000239AC">
              <w:rPr>
                <w:rFonts w:ascii="宋体" w:eastAsia="宋体" w:hAnsi="宋体" w:cs="宋体" w:hint="eastAsia"/>
                <w:kern w:val="0"/>
                <w:sz w:val="20"/>
                <w:szCs w:val="20"/>
              </w:rPr>
              <w:t>地处中关村软件园丰台科技园，周边有中铁特货大件运输公司，北京兴有丰科科技发展有限公司等企业</w:t>
            </w:r>
            <w:r w:rsidR="000702FC" w:rsidRPr="000702FC">
              <w:rPr>
                <w:rFonts w:ascii="宋体" w:eastAsia="宋体" w:hAnsi="宋体" w:cs="宋体" w:hint="eastAsia"/>
                <w:kern w:val="0"/>
                <w:sz w:val="20"/>
                <w:szCs w:val="20"/>
              </w:rPr>
              <w:t>；基础设施配套情况：</w:t>
            </w:r>
            <w:r w:rsidR="000239AC">
              <w:rPr>
                <w:rFonts w:ascii="宋体" w:eastAsia="宋体" w:hAnsi="宋体" w:cs="宋体" w:hint="eastAsia"/>
                <w:kern w:val="0"/>
                <w:sz w:val="20"/>
                <w:szCs w:val="20"/>
              </w:rPr>
              <w:t>五</w:t>
            </w:r>
            <w:r w:rsidR="000702FC" w:rsidRPr="000702FC">
              <w:rPr>
                <w:rFonts w:ascii="宋体" w:eastAsia="宋体" w:hAnsi="宋体" w:cs="宋体" w:hint="eastAsia"/>
                <w:kern w:val="0"/>
                <w:sz w:val="20"/>
                <w:szCs w:val="20"/>
              </w:rPr>
              <w:t>通一平；公建配套情况：</w:t>
            </w:r>
            <w:r w:rsidR="000239AC">
              <w:rPr>
                <w:rFonts w:ascii="宋体" w:eastAsia="宋体" w:hAnsi="宋体" w:cs="宋体" w:hint="eastAsia"/>
                <w:kern w:val="0"/>
                <w:sz w:val="20"/>
                <w:szCs w:val="20"/>
              </w:rPr>
              <w:t>较好</w:t>
            </w:r>
          </w:p>
        </w:tc>
      </w:tr>
      <w:tr w:rsidR="00617070" w:rsidRPr="00052620" w:rsidTr="00302F69">
        <w:trPr>
          <w:gridAfter w:val="1"/>
          <w:wAfter w:w="996" w:type="dxa"/>
          <w:trHeight w:val="630"/>
        </w:trPr>
        <w:tc>
          <w:tcPr>
            <w:tcW w:w="664" w:type="dxa"/>
            <w:gridSpan w:val="2"/>
            <w:vMerge/>
            <w:tcBorders>
              <w:top w:val="nil"/>
              <w:left w:val="single" w:sz="4" w:space="0" w:color="auto"/>
              <w:bottom w:val="single" w:sz="4" w:space="0" w:color="000000"/>
              <w:right w:val="nil"/>
            </w:tcBorders>
            <w:vAlign w:val="center"/>
          </w:tcPr>
          <w:p w:rsidR="00617070" w:rsidRPr="0077506F" w:rsidRDefault="00617070" w:rsidP="00302F69">
            <w:pPr>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25BAE" w:rsidRDefault="00617070" w:rsidP="00725BAE">
            <w:pPr>
              <w:jc w:val="left"/>
              <w:rPr>
                <w:rFonts w:ascii="宋体" w:eastAsia="宋体" w:hAnsi="宋体" w:cs="宋体"/>
                <w:kern w:val="0"/>
                <w:sz w:val="20"/>
                <w:szCs w:val="20"/>
              </w:rPr>
            </w:pPr>
            <w:r w:rsidRPr="00617070">
              <w:rPr>
                <w:rFonts w:ascii="宋体" w:eastAsia="宋体" w:hAnsi="宋体" w:cs="宋体" w:hint="eastAsia"/>
                <w:kern w:val="0"/>
                <w:sz w:val="20"/>
                <w:szCs w:val="20"/>
              </w:rPr>
              <w:t>2、实物情况</w:t>
            </w:r>
          </w:p>
          <w:p w:rsidR="00617070" w:rsidRPr="00617070" w:rsidRDefault="00617070" w:rsidP="00725BAE">
            <w:pPr>
              <w:jc w:val="left"/>
              <w:rPr>
                <w:rFonts w:ascii="宋体" w:eastAsia="宋体" w:hAnsi="宋体" w:cs="宋体"/>
                <w:kern w:val="0"/>
                <w:sz w:val="20"/>
                <w:szCs w:val="20"/>
              </w:rPr>
            </w:pPr>
            <w:r w:rsidRPr="00617070">
              <w:rPr>
                <w:rFonts w:ascii="宋体" w:eastAsia="宋体" w:hAnsi="宋体" w:cs="宋体" w:hint="eastAsia"/>
                <w:kern w:val="0"/>
                <w:sz w:val="20"/>
                <w:szCs w:val="20"/>
              </w:rPr>
              <w:t>预评估，未对抵押物进行现场勘查。</w:t>
            </w:r>
          </w:p>
        </w:tc>
      </w:tr>
      <w:tr w:rsidR="00617070" w:rsidRPr="00052620" w:rsidTr="00302F69">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617070" w:rsidRPr="0077506F" w:rsidRDefault="00617070" w:rsidP="00302F69">
            <w:pPr>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17070" w:rsidRDefault="00617070" w:rsidP="00302F69">
            <w:pPr>
              <w:jc w:val="left"/>
              <w:rPr>
                <w:rFonts w:ascii="宋体" w:eastAsia="宋体" w:hAnsi="宋体" w:cs="宋体"/>
                <w:kern w:val="0"/>
                <w:sz w:val="20"/>
                <w:szCs w:val="20"/>
              </w:rPr>
            </w:pPr>
            <w:r w:rsidRPr="00617070">
              <w:rPr>
                <w:rFonts w:ascii="宋体" w:eastAsia="宋体" w:hAnsi="宋体" w:cs="宋体" w:hint="eastAsia"/>
                <w:kern w:val="0"/>
                <w:sz w:val="20"/>
                <w:szCs w:val="20"/>
              </w:rPr>
              <w:t>3、权利情况</w:t>
            </w:r>
          </w:p>
          <w:p w:rsidR="000702FC" w:rsidRPr="00617070" w:rsidRDefault="000702FC" w:rsidP="00302F69">
            <w:pPr>
              <w:jc w:val="left"/>
              <w:rPr>
                <w:rFonts w:ascii="宋体" w:eastAsia="宋体" w:hAnsi="宋体" w:cs="宋体" w:hint="eastAsia"/>
                <w:kern w:val="0"/>
                <w:sz w:val="20"/>
                <w:szCs w:val="20"/>
              </w:rPr>
            </w:pPr>
            <w:r w:rsidRPr="00052620">
              <w:rPr>
                <w:rFonts w:ascii="宋体" w:hAnsi="宋体" w:cs="宋体" w:hint="eastAsia"/>
                <w:color w:val="000000"/>
                <w:kern w:val="0"/>
                <w:sz w:val="20"/>
                <w:szCs w:val="20"/>
              </w:rPr>
              <w:t>于价值时点存在抵押权他项权利</w:t>
            </w:r>
          </w:p>
        </w:tc>
      </w:tr>
      <w:tr w:rsidR="00617070" w:rsidRPr="00052620" w:rsidTr="00302F69">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617070" w:rsidRPr="0077506F" w:rsidRDefault="00617070" w:rsidP="00302F69">
            <w:pPr>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17070" w:rsidRDefault="00617070" w:rsidP="00302F69">
            <w:pPr>
              <w:jc w:val="left"/>
              <w:rPr>
                <w:rFonts w:ascii="宋体" w:eastAsia="宋体" w:hAnsi="宋体" w:cs="宋体"/>
                <w:kern w:val="0"/>
                <w:sz w:val="20"/>
                <w:szCs w:val="20"/>
              </w:rPr>
            </w:pPr>
            <w:r w:rsidRPr="00617070">
              <w:rPr>
                <w:rFonts w:ascii="宋体" w:eastAsia="宋体" w:hAnsi="宋体" w:cs="宋体" w:hint="eastAsia"/>
                <w:kern w:val="0"/>
                <w:sz w:val="20"/>
                <w:szCs w:val="20"/>
              </w:rPr>
              <w:t>4、其他重要情况</w:t>
            </w:r>
          </w:p>
          <w:p w:rsidR="000702FC" w:rsidRPr="00617070" w:rsidRDefault="000702FC" w:rsidP="00302F69">
            <w:pPr>
              <w:jc w:val="left"/>
              <w:rPr>
                <w:rFonts w:ascii="宋体" w:eastAsia="宋体" w:hAnsi="宋体" w:cs="宋体" w:hint="eastAsia"/>
                <w:kern w:val="0"/>
                <w:sz w:val="20"/>
                <w:szCs w:val="20"/>
              </w:rPr>
            </w:pPr>
            <w:r>
              <w:rPr>
                <w:rFonts w:ascii="宋体" w:eastAsia="宋体" w:hAnsi="宋体" w:cs="宋体" w:hint="eastAsia"/>
                <w:kern w:val="0"/>
                <w:sz w:val="20"/>
                <w:szCs w:val="20"/>
              </w:rPr>
              <w:t>无</w:t>
            </w:r>
          </w:p>
        </w:tc>
      </w:tr>
      <w:tr w:rsidR="00617070" w:rsidRPr="00052620" w:rsidTr="00302F69">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617070" w:rsidRPr="0077506F" w:rsidRDefault="00617070"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617070" w:rsidRPr="00617070" w:rsidRDefault="00617070" w:rsidP="00302F69">
            <w:pPr>
              <w:jc w:val="left"/>
              <w:rPr>
                <w:rFonts w:ascii="宋体" w:eastAsia="宋体" w:hAnsi="宋体" w:cs="宋体"/>
                <w:kern w:val="0"/>
                <w:sz w:val="20"/>
                <w:szCs w:val="20"/>
              </w:rPr>
            </w:pPr>
            <w:r w:rsidRPr="00617070">
              <w:rPr>
                <w:rFonts w:ascii="宋体" w:eastAsia="宋体" w:hAnsi="宋体" w:cs="宋体" w:hint="eastAsia"/>
                <w:kern w:val="0"/>
                <w:sz w:val="20"/>
                <w:szCs w:val="20"/>
              </w:rPr>
              <w:t>比较法、收益法</w:t>
            </w:r>
          </w:p>
        </w:tc>
      </w:tr>
      <w:tr w:rsidR="00717F53" w:rsidRPr="00052620" w:rsidTr="00302F69">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717F53"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717F53"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717F53" w:rsidRDefault="00717F53" w:rsidP="00863362">
      <w:pPr>
        <w:rPr>
          <w:rFonts w:ascii="黑体" w:eastAsia="黑体"/>
          <w:sz w:val="36"/>
          <w:szCs w:val="36"/>
        </w:rPr>
        <w:sectPr w:rsidR="00717F53" w:rsidSect="00717F53">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45586D" w:rsidRPr="00863362" w:rsidRDefault="00863362" w:rsidP="00863362">
      <w:pPr>
        <w:rPr>
          <w:rFonts w:ascii="宋体" w:hAnsi="宋体" w:cs="宋体"/>
          <w:sz w:val="28"/>
          <w:szCs w:val="28"/>
        </w:rPr>
      </w:pPr>
      <w:r w:rsidRPr="004779E1">
        <w:rPr>
          <w:rFonts w:ascii="宋体" w:hAnsi="宋体" w:cs="宋体" w:hint="eastAsia"/>
          <w:sz w:val="28"/>
          <w:szCs w:val="28"/>
        </w:rPr>
        <w:t>（</w:t>
      </w:r>
      <w:r w:rsidRPr="004779E1">
        <w:rPr>
          <w:rFonts w:ascii="宋体" w:hAnsi="宋体" w:cs="宋体" w:hint="eastAsia"/>
          <w:sz w:val="24"/>
        </w:rPr>
        <w:t>未对抵押物进行现场勘查，所附照片为盛京银行北京分行提供原评估公司照片</w:t>
      </w:r>
      <w:r w:rsidRPr="004779E1">
        <w:rPr>
          <w:rFonts w:ascii="宋体" w:hAnsi="宋体" w:cs="宋体" w:hint="eastAsia"/>
          <w:sz w:val="28"/>
          <w:szCs w:val="28"/>
        </w:rPr>
        <w:t>）</w:t>
      </w:r>
    </w:p>
    <w:p w:rsidR="00863362" w:rsidRDefault="00863362" w:rsidP="00863362">
      <w:pPr>
        <w:jc w:val="center"/>
        <w:rPr>
          <w:noProof/>
        </w:rPr>
      </w:pPr>
      <w:r w:rsidRPr="00863362">
        <w:rPr>
          <w:rFonts w:ascii="黑体" w:eastAsia="黑体"/>
          <w:noProof/>
          <w:sz w:val="36"/>
          <w:szCs w:val="36"/>
        </w:rPr>
        <w:drawing>
          <wp:inline distT="0" distB="0" distL="0" distR="0" wp14:anchorId="4F8B3D9C" wp14:editId="1BA8E59C">
            <wp:extent cx="4699000" cy="7353300"/>
            <wp:effectExtent l="0" t="0" r="0" b="0"/>
            <wp:docPr id="1" name="图片 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历&#10;&#10;描述已自动生成"/>
                    <pic:cNvPicPr/>
                  </pic:nvPicPr>
                  <pic:blipFill>
                    <a:blip r:embed="rId5"/>
                    <a:stretch>
                      <a:fillRect/>
                    </a:stretch>
                  </pic:blipFill>
                  <pic:spPr>
                    <a:xfrm>
                      <a:off x="0" y="0"/>
                      <a:ext cx="4699000" cy="7353300"/>
                    </a:xfrm>
                    <a:prstGeom prst="rect">
                      <a:avLst/>
                    </a:prstGeom>
                  </pic:spPr>
                </pic:pic>
              </a:graphicData>
            </a:graphic>
          </wp:inline>
        </w:drawing>
      </w:r>
      <w:r w:rsidRPr="00863362">
        <w:rPr>
          <w:noProof/>
        </w:rPr>
        <w:t xml:space="preserve"> </w:t>
      </w:r>
      <w:r w:rsidRPr="00863362">
        <w:rPr>
          <w:rFonts w:ascii="黑体" w:eastAsia="黑体"/>
          <w:noProof/>
          <w:sz w:val="36"/>
          <w:szCs w:val="36"/>
        </w:rPr>
        <w:lastRenderedPageBreak/>
        <w:drawing>
          <wp:inline distT="0" distB="0" distL="0" distR="0" wp14:anchorId="6672B1E9" wp14:editId="43BAD520">
            <wp:extent cx="4648200" cy="3695700"/>
            <wp:effectExtent l="0" t="0" r="0" b="0"/>
            <wp:docPr id="2" name="图片 2" descr="商店的玻璃橱窗上贴着许多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商店的玻璃橱窗上贴着许多海报&#10;&#10;中度可信度描述已自动生成"/>
                    <pic:cNvPicPr/>
                  </pic:nvPicPr>
                  <pic:blipFill>
                    <a:blip r:embed="rId6"/>
                    <a:stretch>
                      <a:fillRect/>
                    </a:stretch>
                  </pic:blipFill>
                  <pic:spPr>
                    <a:xfrm>
                      <a:off x="0" y="0"/>
                      <a:ext cx="4648200" cy="3695700"/>
                    </a:xfrm>
                    <a:prstGeom prst="rect">
                      <a:avLst/>
                    </a:prstGeom>
                  </pic:spPr>
                </pic:pic>
              </a:graphicData>
            </a:graphic>
          </wp:inline>
        </w:drawing>
      </w:r>
    </w:p>
    <w:p w:rsidR="00863362" w:rsidRDefault="00863362">
      <w:pPr>
        <w:widowControl/>
        <w:jc w:val="left"/>
        <w:rPr>
          <w:noProof/>
        </w:rPr>
      </w:pPr>
      <w:r>
        <w:rPr>
          <w:noProof/>
        </w:rPr>
        <w:br w:type="page"/>
      </w:r>
    </w:p>
    <w:p w:rsidR="00863362" w:rsidRDefault="00863362" w:rsidP="00863362">
      <w:pPr>
        <w:jc w:val="center"/>
        <w:rPr>
          <w:rFonts w:ascii="黑体" w:eastAsia="黑体"/>
          <w:sz w:val="36"/>
          <w:szCs w:val="36"/>
        </w:rPr>
      </w:pPr>
      <w:r>
        <w:rPr>
          <w:rFonts w:ascii="黑体" w:eastAsia="黑体" w:hint="eastAsia"/>
          <w:sz w:val="36"/>
          <w:szCs w:val="36"/>
        </w:rPr>
        <w:lastRenderedPageBreak/>
        <w:t>委托评估地理位置</w:t>
      </w:r>
    </w:p>
    <w:p w:rsidR="0045586D" w:rsidRPr="009C54A5" w:rsidRDefault="00863362" w:rsidP="00863362">
      <w:pPr>
        <w:jc w:val="center"/>
        <w:rPr>
          <w:rFonts w:ascii="黑体" w:eastAsia="黑体"/>
          <w:sz w:val="36"/>
          <w:szCs w:val="36"/>
        </w:rPr>
      </w:pPr>
      <w:r w:rsidRPr="00863362">
        <w:rPr>
          <w:rFonts w:ascii="黑体" w:eastAsia="黑体"/>
          <w:noProof/>
          <w:sz w:val="36"/>
          <w:szCs w:val="36"/>
        </w:rPr>
        <mc:AlternateContent>
          <mc:Choice Requires="wps">
            <w:drawing>
              <wp:anchor distT="0" distB="0" distL="114300" distR="114300" simplePos="0" relativeHeight="251660288" behindDoc="0" locked="0" layoutInCell="1" allowOverlap="1" wp14:anchorId="694948BD" wp14:editId="3B786E46">
                <wp:simplePos x="0" y="0"/>
                <wp:positionH relativeFrom="column">
                  <wp:posOffset>3269624</wp:posOffset>
                </wp:positionH>
                <wp:positionV relativeFrom="paragraph">
                  <wp:posOffset>1124826</wp:posOffset>
                </wp:positionV>
                <wp:extent cx="1410335" cy="221615"/>
                <wp:effectExtent l="139700" t="0" r="0" b="75628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1615"/>
                        </a:xfrm>
                        <a:prstGeom prst="wedgeRectCallout">
                          <a:avLst>
                            <a:gd name="adj1" fmla="val -58278"/>
                            <a:gd name="adj2" fmla="val 389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3362" w:rsidRDefault="00863362" w:rsidP="00863362">
                            <w:r>
                              <w:rPr>
                                <w:rFonts w:hint="eastAsia"/>
                                <w:sz w:val="24"/>
                              </w:rPr>
                              <w:t>估价对象所在位置</w:t>
                            </w:r>
                          </w:p>
                        </w:txbxContent>
                      </wps:txbx>
                      <wps:bodyPr rot="0" vert="horz" wrap="square" lIns="36576"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948B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left:0;text-align:left;margin-left:257.45pt;margin-top:88.55pt;width:111.0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" adj="-1788,94852">
                <v:path arrowok="t"/>
                <v:textbox inset="2.88pt,1.44pt,0,0">
                  <w:txbxContent>
                    <w:p w:rsidR="00863362" w:rsidRDefault="00863362" w:rsidP="00863362">
                      <w:r>
                        <w:rPr>
                          <w:rFonts w:hint="eastAsia"/>
                          <w:sz w:val="24"/>
                        </w:rPr>
                        <w:t>估价对象所在位置</w:t>
                      </w:r>
                    </w:p>
                  </w:txbxContent>
                </v:textbox>
              </v:shape>
            </w:pict>
          </mc:Fallback>
        </mc:AlternateContent>
      </w:r>
      <w:r w:rsidRPr="00863362">
        <w:rPr>
          <w:rFonts w:ascii="黑体" w:eastAsia="黑体"/>
          <w:noProof/>
          <w:sz w:val="36"/>
          <w:szCs w:val="36"/>
        </w:rPr>
        <mc:AlternateContent>
          <mc:Choice Requires="wps">
            <w:drawing>
              <wp:anchor distT="0" distB="0" distL="114300" distR="114300" simplePos="0" relativeHeight="251659264" behindDoc="0" locked="0" layoutInCell="1" allowOverlap="1" wp14:anchorId="04E0663F" wp14:editId="2FBF23AE">
                <wp:simplePos x="0" y="0"/>
                <wp:positionH relativeFrom="column">
                  <wp:posOffset>2787650</wp:posOffset>
                </wp:positionH>
                <wp:positionV relativeFrom="paragraph">
                  <wp:posOffset>1926590</wp:posOffset>
                </wp:positionV>
                <wp:extent cx="486410" cy="474345"/>
                <wp:effectExtent l="25400" t="25400" r="21590" b="825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74345"/>
                        </a:xfrm>
                        <a:custGeom>
                          <a:avLst/>
                          <a:gdLst>
                            <a:gd name="T0" fmla="*/ 0 w 10000"/>
                            <a:gd name="T1" fmla="*/ 19 h 10000"/>
                            <a:gd name="T2" fmla="*/ 19 w 10000"/>
                            <a:gd name="T3" fmla="*/ 19 h 10000"/>
                            <a:gd name="T4" fmla="*/ 25 w 10000"/>
                            <a:gd name="T5" fmla="*/ 0 h 10000"/>
                            <a:gd name="T6" fmla="*/ 31 w 10000"/>
                            <a:gd name="T7" fmla="*/ 19 h 10000"/>
                            <a:gd name="T8" fmla="*/ 50 w 10000"/>
                            <a:gd name="T9" fmla="*/ 19 h 10000"/>
                            <a:gd name="T10" fmla="*/ 35 w 10000"/>
                            <a:gd name="T11" fmla="*/ 30 h 10000"/>
                            <a:gd name="T12" fmla="*/ 40 w 10000"/>
                            <a:gd name="T13" fmla="*/ 49 h 10000"/>
                            <a:gd name="T14" fmla="*/ 25 w 10000"/>
                            <a:gd name="T15" fmla="*/ 37 h 10000"/>
                            <a:gd name="T16" fmla="*/ 10 w 10000"/>
                            <a:gd name="T17" fmla="*/ 49 h 10000"/>
                            <a:gd name="T18" fmla="*/ 15 w 10000"/>
                            <a:gd name="T19" fmla="*/ 30 h 10000"/>
                            <a:gd name="T20" fmla="*/ 0 w 10000"/>
                            <a:gd name="T21" fmla="*/ 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78"/>
                              </a:moveTo>
                              <a:lnTo>
                                <a:pt x="3800" y="3878"/>
                              </a:lnTo>
                              <a:lnTo>
                                <a:pt x="5000" y="0"/>
                              </a:lnTo>
                              <a:lnTo>
                                <a:pt x="6200" y="3878"/>
                              </a:lnTo>
                              <a:lnTo>
                                <a:pt x="10000" y="3878"/>
                              </a:lnTo>
                              <a:lnTo>
                                <a:pt x="7000" y="6122"/>
                              </a:lnTo>
                              <a:lnTo>
                                <a:pt x="8000" y="10000"/>
                              </a:lnTo>
                              <a:lnTo>
                                <a:pt x="5000" y="7551"/>
                              </a:lnTo>
                              <a:lnTo>
                                <a:pt x="2000" y="10000"/>
                              </a:lnTo>
                              <a:lnTo>
                                <a:pt x="3000" y="6122"/>
                              </a:lnTo>
                              <a:lnTo>
                                <a:pt x="0" y="387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DE3E" id="AutoShape 5" o:spid="_x0000_s1026" style="position:absolute;left:0;text-align:left;margin-left:219.5pt;margin-top:151.7pt;width:3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" path="m,3878r3800,l5000,,6200,3878r3800,l7000,6122r1000,3878l5000,7551,2000,10000,3000,6122,,3878xe" fillcolor="red">
                <v:stroke joinstyle="miter"/>
                <v:path arrowok="t" o:connecttype="custom" o:connectlocs="0,901;924,901;1216,0;1508,901;2432,901;1702,1423;1946,2324;1216,1755;486,2324;730,1423;0,901" o:connectangles="0,0,0,0,0,0,0,0,0,0,0"/>
              </v:shape>
            </w:pict>
          </mc:Fallback>
        </mc:AlternateContent>
      </w:r>
      <w:r w:rsidRPr="00863362">
        <w:rPr>
          <w:noProof/>
        </w:rPr>
        <w:t xml:space="preserve"> </w:t>
      </w:r>
      <w:r w:rsidRPr="00863362">
        <w:rPr>
          <w:rFonts w:ascii="黑体" w:eastAsia="黑体"/>
          <w:noProof/>
          <w:sz w:val="36"/>
          <w:szCs w:val="36"/>
        </w:rPr>
        <w:drawing>
          <wp:inline distT="0" distB="0" distL="0" distR="0" wp14:anchorId="25E66C1D" wp14:editId="576DCD08">
            <wp:extent cx="5615940" cy="4623435"/>
            <wp:effectExtent l="0" t="0" r="0"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pic:nvPicPr>
                  <pic:blipFill>
                    <a:blip r:embed="rId7"/>
                    <a:stretch>
                      <a:fillRect/>
                    </a:stretch>
                  </pic:blipFill>
                  <pic:spPr>
                    <a:xfrm>
                      <a:off x="0" y="0"/>
                      <a:ext cx="5615940" cy="4623435"/>
                    </a:xfrm>
                    <a:prstGeom prst="rect">
                      <a:avLst/>
                    </a:prstGeom>
                  </pic:spPr>
                </pic:pic>
              </a:graphicData>
            </a:graphic>
          </wp:inline>
        </w:drawing>
      </w:r>
    </w:p>
    <w:sectPr w:rsidR="0045586D" w:rsidRPr="009C54A5">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015BA4"/>
    <w:rsid w:val="000239AC"/>
    <w:rsid w:val="000702FC"/>
    <w:rsid w:val="002F7BDC"/>
    <w:rsid w:val="00302F69"/>
    <w:rsid w:val="0045586D"/>
    <w:rsid w:val="00501574"/>
    <w:rsid w:val="00617070"/>
    <w:rsid w:val="00717F53"/>
    <w:rsid w:val="00725BAE"/>
    <w:rsid w:val="00863362"/>
    <w:rsid w:val="009C54A5"/>
    <w:rsid w:val="00A50E4E"/>
    <w:rsid w:val="00AD3D62"/>
    <w:rsid w:val="00AD7CC9"/>
    <w:rsid w:val="00D15122"/>
    <w:rsid w:val="00E140E7"/>
    <w:rsid w:val="00E3204C"/>
    <w:rsid w:val="00EB3290"/>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11265B"/>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A50E4E"/>
    <w:rPr>
      <w:rFonts w:ascii="宋体" w:eastAsia="宋体"/>
      <w:sz w:val="18"/>
      <w:szCs w:val="18"/>
    </w:rPr>
  </w:style>
  <w:style w:type="character" w:customStyle="1" w:styleId="a8">
    <w:name w:val="批注框文本 字符"/>
    <w:basedOn w:val="a0"/>
    <w:link w:val="a7"/>
    <w:rsid w:val="00A50E4E"/>
    <w:rPr>
      <w:rFonts w:ascii="宋体"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347</Words>
  <Characters>1984</Characters>
  <Application>Microsoft Office Word</Application>
  <DocSecurity>0</DocSecurity>
  <Lines>16</Lines>
  <Paragraphs>4</Paragraphs>
  <ScaleCrop>false</ScaleCrop>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14</cp:revision>
  <dcterms:created xsi:type="dcterms:W3CDTF">2014-10-29T12:08:00Z</dcterms:created>
  <dcterms:modified xsi:type="dcterms:W3CDTF">2022-11-28T04:08:00Z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