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line="320" w:lineRule="exact"/>
        <w:ind w:left="360" w:firstLine="0" w:firstLineChars="0"/>
        <w:rPr>
          <w:rFonts w:ascii="Arial" w:hAnsi="Arial" w:eastAsia="方正黑体简体"/>
          <w:sz w:val="21"/>
          <w:szCs w:val="21"/>
        </w:rPr>
        <w:sectPr>
          <w:headerReference r:id="rId4" w:type="first"/>
          <w:headerReference r:id="rId3" w:type="default"/>
          <w:footerReference r:id="rId5" w:type="default"/>
          <w:footerReference r:id="rId6" w:type="even"/>
          <w:type w:val="continuous"/>
          <w:pgSz w:w="11907" w:h="16840"/>
          <w:pgMar w:top="1843" w:right="1304" w:bottom="1134" w:left="1304" w:header="851" w:footer="1134" w:gutter="0"/>
          <w:pgNumType w:start="0"/>
          <w:cols w:space="720" w:num="1"/>
          <w:titlePg/>
          <w:docGrid w:linePitch="326" w:charSpace="0"/>
        </w:sectPr>
      </w:pPr>
      <w:bookmarkStart w:id="1" w:name="_GoBack"/>
      <w:bookmarkEnd w:id="1"/>
      <w:r>
        <w:rPr>
          <w:rFonts w:hint="eastAsia" w:ascii="Arial" w:hAnsi="Arial" w:eastAsia="方正黑体简体"/>
          <w:sz w:val="21"/>
          <w:szCs w:val="21"/>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5720080</wp:posOffset>
                </wp:positionV>
                <wp:extent cx="5904230" cy="308292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3082925"/>
                        </a:xfrm>
                        <a:prstGeom prst="rect">
                          <a:avLst/>
                        </a:prstGeom>
                        <a:noFill/>
                        <a:ln>
                          <a:noFill/>
                        </a:ln>
                      </wps:spPr>
                      <wps:txbx>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广东省深圳市福田区彩田路彩虹新都裙楼1层B段、1层C段、3层ABC段、4层ABCD段及彩虹新都商场2层B段共5套商业用房房地产市场价值咨询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宁波信石铭辉商业管理有限公司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王鹏、郑燚</w:t>
                            </w:r>
                          </w:p>
                          <w:p>
                            <w:pPr>
                              <w:pStyle w:val="42"/>
                              <w:spacing w:line="320" w:lineRule="exact"/>
                              <w:ind w:left="360" w:firstLine="0" w:firstLineChars="0"/>
                              <w:textAlignment w:val="bottom"/>
                              <w:rPr>
                                <w:rFonts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ascii="Arial" w:hAnsi="Arial" w:eastAsia="Tahoma" w:cs="Arial"/>
                                <w:color w:val="282828"/>
                                <w:sz w:val="21"/>
                                <w:szCs w:val="21"/>
                                <w:shd w:val="clear" w:color="auto" w:fill="FFFFFF"/>
                              </w:rPr>
                              <w:t>2021-1-0010-P0</w:t>
                            </w:r>
                            <w:r>
                              <w:rPr>
                                <w:rFonts w:hint="eastAsia" w:ascii="Arial" w:hAnsi="Arial" w:cs="Arial"/>
                                <w:color w:val="282828"/>
                                <w:sz w:val="21"/>
                                <w:szCs w:val="21"/>
                                <w:shd w:val="clear" w:color="auto" w:fill="FFFFFF"/>
                                <w:lang w:val="en-US" w:eastAsia="zh-CN"/>
                              </w:rPr>
                              <w:t>2</w:t>
                            </w:r>
                            <w:r>
                              <w:rPr>
                                <w:rFonts w:ascii="Arial" w:hAnsi="Arial" w:eastAsia="Tahoma" w:cs="Arial"/>
                                <w:color w:val="282828"/>
                                <w:sz w:val="21"/>
                                <w:szCs w:val="21"/>
                                <w:shd w:val="clear" w:color="auto" w:fill="FFFFFF"/>
                              </w:rPr>
                              <w:t>DYGJ2</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wps:txbx>
                      <wps:bodyPr wrap="square" lIns="0" tIns="0" rIns="0" bIns="0" upright="1"/>
                    </wps:wsp>
                  </a:graphicData>
                </a:graphic>
              </wp:anchor>
            </w:drawing>
          </mc:Choice>
          <mc:Fallback>
            <w:pict>
              <v:shape id="文本框 2" o:spid="_x0000_s1026" o:spt="202" type="#_x0000_t202" style="position:absolute;left:0pt;margin-left:0pt;margin-top:450.4pt;height:242.75pt;width:464.9pt;mso-position-horizontal-relative:margin;mso-position-vertical-relative:margin;z-index:251658240;mso-width-relative:page;mso-height-relative:page;" filled="f" stroked="f" coordsize="21600,21600" o:gfxdata="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WIUej1wAAAAkB&#10;AAAPAAAAAAAAAAEAIAAAACIAAABkcnMvZG93bnJldi54bWxQSwECFAAUAAAACACHTuJAAuEhG6oB&#10;AAAzAwAADgAAAAAAAAABACAAAAAmAQAAZHJzL2Uyb0RvYy54bWxQSwUGAAAAAAYABgBZAQAAQgUA&#10;AAAA&#10;">
                <v:fill on="f" focussize="0,0"/>
                <v:stroke on="f"/>
                <v:imagedata o:title=""/>
                <o:lock v:ext="edit" aspectratio="f"/>
                <v:textbox inset="0mm,0mm,0mm,0mm">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广东省深圳市福田区彩田路彩虹新都裙楼1层B段、1层C段、3层ABC段、4层ABCD段及彩虹新都商场2层B段共5套商业用房房地产市场价值咨询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宁波信石铭辉商业管理有限公司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王鹏、郑燚</w:t>
                      </w:r>
                    </w:p>
                    <w:p>
                      <w:pPr>
                        <w:pStyle w:val="42"/>
                        <w:spacing w:line="320" w:lineRule="exact"/>
                        <w:ind w:left="360" w:firstLine="0" w:firstLineChars="0"/>
                        <w:textAlignment w:val="bottom"/>
                        <w:rPr>
                          <w:rFonts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ascii="Arial" w:hAnsi="Arial" w:eastAsia="Tahoma" w:cs="Arial"/>
                          <w:color w:val="282828"/>
                          <w:sz w:val="21"/>
                          <w:szCs w:val="21"/>
                          <w:shd w:val="clear" w:color="auto" w:fill="FFFFFF"/>
                        </w:rPr>
                        <w:t>2021-1-0010-P0</w:t>
                      </w:r>
                      <w:r>
                        <w:rPr>
                          <w:rFonts w:hint="eastAsia" w:ascii="Arial" w:hAnsi="Arial" w:cs="Arial"/>
                          <w:color w:val="282828"/>
                          <w:sz w:val="21"/>
                          <w:szCs w:val="21"/>
                          <w:shd w:val="clear" w:color="auto" w:fill="FFFFFF"/>
                          <w:lang w:val="en-US" w:eastAsia="zh-CN"/>
                        </w:rPr>
                        <w:t>2</w:t>
                      </w:r>
                      <w:r>
                        <w:rPr>
                          <w:rFonts w:ascii="Arial" w:hAnsi="Arial" w:eastAsia="Tahoma" w:cs="Arial"/>
                          <w:color w:val="282828"/>
                          <w:sz w:val="21"/>
                          <w:szCs w:val="21"/>
                          <w:shd w:val="clear" w:color="auto" w:fill="FFFFFF"/>
                        </w:rPr>
                        <w:t>DYGJ2</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v:textbox>
              </v:shape>
            </w:pict>
          </mc:Fallback>
        </mc:AlternateContent>
      </w:r>
      <w:r>
        <w:rPr>
          <w:rFonts w:hint="eastAsia" w:ascii="Arial" w:hAnsi="Arial" w:eastAsia="方正黑体简体"/>
          <w:sz w:val="21"/>
          <w:szCs w:val="21"/>
        </w:rPr>
        <w:t xml:space="preserve"> </w:t>
      </w:r>
    </w:p>
    <w:p>
      <w:pPr>
        <w:pStyle w:val="2"/>
        <w:numPr>
          <w:ilvl w:val="0"/>
          <w:numId w:val="0"/>
        </w:numPr>
        <w:spacing w:line="480" w:lineRule="auto"/>
        <w:jc w:val="center"/>
        <w:rPr>
          <w:rFonts w:ascii="方正黑体简体" w:eastAsia="方正黑体简体"/>
          <w:b w:val="0"/>
          <w:kern w:val="2"/>
          <w:sz w:val="32"/>
          <w:szCs w:val="32"/>
        </w:rPr>
      </w:pPr>
      <w:bookmarkStart w:id="0" w:name="_Toc258768551"/>
      <w:r>
        <w:rPr>
          <w:rFonts w:hint="eastAsia" w:ascii="方正黑体简体" w:eastAsia="方正黑体简体"/>
          <w:b w:val="0"/>
          <w:kern w:val="2"/>
          <w:sz w:val="32"/>
          <w:szCs w:val="32"/>
        </w:rPr>
        <w:t>专项意见函</w:t>
      </w:r>
      <w:bookmarkEnd w:id="0"/>
    </w:p>
    <w:p>
      <w:pPr>
        <w:wordWrap w:val="0"/>
        <w:overflowPunct w:val="0"/>
        <w:spacing w:line="480" w:lineRule="auto"/>
        <w:jc w:val="both"/>
        <w:textAlignment w:val="auto"/>
        <w:rPr>
          <w:rFonts w:ascii="Arial" w:hAnsi="Arial"/>
          <w:b/>
          <w:color w:val="E36C0A"/>
          <w:sz w:val="21"/>
          <w:szCs w:val="28"/>
        </w:rPr>
      </w:pPr>
      <w:r>
        <w:rPr>
          <w:rFonts w:hint="eastAsia" w:ascii="Arial" w:hAnsi="Arial" w:eastAsia="方正黑体简体"/>
          <w:b/>
          <w:bCs/>
          <w:sz w:val="21"/>
          <w:szCs w:val="21"/>
        </w:rPr>
        <w:t>宁波信石铭辉商业管理有限公司</w:t>
      </w:r>
      <w:r>
        <w:rPr>
          <w:rFonts w:hint="eastAsia" w:ascii="Arial" w:hAnsi="Arial"/>
          <w:b/>
          <w:color w:val="000000"/>
          <w:sz w:val="21"/>
          <w:szCs w:val="28"/>
        </w:rPr>
        <w:t>：</w:t>
      </w:r>
    </w:p>
    <w:p>
      <w:pPr>
        <w:tabs>
          <w:tab w:val="left" w:pos="8647"/>
        </w:tabs>
        <w:wordWrap w:val="0"/>
        <w:overflowPunct w:val="0"/>
        <w:spacing w:line="480" w:lineRule="auto"/>
        <w:ind w:right="17" w:firstLine="420" w:firstLineChars="200"/>
        <w:jc w:val="both"/>
        <w:textAlignment w:val="auto"/>
        <w:rPr>
          <w:rFonts w:ascii="Arial" w:hAnsi="Arial" w:cs="Arial"/>
          <w:color w:val="000000"/>
          <w:sz w:val="21"/>
          <w:szCs w:val="21"/>
        </w:rPr>
      </w:pPr>
      <w:r>
        <w:rPr>
          <w:rFonts w:ascii="Arial" w:hAnsi="Arial" w:cs="Arial"/>
          <w:color w:val="000000"/>
          <w:sz w:val="21"/>
          <w:szCs w:val="21"/>
        </w:rPr>
        <w:t>受贵公司委托，我公司对</w:t>
      </w:r>
      <w:r>
        <w:rPr>
          <w:rFonts w:hint="eastAsia" w:ascii="Arial" w:hAnsi="Arial" w:cs="Arial"/>
          <w:color w:val="000000"/>
          <w:sz w:val="21"/>
          <w:szCs w:val="21"/>
        </w:rPr>
        <w:t>广东省深圳市福田区彩田路彩虹新都裙楼1层B段、1层C段、3层ABC段、4层ABCD段及彩虹新都商场2层B段共5套商业用房</w:t>
      </w:r>
      <w:r>
        <w:rPr>
          <w:rFonts w:ascii="Arial" w:hAnsi="Arial" w:cs="Arial"/>
          <w:color w:val="000000"/>
          <w:sz w:val="21"/>
          <w:szCs w:val="21"/>
        </w:rPr>
        <w:t>房地产于设定条件下可能形成的市场价值提供</w:t>
      </w:r>
      <w:r>
        <w:rPr>
          <w:rFonts w:hint="eastAsia" w:ascii="Arial" w:hAnsi="Arial" w:cs="Arial"/>
          <w:color w:val="000000"/>
          <w:sz w:val="21"/>
          <w:szCs w:val="21"/>
        </w:rPr>
        <w:t>专项咨询</w:t>
      </w:r>
      <w:r>
        <w:rPr>
          <w:rFonts w:ascii="Arial" w:hAnsi="Arial" w:cs="Arial"/>
          <w:color w:val="000000"/>
          <w:sz w:val="21"/>
          <w:szCs w:val="21"/>
        </w:rPr>
        <w:t>意见。</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咨询对象为</w:t>
      </w:r>
      <w:r>
        <w:rPr>
          <w:rFonts w:hint="eastAsia" w:ascii="Arial" w:hAnsi="Arial" w:cs="Arial"/>
          <w:color w:val="000000"/>
          <w:sz w:val="21"/>
          <w:szCs w:val="21"/>
        </w:rPr>
        <w:t>广东省深圳市福田区彩田路彩虹新都裙楼1层B段、1层C段、3层ABC段、4层ABCD段及彩虹新都商场2层B段共5套商业用房房地产</w:t>
      </w:r>
      <w:r>
        <w:rPr>
          <w:rFonts w:hint="eastAsia" w:ascii="Arial" w:hAnsi="Arial"/>
          <w:sz w:val="21"/>
        </w:rPr>
        <w:t>。</w:t>
      </w:r>
      <w:r>
        <w:rPr>
          <w:rFonts w:hint="eastAsia" w:ascii="Arial" w:hAnsi="Arial"/>
          <w:sz w:val="21"/>
          <w:szCs w:val="28"/>
        </w:rPr>
        <w:t>根据不动产权利人提供的《不动产权证书》[粤（2020）深圳市不动产权第0184522、0184527、0184532、0184540、0184557号]及《城镇土地使用税纳税申报表》，咨询对象</w:t>
      </w:r>
      <w:r>
        <w:rPr>
          <w:rFonts w:ascii="Arial" w:hAnsi="Arial" w:cs="Arial"/>
          <w:sz w:val="21"/>
          <w:szCs w:val="21"/>
        </w:rPr>
        <w:t>（分摊）</w:t>
      </w:r>
      <w:r>
        <w:rPr>
          <w:rFonts w:ascii="Arial" w:hAnsi="Arial" w:cs="Arial"/>
          <w:color w:val="000000"/>
          <w:sz w:val="21"/>
          <w:szCs w:val="21"/>
        </w:rPr>
        <w:t>出让国有建设用地使用权面积（以下简称</w:t>
      </w:r>
      <w:r>
        <w:rPr>
          <w:rFonts w:hint="eastAsia" w:ascii="Arial" w:hAnsi="Arial" w:cs="Arial"/>
          <w:color w:val="000000"/>
          <w:sz w:val="21"/>
          <w:szCs w:val="21"/>
        </w:rPr>
        <w:t>‘</w:t>
      </w:r>
      <w:r>
        <w:rPr>
          <w:rFonts w:ascii="Arial" w:hAnsi="Arial" w:cs="Arial"/>
          <w:sz w:val="21"/>
          <w:szCs w:val="21"/>
        </w:rPr>
        <w:t>（分摊）</w:t>
      </w:r>
      <w:r>
        <w:rPr>
          <w:rFonts w:ascii="Arial" w:hAnsi="Arial" w:cs="Arial"/>
          <w:color w:val="000000"/>
          <w:sz w:val="21"/>
          <w:szCs w:val="21"/>
        </w:rPr>
        <w:t>土地面积</w:t>
      </w:r>
      <w:r>
        <w:rPr>
          <w:rFonts w:hint="eastAsia" w:ascii="Arial" w:hAnsi="Arial" w:cs="Arial"/>
          <w:color w:val="000000"/>
          <w:sz w:val="21"/>
          <w:szCs w:val="21"/>
        </w:rPr>
        <w:t>’</w:t>
      </w:r>
      <w:r>
        <w:rPr>
          <w:rFonts w:ascii="Arial" w:hAnsi="Arial" w:cs="Arial"/>
          <w:color w:val="000000"/>
          <w:sz w:val="21"/>
          <w:szCs w:val="21"/>
        </w:rPr>
        <w:t>）</w:t>
      </w:r>
      <w:r>
        <w:rPr>
          <w:rFonts w:hint="eastAsia" w:ascii="Arial" w:hAnsi="Arial"/>
          <w:sz w:val="21"/>
          <w:szCs w:val="28"/>
        </w:rPr>
        <w:t>为</w:t>
      </w:r>
      <w:r>
        <w:rPr>
          <w:rFonts w:hint="eastAsia" w:ascii="Arial" w:hAnsi="Arial" w:cs="Arial"/>
          <w:sz w:val="21"/>
          <w:szCs w:val="21"/>
        </w:rPr>
        <w:t>693</w:t>
      </w:r>
      <w:r>
        <w:rPr>
          <w:rFonts w:hint="eastAsia" w:ascii="Arial" w:hAnsi="Arial"/>
          <w:sz w:val="21"/>
          <w:szCs w:val="28"/>
        </w:rPr>
        <w:t>平方米。根据不动产权利人提供的《不动产权证书》[粤（2020）深圳市不动产权第0184522、0184527、0184532、0184540、0184557号]，咨询对象建筑面积为</w:t>
      </w:r>
      <w:r>
        <w:rPr>
          <w:rFonts w:hint="eastAsia" w:ascii="Arial" w:hAnsi="Arial" w:cs="Arial"/>
          <w:sz w:val="21"/>
          <w:szCs w:val="21"/>
        </w:rPr>
        <w:t>11454.2</w:t>
      </w:r>
      <w:r>
        <w:rPr>
          <w:rFonts w:hint="eastAsia" w:ascii="Arial" w:hAnsi="Arial"/>
          <w:sz w:val="21"/>
          <w:szCs w:val="28"/>
        </w:rPr>
        <w:t>平方米，全部为商业用房。截至咨询时点</w:t>
      </w:r>
      <w:r>
        <w:rPr>
          <w:rFonts w:hint="eastAsia" w:ascii="Arial" w:hAnsi="Arial"/>
          <w:sz w:val="21"/>
        </w:rPr>
        <w:t>2020年12月25日</w:t>
      </w:r>
      <w:r>
        <w:rPr>
          <w:rFonts w:hint="eastAsia" w:ascii="Arial" w:hAnsi="Arial"/>
          <w:sz w:val="21"/>
          <w:szCs w:val="28"/>
        </w:rPr>
        <w:t>，咨询对象已全部出租使用。</w:t>
      </w:r>
    </w:p>
    <w:p>
      <w:pPr>
        <w:wordWrap w:val="0"/>
        <w:overflowPunct w:val="0"/>
        <w:spacing w:line="480" w:lineRule="auto"/>
        <w:ind w:firstLine="420" w:firstLineChars="200"/>
        <w:jc w:val="both"/>
        <w:textAlignment w:val="auto"/>
        <w:rPr>
          <w:rFonts w:ascii="Arial" w:hAnsi="Arial"/>
          <w:color w:val="000000"/>
          <w:sz w:val="21"/>
          <w:szCs w:val="28"/>
        </w:rPr>
      </w:pPr>
      <w:r>
        <w:rPr>
          <w:rFonts w:hint="eastAsia" w:ascii="Arial" w:hAnsi="Arial"/>
          <w:color w:val="000000"/>
          <w:sz w:val="21"/>
          <w:szCs w:val="28"/>
        </w:rPr>
        <w:t>专项咨询目的：</w:t>
      </w:r>
      <w:r>
        <w:rPr>
          <w:rFonts w:hint="eastAsia" w:ascii="Arial" w:hAnsi="Arial"/>
          <w:sz w:val="21"/>
          <w:szCs w:val="28"/>
        </w:rPr>
        <w:t>为委托人了解咨询对象于设定条件下可能形成的市场价值做参考依据</w:t>
      </w:r>
      <w:r>
        <w:rPr>
          <w:rFonts w:hint="eastAsia" w:ascii="Arial" w:hAnsi="Arial"/>
          <w:color w:val="000000"/>
          <w:sz w:val="21"/>
          <w:szCs w:val="28"/>
        </w:rPr>
        <w:t>。</w:t>
      </w:r>
    </w:p>
    <w:p>
      <w:pPr>
        <w:wordWrap w:val="0"/>
        <w:overflowPunct w:val="0"/>
        <w:spacing w:line="480" w:lineRule="auto"/>
        <w:ind w:firstLine="420" w:firstLineChars="200"/>
        <w:jc w:val="both"/>
        <w:textAlignment w:val="auto"/>
        <w:rPr>
          <w:rFonts w:ascii="Arial" w:hAnsi="Arial"/>
          <w:color w:val="000000"/>
          <w:sz w:val="21"/>
          <w:szCs w:val="28"/>
        </w:rPr>
      </w:pPr>
      <w:r>
        <w:rPr>
          <w:rFonts w:hint="eastAsia" w:ascii="Arial" w:hAnsi="Arial"/>
          <w:color w:val="000000"/>
          <w:sz w:val="21"/>
          <w:szCs w:val="28"/>
        </w:rPr>
        <w:t>评估专业人员根据本次咨询的目的，以不动产权利人提供的资料为依据，采用科学的估算方法，在认真分析现有资料的基础上，通过仔细测算和认真分析各种影响房地产价格的因素，确定：</w:t>
      </w:r>
    </w:p>
    <w:p>
      <w:pPr>
        <w:numPr>
          <w:ilvl w:val="0"/>
          <w:numId w:val="6"/>
        </w:numPr>
        <w:wordWrap w:val="0"/>
        <w:overflowPunct w:val="0"/>
        <w:spacing w:line="480" w:lineRule="auto"/>
        <w:ind w:firstLine="420" w:firstLineChars="200"/>
        <w:jc w:val="both"/>
        <w:textAlignment w:val="auto"/>
        <w:rPr>
          <w:rFonts w:ascii="Arial" w:hAnsi="Arial"/>
          <w:color w:val="000000"/>
          <w:sz w:val="21"/>
        </w:rPr>
      </w:pPr>
      <w:r>
        <w:rPr>
          <w:rFonts w:hint="eastAsia" w:ascii="Arial" w:hAnsi="Arial"/>
          <w:color w:val="000000"/>
          <w:sz w:val="21"/>
          <w:szCs w:val="28"/>
        </w:rPr>
        <w:t>咨询对象在</w:t>
      </w:r>
      <w:r>
        <w:rPr>
          <w:rFonts w:hint="eastAsia" w:ascii="Arial" w:hAnsi="Arial"/>
          <w:color w:val="000000"/>
          <w:sz w:val="21"/>
        </w:rPr>
        <w:t>正常条件下的公开市场价值约为42</w:t>
      </w:r>
      <w:r>
        <w:rPr>
          <w:rFonts w:hint="eastAsia" w:ascii="Arial" w:hAnsi="Arial"/>
          <w:color w:val="000000"/>
          <w:sz w:val="21"/>
          <w:lang w:val="en-US" w:eastAsia="zh-CN"/>
        </w:rPr>
        <w:t>410</w:t>
      </w:r>
      <w:r>
        <w:rPr>
          <w:rFonts w:hint="eastAsia" w:ascii="Arial" w:hAnsi="Arial"/>
          <w:color w:val="000000"/>
          <w:sz w:val="21"/>
        </w:rPr>
        <w:t>万元；</w:t>
      </w:r>
    </w:p>
    <w:p>
      <w:pPr>
        <w:numPr>
          <w:ilvl w:val="0"/>
          <w:numId w:val="6"/>
        </w:numPr>
        <w:wordWrap w:val="0"/>
        <w:overflowPunct w:val="0"/>
        <w:spacing w:line="480" w:lineRule="auto"/>
        <w:ind w:firstLine="420" w:firstLineChars="200"/>
        <w:jc w:val="both"/>
        <w:textAlignment w:val="auto"/>
        <w:rPr>
          <w:rFonts w:ascii="Arial" w:hAnsi="Arial" w:cs="Arial"/>
          <w:sz w:val="21"/>
          <w:szCs w:val="28"/>
        </w:rPr>
      </w:pPr>
      <w:r>
        <w:rPr>
          <w:rFonts w:ascii="Arial" w:hAnsi="Arial" w:cs="Arial"/>
          <w:color w:val="000000"/>
          <w:sz w:val="21"/>
          <w:szCs w:val="21"/>
        </w:rPr>
        <w:t>在设定条件下，如目前咨询对象的租户，</w:t>
      </w:r>
      <w:r>
        <w:rPr>
          <w:rFonts w:ascii="Arial" w:hAnsi="Arial" w:cs="Arial" w:eastAsiaTheme="minorEastAsia"/>
          <w:color w:val="000000"/>
          <w:sz w:val="21"/>
          <w:szCs w:val="21"/>
        </w:rPr>
        <w:t>租赁期限从2018年3月12日至2033年3月11日，租金为100元/平方米/月，租金每年</w:t>
      </w:r>
      <w:r>
        <w:rPr>
          <w:rFonts w:ascii="Arial" w:hAnsi="Arial" w:cs="Arial"/>
          <w:color w:val="000000"/>
          <w:sz w:val="21"/>
          <w:szCs w:val="21"/>
        </w:rPr>
        <w:t>在上年租金的基础上</w:t>
      </w:r>
      <w:r>
        <w:rPr>
          <w:rFonts w:ascii="Arial" w:hAnsi="Arial" w:cs="Arial" w:eastAsiaTheme="minorEastAsia"/>
          <w:color w:val="000000"/>
          <w:sz w:val="21"/>
          <w:szCs w:val="21"/>
        </w:rPr>
        <w:t>递增3%</w:t>
      </w:r>
      <w:r>
        <w:rPr>
          <w:rFonts w:ascii="Arial" w:hAnsi="Arial" w:cs="Arial"/>
          <w:color w:val="000000"/>
          <w:sz w:val="21"/>
          <w:szCs w:val="21"/>
        </w:rPr>
        <w:t>形成的房地产市场价值将会比正常条件下公开市场价值降低30%-40%。</w:t>
      </w:r>
    </w:p>
    <w:p>
      <w:pPr>
        <w:wordWrap w:val="0"/>
        <w:overflowPunct w:val="0"/>
        <w:spacing w:line="480" w:lineRule="auto"/>
        <w:ind w:firstLine="422" w:firstLineChars="200"/>
        <w:jc w:val="both"/>
        <w:textAlignment w:val="auto"/>
        <w:rPr>
          <w:rFonts w:ascii="Arial" w:hAnsi="Arial"/>
          <w:sz w:val="21"/>
          <w:szCs w:val="24"/>
        </w:rPr>
      </w:pPr>
      <w:r>
        <w:rPr>
          <w:rFonts w:hint="eastAsia" w:ascii="Arial" w:hAnsi="Arial" w:cs="Arial"/>
          <w:b/>
          <w:bCs/>
          <w:sz w:val="21"/>
        </w:rPr>
        <w:t>备注：</w:t>
      </w:r>
    </w:p>
    <w:p>
      <w:pPr>
        <w:wordWrap w:val="0"/>
        <w:overflowPunct w:val="0"/>
        <w:spacing w:line="480" w:lineRule="auto"/>
        <w:ind w:firstLine="420" w:firstLineChars="200"/>
        <w:jc w:val="both"/>
        <w:textAlignment w:val="auto"/>
        <w:rPr>
          <w:rFonts w:ascii="Arial" w:hAnsi="Arial"/>
          <w:sz w:val="21"/>
          <w:szCs w:val="24"/>
        </w:rPr>
      </w:pPr>
      <w:r>
        <w:rPr>
          <w:rFonts w:hint="eastAsia" w:ascii="Arial" w:hAnsi="Arial"/>
          <w:sz w:val="21"/>
          <w:szCs w:val="24"/>
        </w:rPr>
        <w:t>1.本《专项意见函》中所列专项咨询意见以设定条件为估算的前提条件，如设定条件发生变化，咨询结果需作相应调整。</w:t>
      </w:r>
    </w:p>
    <w:p>
      <w:pPr>
        <w:wordWrap w:val="0"/>
        <w:overflowPunct w:val="0"/>
        <w:spacing w:line="480" w:lineRule="auto"/>
        <w:ind w:firstLine="420" w:firstLineChars="200"/>
        <w:jc w:val="both"/>
        <w:textAlignment w:val="auto"/>
        <w:rPr>
          <w:rFonts w:ascii="Arial" w:hAnsi="Arial"/>
          <w:color w:val="000000"/>
          <w:sz w:val="21"/>
          <w:szCs w:val="24"/>
        </w:rPr>
      </w:pPr>
      <w:r>
        <w:rPr>
          <w:rFonts w:hint="eastAsia" w:ascii="Arial" w:hAnsi="Arial"/>
          <w:color w:val="000000"/>
          <w:sz w:val="21"/>
          <w:szCs w:val="24"/>
        </w:rPr>
        <w:t>2.本次咨询设定咨询对象房地产权属无争议，未被查封或者以其他形式限制其房地产权利，未设定抵押权等他项权利，不涉及第三方权利义务。</w:t>
      </w:r>
    </w:p>
    <w:p>
      <w:pPr>
        <w:wordWrap w:val="0"/>
        <w:overflowPunct w:val="0"/>
        <w:spacing w:line="480" w:lineRule="auto"/>
        <w:ind w:firstLine="420" w:firstLineChars="200"/>
        <w:jc w:val="both"/>
        <w:textAlignment w:val="auto"/>
        <w:rPr>
          <w:rFonts w:ascii="Arial" w:hAnsi="Arial"/>
          <w:color w:val="000000"/>
          <w:sz w:val="21"/>
        </w:rPr>
      </w:pPr>
      <w:r>
        <w:rPr>
          <w:rFonts w:hint="eastAsia" w:ascii="Arial" w:hAnsi="Arial"/>
          <w:color w:val="000000"/>
          <w:sz w:val="21"/>
        </w:rPr>
        <w:t>3.本</w:t>
      </w:r>
      <w:r>
        <w:rPr>
          <w:rFonts w:hint="eastAsia" w:ascii="Arial" w:hAnsi="Arial"/>
          <w:color w:val="000000"/>
          <w:sz w:val="21"/>
          <w:szCs w:val="24"/>
        </w:rPr>
        <w:t>《咨询意见函》中所列咨询结果</w:t>
      </w:r>
      <w:r>
        <w:rPr>
          <w:rFonts w:hint="eastAsia" w:ascii="Arial" w:hAnsi="Arial"/>
          <w:color w:val="000000"/>
          <w:sz w:val="21"/>
        </w:rPr>
        <w:t>未考虑咨询对象于咨询时点可能存在的已抵押担保权利价值、应补交地价款及拖欠的建设工程款项。</w:t>
      </w:r>
    </w:p>
    <w:p>
      <w:pPr>
        <w:wordWrap w:val="0"/>
        <w:overflowPunct w:val="0"/>
        <w:spacing w:line="480" w:lineRule="auto"/>
        <w:ind w:firstLine="422" w:firstLineChars="200"/>
        <w:jc w:val="both"/>
        <w:textAlignment w:val="auto"/>
        <w:rPr>
          <w:rFonts w:ascii="Arial" w:hAnsi="Arial"/>
          <w:b/>
          <w:bCs/>
          <w:color w:val="000000"/>
          <w:sz w:val="21"/>
          <w:szCs w:val="24"/>
        </w:rPr>
      </w:pPr>
      <w:r>
        <w:rPr>
          <w:rFonts w:hint="eastAsia" w:ascii="Arial" w:hAnsi="Arial"/>
          <w:b/>
          <w:bCs/>
          <w:color w:val="000000"/>
          <w:sz w:val="21"/>
          <w:szCs w:val="24"/>
        </w:rPr>
        <w:t>4.本《咨询意见函》中所列咨询意见为评估专业人员根据委托人提供的现有资料及要求，在未进行现场勘查的情况下作出的初步估算结果，经现场勘查后需据实调整。</w:t>
      </w:r>
    </w:p>
    <w:p>
      <w:pPr>
        <w:spacing w:line="480" w:lineRule="auto"/>
        <w:rPr>
          <w:rFonts w:ascii="楷体_GB2312" w:hAnsi="Arial" w:eastAsia="楷体_GB2312"/>
          <w:color w:val="000000"/>
          <w:sz w:val="21"/>
        </w:rPr>
      </w:pPr>
    </w:p>
    <w:p>
      <w:pPr>
        <w:spacing w:line="480" w:lineRule="auto"/>
        <w:rPr>
          <w:rFonts w:ascii="楷体_GB2312" w:hAnsi="Arial" w:eastAsia="楷体_GB2312"/>
          <w:color w:val="000000"/>
          <w:sz w:val="21"/>
        </w:rPr>
      </w:pPr>
    </w:p>
    <w:p>
      <w:pPr>
        <w:spacing w:line="480" w:lineRule="auto"/>
        <w:rPr>
          <w:rFonts w:ascii="楷体_GB2312" w:hAnsi="Arial" w:eastAsia="楷体_GB2312"/>
          <w:color w:val="000000"/>
          <w:sz w:val="21"/>
        </w:rPr>
      </w:pPr>
    </w:p>
    <w:tbl>
      <w:tblPr>
        <w:tblStyle w:val="32"/>
        <w:tblW w:w="9299" w:type="dxa"/>
        <w:jc w:val="center"/>
        <w:tblLayout w:type="fixed"/>
        <w:tblCellMar>
          <w:top w:w="0" w:type="dxa"/>
          <w:left w:w="0" w:type="dxa"/>
          <w:bottom w:w="0" w:type="dxa"/>
          <w:right w:w="0" w:type="dxa"/>
        </w:tblCellMar>
      </w:tblPr>
      <w:tblGrid>
        <w:gridCol w:w="6096"/>
        <w:gridCol w:w="3203"/>
      </w:tblGrid>
      <w:tr>
        <w:tblPrEx>
          <w:tblCellMar>
            <w:top w:w="0" w:type="dxa"/>
            <w:left w:w="0" w:type="dxa"/>
            <w:bottom w:w="0" w:type="dxa"/>
            <w:right w:w="0" w:type="dxa"/>
          </w:tblCellMar>
        </w:tblPrEx>
        <w:trPr>
          <w:cantSplit/>
          <w:jc w:val="center"/>
        </w:trPr>
        <w:tc>
          <w:tcPr>
            <w:tcW w:w="6096" w:type="dxa"/>
          </w:tcPr>
          <w:p>
            <w:pPr>
              <w:spacing w:line="480" w:lineRule="auto"/>
              <w:ind w:firstLine="1575" w:firstLineChars="750"/>
              <w:rPr>
                <w:rFonts w:ascii="Arial" w:hAnsi="Arial" w:cs="Arial"/>
                <w:sz w:val="21"/>
                <w:szCs w:val="21"/>
              </w:rPr>
            </w:pPr>
            <w:r>
              <w:rPr>
                <w:rFonts w:ascii="Arial" w:hAnsi="Arial" w:cs="Arial"/>
                <w:sz w:val="21"/>
                <w:szCs w:val="21"/>
              </w:rPr>
              <w:t>顺致</w:t>
            </w: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rPr>
                <w:rFonts w:ascii="Arial" w:hAnsi="Arial" w:cs="Arial"/>
                <w:sz w:val="21"/>
                <w:szCs w:val="21"/>
              </w:rPr>
            </w:pPr>
            <w:r>
              <w:rPr>
                <w:rFonts w:ascii="Arial" w:hAnsi="Arial" w:cs="Arial"/>
                <w:sz w:val="21"/>
                <w:szCs w:val="21"/>
              </w:rPr>
              <w:t>商祺</w:t>
            </w: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sz w:val="21"/>
                <w:szCs w:val="21"/>
              </w:rPr>
            </w:pP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sz w:val="21"/>
                <w:szCs w:val="21"/>
              </w:rPr>
            </w:pPr>
          </w:p>
        </w:tc>
        <w:tc>
          <w:tcPr>
            <w:tcW w:w="3203" w:type="dxa"/>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color w:val="E36C0A"/>
                <w:sz w:val="21"/>
                <w:szCs w:val="21"/>
              </w:rPr>
            </w:pPr>
          </w:p>
        </w:tc>
        <w:tc>
          <w:tcPr>
            <w:tcW w:w="3203" w:type="dxa"/>
          </w:tcPr>
          <w:p>
            <w:pPr>
              <w:spacing w:line="480" w:lineRule="auto"/>
              <w:jc w:val="right"/>
              <w:rPr>
                <w:rFonts w:ascii="Arial" w:hAnsi="Arial" w:cs="Arial"/>
                <w:color w:val="000000"/>
                <w:sz w:val="21"/>
                <w:szCs w:val="21"/>
              </w:rPr>
            </w:pPr>
            <w:r>
              <w:rPr>
                <w:rFonts w:ascii="Arial" w:hAnsi="Arial" w:cs="Arial"/>
                <w:color w:val="000000"/>
                <w:sz w:val="21"/>
                <w:szCs w:val="21"/>
              </w:rPr>
              <w:t>二</w:t>
            </w:r>
            <w:r>
              <w:rPr>
                <w:rFonts w:hint="eastAsia" w:ascii="Arial" w:hAnsi="Arial" w:cs="Arial"/>
                <w:color w:val="000000"/>
                <w:sz w:val="21"/>
                <w:szCs w:val="21"/>
              </w:rPr>
              <w:t>○</w:t>
            </w:r>
            <w:r>
              <w:rPr>
                <w:rFonts w:ascii="Arial" w:hAnsi="Arial" w:cs="Arial"/>
                <w:color w:val="000000"/>
                <w:sz w:val="21"/>
                <w:szCs w:val="21"/>
              </w:rPr>
              <w:t>二</w:t>
            </w:r>
            <w:r>
              <w:rPr>
                <w:rFonts w:hint="eastAsia" w:ascii="Arial" w:hAnsi="Arial" w:cs="Arial"/>
                <w:color w:val="000000"/>
                <w:sz w:val="21"/>
                <w:szCs w:val="21"/>
              </w:rPr>
              <w:t>○</w:t>
            </w:r>
            <w:r>
              <w:rPr>
                <w:rFonts w:ascii="Arial" w:hAnsi="Arial" w:cs="Arial"/>
                <w:color w:val="000000"/>
                <w:sz w:val="21"/>
                <w:szCs w:val="21"/>
              </w:rPr>
              <w:t>年</w:t>
            </w:r>
            <w:r>
              <w:rPr>
                <w:rFonts w:hint="eastAsia" w:ascii="Arial" w:hAnsi="Arial" w:cs="Arial"/>
                <w:color w:val="000000"/>
                <w:sz w:val="21"/>
                <w:szCs w:val="21"/>
              </w:rPr>
              <w:t>十二月二十八日</w:t>
            </w:r>
          </w:p>
        </w:tc>
      </w:tr>
    </w:tbl>
    <w:p>
      <w:pPr>
        <w:spacing w:line="480" w:lineRule="auto"/>
        <w:ind w:firstLine="420" w:firstLineChars="200"/>
        <w:jc w:val="right"/>
        <w:rPr>
          <w:rFonts w:ascii="Arial" w:hAnsi="Arial"/>
          <w:color w:val="E36C0A"/>
          <w:sz w:val="21"/>
          <w:szCs w:val="28"/>
        </w:rPr>
      </w:pPr>
    </w:p>
    <w:p>
      <w:pPr>
        <w:wordWrap w:val="0"/>
        <w:overflowPunct w:val="0"/>
        <w:spacing w:line="480" w:lineRule="auto"/>
        <w:jc w:val="both"/>
        <w:textAlignment w:val="auto"/>
        <w:rPr>
          <w:sz w:val="18"/>
          <w:szCs w:val="18"/>
        </w:rPr>
      </w:pPr>
    </w:p>
    <w:sectPr>
      <w:headerReference r:id="rId7" w:type="default"/>
      <w:pgSz w:w="11906" w:h="16838"/>
      <w:pgMar w:top="1843" w:right="1304" w:bottom="1134" w:left="1304" w:header="1134" w:footer="90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ngsuhChe">
    <w:altName w:val="GulimChe"/>
    <w:panose1 w:val="02030609000101010101"/>
    <w:charset w:val="81"/>
    <w:family w:val="modern"/>
    <w:pitch w:val="default"/>
    <w:sig w:usb0="00000000" w:usb1="00000000" w:usb2="00000030" w:usb3="00000000" w:csb0="0008009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黑体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404040"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both"/>
      <w:rPr>
        <w:rFonts w:ascii="楷体_GB2312" w:eastAsia="楷体_GB2312"/>
        <w:color w:val="FF0000"/>
        <w:spacing w:val="-20"/>
        <w:sz w:val="21"/>
      </w:rPr>
    </w:pPr>
    <w:r>
      <w:rPr>
        <w:rFonts w:hint="eastAsia" w:ascii="楷体_GB2312" w:eastAsia="楷体_GB2312"/>
        <w:spacing w:val="-20"/>
        <w:sz w:val="24"/>
      </w:rPr>
      <w:t>北京康正宏基房地产评估有限公司 （原北京康正房地产评估事务所）              电</w:t>
    </w:r>
    <w:r>
      <w:rPr>
        <w:rFonts w:ascii="楷体_GB2312" w:eastAsia="楷体_GB2312"/>
        <w:spacing w:val="-20"/>
        <w:sz w:val="24"/>
      </w:rPr>
      <w:t xml:space="preserve"> </w:t>
    </w:r>
    <w:r>
      <w:rPr>
        <w:rFonts w:hint="eastAsia" w:ascii="楷体_GB2312" w:eastAsia="楷体_GB2312"/>
        <w:spacing w:val="-20"/>
        <w:sz w:val="24"/>
      </w:rPr>
      <w:t>话：</w:t>
    </w:r>
    <w:r>
      <w:rPr>
        <w:rFonts w:hint="eastAsia" w:ascii="Arial" w:hAnsi="Arial" w:eastAsia="楷体_GB2312"/>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ascii="楷体_GB2312" w:eastAsia="楷体_GB2312"/>
        <w:spacing w:val="-20"/>
        <w:sz w:val="24"/>
      </w:rPr>
    </w:pPr>
    <w:r>
      <w:drawing>
        <wp:inline distT="0" distB="0" distL="114300" distR="114300">
          <wp:extent cx="5902325" cy="284480"/>
          <wp:effectExtent l="0" t="0" r="3175"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653373D"/>
    <w:multiLevelType w:val="singleLevel"/>
    <w:tmpl w:val="2653373D"/>
    <w:lvl w:ilvl="0" w:tentative="0">
      <w:start w:val="1"/>
      <w:numFmt w:val="decimal"/>
      <w:suff w:val="nothing"/>
      <w:lvlText w:val="%1、"/>
      <w:lvlJc w:val="left"/>
    </w:lvl>
  </w:abstractNum>
  <w:abstractNum w:abstractNumId="2">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4">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82C75"/>
    <w:rsid w:val="00085690"/>
    <w:rsid w:val="000872C2"/>
    <w:rsid w:val="000903AB"/>
    <w:rsid w:val="00090ADF"/>
    <w:rsid w:val="00092F3C"/>
    <w:rsid w:val="0009464C"/>
    <w:rsid w:val="0009720F"/>
    <w:rsid w:val="000A1B10"/>
    <w:rsid w:val="000B12A8"/>
    <w:rsid w:val="000B1A9D"/>
    <w:rsid w:val="000B380F"/>
    <w:rsid w:val="000B57FD"/>
    <w:rsid w:val="000D046A"/>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0A41"/>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D06FB"/>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5B6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17761"/>
    <w:rsid w:val="00323C56"/>
    <w:rsid w:val="003405BD"/>
    <w:rsid w:val="00341EE3"/>
    <w:rsid w:val="00343BF4"/>
    <w:rsid w:val="00346F0A"/>
    <w:rsid w:val="00346FB4"/>
    <w:rsid w:val="00347B39"/>
    <w:rsid w:val="00351B58"/>
    <w:rsid w:val="00351CBA"/>
    <w:rsid w:val="003560AB"/>
    <w:rsid w:val="00357EEC"/>
    <w:rsid w:val="0036385B"/>
    <w:rsid w:val="00364041"/>
    <w:rsid w:val="00364ED6"/>
    <w:rsid w:val="00375183"/>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3070"/>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6E3D"/>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708A"/>
    <w:rsid w:val="005E779F"/>
    <w:rsid w:val="005E793F"/>
    <w:rsid w:val="005F4469"/>
    <w:rsid w:val="00602105"/>
    <w:rsid w:val="00605600"/>
    <w:rsid w:val="00605EB6"/>
    <w:rsid w:val="00606A14"/>
    <w:rsid w:val="0061090D"/>
    <w:rsid w:val="00614EA0"/>
    <w:rsid w:val="006177F2"/>
    <w:rsid w:val="0062278D"/>
    <w:rsid w:val="00627C4D"/>
    <w:rsid w:val="006340BC"/>
    <w:rsid w:val="00640F31"/>
    <w:rsid w:val="00646DFB"/>
    <w:rsid w:val="00653107"/>
    <w:rsid w:val="00654BA2"/>
    <w:rsid w:val="00656377"/>
    <w:rsid w:val="00660C53"/>
    <w:rsid w:val="00664273"/>
    <w:rsid w:val="00670C1C"/>
    <w:rsid w:val="006715BF"/>
    <w:rsid w:val="006717DA"/>
    <w:rsid w:val="00673C37"/>
    <w:rsid w:val="00686AFE"/>
    <w:rsid w:val="006969CE"/>
    <w:rsid w:val="00696F8B"/>
    <w:rsid w:val="006A0A03"/>
    <w:rsid w:val="006C188F"/>
    <w:rsid w:val="006D2995"/>
    <w:rsid w:val="006D2C3C"/>
    <w:rsid w:val="006D56D6"/>
    <w:rsid w:val="006E7B93"/>
    <w:rsid w:val="006E7D96"/>
    <w:rsid w:val="006F04B9"/>
    <w:rsid w:val="006F3924"/>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29A2"/>
    <w:rsid w:val="00794727"/>
    <w:rsid w:val="00797BDE"/>
    <w:rsid w:val="007A15BA"/>
    <w:rsid w:val="007A4132"/>
    <w:rsid w:val="007A689A"/>
    <w:rsid w:val="007B15BE"/>
    <w:rsid w:val="007B2169"/>
    <w:rsid w:val="007B64C9"/>
    <w:rsid w:val="007C1D13"/>
    <w:rsid w:val="007C72BC"/>
    <w:rsid w:val="007D28F2"/>
    <w:rsid w:val="007D46D9"/>
    <w:rsid w:val="007D4826"/>
    <w:rsid w:val="007E4452"/>
    <w:rsid w:val="007E490C"/>
    <w:rsid w:val="007E590D"/>
    <w:rsid w:val="007F3107"/>
    <w:rsid w:val="007F6DE3"/>
    <w:rsid w:val="007F77CA"/>
    <w:rsid w:val="008016EA"/>
    <w:rsid w:val="008130AF"/>
    <w:rsid w:val="00814DA0"/>
    <w:rsid w:val="00826BDE"/>
    <w:rsid w:val="00831441"/>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80703"/>
    <w:rsid w:val="00891653"/>
    <w:rsid w:val="00892D06"/>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56A98"/>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56773"/>
    <w:rsid w:val="00A6360E"/>
    <w:rsid w:val="00A70D6E"/>
    <w:rsid w:val="00A80275"/>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408"/>
    <w:rsid w:val="00AF0DFD"/>
    <w:rsid w:val="00AF2521"/>
    <w:rsid w:val="00AF4C5B"/>
    <w:rsid w:val="00AF7058"/>
    <w:rsid w:val="00AF79A7"/>
    <w:rsid w:val="00B06572"/>
    <w:rsid w:val="00B0773A"/>
    <w:rsid w:val="00B07E36"/>
    <w:rsid w:val="00B07EB9"/>
    <w:rsid w:val="00B117E5"/>
    <w:rsid w:val="00B15AE4"/>
    <w:rsid w:val="00B17705"/>
    <w:rsid w:val="00B2098B"/>
    <w:rsid w:val="00B21F12"/>
    <w:rsid w:val="00B37824"/>
    <w:rsid w:val="00B438A1"/>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3F3F"/>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72828"/>
    <w:rsid w:val="00C80735"/>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532B"/>
    <w:rsid w:val="00D27899"/>
    <w:rsid w:val="00D3604C"/>
    <w:rsid w:val="00D50577"/>
    <w:rsid w:val="00D559E8"/>
    <w:rsid w:val="00D569AC"/>
    <w:rsid w:val="00D56B23"/>
    <w:rsid w:val="00D5731F"/>
    <w:rsid w:val="00D57950"/>
    <w:rsid w:val="00D61272"/>
    <w:rsid w:val="00D64014"/>
    <w:rsid w:val="00D640C5"/>
    <w:rsid w:val="00D71AC5"/>
    <w:rsid w:val="00D722FC"/>
    <w:rsid w:val="00D725DB"/>
    <w:rsid w:val="00D74AB0"/>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24952"/>
    <w:rsid w:val="00E34634"/>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571B4"/>
    <w:rsid w:val="00F669EF"/>
    <w:rsid w:val="00F7127E"/>
    <w:rsid w:val="00F735C1"/>
    <w:rsid w:val="00F73D46"/>
    <w:rsid w:val="00F776C8"/>
    <w:rsid w:val="00F84A08"/>
    <w:rsid w:val="00F8661D"/>
    <w:rsid w:val="00FA46EF"/>
    <w:rsid w:val="00FB142C"/>
    <w:rsid w:val="00FB22A8"/>
    <w:rsid w:val="00FB2787"/>
    <w:rsid w:val="00FB5C67"/>
    <w:rsid w:val="00FC1D97"/>
    <w:rsid w:val="00FC297E"/>
    <w:rsid w:val="00FC3C96"/>
    <w:rsid w:val="00FC4345"/>
    <w:rsid w:val="00FD1628"/>
    <w:rsid w:val="00FD2047"/>
    <w:rsid w:val="00FD24B3"/>
    <w:rsid w:val="00FD3D69"/>
    <w:rsid w:val="00FD5726"/>
    <w:rsid w:val="00FE4618"/>
    <w:rsid w:val="00FE51FE"/>
    <w:rsid w:val="00FE542D"/>
    <w:rsid w:val="00FE71B0"/>
    <w:rsid w:val="00FF32E2"/>
    <w:rsid w:val="00FF3DD4"/>
    <w:rsid w:val="0B0115C0"/>
    <w:rsid w:val="0CC3334C"/>
    <w:rsid w:val="0D106817"/>
    <w:rsid w:val="0DDB036F"/>
    <w:rsid w:val="1E4E56D2"/>
    <w:rsid w:val="22FF2D63"/>
    <w:rsid w:val="25AA2F13"/>
    <w:rsid w:val="2F3560C9"/>
    <w:rsid w:val="32B47F81"/>
    <w:rsid w:val="33012FB7"/>
    <w:rsid w:val="35670D70"/>
    <w:rsid w:val="36E9459D"/>
    <w:rsid w:val="454A40ED"/>
    <w:rsid w:val="49C31734"/>
    <w:rsid w:val="70112A96"/>
    <w:rsid w:val="708123F2"/>
    <w:rsid w:val="716C2658"/>
    <w:rsid w:val="787D6EC9"/>
    <w:rsid w:val="7DEC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4"/>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49"/>
    <w:qFormat/>
    <w:uiPriority w:val="99"/>
    <w:pPr>
      <w:tabs>
        <w:tab w:val="center" w:pos="4153"/>
        <w:tab w:val="right" w:pos="8306"/>
      </w:tabs>
      <w:spacing w:line="240" w:lineRule="atLeast"/>
    </w:pPr>
    <w:rPr>
      <w:sz w:val="18"/>
    </w:rPr>
  </w:style>
  <w:style w:type="paragraph" w:styleId="21">
    <w:name w:val="header"/>
    <w:basedOn w:val="1"/>
    <w:link w:val="50"/>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semiHidden/>
    <w:qFormat/>
    <w:uiPriority w:val="0"/>
    <w:pPr>
      <w:tabs>
        <w:tab w:val="right" w:leader="dot" w:pos="9017"/>
      </w:tabs>
      <w:spacing w:line="46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semiHidden/>
    <w:qFormat/>
    <w:uiPriority w:val="0"/>
    <w:pPr>
      <w:ind w:left="42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semiHidden/>
    <w:qFormat/>
    <w:uiPriority w:val="0"/>
  </w:style>
  <w:style w:type="character" w:styleId="37">
    <w:name w:val="FollowedHyperlink"/>
    <w:semiHidden/>
    <w:qFormat/>
    <w:uiPriority w:val="0"/>
    <w:rPr>
      <w:color w:val="800080"/>
      <w:u w:val="single"/>
    </w:rPr>
  </w:style>
  <w:style w:type="character" w:styleId="38">
    <w:name w:val="Hyperlink"/>
    <w:semiHidden/>
    <w:qFormat/>
    <w:uiPriority w:val="0"/>
    <w:rPr>
      <w:color w:val="0000FF"/>
      <w:u w:val="single"/>
    </w:rPr>
  </w:style>
  <w:style w:type="character" w:styleId="39">
    <w:name w:val="annotation reference"/>
    <w:semiHidden/>
    <w:qFormat/>
    <w:uiPriority w:val="0"/>
    <w:rPr>
      <w:sz w:val="21"/>
      <w:szCs w:val="21"/>
    </w:rPr>
  </w:style>
  <w:style w:type="paragraph" w:customStyle="1" w:styleId="40">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1">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42">
    <w:name w:val="List Paragraph"/>
    <w:basedOn w:val="1"/>
    <w:qFormat/>
    <w:uiPriority w:val="34"/>
    <w:pPr>
      <w:ind w:firstLine="420" w:firstLineChars="200"/>
    </w:pPr>
  </w:style>
  <w:style w:type="paragraph" w:customStyle="1" w:styleId="43">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44">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5">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6">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7">
    <w:name w:val="Char Char1 Char"/>
    <w:basedOn w:val="1"/>
    <w:qFormat/>
    <w:uiPriority w:val="0"/>
    <w:pPr>
      <w:adjustRightInd/>
      <w:spacing w:line="240" w:lineRule="auto"/>
      <w:jc w:val="both"/>
      <w:textAlignment w:val="auto"/>
    </w:pPr>
    <w:rPr>
      <w:rFonts w:ascii="宋体" w:hAnsi="宋体" w:cs="Courier New"/>
      <w:kern w:val="2"/>
      <w:sz w:val="32"/>
      <w:szCs w:val="32"/>
    </w:rPr>
  </w:style>
  <w:style w:type="character" w:customStyle="1" w:styleId="48">
    <w:name w:val="unnamed11"/>
    <w:qFormat/>
    <w:uiPriority w:val="0"/>
    <w:rPr>
      <w:rFonts w:hint="eastAsia" w:ascii="宋体" w:hAnsi="宋体" w:eastAsia="宋体"/>
      <w:color w:val="000000"/>
      <w:sz w:val="18"/>
      <w:szCs w:val="18"/>
      <w:u w:val="none"/>
    </w:rPr>
  </w:style>
  <w:style w:type="character" w:customStyle="1" w:styleId="49">
    <w:name w:val="页脚 Char"/>
    <w:link w:val="20"/>
    <w:qFormat/>
    <w:uiPriority w:val="99"/>
    <w:rPr>
      <w:sz w:val="18"/>
    </w:rPr>
  </w:style>
  <w:style w:type="character" w:customStyle="1" w:styleId="50">
    <w:name w:val="页眉 Char"/>
    <w:link w:val="21"/>
    <w:qFormat/>
    <w:uiPriority w:val="99"/>
    <w:rPr>
      <w:sz w:val="18"/>
    </w:rPr>
  </w:style>
  <w:style w:type="character" w:customStyle="1" w:styleId="51">
    <w:name w:val="nr1"/>
    <w:qFormat/>
    <w:uiPriority w:val="0"/>
    <w:rPr>
      <w:rFonts w:hint="eastAsia" w:ascii="楷体_GB2312" w:eastAsia="楷体_GB2312"/>
      <w:color w:val="000000"/>
      <w:sz w:val="24"/>
      <w:szCs w:val="24"/>
    </w:rPr>
  </w:style>
  <w:style w:type="character" w:customStyle="1" w:styleId="52">
    <w:name w:val="标题 5 Char"/>
    <w:qFormat/>
    <w:uiPriority w:val="0"/>
    <w:rPr>
      <w:rFonts w:ascii="楷体_GB2312" w:eastAsia="楷体_GB2312"/>
      <w:color w:val="000000"/>
      <w:sz w:val="28"/>
    </w:rPr>
  </w:style>
  <w:style w:type="character" w:customStyle="1" w:styleId="53">
    <w:name w:val="text1"/>
    <w:uiPriority w:val="0"/>
    <w:rPr>
      <w:spacing w:val="10"/>
      <w:sz w:val="28"/>
      <w:szCs w:val="28"/>
    </w:rPr>
  </w:style>
  <w:style w:type="character" w:customStyle="1" w:styleId="54">
    <w:name w:val="文档结构图 Char"/>
    <w:link w:val="9"/>
    <w:semiHidden/>
    <w:qFormat/>
    <w:uiPriority w:val="0"/>
    <w:rPr>
      <w:sz w:val="24"/>
      <w:shd w:val="clear" w:color="auto" w:fill="000080"/>
    </w:rPr>
  </w:style>
  <w:style w:type="character" w:customStyle="1" w:styleId="55">
    <w:name w:val="font31"/>
    <w:qFormat/>
    <w:uiPriority w:val="0"/>
    <w:rPr>
      <w:rFonts w:hint="eastAsia" w:ascii="宋体" w:hAnsi="宋体" w:eastAsia="宋体" w:cs="宋体"/>
      <w:color w:val="000000"/>
      <w:sz w:val="20"/>
      <w:szCs w:val="20"/>
      <w:u w:val="none"/>
    </w:rPr>
  </w:style>
  <w:style w:type="character" w:customStyle="1" w:styleId="56">
    <w:name w:val="font21"/>
    <w:qFormat/>
    <w:uiPriority w:val="0"/>
    <w:rPr>
      <w:rFonts w:ascii="Arial" w:hAnsi="Arial" w:cs="Arial"/>
      <w:color w:val="000000"/>
      <w:sz w:val="20"/>
      <w:szCs w:val="20"/>
      <w:u w:val="none"/>
    </w:rPr>
  </w:style>
  <w:style w:type="character" w:customStyle="1" w:styleId="57">
    <w:name w:val="t12h291"/>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sps</Company>
  <Pages>3</Pages>
  <Words>155</Words>
  <Characters>885</Characters>
  <Lines>7</Lines>
  <Paragraphs>2</Paragraphs>
  <TotalTime>158</TotalTime>
  <ScaleCrop>false</ScaleCrop>
  <LinksUpToDate>false</LinksUpToDate>
  <CharactersWithSpaces>1038</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2017-07-06T05:58:00Z</dcterms:created>
  <dc:creator>djg</dc:creator>
  <cp:lastModifiedBy>Administrator</cp:lastModifiedBy>
  <cp:lastPrinted>2013-05-02T10:22:00Z</cp:lastPrinted>
  <dcterms:modified xsi:type="dcterms:W3CDTF">2021-01-07T05:27:26Z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