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3F" w:rsidRPr="008833B6" w:rsidRDefault="007E413F" w:rsidP="007E413F">
      <w:pPr>
        <w:jc w:val="center"/>
        <w:rPr>
          <w:rFonts w:ascii="Arial Narrow" w:eastAsia="宋体" w:hAnsi="Arial Narrow"/>
          <w:b/>
          <w:sz w:val="28"/>
          <w:szCs w:val="28"/>
        </w:rPr>
      </w:pPr>
      <w:r w:rsidRPr="008833B6">
        <w:rPr>
          <w:rFonts w:ascii="Arial Narrow" w:eastAsia="宋体" w:hAnsi="Arial Narrow"/>
          <w:b/>
          <w:sz w:val="28"/>
          <w:szCs w:val="28"/>
        </w:rPr>
        <w:t>华商储备商品管理中心有限公司</w:t>
      </w:r>
    </w:p>
    <w:p w:rsidR="007E413F" w:rsidRPr="008833B6" w:rsidRDefault="007E413F" w:rsidP="007E413F">
      <w:pPr>
        <w:jc w:val="center"/>
        <w:rPr>
          <w:rFonts w:ascii="Arial Narrow" w:eastAsia="宋体" w:hAnsi="Arial Narrow"/>
          <w:b/>
          <w:sz w:val="28"/>
          <w:szCs w:val="28"/>
        </w:rPr>
      </w:pPr>
      <w:r w:rsidRPr="008833B6">
        <w:rPr>
          <w:rFonts w:ascii="Arial Narrow" w:eastAsia="宋体" w:hAnsi="Arial Narrow"/>
          <w:b/>
          <w:sz w:val="28"/>
          <w:szCs w:val="28"/>
        </w:rPr>
        <w:t>写字楼租金项目审核意见</w:t>
      </w:r>
      <w:r w:rsidR="008833B6" w:rsidRPr="008833B6">
        <w:rPr>
          <w:rFonts w:ascii="Arial Narrow" w:eastAsia="宋体" w:hAnsi="Arial Narrow" w:hint="eastAsia"/>
          <w:b/>
          <w:sz w:val="28"/>
          <w:szCs w:val="28"/>
        </w:rPr>
        <w:t>-</w:t>
      </w:r>
      <w:r w:rsidR="008833B6" w:rsidRPr="008833B6">
        <w:rPr>
          <w:rFonts w:ascii="Arial Narrow" w:eastAsia="宋体" w:hAnsi="Arial Narrow" w:hint="eastAsia"/>
          <w:b/>
          <w:sz w:val="28"/>
          <w:szCs w:val="28"/>
        </w:rPr>
        <w:t>二审答复</w:t>
      </w:r>
    </w:p>
    <w:p w:rsidR="007E413F" w:rsidRPr="007E413F" w:rsidRDefault="007E413F">
      <w:pPr>
        <w:rPr>
          <w:rFonts w:ascii="Arial Narrow" w:eastAsia="宋体" w:hAnsi="Arial Narrow"/>
          <w:sz w:val="28"/>
          <w:szCs w:val="28"/>
        </w:rPr>
      </w:pPr>
    </w:p>
    <w:p w:rsidR="000F7FC9"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3</w:t>
      </w:r>
      <w:r>
        <w:rPr>
          <w:rFonts w:ascii="Arial Narrow" w:eastAsia="宋体" w:hAnsi="Arial Narrow" w:hint="eastAsia"/>
          <w:sz w:val="28"/>
          <w:szCs w:val="28"/>
        </w:rPr>
        <w:t>、</w:t>
      </w:r>
      <w:r w:rsidR="000F7FC9" w:rsidRPr="007E413F">
        <w:rPr>
          <w:rFonts w:ascii="Arial Narrow" w:eastAsia="宋体" w:hAnsi="Arial Narrow"/>
          <w:sz w:val="28"/>
          <w:szCs w:val="28"/>
        </w:rPr>
        <w:t>说明物业管理</w:t>
      </w:r>
      <w:r>
        <w:rPr>
          <w:rFonts w:ascii="Arial Narrow" w:eastAsia="宋体" w:hAnsi="Arial Narrow" w:hint="eastAsia"/>
          <w:sz w:val="28"/>
          <w:szCs w:val="28"/>
        </w:rPr>
        <w:t>因素</w:t>
      </w:r>
      <w:r w:rsidR="000F7FC9" w:rsidRPr="007E413F">
        <w:rPr>
          <w:rFonts w:ascii="Arial Narrow" w:eastAsia="宋体" w:hAnsi="Arial Narrow"/>
          <w:sz w:val="28"/>
          <w:szCs w:val="28"/>
        </w:rPr>
        <w:t>修正</w:t>
      </w:r>
      <w:r w:rsidR="000F7FC9" w:rsidRPr="007E413F">
        <w:rPr>
          <w:rFonts w:ascii="Arial Narrow" w:eastAsia="宋体" w:hAnsi="Arial Narrow"/>
          <w:sz w:val="28"/>
          <w:szCs w:val="28"/>
        </w:rPr>
        <w:t>10%</w:t>
      </w:r>
      <w:r w:rsidR="000F7FC9" w:rsidRPr="007E413F">
        <w:rPr>
          <w:rFonts w:ascii="Arial Narrow" w:eastAsia="宋体" w:hAnsi="Arial Narrow"/>
          <w:sz w:val="28"/>
          <w:szCs w:val="28"/>
        </w:rPr>
        <w:t>的合理性分析</w:t>
      </w:r>
    </w:p>
    <w:p w:rsidR="001F3C4F" w:rsidRDefault="003E5AD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二审意见：</w:t>
      </w:r>
      <w:r w:rsidR="001F3C4F">
        <w:rPr>
          <w:rFonts w:ascii="Arial Narrow" w:eastAsia="宋体" w:hAnsi="Arial Narrow" w:hint="eastAsia"/>
          <w:sz w:val="28"/>
          <w:szCs w:val="28"/>
        </w:rPr>
        <w:t>一审答复仅说明</w:t>
      </w:r>
      <w:proofErr w:type="gramStart"/>
      <w:r w:rsidR="001F3C4F">
        <w:rPr>
          <w:rFonts w:ascii="Arial Narrow" w:eastAsia="宋体" w:hAnsi="Arial Narrow" w:hint="eastAsia"/>
          <w:sz w:val="28"/>
          <w:szCs w:val="28"/>
        </w:rPr>
        <w:t>待估对象</w:t>
      </w:r>
      <w:proofErr w:type="gramEnd"/>
      <w:r w:rsidR="001F3C4F">
        <w:rPr>
          <w:rFonts w:ascii="Arial Narrow" w:eastAsia="宋体" w:hAnsi="Arial Narrow" w:hint="eastAsia"/>
          <w:sz w:val="28"/>
          <w:szCs w:val="28"/>
        </w:rPr>
        <w:t>与可比情况不同需要考虑物业修正情况，</w:t>
      </w:r>
      <w:r w:rsidR="001F3C4F">
        <w:rPr>
          <w:rFonts w:ascii="Arial Narrow" w:eastAsia="宋体" w:hAnsi="Arial Narrow" w:hint="eastAsia"/>
          <w:sz w:val="28"/>
          <w:szCs w:val="28"/>
        </w:rPr>
        <w:t>1</w:t>
      </w:r>
      <w:r w:rsidR="001F3C4F">
        <w:rPr>
          <w:rFonts w:ascii="Arial Narrow" w:eastAsia="宋体" w:hAnsi="Arial Narrow"/>
          <w:sz w:val="28"/>
          <w:szCs w:val="28"/>
        </w:rPr>
        <w:t>0</w:t>
      </w:r>
      <w:r w:rsidR="001F3C4F">
        <w:rPr>
          <w:rFonts w:ascii="Arial Narrow" w:eastAsia="宋体" w:hAnsi="Arial Narrow" w:hint="eastAsia"/>
          <w:sz w:val="28"/>
          <w:szCs w:val="28"/>
        </w:rPr>
        <w:t>%</w:t>
      </w:r>
      <w:r w:rsidR="001F3C4F">
        <w:rPr>
          <w:rFonts w:ascii="Arial Narrow" w:eastAsia="宋体" w:hAnsi="Arial Narrow" w:hint="eastAsia"/>
          <w:sz w:val="28"/>
          <w:szCs w:val="28"/>
        </w:rPr>
        <w:t>在全部影响因素中占比最大，补充说明</w:t>
      </w:r>
      <w:r w:rsidR="001F3C4F">
        <w:rPr>
          <w:rFonts w:ascii="Arial Narrow" w:eastAsia="宋体" w:hAnsi="Arial Narrow" w:hint="eastAsia"/>
          <w:sz w:val="28"/>
          <w:szCs w:val="28"/>
        </w:rPr>
        <w:t>1</w:t>
      </w:r>
      <w:r w:rsidR="001F3C4F">
        <w:rPr>
          <w:rFonts w:ascii="Arial Narrow" w:eastAsia="宋体" w:hAnsi="Arial Narrow"/>
          <w:sz w:val="28"/>
          <w:szCs w:val="28"/>
        </w:rPr>
        <w:t>0</w:t>
      </w:r>
      <w:r w:rsidR="001F3C4F">
        <w:rPr>
          <w:rFonts w:ascii="Arial Narrow" w:eastAsia="宋体" w:hAnsi="Arial Narrow" w:hint="eastAsia"/>
          <w:sz w:val="28"/>
          <w:szCs w:val="28"/>
        </w:rPr>
        <w:t>%</w:t>
      </w:r>
      <w:r w:rsidR="001F3C4F">
        <w:rPr>
          <w:rFonts w:ascii="Arial Narrow" w:eastAsia="宋体" w:hAnsi="Arial Narrow" w:hint="eastAsia"/>
          <w:sz w:val="28"/>
          <w:szCs w:val="28"/>
        </w:rPr>
        <w:t>修正数据取值合理性</w:t>
      </w:r>
    </w:p>
    <w:p w:rsidR="00950A53" w:rsidRDefault="00950A53"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答：物业管理因素修正分别从两个方面考虑</w:t>
      </w:r>
      <w:r w:rsidR="00D052CE">
        <w:rPr>
          <w:rFonts w:ascii="Arial Narrow" w:eastAsia="宋体" w:hAnsi="Arial Narrow" w:hint="eastAsia"/>
          <w:sz w:val="28"/>
          <w:szCs w:val="28"/>
        </w:rPr>
        <w:t>分别修正</w:t>
      </w:r>
      <w:r w:rsidR="00D052CE">
        <w:rPr>
          <w:rFonts w:ascii="Arial Narrow" w:eastAsia="宋体" w:hAnsi="Arial Narrow" w:hint="eastAsia"/>
          <w:sz w:val="28"/>
          <w:szCs w:val="28"/>
        </w:rPr>
        <w:t>5%</w:t>
      </w:r>
      <w:r>
        <w:rPr>
          <w:rFonts w:ascii="Arial Narrow" w:eastAsia="宋体" w:hAnsi="Arial Narrow" w:hint="eastAsia"/>
          <w:sz w:val="28"/>
          <w:szCs w:val="28"/>
        </w:rPr>
        <w:t>：</w:t>
      </w:r>
    </w:p>
    <w:p w:rsidR="00950A53" w:rsidRDefault="00950A53"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1</w:t>
      </w:r>
      <w:r>
        <w:rPr>
          <w:rFonts w:ascii="Arial Narrow" w:eastAsia="宋体" w:hAnsi="Arial Narrow" w:hint="eastAsia"/>
          <w:sz w:val="28"/>
          <w:szCs w:val="28"/>
        </w:rPr>
        <w:t>）评估对象为自管，可比案例为专业物业管理</w:t>
      </w:r>
    </w:p>
    <w:p w:rsidR="001F3C4F" w:rsidRDefault="00950A53"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2</w:t>
      </w:r>
      <w:r>
        <w:rPr>
          <w:rFonts w:ascii="Arial Narrow" w:eastAsia="宋体" w:hAnsi="Arial Narrow" w:hint="eastAsia"/>
          <w:sz w:val="28"/>
          <w:szCs w:val="28"/>
        </w:rPr>
        <w:t>）评估对象为商住混用，可比案例为纯写字楼</w:t>
      </w:r>
    </w:p>
    <w:tbl>
      <w:tblPr>
        <w:tblW w:w="8555" w:type="dxa"/>
        <w:jc w:val="center"/>
        <w:tblInd w:w="747"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560"/>
        <w:gridCol w:w="2393"/>
        <w:gridCol w:w="2409"/>
        <w:gridCol w:w="2193"/>
      </w:tblGrid>
      <w:tr w:rsidR="00950A53" w:rsidRPr="00606716" w:rsidTr="00950A53">
        <w:trPr>
          <w:cantSplit/>
          <w:trHeight w:val="340"/>
          <w:tblHeader/>
          <w:jc w:val="center"/>
        </w:trPr>
        <w:tc>
          <w:tcPr>
            <w:tcW w:w="1560" w:type="dxa"/>
            <w:vAlign w:val="center"/>
          </w:tcPr>
          <w:p w:rsidR="00950A53" w:rsidRPr="00606716" w:rsidRDefault="00950A53" w:rsidP="008D6E2D">
            <w:pPr>
              <w:autoSpaceDE w:val="0"/>
              <w:autoSpaceDN w:val="0"/>
              <w:spacing w:line="240" w:lineRule="exact"/>
              <w:rPr>
                <w:rFonts w:ascii="Arial" w:eastAsia="华文细黑" w:hAnsi="Arial" w:cs="Arial"/>
                <w:szCs w:val="21"/>
              </w:rPr>
            </w:pPr>
            <w:r>
              <w:rPr>
                <w:rFonts w:ascii="Arial" w:eastAsia="华文细黑" w:hAnsi="Arial" w:cs="Arial" w:hint="eastAsia"/>
                <w:szCs w:val="21"/>
              </w:rPr>
              <w:t>修正</w:t>
            </w:r>
            <w:r w:rsidRPr="00606716">
              <w:rPr>
                <w:rFonts w:ascii="Arial" w:eastAsia="华文细黑" w:hAnsi="Arial" w:cs="Arial"/>
                <w:szCs w:val="21"/>
              </w:rPr>
              <w:t>因素</w:t>
            </w:r>
          </w:p>
        </w:tc>
        <w:tc>
          <w:tcPr>
            <w:tcW w:w="4802" w:type="dxa"/>
            <w:gridSpan w:val="2"/>
            <w:vAlign w:val="center"/>
          </w:tcPr>
          <w:p w:rsidR="00950A53" w:rsidRPr="00606716" w:rsidRDefault="00950A53" w:rsidP="008D6E2D">
            <w:pPr>
              <w:autoSpaceDE w:val="0"/>
              <w:autoSpaceDN w:val="0"/>
              <w:spacing w:line="240" w:lineRule="exact"/>
              <w:rPr>
                <w:rFonts w:ascii="Arial" w:eastAsia="华文细黑" w:hAnsi="Arial" w:cs="Arial"/>
                <w:szCs w:val="21"/>
              </w:rPr>
            </w:pPr>
            <w:r w:rsidRPr="00606716">
              <w:rPr>
                <w:rFonts w:ascii="Arial" w:eastAsia="华文细黑" w:hAnsi="Arial" w:cs="Arial"/>
                <w:szCs w:val="21"/>
              </w:rPr>
              <w:t>等</w:t>
            </w:r>
            <w:r w:rsidRPr="00606716">
              <w:rPr>
                <w:rFonts w:ascii="Arial" w:eastAsia="华文细黑" w:hAnsi="Arial" w:cs="Arial"/>
                <w:szCs w:val="21"/>
              </w:rPr>
              <w:t xml:space="preserve">  </w:t>
            </w:r>
            <w:r w:rsidRPr="00606716">
              <w:rPr>
                <w:rFonts w:ascii="Arial" w:eastAsia="华文细黑" w:hAnsi="Arial" w:cs="Arial"/>
                <w:szCs w:val="21"/>
              </w:rPr>
              <w:t>级</w:t>
            </w:r>
            <w:r w:rsidRPr="00606716">
              <w:rPr>
                <w:rFonts w:ascii="Arial" w:eastAsia="华文细黑" w:hAnsi="Arial" w:cs="Arial"/>
                <w:szCs w:val="21"/>
              </w:rPr>
              <w:t xml:space="preserve">  </w:t>
            </w:r>
            <w:r w:rsidRPr="00606716">
              <w:rPr>
                <w:rFonts w:ascii="Arial" w:eastAsia="华文细黑" w:hAnsi="Arial" w:cs="Arial"/>
                <w:szCs w:val="21"/>
              </w:rPr>
              <w:t>划</w:t>
            </w:r>
            <w:r w:rsidRPr="00606716">
              <w:rPr>
                <w:rFonts w:ascii="Arial" w:eastAsia="华文细黑" w:hAnsi="Arial" w:cs="Arial"/>
                <w:szCs w:val="21"/>
              </w:rPr>
              <w:t xml:space="preserve">  </w:t>
            </w:r>
            <w:r w:rsidRPr="00606716">
              <w:rPr>
                <w:rFonts w:ascii="Arial" w:eastAsia="华文细黑" w:hAnsi="Arial" w:cs="Arial"/>
                <w:szCs w:val="21"/>
              </w:rPr>
              <w:t>分</w:t>
            </w:r>
          </w:p>
        </w:tc>
        <w:tc>
          <w:tcPr>
            <w:tcW w:w="2193" w:type="dxa"/>
            <w:vAlign w:val="center"/>
          </w:tcPr>
          <w:p w:rsidR="00950A53" w:rsidRPr="00606716" w:rsidRDefault="00950A53" w:rsidP="008D6E2D">
            <w:pPr>
              <w:autoSpaceDE w:val="0"/>
              <w:autoSpaceDN w:val="0"/>
              <w:spacing w:line="240" w:lineRule="exact"/>
              <w:rPr>
                <w:rFonts w:ascii="Arial" w:eastAsia="华文细黑" w:hAnsi="Arial" w:cs="Arial"/>
                <w:szCs w:val="21"/>
              </w:rPr>
            </w:pPr>
            <w:r w:rsidRPr="00606716">
              <w:rPr>
                <w:rFonts w:ascii="Arial" w:eastAsia="华文细黑" w:hAnsi="Arial" w:cs="Arial"/>
                <w:szCs w:val="21"/>
              </w:rPr>
              <w:t>每等级向下修正幅度</w:t>
            </w:r>
          </w:p>
        </w:tc>
      </w:tr>
      <w:tr w:rsidR="00950A53" w:rsidRPr="00606716" w:rsidTr="00950A53">
        <w:trPr>
          <w:cantSplit/>
          <w:trHeight w:val="340"/>
          <w:jc w:val="center"/>
        </w:trPr>
        <w:tc>
          <w:tcPr>
            <w:tcW w:w="1560" w:type="dxa"/>
            <w:vMerge w:val="restart"/>
            <w:vAlign w:val="center"/>
          </w:tcPr>
          <w:p w:rsidR="00950A53" w:rsidRPr="00606716" w:rsidRDefault="00950A53" w:rsidP="008D6E2D">
            <w:pPr>
              <w:autoSpaceDE w:val="0"/>
              <w:autoSpaceDN w:val="0"/>
              <w:spacing w:line="240" w:lineRule="exact"/>
              <w:rPr>
                <w:rFonts w:ascii="Arial" w:eastAsia="华文细黑" w:hAnsi="Arial" w:cs="Arial"/>
                <w:szCs w:val="21"/>
              </w:rPr>
            </w:pPr>
            <w:r>
              <w:rPr>
                <w:rFonts w:ascii="Arial" w:eastAsia="华文细黑" w:hAnsi="Arial" w:cs="Arial" w:hint="eastAsia"/>
                <w:szCs w:val="21"/>
              </w:rPr>
              <w:t>物业管理</w:t>
            </w:r>
          </w:p>
        </w:tc>
        <w:tc>
          <w:tcPr>
            <w:tcW w:w="2393" w:type="dxa"/>
            <w:vAlign w:val="center"/>
          </w:tcPr>
          <w:p w:rsidR="00950A53" w:rsidRPr="00606716" w:rsidRDefault="00950A53" w:rsidP="008D6E2D">
            <w:pPr>
              <w:autoSpaceDE w:val="0"/>
              <w:autoSpaceDN w:val="0"/>
              <w:spacing w:line="240" w:lineRule="exact"/>
              <w:rPr>
                <w:rFonts w:ascii="Arial" w:eastAsia="华文细黑" w:hAnsi="Arial" w:cs="Arial"/>
                <w:szCs w:val="21"/>
              </w:rPr>
            </w:pPr>
            <w:r>
              <w:rPr>
                <w:rFonts w:ascii="Arial" w:eastAsia="华文细黑" w:hAnsi="Arial" w:cs="Arial" w:hint="eastAsia"/>
                <w:szCs w:val="21"/>
              </w:rPr>
              <w:t>专业物业管理</w:t>
            </w:r>
          </w:p>
        </w:tc>
        <w:tc>
          <w:tcPr>
            <w:tcW w:w="2409" w:type="dxa"/>
            <w:vAlign w:val="center"/>
          </w:tcPr>
          <w:p w:rsidR="00950A53" w:rsidRPr="00606716" w:rsidRDefault="00950A53" w:rsidP="008D6E2D">
            <w:pPr>
              <w:autoSpaceDE w:val="0"/>
              <w:autoSpaceDN w:val="0"/>
              <w:spacing w:line="240" w:lineRule="exact"/>
              <w:rPr>
                <w:rFonts w:ascii="Arial" w:eastAsia="华文细黑" w:hAnsi="Arial" w:cs="Arial"/>
                <w:szCs w:val="21"/>
              </w:rPr>
            </w:pPr>
            <w:r>
              <w:rPr>
                <w:rFonts w:ascii="Arial" w:eastAsia="华文细黑" w:hAnsi="Arial" w:cs="Arial" w:hint="eastAsia"/>
                <w:szCs w:val="21"/>
              </w:rPr>
              <w:t>自管</w:t>
            </w:r>
          </w:p>
        </w:tc>
        <w:tc>
          <w:tcPr>
            <w:tcW w:w="2193" w:type="dxa"/>
            <w:vAlign w:val="center"/>
          </w:tcPr>
          <w:p w:rsidR="00950A53" w:rsidRPr="00606716" w:rsidRDefault="00950A53" w:rsidP="008D6E2D">
            <w:pPr>
              <w:autoSpaceDE w:val="0"/>
              <w:autoSpaceDN w:val="0"/>
              <w:spacing w:line="240" w:lineRule="exact"/>
              <w:rPr>
                <w:rFonts w:ascii="Arial" w:eastAsia="华文细黑" w:hAnsi="Arial" w:cs="Arial"/>
                <w:szCs w:val="21"/>
              </w:rPr>
            </w:pPr>
            <w:r>
              <w:rPr>
                <w:rFonts w:ascii="Arial" w:eastAsia="华文细黑" w:hAnsi="Arial" w:cs="Arial" w:hint="eastAsia"/>
                <w:szCs w:val="21"/>
              </w:rPr>
              <w:t>5</w:t>
            </w:r>
            <w:r w:rsidRPr="00606716">
              <w:rPr>
                <w:rFonts w:ascii="Arial" w:eastAsia="华文细黑" w:hAnsi="Arial" w:cs="Arial"/>
                <w:szCs w:val="21"/>
              </w:rPr>
              <w:t>%</w:t>
            </w:r>
          </w:p>
        </w:tc>
      </w:tr>
      <w:tr w:rsidR="00950A53" w:rsidRPr="00606716" w:rsidTr="00950A53">
        <w:trPr>
          <w:cantSplit/>
          <w:trHeight w:val="340"/>
          <w:jc w:val="center"/>
        </w:trPr>
        <w:tc>
          <w:tcPr>
            <w:tcW w:w="1560" w:type="dxa"/>
            <w:vMerge/>
            <w:vAlign w:val="center"/>
          </w:tcPr>
          <w:p w:rsidR="00950A53" w:rsidRDefault="00950A53" w:rsidP="008D6E2D">
            <w:pPr>
              <w:autoSpaceDE w:val="0"/>
              <w:autoSpaceDN w:val="0"/>
              <w:spacing w:line="240" w:lineRule="exact"/>
              <w:rPr>
                <w:rFonts w:ascii="Arial" w:eastAsia="华文细黑" w:hAnsi="Arial" w:cs="Arial"/>
                <w:szCs w:val="21"/>
              </w:rPr>
            </w:pPr>
          </w:p>
        </w:tc>
        <w:tc>
          <w:tcPr>
            <w:tcW w:w="2393" w:type="dxa"/>
            <w:vAlign w:val="center"/>
          </w:tcPr>
          <w:p w:rsidR="00950A53" w:rsidRPr="00606716" w:rsidRDefault="00950A53" w:rsidP="008D6E2D">
            <w:pPr>
              <w:autoSpaceDE w:val="0"/>
              <w:autoSpaceDN w:val="0"/>
              <w:spacing w:line="240" w:lineRule="exact"/>
              <w:rPr>
                <w:rFonts w:ascii="Arial" w:eastAsia="华文细黑" w:hAnsi="Arial" w:cs="Arial"/>
                <w:szCs w:val="21"/>
              </w:rPr>
            </w:pPr>
            <w:r>
              <w:rPr>
                <w:rFonts w:ascii="Arial" w:eastAsia="华文细黑" w:hAnsi="Arial" w:cs="Arial" w:hint="eastAsia"/>
                <w:szCs w:val="21"/>
              </w:rPr>
              <w:t>写字楼</w:t>
            </w:r>
          </w:p>
        </w:tc>
        <w:tc>
          <w:tcPr>
            <w:tcW w:w="2409" w:type="dxa"/>
            <w:vAlign w:val="center"/>
          </w:tcPr>
          <w:p w:rsidR="00950A53" w:rsidRPr="00606716" w:rsidRDefault="00950A53" w:rsidP="008D6E2D">
            <w:pPr>
              <w:autoSpaceDE w:val="0"/>
              <w:autoSpaceDN w:val="0"/>
              <w:spacing w:line="240" w:lineRule="exact"/>
              <w:rPr>
                <w:rFonts w:ascii="Arial" w:eastAsia="华文细黑" w:hAnsi="Arial" w:cs="Arial"/>
                <w:szCs w:val="21"/>
              </w:rPr>
            </w:pPr>
            <w:r>
              <w:rPr>
                <w:rFonts w:ascii="Arial" w:eastAsia="华文细黑" w:hAnsi="Arial" w:cs="Arial" w:hint="eastAsia"/>
                <w:szCs w:val="21"/>
              </w:rPr>
              <w:t>商住混用</w:t>
            </w:r>
          </w:p>
        </w:tc>
        <w:tc>
          <w:tcPr>
            <w:tcW w:w="2193" w:type="dxa"/>
            <w:vAlign w:val="center"/>
          </w:tcPr>
          <w:p w:rsidR="00950A53" w:rsidRPr="00606716" w:rsidRDefault="00950A53" w:rsidP="008D6E2D">
            <w:pPr>
              <w:autoSpaceDE w:val="0"/>
              <w:autoSpaceDN w:val="0"/>
              <w:spacing w:line="240" w:lineRule="exact"/>
              <w:rPr>
                <w:rFonts w:ascii="Arial" w:eastAsia="华文细黑" w:hAnsi="Arial" w:cs="Arial"/>
                <w:szCs w:val="21"/>
              </w:rPr>
            </w:pPr>
            <w:r>
              <w:rPr>
                <w:rFonts w:ascii="Arial" w:eastAsia="华文细黑" w:hAnsi="Arial" w:cs="Arial" w:hint="eastAsia"/>
                <w:szCs w:val="21"/>
              </w:rPr>
              <w:t>5%</w:t>
            </w:r>
          </w:p>
        </w:tc>
      </w:tr>
    </w:tbl>
    <w:p w:rsidR="00950A53" w:rsidRPr="00950A53" w:rsidRDefault="00950A53" w:rsidP="007E413F">
      <w:pPr>
        <w:spacing w:line="360" w:lineRule="auto"/>
        <w:ind w:firstLineChars="200" w:firstLine="560"/>
        <w:rPr>
          <w:rFonts w:ascii="Arial Narrow" w:eastAsia="宋体" w:hAnsi="Arial Narrow"/>
          <w:sz w:val="28"/>
          <w:szCs w:val="28"/>
        </w:rPr>
      </w:pP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5</w:t>
      </w:r>
      <w:r>
        <w:rPr>
          <w:rFonts w:ascii="Arial Narrow" w:eastAsia="宋体" w:hAnsi="Arial Narrow" w:hint="eastAsia"/>
          <w:sz w:val="28"/>
          <w:szCs w:val="28"/>
        </w:rPr>
        <w:t>、</w:t>
      </w:r>
      <w:r w:rsidR="001F4F32" w:rsidRPr="007E413F">
        <w:rPr>
          <w:rFonts w:ascii="Arial Narrow" w:eastAsia="宋体" w:hAnsi="Arial Narrow"/>
          <w:sz w:val="28"/>
          <w:szCs w:val="28"/>
        </w:rPr>
        <w:t>房产剩余年限为</w:t>
      </w:r>
      <w:r w:rsidR="001F4F32" w:rsidRPr="007E413F">
        <w:rPr>
          <w:rFonts w:ascii="Arial Narrow" w:eastAsia="宋体" w:hAnsi="Arial Narrow"/>
          <w:sz w:val="28"/>
          <w:szCs w:val="28"/>
        </w:rPr>
        <w:t>40</w:t>
      </w:r>
      <w:r w:rsidR="001F4F32" w:rsidRPr="007E413F">
        <w:rPr>
          <w:rFonts w:ascii="Arial Narrow" w:eastAsia="宋体" w:hAnsi="Arial Narrow"/>
          <w:sz w:val="28"/>
          <w:szCs w:val="28"/>
        </w:rPr>
        <w:t>年，收益年限为</w:t>
      </w:r>
      <w:r w:rsidR="001F4F32" w:rsidRPr="007E413F">
        <w:rPr>
          <w:rFonts w:ascii="Arial Narrow" w:eastAsia="宋体" w:hAnsi="Arial Narrow"/>
          <w:sz w:val="28"/>
          <w:szCs w:val="28"/>
        </w:rPr>
        <w:t>29</w:t>
      </w:r>
      <w:r w:rsidR="001F4F32" w:rsidRPr="007E413F">
        <w:rPr>
          <w:rFonts w:ascii="Arial Narrow" w:eastAsia="宋体" w:hAnsi="Arial Narrow"/>
          <w:sz w:val="28"/>
          <w:szCs w:val="28"/>
        </w:rPr>
        <w:t>年，</w:t>
      </w:r>
      <w:r w:rsidR="00E000C0" w:rsidRPr="007E413F">
        <w:rPr>
          <w:rFonts w:ascii="Arial Narrow" w:eastAsia="宋体" w:hAnsi="Arial Narrow"/>
          <w:sz w:val="28"/>
          <w:szCs w:val="28"/>
        </w:rPr>
        <w:t>说明考虑</w:t>
      </w:r>
      <w:r w:rsidR="001F4F32" w:rsidRPr="007E413F">
        <w:rPr>
          <w:rFonts w:ascii="Arial Narrow" w:eastAsia="宋体" w:hAnsi="Arial Narrow"/>
          <w:sz w:val="28"/>
          <w:szCs w:val="28"/>
        </w:rPr>
        <w:t>计算房地产未来收益时是否考虑期末残值价值。</w:t>
      </w:r>
    </w:p>
    <w:p w:rsidR="001F4F32" w:rsidRDefault="003E5ADF" w:rsidP="003E5AD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二审意见：</w:t>
      </w:r>
      <w:r w:rsidR="001F3C4F">
        <w:rPr>
          <w:rFonts w:ascii="Arial Narrow" w:eastAsia="宋体" w:hAnsi="Arial Narrow" w:hint="eastAsia"/>
          <w:sz w:val="28"/>
          <w:szCs w:val="28"/>
        </w:rPr>
        <w:t>市场法计算是完整权益下物业价值，但收益法年限仅计算了</w:t>
      </w:r>
      <w:r w:rsidR="001F3C4F">
        <w:rPr>
          <w:rFonts w:ascii="Arial Narrow" w:eastAsia="宋体" w:hAnsi="Arial Narrow" w:hint="eastAsia"/>
          <w:sz w:val="28"/>
          <w:szCs w:val="28"/>
        </w:rPr>
        <w:t>2</w:t>
      </w:r>
      <w:r w:rsidR="001F3C4F">
        <w:rPr>
          <w:rFonts w:ascii="Arial Narrow" w:eastAsia="宋体" w:hAnsi="Arial Narrow"/>
          <w:sz w:val="28"/>
          <w:szCs w:val="28"/>
        </w:rPr>
        <w:t>9</w:t>
      </w:r>
      <w:r w:rsidR="001F3C4F">
        <w:rPr>
          <w:rFonts w:ascii="Arial Narrow" w:eastAsia="宋体" w:hAnsi="Arial Narrow" w:hint="eastAsia"/>
          <w:sz w:val="28"/>
          <w:szCs w:val="28"/>
        </w:rPr>
        <w:t>年，到期后无收益，期末残值回收</w:t>
      </w:r>
      <w:r w:rsidR="00BC4C9F">
        <w:rPr>
          <w:rFonts w:ascii="Arial Narrow" w:eastAsia="宋体" w:hAnsi="Arial Narrow" w:hint="eastAsia"/>
          <w:sz w:val="28"/>
          <w:szCs w:val="28"/>
        </w:rPr>
        <w:t>（或补偿）</w:t>
      </w:r>
      <w:r w:rsidR="001F3C4F">
        <w:rPr>
          <w:rFonts w:ascii="Arial Narrow" w:eastAsia="宋体" w:hAnsi="Arial Narrow" w:hint="eastAsia"/>
          <w:sz w:val="28"/>
          <w:szCs w:val="28"/>
        </w:rPr>
        <w:t>是否为房产价值一部分？</w:t>
      </w:r>
      <w:r w:rsidRPr="007E413F">
        <w:rPr>
          <w:rFonts w:ascii="Arial Narrow" w:eastAsia="宋体" w:hAnsi="Arial Narrow"/>
          <w:sz w:val="28"/>
          <w:szCs w:val="28"/>
        </w:rPr>
        <w:t xml:space="preserve"> </w:t>
      </w:r>
    </w:p>
    <w:p w:rsidR="00950A53" w:rsidRPr="007E413F" w:rsidRDefault="00950A53" w:rsidP="003E5AD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6A2B6D" w:rsidRPr="006A2B6D">
        <w:rPr>
          <w:rFonts w:ascii="Arial Narrow" w:eastAsia="宋体" w:hAnsi="Arial Narrow" w:hint="eastAsia"/>
          <w:sz w:val="28"/>
          <w:szCs w:val="28"/>
        </w:rPr>
        <w:t>比较法中</w:t>
      </w:r>
      <w:r w:rsidR="006A2B6D">
        <w:rPr>
          <w:rFonts w:ascii="Arial Narrow" w:eastAsia="宋体" w:hAnsi="Arial Narrow" w:hint="eastAsia"/>
          <w:sz w:val="28"/>
          <w:szCs w:val="28"/>
        </w:rPr>
        <w:t>评估</w:t>
      </w:r>
      <w:r w:rsidR="006A2B6D" w:rsidRPr="006A2B6D">
        <w:rPr>
          <w:rFonts w:ascii="Arial Narrow" w:eastAsia="宋体" w:hAnsi="Arial Narrow" w:hint="eastAsia"/>
          <w:sz w:val="28"/>
          <w:szCs w:val="28"/>
        </w:rPr>
        <w:t>对象年限应为</w:t>
      </w:r>
      <w:r w:rsidR="006A2B6D" w:rsidRPr="006A2B6D">
        <w:rPr>
          <w:rFonts w:ascii="Arial Narrow" w:eastAsia="宋体" w:hAnsi="Arial Narrow"/>
          <w:sz w:val="28"/>
          <w:szCs w:val="28"/>
        </w:rPr>
        <w:t>20-30</w:t>
      </w:r>
      <w:r w:rsidR="006A2B6D" w:rsidRPr="006A2B6D">
        <w:rPr>
          <w:rFonts w:ascii="Arial Narrow" w:eastAsia="宋体" w:hAnsi="Arial Narrow"/>
          <w:sz w:val="28"/>
          <w:szCs w:val="28"/>
        </w:rPr>
        <w:t>年，报告已做修改。收益法及计算售价的比较法均未考虑期末残值。按照房地产估价规范，是否计算建筑物残值要通过出让合同里关于土地使用权期间届满后是否无偿收回土地使用权及地上建筑物的约定进行判断，在没有明确资</w:t>
      </w:r>
      <w:r w:rsidR="006A2B6D" w:rsidRPr="006A2B6D">
        <w:rPr>
          <w:rFonts w:ascii="Arial Narrow" w:eastAsia="宋体" w:hAnsi="Arial Narrow"/>
          <w:sz w:val="28"/>
          <w:szCs w:val="28"/>
        </w:rPr>
        <w:lastRenderedPageBreak/>
        <w:t>料证明</w:t>
      </w:r>
      <w:r w:rsidR="006A2B6D">
        <w:rPr>
          <w:rFonts w:ascii="Arial Narrow" w:eastAsia="宋体" w:hAnsi="Arial Narrow" w:hint="eastAsia"/>
          <w:sz w:val="28"/>
          <w:szCs w:val="28"/>
        </w:rPr>
        <w:t>评估</w:t>
      </w:r>
      <w:r w:rsidR="006A2B6D" w:rsidRPr="006A2B6D">
        <w:rPr>
          <w:rFonts w:ascii="Arial Narrow" w:eastAsia="宋体" w:hAnsi="Arial Narrow"/>
          <w:sz w:val="28"/>
          <w:szCs w:val="28"/>
        </w:rPr>
        <w:t>对象土地到期收回需要计算建筑物残值的，我们一般按照谨慎原则处理，故本次评估收益法计算中未考虑建筑物残值。</w:t>
      </w:r>
      <w:bookmarkStart w:id="0" w:name="_GoBack"/>
      <w:bookmarkEnd w:id="0"/>
    </w:p>
    <w:p w:rsidR="00E000C0" w:rsidRPr="00900E1B" w:rsidRDefault="00E000C0"/>
    <w:sectPr w:rsidR="00E000C0" w:rsidRPr="00900E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96" w:rsidRDefault="00E20E96" w:rsidP="001F3C4F">
      <w:r>
        <w:separator/>
      </w:r>
    </w:p>
  </w:endnote>
  <w:endnote w:type="continuationSeparator" w:id="0">
    <w:p w:rsidR="00E20E96" w:rsidRDefault="00E20E96" w:rsidP="001F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96" w:rsidRDefault="00E20E96" w:rsidP="001F3C4F">
      <w:r>
        <w:separator/>
      </w:r>
    </w:p>
  </w:footnote>
  <w:footnote w:type="continuationSeparator" w:id="0">
    <w:p w:rsidR="00E20E96" w:rsidRDefault="00E20E96" w:rsidP="001F3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C9"/>
    <w:rsid w:val="000F7FC9"/>
    <w:rsid w:val="001F3C4F"/>
    <w:rsid w:val="001F4F32"/>
    <w:rsid w:val="003E5ADF"/>
    <w:rsid w:val="00445CCB"/>
    <w:rsid w:val="004A24CC"/>
    <w:rsid w:val="006A2B6D"/>
    <w:rsid w:val="007D60A6"/>
    <w:rsid w:val="007E413F"/>
    <w:rsid w:val="008149AB"/>
    <w:rsid w:val="008833B6"/>
    <w:rsid w:val="00900E1B"/>
    <w:rsid w:val="00944C66"/>
    <w:rsid w:val="00950A53"/>
    <w:rsid w:val="00955216"/>
    <w:rsid w:val="009F6614"/>
    <w:rsid w:val="00AC0BCE"/>
    <w:rsid w:val="00B01C25"/>
    <w:rsid w:val="00BC4C9F"/>
    <w:rsid w:val="00D03ABC"/>
    <w:rsid w:val="00D052CE"/>
    <w:rsid w:val="00E000C0"/>
    <w:rsid w:val="00E20E96"/>
    <w:rsid w:val="00EF01A4"/>
    <w:rsid w:val="00F1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3C4F"/>
    <w:rPr>
      <w:sz w:val="18"/>
      <w:szCs w:val="18"/>
    </w:rPr>
  </w:style>
  <w:style w:type="paragraph" w:styleId="a4">
    <w:name w:val="footer"/>
    <w:basedOn w:val="a"/>
    <w:link w:val="Char0"/>
    <w:uiPriority w:val="99"/>
    <w:unhideWhenUsed/>
    <w:rsid w:val="001F3C4F"/>
    <w:pPr>
      <w:tabs>
        <w:tab w:val="center" w:pos="4153"/>
        <w:tab w:val="right" w:pos="8306"/>
      </w:tabs>
      <w:snapToGrid w:val="0"/>
      <w:jc w:val="left"/>
    </w:pPr>
    <w:rPr>
      <w:sz w:val="18"/>
      <w:szCs w:val="18"/>
    </w:rPr>
  </w:style>
  <w:style w:type="character" w:customStyle="1" w:styleId="Char0">
    <w:name w:val="页脚 Char"/>
    <w:basedOn w:val="a0"/>
    <w:link w:val="a4"/>
    <w:uiPriority w:val="99"/>
    <w:rsid w:val="001F3C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3C4F"/>
    <w:rPr>
      <w:sz w:val="18"/>
      <w:szCs w:val="18"/>
    </w:rPr>
  </w:style>
  <w:style w:type="paragraph" w:styleId="a4">
    <w:name w:val="footer"/>
    <w:basedOn w:val="a"/>
    <w:link w:val="Char0"/>
    <w:uiPriority w:val="99"/>
    <w:unhideWhenUsed/>
    <w:rsid w:val="001F3C4F"/>
    <w:pPr>
      <w:tabs>
        <w:tab w:val="center" w:pos="4153"/>
        <w:tab w:val="right" w:pos="8306"/>
      </w:tabs>
      <w:snapToGrid w:val="0"/>
      <w:jc w:val="left"/>
    </w:pPr>
    <w:rPr>
      <w:sz w:val="18"/>
      <w:szCs w:val="18"/>
    </w:rPr>
  </w:style>
  <w:style w:type="character" w:customStyle="1" w:styleId="Char0">
    <w:name w:val="页脚 Char"/>
    <w:basedOn w:val="a0"/>
    <w:link w:val="a4"/>
    <w:uiPriority w:val="99"/>
    <w:rsid w:val="001F3C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81</Words>
  <Characters>467</Characters>
  <Application>Microsoft Office Word</Application>
  <DocSecurity>0</DocSecurity>
  <Lines>3</Lines>
  <Paragraphs>1</Paragraphs>
  <ScaleCrop>false</ScaleCrop>
  <Company>P R C</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王浩</dc:creator>
  <cp:lastModifiedBy>Windows User</cp:lastModifiedBy>
  <cp:revision>7</cp:revision>
  <dcterms:created xsi:type="dcterms:W3CDTF">2021-02-01T06:40:00Z</dcterms:created>
  <dcterms:modified xsi:type="dcterms:W3CDTF">2021-02-01T08:45:00Z</dcterms:modified>
</cp:coreProperties>
</file>