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media/image1.jpeg" ContentType="image/jpeg"/>
  <Override PartName="/word/media/image23.jpeg" ContentType="image/jpeg"/>
  <Override PartName="/word/media/image8.png" ContentType="image/png"/>
  <Override PartName="/word/media/image2.jpeg" ContentType="image/jpeg"/>
  <Override PartName="/word/media/image5.png" ContentType="image/png"/>
  <Override PartName="/word/media/image3.jpeg" ContentType="image/jpeg"/>
  <Override PartName="/word/media/image4.jpeg" ContentType="image/jpeg"/>
  <Override PartName="/word/media/image21.png" ContentType="image/png"/>
  <Override PartName="/word/media/image6.jpeg" ContentType="image/jpe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24.jpeg" ContentType="image/jpeg"/>
  <Override PartName="/word/media/image17.png" ContentType="image/png"/>
  <Override PartName="/word/media/image18.png" ContentType="image/png"/>
  <Override PartName="/word/media/image19.png" ContentType="image/png"/>
  <Override PartName="/word/media/image20.png" ContentType="image/png"/>
  <Override PartName="/word/media/image22.png" ContentType="image/png"/>
  <Override PartName="/word/comments.xml" ContentType="application/vnd.openxmlformats-officedocument.wordprocessingml.comments+xml"/>
  <Override PartName="/word/footer4.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_rels/chart2.xml.rels" ContentType="application/vnd.openxmlformats-package.relationships+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embeddings/Microsoft_Excel_Worksheet.xlsx" ContentType="application/vnd.openxmlformats-officedocument.spreadsheetml.sheet"/>
  <Override PartName="/word/_rels/header3.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header4.xml.rels" ContentType="application/vnd.openxmlformats-package.relationships+xml"/>
  <Override PartName="/word/_rels/header5.xml.rels" ContentType="application/vnd.openxmlformats-package.relationships+xml"/>
  <Override PartName="/word/_rels/header6.xml.rels" ContentType="application/vnd.openxmlformats-package.relationships+xml"/>
  <Override PartName="/word/_rels/header7.xml.rels" ContentType="application/vnd.openxmlformats-package.relationships+xml"/>
  <Override PartName="/word/_rels/header8.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5"/>
        <w:rPr>
          <w:rFonts w:ascii="Arial" w:hAnsi="Arial" w:cs="Arial"/>
          <w:color w:val="auto"/>
        </w:rPr>
      </w:pPr>
      <w:r>
        <w:rPr>
          <w:rFonts w:cs="Arial" w:ascii="Arial" w:hAnsi="Arial"/>
          <w:color w:val="auto"/>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Normal"/>
        <w:spacing w:lineRule="exact" w:line="300"/>
        <w:rPr>
          <w:rFonts w:ascii="Arial" w:hAnsi="Arial" w:cs="Arial"/>
        </w:rPr>
      </w:pPr>
      <w:r>
        <w:rPr>
          <w:rFonts w:cs="Arial" w:ascii="Arial" w:hAnsi="Arial"/>
        </w:rPr>
      </w:r>
    </w:p>
    <w:p>
      <w:pPr>
        <w:pStyle w:val="ListParagraph"/>
        <w:numPr>
          <w:ilvl w:val="0"/>
          <w:numId w:val="2"/>
        </w:numPr>
        <w:spacing w:lineRule="exact" w:line="300"/>
        <w:ind w:left="360" w:right="-93" w:hanging="360"/>
        <w:jc w:val="both"/>
        <w:outlineLvl w:val="0"/>
        <w:rPr>
          <w:rFonts w:ascii="Arial" w:hAnsi="Arial" w:eastAsia="方正黑体简体" w:cs="Arial"/>
          <w:b/>
          <w:b/>
          <w:bCs/>
          <w:sz w:val="21"/>
          <w:szCs w:val="21"/>
        </w:rPr>
      </w:pPr>
      <w:r>
        <w:rPr>
          <w:rFonts w:ascii="Arial" w:hAnsi="Arial" w:cs="Arial" w:eastAsia="方正黑体简体"/>
          <w:b/>
          <w:bCs/>
          <w:sz w:val="21"/>
          <w:szCs w:val="21"/>
        </w:rPr>
        <w:t>估价项目名称：</w:t>
      </w:r>
    </w:p>
    <w:p>
      <w:pPr>
        <w:pStyle w:val="ListParagraph"/>
        <w:spacing w:lineRule="exact" w:line="300"/>
        <w:ind w:left="360" w:hanging="0"/>
        <w:jc w:val="both"/>
        <w:rPr>
          <w:rFonts w:ascii="Arial" w:hAnsi="Arial" w:eastAsia="方正黑体简体" w:cs="Arial"/>
          <w:sz w:val="21"/>
          <w:szCs w:val="21"/>
        </w:rPr>
      </w:pPr>
      <w:r>
        <w:rPr>
          <w:rFonts w:ascii="Arial" w:hAnsi="Arial" w:cs="Arial" w:eastAsia="方正黑体简体"/>
          <w:sz w:val="21"/>
          <w:szCs w:val="21"/>
        </w:rPr>
        <w:t>北京市房山区文雅街</w:t>
      </w:r>
      <w:r>
        <w:rPr>
          <w:rFonts w:eastAsia="方正黑体简体" w:cs="Arial" w:ascii="Arial" w:hAnsi="Arial"/>
          <w:sz w:val="21"/>
          <w:szCs w:val="21"/>
        </w:rPr>
        <w:t>1</w:t>
      </w:r>
      <w:r>
        <w:rPr>
          <w:rFonts w:ascii="Arial" w:hAnsi="Arial" w:cs="Arial" w:eastAsia="方正黑体简体"/>
          <w:sz w:val="21"/>
          <w:szCs w:val="21"/>
        </w:rPr>
        <w:t>号院轩景家园共计</w:t>
      </w:r>
      <w:r>
        <w:rPr>
          <w:rFonts w:eastAsia="方正黑体简体" w:cs="Arial" w:ascii="Arial" w:hAnsi="Arial"/>
          <w:sz w:val="21"/>
          <w:szCs w:val="21"/>
        </w:rPr>
        <w:t>770</w:t>
      </w:r>
      <w:r>
        <w:rPr>
          <w:rFonts w:ascii="Arial" w:hAnsi="Arial" w:cs="Arial" w:eastAsia="方正黑体简体"/>
          <w:sz w:val="21"/>
          <w:szCs w:val="21"/>
        </w:rPr>
        <w:t>套共有产权住房市场租金评估</w:t>
      </w:r>
    </w:p>
    <w:p>
      <w:pPr>
        <w:pStyle w:val="Normal"/>
        <w:spacing w:lineRule="exact" w:line="300"/>
        <w:rPr>
          <w:rFonts w:ascii="Arial" w:hAnsi="Arial" w:eastAsia="方正黑体简体" w:cs="Arial"/>
          <w:b/>
          <w:b/>
          <w:bCs/>
          <w:sz w:val="21"/>
          <w:szCs w:val="21"/>
        </w:rPr>
      </w:pPr>
      <w:r>
        <w:rPr>
          <w:rFonts w:eastAsia="方正黑体简体" w:cs="Arial" w:ascii="Arial" w:hAnsi="Arial"/>
          <w:b/>
          <w:bCs/>
          <w:sz w:val="21"/>
          <w:szCs w:val="21"/>
        </w:rPr>
      </w:r>
    </w:p>
    <w:p>
      <w:pPr>
        <w:pStyle w:val="ListParagraph"/>
        <w:numPr>
          <w:ilvl w:val="0"/>
          <w:numId w:val="2"/>
        </w:numPr>
        <w:spacing w:lineRule="exact" w:line="300"/>
        <w:jc w:val="both"/>
        <w:outlineLvl w:val="0"/>
        <w:rPr>
          <w:rFonts w:ascii="Arial" w:hAnsi="Arial" w:eastAsia="方正黑体简体" w:cs="Arial"/>
          <w:b/>
          <w:b/>
          <w:sz w:val="21"/>
          <w:szCs w:val="21"/>
        </w:rPr>
      </w:pPr>
      <w:r>
        <w:rPr>
          <w:rFonts w:ascii="Arial" w:hAnsi="Arial" w:cs="Arial" w:eastAsia="方正黑体简体"/>
          <w:b/>
          <w:sz w:val="21"/>
          <w:szCs w:val="21"/>
        </w:rPr>
        <w:t>估价委托人：</w:t>
      </w:r>
    </w:p>
    <w:p>
      <w:pPr>
        <w:pStyle w:val="ListParagraph"/>
        <w:spacing w:lineRule="exact" w:line="300"/>
        <w:ind w:left="360" w:hanging="0"/>
        <w:jc w:val="both"/>
        <w:rPr>
          <w:rFonts w:ascii="Arial" w:hAnsi="Arial" w:eastAsia="方正黑体简体" w:cs="Arial"/>
          <w:sz w:val="21"/>
          <w:szCs w:val="21"/>
        </w:rPr>
      </w:pPr>
      <w:r>
        <w:rPr>
          <w:rFonts w:ascii="Arial" w:hAnsi="Arial" w:cs="Arial" w:eastAsia="方正黑体简体"/>
          <w:sz w:val="21"/>
          <w:szCs w:val="21"/>
        </w:rPr>
        <w:t>北京市燕房保障性住房建设投资有限公司</w:t>
      </w:r>
    </w:p>
    <w:p>
      <w:pPr>
        <w:pStyle w:val="ListParagraph"/>
        <w:spacing w:lineRule="exact" w:line="300"/>
        <w:ind w:left="360" w:hanging="0"/>
        <w:jc w:val="both"/>
        <w:rPr>
          <w:rFonts w:ascii="Arial" w:hAnsi="Arial" w:eastAsia="方正黑体简体" w:cs="Arial"/>
          <w:sz w:val="21"/>
          <w:szCs w:val="21"/>
        </w:rPr>
      </w:pPr>
      <w:r>
        <w:rPr>
          <w:rFonts w:eastAsia="方正黑体简体" w:cs="Arial" w:ascii="Arial" w:hAnsi="Arial"/>
          <w:sz w:val="21"/>
          <w:szCs w:val="21"/>
        </w:rPr>
      </w:r>
    </w:p>
    <w:p>
      <w:pPr>
        <w:pStyle w:val="ListParagraph"/>
        <w:numPr>
          <w:ilvl w:val="0"/>
          <w:numId w:val="2"/>
        </w:numPr>
        <w:spacing w:lineRule="exact" w:line="300"/>
        <w:jc w:val="both"/>
        <w:outlineLvl w:val="0"/>
        <w:rPr>
          <w:rFonts w:ascii="Arial" w:hAnsi="Arial" w:eastAsia="方正黑体简体" w:cs="Arial"/>
          <w:b/>
          <w:b/>
          <w:sz w:val="21"/>
          <w:szCs w:val="21"/>
        </w:rPr>
      </w:pPr>
      <w:r>
        <w:rPr>
          <w:rFonts w:ascii="Arial" w:hAnsi="Arial" w:cs="Arial" w:eastAsia="方正黑体简体"/>
          <w:b/>
          <w:sz w:val="21"/>
          <w:szCs w:val="21"/>
        </w:rPr>
        <w:t>房地产估价机构：</w:t>
      </w:r>
    </w:p>
    <w:p>
      <w:pPr>
        <w:pStyle w:val="ListParagraph"/>
        <w:spacing w:lineRule="exact" w:line="300"/>
        <w:ind w:left="360" w:hanging="0"/>
        <w:jc w:val="both"/>
        <w:rPr>
          <w:rFonts w:ascii="Arial" w:hAnsi="Arial" w:eastAsia="方正黑体简体" w:cs="Arial"/>
          <w:sz w:val="21"/>
          <w:szCs w:val="21"/>
        </w:rPr>
      </w:pPr>
      <w:r>
        <w:rPr>
          <w:rFonts w:ascii="Arial" w:hAnsi="Arial" w:cs="Arial" w:eastAsia="方正黑体简体"/>
          <w:sz w:val="21"/>
          <w:szCs w:val="21"/>
        </w:rPr>
        <w:t>北京康正宏基房地产评估有限公司</w:t>
      </w:r>
    </w:p>
    <w:p>
      <w:pPr>
        <w:pStyle w:val="Normal"/>
        <w:spacing w:lineRule="exact" w:line="300"/>
        <w:jc w:val="both"/>
        <w:rPr>
          <w:rFonts w:ascii="Arial" w:hAnsi="Arial" w:eastAsia="方正黑体简体" w:cs="Arial"/>
          <w:b/>
          <w:b/>
          <w:sz w:val="21"/>
          <w:szCs w:val="21"/>
        </w:rPr>
      </w:pPr>
      <w:r>
        <w:rPr>
          <w:rFonts w:eastAsia="方正黑体简体" w:cs="Arial" w:ascii="Arial" w:hAnsi="Arial"/>
          <w:b/>
          <w:sz w:val="21"/>
          <w:szCs w:val="21"/>
        </w:rPr>
      </w:r>
    </w:p>
    <w:p>
      <w:pPr>
        <w:pStyle w:val="ListParagraph"/>
        <w:numPr>
          <w:ilvl w:val="0"/>
          <w:numId w:val="2"/>
        </w:numPr>
        <w:spacing w:lineRule="exact" w:line="300"/>
        <w:jc w:val="both"/>
        <w:outlineLvl w:val="0"/>
        <w:rPr>
          <w:rFonts w:ascii="Arial" w:hAnsi="Arial" w:eastAsia="方正黑体简体" w:cs="Arial"/>
          <w:b/>
          <w:b/>
          <w:sz w:val="21"/>
          <w:szCs w:val="21"/>
        </w:rPr>
      </w:pPr>
      <w:r>
        <w:rPr>
          <w:rFonts w:ascii="Arial" w:hAnsi="Arial" w:cs="Arial" w:eastAsia="方正黑体简体"/>
          <w:b/>
          <w:sz w:val="21"/>
          <w:szCs w:val="21"/>
        </w:rPr>
        <w:t>注册房地产估价师：</w:t>
      </w:r>
    </w:p>
    <w:p>
      <w:pPr>
        <w:pStyle w:val="ListParagraph"/>
        <w:spacing w:lineRule="exact" w:line="300"/>
        <w:ind w:left="360" w:hanging="0"/>
        <w:jc w:val="both"/>
        <w:rPr>
          <w:rFonts w:ascii="Arial" w:hAnsi="Arial" w:eastAsia="方正黑体简体" w:cs="Arial"/>
          <w:sz w:val="21"/>
          <w:szCs w:val="21"/>
        </w:rPr>
      </w:pPr>
      <w:r>
        <w:rPr>
          <w:rFonts w:ascii="Arial" w:hAnsi="Arial" w:cs="Arial" w:eastAsia="方正黑体简体"/>
          <w:sz w:val="21"/>
          <w:szCs w:val="21"/>
        </w:rPr>
        <w:t>高  鹏（注册号：</w:t>
      </w:r>
      <w:r>
        <w:rPr>
          <w:rFonts w:eastAsia="方正黑体简体" w:cs="Arial" w:ascii="Arial" w:hAnsi="Arial"/>
          <w:sz w:val="21"/>
          <w:szCs w:val="21"/>
        </w:rPr>
        <w:t>1120140024</w:t>
      </w:r>
      <w:r>
        <w:rPr>
          <w:rFonts w:ascii="Arial" w:hAnsi="Arial" w:cs="Arial" w:eastAsia="方正黑体简体"/>
          <w:sz w:val="21"/>
          <w:szCs w:val="21"/>
        </w:rPr>
        <w:t>）、许皓源（注册号：</w:t>
      </w:r>
      <w:r>
        <w:rPr>
          <w:rFonts w:eastAsia="方正黑体简体" w:cs="Arial" w:ascii="Arial" w:hAnsi="Arial"/>
          <w:sz w:val="21"/>
          <w:szCs w:val="21"/>
        </w:rPr>
        <w:t>1119980019</w:t>
      </w:r>
      <w:r>
        <w:rPr>
          <w:rFonts w:ascii="Arial" w:hAnsi="Arial" w:cs="Arial" w:eastAsia="方正黑体简体"/>
          <w:sz w:val="21"/>
          <w:szCs w:val="21"/>
        </w:rPr>
        <w:t>）</w:t>
      </w:r>
    </w:p>
    <w:p>
      <w:pPr>
        <w:pStyle w:val="Normal"/>
        <w:spacing w:lineRule="exact" w:line="300"/>
        <w:jc w:val="both"/>
        <w:rPr>
          <w:rFonts w:ascii="Arial" w:hAnsi="Arial" w:eastAsia="方正黑体简体" w:cs="Arial"/>
          <w:b/>
          <w:b/>
          <w:sz w:val="21"/>
          <w:szCs w:val="21"/>
        </w:rPr>
      </w:pPr>
      <w:r>
        <w:rPr>
          <w:rFonts w:eastAsia="方正黑体简体" w:cs="Arial" w:ascii="Arial" w:hAnsi="Arial"/>
          <w:b/>
          <w:sz w:val="21"/>
          <w:szCs w:val="21"/>
        </w:rPr>
      </w:r>
    </w:p>
    <w:p>
      <w:pPr>
        <w:pStyle w:val="ListParagraph"/>
        <w:numPr>
          <w:ilvl w:val="0"/>
          <w:numId w:val="2"/>
        </w:numPr>
        <w:spacing w:lineRule="exact" w:line="300"/>
        <w:jc w:val="both"/>
        <w:outlineLvl w:val="0"/>
        <w:rPr>
          <w:rFonts w:ascii="Arial" w:hAnsi="Arial" w:eastAsia="方正黑体简体" w:cs="Arial"/>
          <w:b/>
          <w:b/>
          <w:sz w:val="21"/>
          <w:szCs w:val="21"/>
        </w:rPr>
      </w:pPr>
      <w:r>
        <w:rPr>
          <w:rFonts w:ascii="Arial" w:hAnsi="Arial" w:cs="Arial" w:eastAsia="方正黑体简体"/>
          <w:b/>
          <w:sz w:val="21"/>
          <w:szCs w:val="21"/>
        </w:rPr>
        <w:t>估价报告出具日期：</w:t>
      </w:r>
    </w:p>
    <w:p>
      <w:pPr>
        <w:pStyle w:val="ListParagraph"/>
        <w:spacing w:lineRule="exact" w:line="300"/>
        <w:ind w:left="360" w:hanging="0"/>
        <w:jc w:val="both"/>
        <w:rPr>
          <w:rFonts w:ascii="Arial" w:hAnsi="Arial" w:eastAsia="方正黑体简体" w:cs="Arial"/>
          <w:sz w:val="21"/>
          <w:szCs w:val="21"/>
        </w:rPr>
      </w:pPr>
      <w:r>
        <w:rPr>
          <w:rFonts w:eastAsia="方正黑体简体" w:cs="Arial" w:ascii="Arial" w:hAnsi="Arial"/>
          <w:sz w:val="21"/>
          <w:szCs w:val="21"/>
        </w:rPr>
        <w:t>2023</w:t>
      </w:r>
      <w:r>
        <w:rPr>
          <w:rFonts w:ascii="Arial" w:hAnsi="Arial" w:cs="Arial" w:eastAsia="方正黑体简体"/>
          <w:sz w:val="21"/>
          <w:szCs w:val="21"/>
        </w:rPr>
        <w:t>年</w:t>
      </w:r>
      <w:r>
        <w:rPr>
          <w:rFonts w:eastAsia="方正黑体简体" w:cs="Arial" w:ascii="Arial" w:hAnsi="Arial"/>
          <w:sz w:val="21"/>
          <w:szCs w:val="21"/>
        </w:rPr>
        <w:t>12</w:t>
      </w:r>
      <w:r>
        <w:rPr>
          <w:rFonts w:ascii="Arial" w:hAnsi="Arial" w:cs="Arial" w:eastAsia="方正黑体简体"/>
          <w:sz w:val="21"/>
          <w:szCs w:val="21"/>
        </w:rPr>
        <w:t>月</w:t>
      </w:r>
      <w:r>
        <w:rPr>
          <w:rFonts w:eastAsia="方正黑体简体" w:cs="Arial" w:ascii="Arial" w:hAnsi="Arial"/>
          <w:sz w:val="21"/>
          <w:szCs w:val="21"/>
        </w:rPr>
        <w:t>8</w:t>
      </w:r>
      <w:r>
        <w:rPr>
          <w:rFonts w:ascii="Arial" w:hAnsi="Arial" w:cs="Arial" w:eastAsia="方正黑体简体"/>
          <w:sz w:val="21"/>
          <w:szCs w:val="21"/>
        </w:rPr>
        <w:t>日</w:t>
      </w:r>
    </w:p>
    <w:p>
      <w:pPr>
        <w:pStyle w:val="Normal"/>
        <w:spacing w:lineRule="exact" w:line="300"/>
        <w:jc w:val="both"/>
        <w:rPr>
          <w:rFonts w:ascii="Arial" w:hAnsi="Arial" w:eastAsia="方正黑体简体" w:cs="Arial"/>
          <w:b/>
          <w:b/>
          <w:sz w:val="21"/>
          <w:szCs w:val="21"/>
        </w:rPr>
      </w:pPr>
      <w:r>
        <w:rPr>
          <w:rFonts w:eastAsia="方正黑体简体" w:cs="Arial" w:ascii="Arial" w:hAnsi="Arial"/>
          <w:b/>
          <w:sz w:val="21"/>
          <w:szCs w:val="21"/>
        </w:rPr>
      </w:r>
    </w:p>
    <w:p>
      <w:pPr>
        <w:pStyle w:val="ListParagraph"/>
        <w:numPr>
          <w:ilvl w:val="0"/>
          <w:numId w:val="2"/>
        </w:numPr>
        <w:spacing w:lineRule="exact" w:line="300"/>
        <w:jc w:val="both"/>
        <w:outlineLvl w:val="0"/>
        <w:rPr>
          <w:rFonts w:ascii="Arial" w:hAnsi="Arial" w:eastAsia="方正黑体简体" w:cs="Arial"/>
          <w:sz w:val="21"/>
          <w:szCs w:val="21"/>
        </w:rPr>
      </w:pPr>
      <w:r>
        <w:rPr>
          <w:rFonts w:ascii="Arial" w:hAnsi="Arial" w:cs="Arial" w:eastAsia="方正黑体简体"/>
          <w:b/>
          <w:sz w:val="21"/>
          <w:szCs w:val="21"/>
        </w:rPr>
        <w:t>估价报告编号：</w:t>
      </w:r>
    </w:p>
    <w:p>
      <w:pPr>
        <w:sectPr>
          <w:headerReference w:type="default" r:id="rId2"/>
          <w:footerReference w:type="default" r:id="rId3"/>
          <w:type w:val="nextPage"/>
          <w:pgSz w:w="11906" w:h="16838"/>
          <w:pgMar w:left="1134" w:right="1134" w:header="850" w:top="1843" w:footer="1134" w:bottom="1191" w:gutter="0"/>
          <w:pgNumType w:fmt="decimal"/>
          <w:formProt w:val="false"/>
          <w:textDirection w:val="lrTb"/>
          <w:docGrid w:type="default" w:linePitch="326" w:charSpace="0"/>
        </w:sectPr>
        <w:pStyle w:val="ListParagraph"/>
        <w:spacing w:lineRule="exact" w:line="300"/>
        <w:ind w:left="360" w:hanging="0"/>
        <w:jc w:val="both"/>
        <w:rPr>
          <w:rFonts w:ascii="Arial" w:hAnsi="Arial" w:eastAsia="方正黑体简体" w:cs="Arial"/>
          <w:sz w:val="21"/>
          <w:szCs w:val="21"/>
        </w:rPr>
      </w:pPr>
      <w:r>
        <w:rPr>
          <w:rFonts w:ascii="Arial" w:hAnsi="Arial" w:cs="Arial" w:eastAsia="方正黑体简体"/>
          <w:sz w:val="21"/>
          <w:szCs w:val="21"/>
        </w:rPr>
        <w:t>康正评字</w:t>
      </w:r>
      <w:r>
        <w:rPr>
          <w:rFonts w:eastAsia="方正黑体简体" w:cs="Arial" w:ascii="Arial" w:hAnsi="Arial"/>
          <w:sz w:val="21"/>
          <w:szCs w:val="21"/>
        </w:rPr>
        <w:tab/>
        <w:t>2023-1-0839-F02HDZC6</w:t>
      </w:r>
      <w:r>
        <w:rPr>
          <w:rFonts w:ascii="Arial" w:hAnsi="Arial" w:cs="Arial" w:eastAsia="方正黑体简体"/>
          <w:sz w:val="21"/>
          <w:szCs w:val="21"/>
        </w:rPr>
        <w:t>号</w:t>
      </w:r>
    </w:p>
    <w:p>
      <w:pPr>
        <w:pStyle w:val="1"/>
        <w:spacing w:lineRule="auto" w:line="480"/>
        <w:jc w:val="center"/>
        <w:rPr>
          <w:rFonts w:eastAsia="方正黑体简体"/>
          <w:b w:val="false"/>
          <w:b w:val="false"/>
          <w:kern w:val="2"/>
          <w:sz w:val="32"/>
          <w:szCs w:val="32"/>
        </w:rPr>
      </w:pPr>
      <w:bookmarkStart w:id="0" w:name="_Toc379795040"/>
      <w:bookmarkStart w:id="1" w:name="_Toc477252437"/>
      <w:bookmarkStart w:id="2" w:name="_Toc525655414"/>
      <w:r>
        <w:rPr>
          <w:rFonts w:eastAsia="方正黑体简体"/>
          <w:b w:val="false"/>
          <w:kern w:val="2"/>
          <w:sz w:val="32"/>
          <w:szCs w:val="32"/>
        </w:rPr>
        <w:t>致估价委托人函</w:t>
      </w:r>
      <w:bookmarkEnd w:id="0"/>
      <w:bookmarkEnd w:id="1"/>
      <w:bookmarkEnd w:id="2"/>
    </w:p>
    <w:p>
      <w:pPr>
        <w:pStyle w:val="Normal"/>
        <w:overflowPunct w:val="false"/>
        <w:spacing w:lineRule="auto" w:line="480"/>
        <w:jc w:val="both"/>
        <w:rPr>
          <w:rFonts w:ascii="Arial" w:hAnsi="Arial" w:cs="Arial"/>
          <w:b/>
          <w:b/>
          <w:bCs/>
          <w:sz w:val="21"/>
          <w:szCs w:val="21"/>
        </w:rPr>
      </w:pPr>
      <w:r>
        <w:rPr>
          <w:rFonts w:ascii="Arial" w:hAnsi="Arial" w:cs="Arial"/>
          <w:b/>
          <w:bCs/>
          <w:sz w:val="21"/>
          <w:szCs w:val="21"/>
        </w:rPr>
        <w:t>北京市燕房保障性住房建设投资有限公司：</w:t>
      </w:r>
    </w:p>
    <w:p>
      <w:pPr>
        <w:pStyle w:val="Normal"/>
        <w:overflowPunct w:val="false"/>
        <w:spacing w:lineRule="auto" w:line="480"/>
        <w:ind w:firstLine="420"/>
        <w:jc w:val="both"/>
        <w:rPr>
          <w:rFonts w:ascii="Arial" w:hAnsi="Arial" w:cs="Arial"/>
          <w:sz w:val="21"/>
          <w:szCs w:val="21"/>
        </w:rPr>
      </w:pPr>
      <w:r>
        <w:rPr>
          <w:rFonts w:ascii="Arial" w:hAnsi="Arial" w:cs="Arial"/>
          <w:kern w:val="2"/>
          <w:sz w:val="21"/>
          <w:szCs w:val="21"/>
        </w:rPr>
        <w:t>受贵单位委托，我公司对北京市房山区文雅街</w:t>
      </w:r>
      <w:r>
        <w:rPr>
          <w:rFonts w:cs="Arial" w:ascii="Arial" w:hAnsi="Arial"/>
          <w:kern w:val="2"/>
          <w:sz w:val="21"/>
          <w:szCs w:val="21"/>
        </w:rPr>
        <w:t>1</w:t>
      </w:r>
      <w:r>
        <w:rPr>
          <w:rFonts w:ascii="Arial" w:hAnsi="Arial" w:cs="Arial"/>
          <w:kern w:val="2"/>
          <w:sz w:val="21"/>
          <w:szCs w:val="21"/>
        </w:rPr>
        <w:t>号院轩景家园共计</w:t>
      </w:r>
      <w:r>
        <w:rPr>
          <w:rFonts w:cs="Arial" w:ascii="Arial" w:hAnsi="Arial"/>
          <w:kern w:val="2"/>
          <w:sz w:val="21"/>
          <w:szCs w:val="21"/>
        </w:rPr>
        <w:t>770</w:t>
      </w:r>
      <w:r>
        <w:rPr>
          <w:rFonts w:ascii="Arial" w:hAnsi="Arial" w:cs="Arial"/>
          <w:kern w:val="2"/>
          <w:sz w:val="21"/>
          <w:szCs w:val="21"/>
        </w:rPr>
        <w:t>套共有产权住房市场租金水平进行</w:t>
      </w:r>
      <w:r>
        <w:rPr>
          <w:rFonts w:ascii="Arial" w:hAnsi="Arial" w:cs="Arial"/>
          <w:sz w:val="21"/>
          <w:szCs w:val="21"/>
        </w:rPr>
        <w:t>了评估</w:t>
      </w:r>
      <w:r>
        <w:rPr>
          <w:rFonts w:ascii="Arial" w:hAnsi="Arial" w:cs="Arial"/>
          <w:kern w:val="2"/>
          <w:sz w:val="21"/>
          <w:szCs w:val="21"/>
        </w:rPr>
        <w:t>。</w:t>
      </w:r>
    </w:p>
    <w:p>
      <w:pPr>
        <w:pStyle w:val="Normal"/>
        <w:overflowPunct w:val="false"/>
        <w:spacing w:lineRule="auto" w:line="480"/>
        <w:ind w:firstLine="422"/>
        <w:jc w:val="both"/>
        <w:rPr>
          <w:rFonts w:ascii="Arial" w:hAnsi="Arial" w:cs="Arial"/>
          <w:kern w:val="2"/>
          <w:sz w:val="21"/>
          <w:szCs w:val="21"/>
        </w:rPr>
      </w:pPr>
      <w:r>
        <w:rPr>
          <w:rFonts w:ascii="Arial" w:hAnsi="Arial" w:cs="Arial"/>
          <w:b/>
          <w:bCs/>
          <w:sz w:val="21"/>
          <w:szCs w:val="21"/>
        </w:rPr>
        <w:t>估价对象：</w:t>
      </w:r>
      <w:r>
        <w:rPr>
          <w:rFonts w:ascii="Arial" w:hAnsi="Arial" w:cs="Arial"/>
          <w:bCs/>
          <w:sz w:val="21"/>
          <w:szCs w:val="21"/>
        </w:rPr>
        <w:t>估价对象为</w:t>
      </w:r>
      <w:r>
        <w:rPr>
          <w:rFonts w:ascii="Arial" w:hAnsi="Arial" w:cs="Arial"/>
          <w:kern w:val="2"/>
          <w:sz w:val="21"/>
          <w:szCs w:val="21"/>
        </w:rPr>
        <w:t>北京市房山区文雅街</w:t>
      </w:r>
      <w:r>
        <w:rPr>
          <w:rFonts w:cs="Arial" w:ascii="Arial" w:hAnsi="Arial"/>
          <w:kern w:val="2"/>
          <w:sz w:val="21"/>
          <w:szCs w:val="21"/>
        </w:rPr>
        <w:t>1</w:t>
      </w:r>
      <w:r>
        <w:rPr>
          <w:rFonts w:ascii="Arial" w:hAnsi="Arial" w:cs="Arial"/>
          <w:kern w:val="2"/>
          <w:sz w:val="21"/>
          <w:szCs w:val="21"/>
        </w:rPr>
        <w:t>号院轩景家园共计</w:t>
      </w:r>
      <w:r>
        <w:rPr>
          <w:rFonts w:cs="Arial" w:ascii="Arial" w:hAnsi="Arial"/>
          <w:kern w:val="2"/>
          <w:sz w:val="21"/>
          <w:szCs w:val="21"/>
        </w:rPr>
        <w:t>770</w:t>
      </w:r>
      <w:r>
        <w:rPr>
          <w:rFonts w:ascii="Arial" w:hAnsi="Arial" w:cs="Arial"/>
          <w:kern w:val="2"/>
          <w:sz w:val="21"/>
          <w:szCs w:val="21"/>
        </w:rPr>
        <w:t>套共有产权住房，估价对象所属项目证载四至为东至城市道路用地，南至公园绿地，西至公园绿地，北至公园绿地，现状四至为</w:t>
      </w:r>
      <w:commentRangeStart w:id="0"/>
      <w:r>
        <w:rPr>
          <w:rFonts w:ascii="Arial" w:hAnsi="Arial" w:cs="Arial"/>
          <w:kern w:val="2"/>
          <w:sz w:val="21"/>
          <w:szCs w:val="21"/>
        </w:rPr>
        <w:t>东至房山区教师进修学校（新址），南至世茂轩景颂小区，西至世茂轩景颂小区</w:t>
      </w:r>
      <w:r>
        <w:rPr>
          <w:rFonts w:ascii="Arial" w:hAnsi="Arial" w:cs="Arial"/>
          <w:kern w:val="2"/>
          <w:sz w:val="21"/>
          <w:szCs w:val="21"/>
        </w:rPr>
      </w:r>
      <w:commentRangeEnd w:id="0"/>
      <w:r>
        <w:commentReference w:id="0"/>
      </w:r>
      <w:r>
        <w:rPr>
          <w:rFonts w:ascii="Arial" w:hAnsi="Arial" w:cs="Arial"/>
          <w:kern w:val="2"/>
          <w:sz w:val="21"/>
          <w:szCs w:val="21"/>
        </w:rPr>
        <w:t>，北至高教园一号路。</w:t>
      </w:r>
    </w:p>
    <w:p>
      <w:pPr>
        <w:pStyle w:val="Normal"/>
        <w:overflowPunct w:val="false"/>
        <w:spacing w:lineRule="auto" w:line="480"/>
        <w:ind w:firstLine="420"/>
        <w:jc w:val="both"/>
        <w:rPr>
          <w:rFonts w:ascii="Arial" w:hAnsi="Arial" w:cs="Arial"/>
          <w:sz w:val="21"/>
          <w:szCs w:val="21"/>
        </w:rPr>
      </w:pPr>
      <w:r>
        <w:rPr>
          <w:rFonts w:ascii="Arial" w:hAnsi="Arial" w:cs="Arial"/>
          <w:kern w:val="2"/>
          <w:sz w:val="21"/>
          <w:szCs w:val="21"/>
        </w:rPr>
        <w:t>根据估价委托人提供的</w:t>
      </w:r>
      <w:r>
        <w:rPr>
          <w:rFonts w:ascii="Arial" w:hAnsi="Arial" w:cs="Arial"/>
          <w:sz w:val="21"/>
          <w:szCs w:val="21"/>
        </w:rPr>
        <w:t>《不动产权证书》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复印件及</w:t>
      </w:r>
      <w:r>
        <w:rPr>
          <w:rFonts w:ascii="Arial" w:hAnsi="Arial" w:cs="Arial"/>
          <w:kern w:val="2"/>
          <w:sz w:val="21"/>
          <w:szCs w:val="21"/>
        </w:rPr>
        <w:t>《轩景家园共有产权房房源表》</w:t>
      </w:r>
      <w:r>
        <w:rPr>
          <w:rFonts w:ascii="Arial" w:hAnsi="Arial" w:cs="Arial"/>
          <w:sz w:val="21"/>
          <w:szCs w:val="21"/>
        </w:rPr>
        <w:t>复印件</w:t>
      </w:r>
      <w:r>
        <w:rPr>
          <w:rFonts w:ascii="Arial" w:hAnsi="Arial" w:cs="Arial"/>
        </w:rPr>
        <w:t>，</w:t>
      </w:r>
      <w:r>
        <w:rPr>
          <w:rFonts w:ascii="Arial" w:hAnsi="Arial" w:cs="Arial"/>
          <w:kern w:val="2"/>
          <w:sz w:val="21"/>
          <w:szCs w:val="21"/>
        </w:rPr>
        <w:t>估价对象所属项目不动产权利人为北京世茂嘉年华房地产开发有限公司，共有情况为单独所有，坐落为北京市房山区拱辰街道</w:t>
      </w:r>
      <w:r>
        <w:rPr>
          <w:rFonts w:cs="Arial" w:ascii="Arial" w:hAnsi="Arial"/>
          <w:kern w:val="2"/>
          <w:sz w:val="21"/>
          <w:szCs w:val="21"/>
        </w:rPr>
        <w:t>FSO0-LX09-6001</w:t>
      </w:r>
      <w:r>
        <w:rPr>
          <w:rFonts w:ascii="Arial" w:hAnsi="Arial" w:cs="Arial"/>
          <w:kern w:val="2"/>
          <w:sz w:val="21"/>
          <w:szCs w:val="21"/>
        </w:rPr>
        <w:t>地块</w:t>
      </w:r>
      <w:r>
        <w:rPr>
          <w:rFonts w:cs="Arial" w:ascii="Arial" w:hAnsi="Arial"/>
          <w:kern w:val="2"/>
          <w:sz w:val="21"/>
          <w:szCs w:val="21"/>
        </w:rPr>
        <w:t>R2</w:t>
      </w:r>
      <w:r>
        <w:rPr>
          <w:rFonts w:ascii="Arial" w:hAnsi="Arial" w:cs="Arial"/>
          <w:kern w:val="2"/>
          <w:sz w:val="21"/>
          <w:szCs w:val="21"/>
        </w:rPr>
        <w:t>二类居住用地，权利类型为国有建设用地使用权，权利性质为出让，用途为城镇住宅用地、商业、办公（公共服务设施）、地下仓储、地下车库，估价对象所属项目出让国有建设用地使用权总面积为</w:t>
      </w:r>
      <w:r>
        <w:rPr>
          <w:rFonts w:cs="Arial" w:ascii="Arial" w:hAnsi="Arial"/>
          <w:kern w:val="2"/>
          <w:sz w:val="21"/>
          <w:szCs w:val="21"/>
        </w:rPr>
        <w:t>31805.73</w:t>
      </w:r>
      <w:r>
        <w:rPr>
          <w:rFonts w:ascii="Arial" w:hAnsi="Arial" w:cs="Arial"/>
          <w:kern w:val="2"/>
          <w:sz w:val="21"/>
          <w:szCs w:val="21"/>
        </w:rPr>
        <w:t>平方米，估价对象建筑面积共计</w:t>
      </w:r>
      <w:r>
        <w:rPr>
          <w:rFonts w:cs="Arial" w:ascii="Arial" w:hAnsi="Arial"/>
          <w:kern w:val="2"/>
          <w:sz w:val="21"/>
          <w:szCs w:val="21"/>
        </w:rPr>
        <w:t>68237.69</w:t>
      </w:r>
      <w:r>
        <w:rPr>
          <w:rFonts w:ascii="Arial" w:hAnsi="Arial" w:cs="Arial"/>
          <w:kern w:val="2"/>
          <w:sz w:val="21"/>
          <w:szCs w:val="21"/>
        </w:rPr>
        <w:t>平方米。</w:t>
      </w:r>
    </w:p>
    <w:p>
      <w:pPr>
        <w:pStyle w:val="Normal"/>
        <w:tabs>
          <w:tab w:val="clear" w:pos="425"/>
          <w:tab w:val="left" w:pos="3544" w:leader="none"/>
        </w:tabs>
        <w:overflowPunct w:val="false"/>
        <w:spacing w:lineRule="auto" w:line="480"/>
        <w:ind w:firstLine="420"/>
        <w:jc w:val="both"/>
        <w:rPr>
          <w:rStyle w:val="Annotationreference"/>
          <w:rFonts w:ascii="Arial" w:hAnsi="Arial" w:cs="Arial"/>
        </w:rPr>
      </w:pPr>
      <w:r>
        <w:rPr>
          <w:rFonts w:ascii="Arial" w:hAnsi="Arial" w:cs="Arial"/>
          <w:kern w:val="2"/>
          <w:sz w:val="21"/>
          <w:szCs w:val="21"/>
        </w:rPr>
        <w:t>估价对象所属项目位于北京市房山区文雅街</w:t>
      </w:r>
      <w:r>
        <w:rPr>
          <w:rFonts w:cs="Arial" w:ascii="Arial" w:hAnsi="Arial"/>
          <w:kern w:val="2"/>
          <w:sz w:val="21"/>
          <w:szCs w:val="21"/>
        </w:rPr>
        <w:t>1</w:t>
      </w:r>
      <w:r>
        <w:rPr>
          <w:rFonts w:ascii="Arial" w:hAnsi="Arial" w:cs="Arial"/>
          <w:kern w:val="2"/>
          <w:sz w:val="21"/>
          <w:szCs w:val="21"/>
        </w:rPr>
        <w:t>号院（轩景家园共有产权住房），该项目有</w:t>
      </w:r>
      <w:r>
        <w:rPr>
          <w:rFonts w:cs="Arial" w:ascii="Arial" w:hAnsi="Arial"/>
          <w:kern w:val="2"/>
          <w:sz w:val="21"/>
          <w:szCs w:val="21"/>
        </w:rPr>
        <w:t>1#</w:t>
      </w:r>
      <w:r>
        <w:rPr>
          <w:rFonts w:ascii="Arial" w:hAnsi="Arial" w:cs="Arial"/>
          <w:kern w:val="2"/>
          <w:sz w:val="21"/>
          <w:szCs w:val="21"/>
        </w:rPr>
        <w:t>至</w:t>
      </w:r>
      <w:r>
        <w:rPr>
          <w:rFonts w:cs="Arial" w:ascii="Arial" w:hAnsi="Arial"/>
          <w:kern w:val="2"/>
          <w:sz w:val="21"/>
          <w:szCs w:val="21"/>
        </w:rPr>
        <w:t>16#</w:t>
      </w:r>
      <w:r>
        <w:rPr>
          <w:rFonts w:ascii="Arial" w:hAnsi="Arial" w:cs="Arial"/>
          <w:kern w:val="2"/>
          <w:sz w:val="21"/>
          <w:szCs w:val="21"/>
        </w:rPr>
        <w:t>共</w:t>
      </w:r>
      <w:r>
        <w:rPr>
          <w:rFonts w:cs="Arial" w:ascii="Arial" w:hAnsi="Arial"/>
          <w:kern w:val="2"/>
          <w:sz w:val="21"/>
          <w:szCs w:val="21"/>
        </w:rPr>
        <w:t>16</w:t>
      </w:r>
      <w:r>
        <w:rPr>
          <w:rFonts w:ascii="Arial" w:hAnsi="Arial" w:cs="Arial"/>
          <w:kern w:val="2"/>
          <w:sz w:val="21"/>
          <w:szCs w:val="21"/>
        </w:rPr>
        <w:t>栋共有产权住房，建成于</w:t>
      </w:r>
      <w:r>
        <w:rPr>
          <w:rFonts w:cs="Arial" w:ascii="Arial" w:hAnsi="Arial"/>
          <w:kern w:val="2"/>
          <w:sz w:val="21"/>
          <w:szCs w:val="21"/>
        </w:rPr>
        <w:t>2023</w:t>
      </w:r>
      <w:r>
        <w:rPr>
          <w:rFonts w:ascii="Arial" w:hAnsi="Arial" w:cs="Arial"/>
          <w:kern w:val="2"/>
          <w:sz w:val="21"/>
          <w:szCs w:val="21"/>
        </w:rPr>
        <w:t>年。根据估价委托人提供的《轩景家园共有产权房房源表》</w:t>
      </w:r>
      <w:r>
        <w:rPr>
          <w:rFonts w:ascii="Arial" w:hAnsi="Arial" w:cs="Arial"/>
          <w:sz w:val="21"/>
          <w:szCs w:val="21"/>
        </w:rPr>
        <w:t>复印件</w:t>
      </w:r>
      <w:r>
        <w:rPr>
          <w:rFonts w:ascii="Arial" w:hAnsi="Arial" w:cs="Arial"/>
          <w:kern w:val="2"/>
          <w:sz w:val="21"/>
          <w:szCs w:val="21"/>
        </w:rPr>
        <w:t>，估价对象建筑面积共计</w:t>
      </w:r>
      <w:r>
        <w:rPr>
          <w:rFonts w:cs="Arial" w:ascii="Arial" w:hAnsi="Arial"/>
          <w:kern w:val="2"/>
          <w:sz w:val="21"/>
          <w:szCs w:val="21"/>
        </w:rPr>
        <w:t>68237.69</w:t>
      </w:r>
      <w:r>
        <w:rPr>
          <w:rFonts w:ascii="Arial" w:hAnsi="Arial" w:cs="Arial"/>
          <w:kern w:val="2"/>
          <w:sz w:val="21"/>
          <w:szCs w:val="21"/>
        </w:rPr>
        <w:t>平方米，可</w:t>
      </w:r>
      <w:commentRangeStart w:id="1"/>
      <w:r>
        <w:rPr>
          <w:rFonts w:ascii="Arial" w:hAnsi="Arial" w:cs="Arial"/>
          <w:kern w:val="2"/>
          <w:sz w:val="21"/>
          <w:szCs w:val="21"/>
        </w:rPr>
        <w:t>对外配租</w:t>
      </w:r>
      <w:r>
        <w:rPr>
          <w:rFonts w:ascii="Arial" w:hAnsi="Arial" w:cs="Arial"/>
          <w:kern w:val="2"/>
          <w:sz w:val="21"/>
          <w:szCs w:val="21"/>
        </w:rPr>
      </w:r>
      <w:commentRangeEnd w:id="1"/>
      <w:r>
        <w:commentReference w:id="1"/>
      </w:r>
      <w:r>
        <w:rPr>
          <w:rFonts w:ascii="Arial" w:hAnsi="Arial" w:cs="Arial"/>
          <w:kern w:val="2"/>
          <w:sz w:val="21"/>
          <w:szCs w:val="21"/>
        </w:rPr>
        <w:t>房屋共计</w:t>
      </w:r>
      <w:r>
        <w:rPr>
          <w:rFonts w:cs="Arial" w:ascii="Arial" w:hAnsi="Arial"/>
          <w:kern w:val="2"/>
          <w:sz w:val="21"/>
          <w:szCs w:val="21"/>
        </w:rPr>
        <w:t>770</w:t>
      </w:r>
      <w:r>
        <w:rPr>
          <w:rFonts w:ascii="Arial" w:hAnsi="Arial" w:cs="Arial"/>
          <w:kern w:val="2"/>
          <w:sz w:val="21"/>
          <w:szCs w:val="21"/>
        </w:rPr>
        <w:t>套。房源具体户型等情况详见下表：</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976"/>
        <w:gridCol w:w="1248"/>
        <w:gridCol w:w="977"/>
        <w:gridCol w:w="1696"/>
        <w:gridCol w:w="974"/>
        <w:gridCol w:w="1157"/>
        <w:gridCol w:w="1261"/>
        <w:gridCol w:w="1008"/>
      </w:tblGrid>
      <w:tr>
        <w:trPr>
          <w:tblHeader w:val="true"/>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户型</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朝向</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套型</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套数</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总建筑面积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1261"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Arial" w:hAnsi="Arial" w:cs="Arial"/>
                <w:b/>
                <w:b/>
                <w:bCs/>
                <w:sz w:val="18"/>
                <w:szCs w:val="18"/>
              </w:rPr>
            </w:pPr>
            <w:r>
              <w:rPr>
                <w:rFonts w:ascii="Arial" w:hAnsi="Arial" w:cs="Arial"/>
                <w:b/>
                <w:bCs/>
                <w:sz w:val="18"/>
                <w:szCs w:val="18"/>
              </w:rPr>
              <w:t>所属楼宇</w:t>
            </w:r>
          </w:p>
          <w:p>
            <w:pPr>
              <w:pStyle w:val="Normal"/>
              <w:jc w:val="center"/>
              <w:rPr>
                <w:rFonts w:ascii="Arial" w:hAnsi="Arial" w:cs="Arial"/>
                <w:b/>
                <w:b/>
                <w:bCs/>
                <w:sz w:val="18"/>
                <w:szCs w:val="18"/>
              </w:rPr>
            </w:pPr>
            <w:r>
              <w:rPr>
                <w:rFonts w:ascii="Arial" w:hAnsi="Arial" w:cs="Arial"/>
                <w:b/>
                <w:bCs/>
                <w:sz w:val="18"/>
                <w:szCs w:val="18"/>
              </w:rPr>
              <w:t>（现状）</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比例</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4282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5.19%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107.65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2153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6435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87.72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4210.56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6.23%</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87.89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175.78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88.04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4754.16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7.01%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3706.08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1412.64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88.38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176.76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1856.61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2.73%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3627.68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1770</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3717.42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2832.96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88.61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1594.98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2.34%</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88.81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1243.34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1690.81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1691.95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3473.34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5.06%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3028.72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r>
              <w:rPr>
                <w:rFonts w:ascii="Arial" w:hAnsi="Arial" w:cs="Arial"/>
                <w:sz w:val="18"/>
                <w:szCs w:val="18"/>
              </w:rPr>
              <w:t>、</w:t>
            </w: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4.42%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1425.6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1701.26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7164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10.39%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603</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53468.28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64.21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256.84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0.52%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64.57</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129.14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451.41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0.91%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C1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两室两厅一卫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13#</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合计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68237.69</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r>
    </w:tbl>
    <w:p>
      <w:pPr>
        <w:pStyle w:val="Normal"/>
        <w:overflowPunct w:val="false"/>
        <w:snapToGrid w:val="false"/>
        <w:ind w:firstLine="360"/>
        <w:jc w:val="both"/>
        <w:rPr>
          <w:rFonts w:ascii="Arial" w:hAnsi="Arial" w:cs="Arial"/>
          <w:kern w:val="2"/>
          <w:sz w:val="18"/>
          <w:szCs w:val="18"/>
        </w:rPr>
      </w:pPr>
      <w:r>
        <w:rPr>
          <w:rFonts w:cs="Arial" w:ascii="Arial" w:hAnsi="Arial"/>
          <w:kern w:val="2"/>
          <w:sz w:val="18"/>
          <w:szCs w:val="18"/>
        </w:rPr>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于价值时点，估价对象已竣工备案，室内装修情况为全装修。</w:t>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参照《关于发布《北京市共有产权住房价格评估技术指引》的通知》</w:t>
      </w:r>
      <w:r>
        <w:rPr>
          <w:rFonts w:cs="Arial" w:ascii="Arial" w:hAnsi="Arial"/>
          <w:sz w:val="21"/>
          <w:szCs w:val="21"/>
        </w:rPr>
        <w:t>[</w:t>
      </w:r>
      <w:r>
        <w:rPr>
          <w:rFonts w:ascii="Arial" w:hAnsi="Arial" w:cs="Arial"/>
          <w:sz w:val="21"/>
          <w:szCs w:val="21"/>
        </w:rPr>
        <w:t>北估秘</w:t>
      </w:r>
      <w:r>
        <w:rPr>
          <w:rFonts w:cs="Arial" w:ascii="Arial" w:hAnsi="Arial"/>
          <w:sz w:val="21"/>
          <w:szCs w:val="21"/>
        </w:rPr>
        <w:t>[2023]002</w:t>
      </w:r>
      <w:r>
        <w:rPr>
          <w:rFonts w:ascii="Arial" w:hAnsi="Arial" w:cs="Arial"/>
          <w:sz w:val="21"/>
          <w:szCs w:val="21"/>
        </w:rPr>
        <w:t>号</w:t>
      </w:r>
      <w:r>
        <w:rPr>
          <w:rFonts w:cs="Arial" w:ascii="Arial" w:hAnsi="Arial"/>
          <w:sz w:val="21"/>
          <w:szCs w:val="21"/>
        </w:rPr>
        <w:t>]</w:t>
      </w:r>
      <w:r>
        <w:rPr>
          <w:rFonts w:ascii="Arial" w:hAnsi="Arial" w:cs="Arial"/>
          <w:kern w:val="2"/>
          <w:sz w:val="21"/>
          <w:szCs w:val="21"/>
        </w:rPr>
        <w:t>及《轩景家园共有产权房房源表》</w:t>
      </w:r>
      <w:r>
        <w:rPr>
          <w:rFonts w:ascii="Arial" w:hAnsi="Arial" w:cs="Arial"/>
          <w:sz w:val="21"/>
          <w:szCs w:val="21"/>
        </w:rPr>
        <w:t>复印件</w:t>
      </w:r>
      <w:r>
        <w:rPr>
          <w:rFonts w:ascii="Arial" w:hAnsi="Arial" w:cs="Arial"/>
          <w:kern w:val="2"/>
          <w:sz w:val="21"/>
          <w:szCs w:val="21"/>
        </w:rPr>
        <w:t xml:space="preserve">，本次估价按照众数原则设定具有代表性的标准房屋，具体标准房详见下表： </w:t>
      </w:r>
    </w:p>
    <w:p>
      <w:pPr>
        <w:pStyle w:val="Normal"/>
        <w:rPr>
          <w:rFonts w:ascii="Arial" w:hAnsi="Arial" w:cs="Arial"/>
          <w:kern w:val="2"/>
          <w:sz w:val="21"/>
          <w:szCs w:val="21"/>
        </w:rPr>
      </w:pPr>
      <w:r>
        <w:rPr>
          <w:rFonts w:cs="Arial" w:ascii="Arial" w:hAnsi="Arial"/>
          <w:kern w:val="2"/>
          <w:sz w:val="21"/>
          <w:szCs w:val="21"/>
        </w:rPr>
      </w:r>
      <w:r>
        <w:br w:type="page"/>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4502"/>
        <w:gridCol w:w="4795"/>
      </w:tblGrid>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pageBreakBefore/>
              <w:snapToGrid w:val="false"/>
              <w:spacing w:lineRule="exact" w:line="240"/>
              <w:jc w:val="center"/>
              <w:rPr>
                <w:rFonts w:ascii="Arial" w:hAnsi="Arial" w:eastAsia="华文细黑" w:cs="Arial"/>
                <w:sz w:val="18"/>
                <w:szCs w:val="18"/>
              </w:rPr>
            </w:pPr>
            <w:r>
              <w:rPr>
                <w:rFonts w:ascii="Arial" w:hAnsi="Arial" w:cs="Arial" w:eastAsia="华文细黑"/>
                <w:sz w:val="18"/>
                <w:szCs w:val="18"/>
              </w:rPr>
              <w:t>项目</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标准房</w:t>
            </w:r>
          </w:p>
        </w:tc>
      </w:tr>
      <w:tr>
        <w:trPr>
          <w:trHeight w:val="193"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楼层</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中楼层</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户型</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三室两厅一卫</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面积</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cs="Arial"/>
                <w:sz w:val="18"/>
                <w:szCs w:val="18"/>
              </w:rPr>
            </w:pPr>
            <w:r>
              <w:rPr>
                <w:rFonts w:eastAsia="华文细黑" w:cs="Arial" w:ascii="Arial" w:hAnsi="Arial"/>
                <w:sz w:val="18"/>
                <w:szCs w:val="18"/>
                <w:lang w:bidi="ar"/>
              </w:rPr>
              <w:t>87.72-89.55</w:t>
            </w:r>
            <w:r>
              <w:rPr>
                <w:rStyle w:val="Annotationreference"/>
                <w:rFonts w:ascii="Arial" w:hAnsi="Arial" w:cs="Arial"/>
                <w:sz w:val="18"/>
                <w:szCs w:val="18"/>
              </w:rPr>
              <w:t>（㎡）</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朝向</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南北</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装修</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全装修</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设备设施</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齐全</w:t>
            </w:r>
            <w:bookmarkStart w:id="3" w:name="_Hlk152926159"/>
            <w:bookmarkEnd w:id="3"/>
          </w:p>
        </w:tc>
      </w:tr>
    </w:tbl>
    <w:p>
      <w:pPr>
        <w:pStyle w:val="Normal"/>
        <w:snapToGrid w:val="false"/>
        <w:ind w:firstLine="361"/>
        <w:jc w:val="both"/>
        <w:rPr>
          <w:rFonts w:ascii="Arial" w:hAnsi="Arial" w:cs="Arial"/>
          <w:b/>
          <w:b/>
          <w:bCs/>
          <w:sz w:val="18"/>
          <w:szCs w:val="18"/>
        </w:rPr>
      </w:pPr>
      <w:r>
        <w:rPr>
          <w:rFonts w:cs="Arial" w:ascii="Arial" w:hAnsi="Arial"/>
          <w:b/>
          <w:bCs/>
          <w:sz w:val="18"/>
          <w:szCs w:val="18"/>
        </w:rPr>
      </w:r>
    </w:p>
    <w:p>
      <w:pPr>
        <w:pStyle w:val="Normal"/>
        <w:spacing w:lineRule="auto" w:line="480" w:before="120" w:after="0"/>
        <w:ind w:firstLine="422"/>
        <w:jc w:val="both"/>
        <w:rPr>
          <w:rFonts w:ascii="Arial" w:hAnsi="Arial" w:cs="Arial"/>
          <w:kern w:val="2"/>
          <w:sz w:val="21"/>
          <w:szCs w:val="21"/>
        </w:rPr>
      </w:pPr>
      <w:r>
        <w:rPr>
          <w:rFonts w:ascii="Arial" w:hAnsi="Arial" w:cs="Arial"/>
          <w:b/>
          <w:bCs/>
          <w:sz w:val="21"/>
          <w:szCs w:val="21"/>
        </w:rPr>
        <w:t>估价目的：</w:t>
      </w:r>
      <w:r>
        <w:rPr>
          <w:rFonts w:ascii="Arial" w:hAnsi="Arial" w:cs="Arial"/>
          <w:kern w:val="2"/>
          <w:sz w:val="21"/>
          <w:szCs w:val="21"/>
        </w:rPr>
        <w:t>为规范本市共有产权住房项目区域市场租金，维护共有产权住房项目相关各方的合法权益，依据《北京市共有产权住房管理暂行办法》（京建法〔</w:t>
      </w:r>
      <w:r>
        <w:rPr>
          <w:rFonts w:cs="Arial" w:ascii="Arial" w:hAnsi="Arial"/>
          <w:kern w:val="2"/>
          <w:sz w:val="21"/>
          <w:szCs w:val="21"/>
        </w:rPr>
        <w:t>2017</w:t>
      </w:r>
      <w:r>
        <w:rPr>
          <w:rFonts w:ascii="Arial" w:hAnsi="Arial" w:cs="Arial"/>
          <w:kern w:val="2"/>
          <w:sz w:val="21"/>
          <w:szCs w:val="21"/>
        </w:rPr>
        <w:t>〕</w:t>
      </w:r>
      <w:r>
        <w:rPr>
          <w:rFonts w:cs="Arial" w:ascii="Arial" w:hAnsi="Arial"/>
          <w:kern w:val="2"/>
          <w:sz w:val="21"/>
          <w:szCs w:val="21"/>
        </w:rPr>
        <w:t>16</w:t>
      </w:r>
      <w:r>
        <w:rPr>
          <w:rFonts w:ascii="Arial" w:hAnsi="Arial" w:cs="Arial"/>
          <w:kern w:val="2"/>
          <w:sz w:val="21"/>
          <w:szCs w:val="21"/>
        </w:rPr>
        <w:t>号）、《关于规范共有产权住房出租管理工作的通知（试行）》、《房地产估价规范》（</w:t>
      </w:r>
      <w:r>
        <w:rPr>
          <w:rFonts w:cs="Arial" w:ascii="Arial" w:hAnsi="Arial"/>
          <w:kern w:val="2"/>
          <w:sz w:val="21"/>
          <w:szCs w:val="21"/>
        </w:rPr>
        <w:t>GB/T 50291-2015</w:t>
      </w:r>
      <w:r>
        <w:rPr>
          <w:rFonts w:ascii="Arial" w:hAnsi="Arial" w:cs="Arial"/>
          <w:kern w:val="2"/>
          <w:sz w:val="21"/>
          <w:szCs w:val="21"/>
        </w:rPr>
        <w:t>）、《关于发布《北京市共有产权住房价格评估技术指引》的通知》</w:t>
      </w:r>
      <w:r>
        <w:rPr>
          <w:rFonts w:cs="Arial" w:ascii="Arial" w:hAnsi="Arial"/>
          <w:sz w:val="21"/>
          <w:szCs w:val="21"/>
        </w:rPr>
        <w:t>[</w:t>
      </w:r>
      <w:r>
        <w:rPr>
          <w:rFonts w:ascii="Arial" w:hAnsi="Arial" w:cs="Arial"/>
          <w:sz w:val="21"/>
          <w:szCs w:val="21"/>
        </w:rPr>
        <w:t>北估秘</w:t>
      </w:r>
      <w:r>
        <w:rPr>
          <w:rFonts w:cs="Arial" w:ascii="Arial" w:hAnsi="Arial"/>
          <w:sz w:val="21"/>
          <w:szCs w:val="21"/>
        </w:rPr>
        <w:t>[2023]002</w:t>
      </w:r>
      <w:r>
        <w:rPr>
          <w:rFonts w:ascii="Arial" w:hAnsi="Arial" w:cs="Arial"/>
          <w:sz w:val="21"/>
          <w:szCs w:val="21"/>
        </w:rPr>
        <w:t>号</w:t>
      </w:r>
      <w:r>
        <w:rPr>
          <w:rFonts w:cs="Arial" w:ascii="Arial" w:hAnsi="Arial"/>
          <w:sz w:val="21"/>
          <w:szCs w:val="21"/>
        </w:rPr>
        <w:t>]</w:t>
      </w:r>
      <w:r>
        <w:rPr>
          <w:rFonts w:ascii="Arial" w:hAnsi="Arial" w:cs="Arial"/>
          <w:kern w:val="2"/>
          <w:sz w:val="21"/>
          <w:szCs w:val="21"/>
        </w:rPr>
        <w:t xml:space="preserve">、参照《关于发布《北京市公共租赁住房项目市场租金评估技术指引》的通知》 </w:t>
      </w:r>
      <w:r>
        <w:rPr>
          <w:rFonts w:cs="Arial" w:ascii="Arial" w:hAnsi="Arial"/>
          <w:kern w:val="2"/>
          <w:sz w:val="21"/>
          <w:szCs w:val="21"/>
        </w:rPr>
        <w:t>[</w:t>
      </w:r>
      <w:r>
        <w:rPr>
          <w:rFonts w:ascii="Arial" w:hAnsi="Arial" w:cs="Arial"/>
          <w:kern w:val="2"/>
          <w:sz w:val="21"/>
          <w:szCs w:val="21"/>
        </w:rPr>
        <w:t>北估秘</w:t>
      </w:r>
      <w:r>
        <w:rPr>
          <w:rFonts w:cs="Arial" w:ascii="Arial" w:hAnsi="Arial"/>
          <w:kern w:val="2"/>
          <w:sz w:val="21"/>
          <w:szCs w:val="21"/>
        </w:rPr>
        <w:t>[2019]020</w:t>
      </w:r>
      <w:r>
        <w:rPr>
          <w:rFonts w:ascii="Arial" w:hAnsi="Arial" w:cs="Arial"/>
          <w:kern w:val="2"/>
          <w:sz w:val="21"/>
          <w:szCs w:val="21"/>
        </w:rPr>
        <w:t>号</w:t>
      </w:r>
      <w:r>
        <w:rPr>
          <w:rFonts w:cs="Arial" w:ascii="Arial" w:hAnsi="Arial"/>
          <w:kern w:val="2"/>
          <w:sz w:val="21"/>
          <w:szCs w:val="21"/>
        </w:rPr>
        <w:t>]</w:t>
      </w:r>
      <w:r>
        <w:rPr>
          <w:rFonts w:ascii="Arial" w:hAnsi="Arial" w:cs="Arial"/>
          <w:kern w:val="2"/>
          <w:sz w:val="21"/>
          <w:szCs w:val="21"/>
        </w:rPr>
        <w:t>，为估价委托人确定共有产权住房项目市场租金提供价格参考依据。</w:t>
      </w:r>
    </w:p>
    <w:p>
      <w:pPr>
        <w:pStyle w:val="Normal"/>
        <w:spacing w:lineRule="auto" w:line="480"/>
        <w:ind w:firstLine="413"/>
        <w:jc w:val="both"/>
        <w:rPr>
          <w:rFonts w:ascii="Arial" w:hAnsi="Arial" w:cs="Arial"/>
          <w:kern w:val="2"/>
          <w:sz w:val="21"/>
          <w:szCs w:val="21"/>
        </w:rPr>
      </w:pPr>
      <w:r>
        <w:rPr>
          <w:rFonts w:ascii="Arial" w:hAnsi="Arial" w:cs="Arial"/>
          <w:b/>
          <w:kern w:val="2"/>
          <w:sz w:val="21"/>
          <w:szCs w:val="21"/>
        </w:rPr>
        <w:t>价值时点：</w:t>
      </w: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5</w:t>
      </w:r>
      <w:r>
        <w:rPr>
          <w:rFonts w:ascii="Arial" w:hAnsi="Arial" w:cs="Arial"/>
          <w:kern w:val="2"/>
          <w:sz w:val="21"/>
          <w:szCs w:val="21"/>
        </w:rPr>
        <w:t>日（实地查勘之日）</w:t>
      </w:r>
    </w:p>
    <w:p>
      <w:pPr>
        <w:pStyle w:val="Normal"/>
        <w:tabs>
          <w:tab w:val="clear" w:pos="425"/>
          <w:tab w:val="left" w:pos="709" w:leader="none"/>
        </w:tabs>
        <w:overflowPunct w:val="false"/>
        <w:spacing w:lineRule="auto" w:line="480"/>
        <w:ind w:firstLine="422"/>
        <w:jc w:val="both"/>
        <w:rPr>
          <w:rFonts w:ascii="Arial" w:hAnsi="Arial" w:cs="Arial"/>
          <w:sz w:val="21"/>
          <w:szCs w:val="21"/>
        </w:rPr>
      </w:pPr>
      <w:r>
        <w:rPr>
          <w:rFonts w:ascii="Arial" w:hAnsi="Arial" w:cs="Arial"/>
          <w:b/>
          <w:bCs/>
          <w:sz w:val="21"/>
          <w:szCs w:val="21"/>
        </w:rPr>
        <w:t>估价时段：</w:t>
      </w:r>
      <w:r>
        <w:rPr>
          <w:rFonts w:ascii="Arial" w:hAnsi="Arial" w:cs="Arial"/>
          <w:sz w:val="21"/>
          <w:szCs w:val="21"/>
        </w:rPr>
        <w:t>估价时段为价值时点前</w:t>
      </w:r>
      <w:r>
        <w:rPr>
          <w:rFonts w:cs="Arial" w:ascii="Arial" w:hAnsi="Arial"/>
          <w:sz w:val="21"/>
          <w:szCs w:val="21"/>
        </w:rPr>
        <w:t>12</w:t>
      </w:r>
      <w:r>
        <w:rPr>
          <w:rFonts w:ascii="Arial" w:hAnsi="Arial" w:cs="Arial"/>
          <w:sz w:val="21"/>
          <w:szCs w:val="21"/>
        </w:rPr>
        <w:t>个月（</w:t>
      </w:r>
      <w:r>
        <w:rPr>
          <w:rFonts w:cs="Arial" w:ascii="Arial" w:hAnsi="Arial"/>
          <w:sz w:val="21"/>
          <w:szCs w:val="21"/>
        </w:rPr>
        <w:t>2022</w:t>
      </w:r>
      <w:r>
        <w:rPr>
          <w:rFonts w:ascii="Arial" w:hAnsi="Arial" w:cs="Arial"/>
          <w:sz w:val="21"/>
          <w:szCs w:val="21"/>
        </w:rPr>
        <w:t>年</w:t>
      </w:r>
      <w:r>
        <w:rPr>
          <w:rFonts w:cs="Arial" w:ascii="Arial" w:hAnsi="Arial"/>
          <w:sz w:val="21"/>
          <w:szCs w:val="21"/>
        </w:rPr>
        <w:t>12</w:t>
      </w:r>
      <w:r>
        <w:rPr>
          <w:rFonts w:ascii="Arial" w:hAnsi="Arial" w:cs="Arial"/>
          <w:sz w:val="21"/>
          <w:szCs w:val="21"/>
        </w:rPr>
        <w:t>月至</w:t>
      </w:r>
      <w:r>
        <w:rPr>
          <w:rFonts w:cs="Arial" w:ascii="Arial" w:hAnsi="Arial"/>
          <w:sz w:val="21"/>
          <w:szCs w:val="21"/>
        </w:rPr>
        <w:t>2023</w:t>
      </w:r>
      <w:r>
        <w:rPr>
          <w:rFonts w:ascii="Arial" w:hAnsi="Arial" w:cs="Arial"/>
          <w:sz w:val="21"/>
          <w:szCs w:val="21"/>
        </w:rPr>
        <w:t>年</w:t>
      </w:r>
      <w:r>
        <w:rPr>
          <w:rFonts w:cs="Arial" w:ascii="Arial" w:hAnsi="Arial"/>
          <w:sz w:val="21"/>
          <w:szCs w:val="21"/>
        </w:rPr>
        <w:t>11</w:t>
      </w:r>
      <w:r>
        <w:rPr>
          <w:rFonts w:ascii="Arial" w:hAnsi="Arial" w:cs="Arial"/>
          <w:sz w:val="21"/>
          <w:szCs w:val="21"/>
        </w:rPr>
        <w:t>月）</w:t>
      </w:r>
    </w:p>
    <w:p>
      <w:pPr>
        <w:pStyle w:val="Normal"/>
        <w:overflowPunct w:val="false"/>
        <w:spacing w:lineRule="auto" w:line="480"/>
        <w:ind w:firstLine="422"/>
        <w:jc w:val="both"/>
        <w:rPr>
          <w:rFonts w:ascii="Arial" w:hAnsi="Arial" w:cs="Arial"/>
          <w:sz w:val="21"/>
          <w:szCs w:val="21"/>
        </w:rPr>
      </w:pPr>
      <w:r>
        <w:rPr>
          <w:rFonts w:ascii="Arial" w:hAnsi="Arial" w:cs="Arial"/>
          <w:b/>
          <w:bCs/>
          <w:sz w:val="21"/>
          <w:szCs w:val="21"/>
        </w:rPr>
        <w:t>价值类型：</w:t>
      </w:r>
      <w:r>
        <w:rPr>
          <w:rFonts w:ascii="Arial" w:hAnsi="Arial" w:cs="Arial"/>
          <w:sz w:val="21"/>
          <w:szCs w:val="21"/>
        </w:rPr>
        <w:t>根据房地产评估的技术规程和本次估价目的，本次估价采用的是市场价值标准。估价结果中的房地产租金价格是指估价对象在估价时段（</w:t>
      </w:r>
      <w:r>
        <w:rPr>
          <w:rFonts w:cs="Arial" w:ascii="Arial" w:hAnsi="Arial"/>
          <w:sz w:val="21"/>
          <w:szCs w:val="21"/>
        </w:rPr>
        <w:t>2022</w:t>
      </w:r>
      <w:r>
        <w:rPr>
          <w:rFonts w:ascii="Arial" w:hAnsi="Arial" w:cs="Arial"/>
          <w:sz w:val="21"/>
          <w:szCs w:val="21"/>
        </w:rPr>
        <w:t>年</w:t>
      </w:r>
      <w:r>
        <w:rPr>
          <w:rFonts w:cs="Arial" w:ascii="Arial" w:hAnsi="Arial"/>
          <w:sz w:val="21"/>
          <w:szCs w:val="21"/>
        </w:rPr>
        <w:t>12</w:t>
      </w:r>
      <w:r>
        <w:rPr>
          <w:rFonts w:ascii="Arial" w:hAnsi="Arial" w:cs="Arial"/>
          <w:sz w:val="21"/>
          <w:szCs w:val="21"/>
        </w:rPr>
        <w:t>月至</w:t>
      </w:r>
      <w:r>
        <w:rPr>
          <w:rFonts w:cs="Arial" w:ascii="Arial" w:hAnsi="Arial"/>
          <w:sz w:val="21"/>
          <w:szCs w:val="21"/>
        </w:rPr>
        <w:t>2023</w:t>
      </w:r>
      <w:r>
        <w:rPr>
          <w:rFonts w:ascii="Arial" w:hAnsi="Arial" w:cs="Arial"/>
          <w:sz w:val="21"/>
          <w:szCs w:val="21"/>
        </w:rPr>
        <w:t>年</w:t>
      </w:r>
      <w:r>
        <w:rPr>
          <w:rFonts w:cs="Arial" w:ascii="Arial" w:hAnsi="Arial"/>
          <w:sz w:val="21"/>
          <w:szCs w:val="21"/>
        </w:rPr>
        <w:t>11</w:t>
      </w:r>
      <w:r>
        <w:rPr>
          <w:rFonts w:ascii="Arial" w:hAnsi="Arial" w:cs="Arial"/>
          <w:sz w:val="21"/>
          <w:szCs w:val="21"/>
        </w:rPr>
        <w:t xml:space="preserve">月）规划利用条件及下述设定条件下的市场平均租金价格：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 xml:space="preserve">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1</w:t>
      </w:r>
      <w:r>
        <w:rPr>
          <w:rFonts w:ascii="Arial" w:hAnsi="Arial" w:cs="Arial"/>
          <w:sz w:val="21"/>
          <w:szCs w:val="21"/>
        </w:rPr>
        <w:t xml:space="preserve">）同地段是指按照就近原则，能够满足共有产权住房项目市场租金评估所需要的可比小区数量所形成的同质区域。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2</w:t>
      </w:r>
      <w:r>
        <w:rPr>
          <w:rFonts w:ascii="Arial" w:hAnsi="Arial" w:cs="Arial"/>
          <w:sz w:val="21"/>
          <w:szCs w:val="21"/>
        </w:rPr>
        <w:t xml:space="preserve">）同类型是指使用功能、建筑结构、面积、户型、装修、家具家电设备及周边环境与配套相同或相似的住房。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3</w:t>
      </w:r>
      <w:r>
        <w:rPr>
          <w:rFonts w:ascii="Arial" w:hAnsi="Arial" w:cs="Arial"/>
          <w:sz w:val="21"/>
          <w:szCs w:val="21"/>
        </w:rPr>
        <w:t>）估价时段是指价值时点前一年（</w:t>
      </w:r>
      <w:r>
        <w:rPr>
          <w:rFonts w:cs="Arial" w:ascii="Arial" w:hAnsi="Arial"/>
          <w:sz w:val="21"/>
          <w:szCs w:val="21"/>
        </w:rPr>
        <w:t>2022</w:t>
      </w:r>
      <w:r>
        <w:rPr>
          <w:rFonts w:ascii="Arial" w:hAnsi="Arial" w:cs="Arial"/>
          <w:sz w:val="21"/>
          <w:szCs w:val="21"/>
        </w:rPr>
        <w:t>年</w:t>
      </w:r>
      <w:r>
        <w:rPr>
          <w:rFonts w:cs="Arial" w:ascii="Arial" w:hAnsi="Arial"/>
          <w:sz w:val="21"/>
          <w:szCs w:val="21"/>
        </w:rPr>
        <w:t>12</w:t>
      </w:r>
      <w:r>
        <w:rPr>
          <w:rFonts w:ascii="Arial" w:hAnsi="Arial" w:cs="Arial"/>
          <w:sz w:val="21"/>
          <w:szCs w:val="21"/>
        </w:rPr>
        <w:t>月至</w:t>
      </w:r>
      <w:r>
        <w:rPr>
          <w:rFonts w:cs="Arial" w:ascii="Arial" w:hAnsi="Arial"/>
          <w:sz w:val="21"/>
          <w:szCs w:val="21"/>
        </w:rPr>
        <w:t>2023</w:t>
      </w:r>
      <w:r>
        <w:rPr>
          <w:rFonts w:ascii="Arial" w:hAnsi="Arial" w:cs="Arial"/>
          <w:sz w:val="21"/>
          <w:szCs w:val="21"/>
        </w:rPr>
        <w:t>年</w:t>
      </w:r>
      <w:r>
        <w:rPr>
          <w:rFonts w:cs="Arial" w:ascii="Arial" w:hAnsi="Arial"/>
          <w:sz w:val="21"/>
          <w:szCs w:val="21"/>
        </w:rPr>
        <w:t>11</w:t>
      </w:r>
      <w:r>
        <w:rPr>
          <w:rFonts w:ascii="Arial" w:hAnsi="Arial" w:cs="Arial"/>
          <w:sz w:val="21"/>
          <w:szCs w:val="21"/>
        </w:rPr>
        <w:t>月）。</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4</w:t>
      </w:r>
      <w:r>
        <w:rPr>
          <w:rFonts w:ascii="Arial" w:hAnsi="Arial" w:cs="Arial"/>
          <w:sz w:val="21"/>
          <w:szCs w:val="21"/>
        </w:rPr>
        <w:t>）装修状况依据共有产权住房现状条件设定为全装修。</w:t>
      </w:r>
      <w:bookmarkStart w:id="4" w:name="_Hlk79351574"/>
      <w:bookmarkEnd w:id="4"/>
    </w:p>
    <w:p>
      <w:pPr>
        <w:pStyle w:val="Normal"/>
        <w:overflowPunct w:val="false"/>
        <w:spacing w:lineRule="auto" w:line="480"/>
        <w:ind w:firstLine="422"/>
        <w:jc w:val="both"/>
        <w:rPr>
          <w:rFonts w:ascii="Arial" w:hAnsi="Arial" w:cs="Arial"/>
          <w:sz w:val="21"/>
          <w:szCs w:val="21"/>
        </w:rPr>
      </w:pPr>
      <w:r>
        <w:rPr>
          <w:rFonts w:ascii="Arial" w:hAnsi="Arial" w:cs="Arial"/>
          <w:b/>
          <w:bCs/>
          <w:sz w:val="21"/>
          <w:szCs w:val="21"/>
        </w:rPr>
        <w:t>估价方法：</w:t>
      </w:r>
      <w:r>
        <w:rPr>
          <w:rFonts w:ascii="Arial" w:hAnsi="Arial" w:cs="Arial"/>
          <w:sz w:val="21"/>
          <w:szCs w:val="21"/>
        </w:rPr>
        <w:t>比较法</w:t>
      </w:r>
    </w:p>
    <w:p>
      <w:pPr>
        <w:pStyle w:val="Normal"/>
        <w:overflowPunct w:val="false"/>
        <w:spacing w:lineRule="auto" w:line="480"/>
        <w:ind w:firstLine="422"/>
        <w:jc w:val="both"/>
        <w:rPr>
          <w:rFonts w:ascii="Arial" w:hAnsi="Arial" w:cs="Arial"/>
          <w:sz w:val="21"/>
          <w:szCs w:val="21"/>
        </w:rPr>
      </w:pPr>
      <w:r>
        <w:rPr>
          <w:rFonts w:ascii="Arial" w:hAnsi="Arial" w:cs="Arial"/>
          <w:b/>
          <w:bCs/>
          <w:sz w:val="21"/>
          <w:szCs w:val="21"/>
        </w:rPr>
        <w:t>估价结果：</w:t>
      </w: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cs="Arial" w:ascii="Arial" w:hAnsi="Arial"/>
          <w:sz w:val="21"/>
          <w:szCs w:val="21"/>
        </w:rPr>
        <w:t>2023</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5</w:t>
      </w:r>
      <w:r>
        <w:rPr>
          <w:rFonts w:ascii="Arial" w:hAnsi="Arial" w:cs="Arial"/>
          <w:sz w:val="21"/>
          <w:szCs w:val="21"/>
        </w:rPr>
        <w:t>日前</w:t>
      </w:r>
      <w:r>
        <w:rPr>
          <w:rFonts w:cs="Arial" w:ascii="Arial" w:hAnsi="Arial"/>
          <w:sz w:val="21"/>
          <w:szCs w:val="21"/>
        </w:rPr>
        <w:t>12</w:t>
      </w:r>
      <w:r>
        <w:rPr>
          <w:rFonts w:ascii="Arial" w:hAnsi="Arial" w:cs="Arial"/>
          <w:sz w:val="21"/>
          <w:szCs w:val="21"/>
        </w:rPr>
        <w:t xml:space="preserve">个月的平均市场租金水平为： </w:t>
      </w:r>
    </w:p>
    <w:p>
      <w:pPr>
        <w:pStyle w:val="Normal"/>
        <w:overflowPunct w:val="false"/>
        <w:spacing w:lineRule="auto" w:line="480"/>
        <w:ind w:firstLine="422"/>
        <w:rPr>
          <w:rFonts w:ascii="Arial" w:hAnsi="Arial" w:cs="Arial"/>
          <w:b/>
          <w:b/>
          <w:bCs/>
          <w:sz w:val="21"/>
          <w:szCs w:val="21"/>
        </w:rPr>
      </w:pPr>
      <w:r>
        <w:rPr>
          <w:rFonts w:ascii="Arial" w:hAnsi="Arial" w:cs="Arial"/>
          <w:b/>
          <w:bCs/>
          <w:sz w:val="21"/>
          <w:szCs w:val="21"/>
        </w:rPr>
        <w:t>租金单价：</w:t>
      </w:r>
      <w:r>
        <w:rPr>
          <w:rFonts w:cs="Arial" w:ascii="Arial" w:hAnsi="Arial"/>
          <w:b/>
          <w:bCs/>
          <w:sz w:val="21"/>
          <w:szCs w:val="21"/>
        </w:rPr>
        <w:t>41.3</w:t>
      </w:r>
      <w:r>
        <w:rPr>
          <w:rFonts w:ascii="Arial" w:hAnsi="Arial" w:cs="Arial"/>
          <w:b/>
          <w:bCs/>
          <w:sz w:val="21"/>
          <w:szCs w:val="21"/>
        </w:rPr>
        <w:t>元</w:t>
      </w:r>
      <w:r>
        <w:rPr>
          <w:rFonts w:cs="Arial" w:ascii="Arial" w:hAnsi="Arial"/>
          <w:b/>
          <w:bCs/>
          <w:sz w:val="21"/>
          <w:szCs w:val="21"/>
        </w:rPr>
        <w:t>/</w:t>
      </w:r>
      <w:r>
        <w:rPr>
          <w:rFonts w:ascii="Arial" w:hAnsi="Arial" w:cs="Arial"/>
          <w:b/>
          <w:bCs/>
          <w:sz w:val="21"/>
          <w:szCs w:val="21"/>
        </w:rPr>
        <w:t>平方米</w:t>
      </w:r>
      <w:r>
        <w:rPr>
          <w:rFonts w:cs="Arial" w:ascii="Arial" w:hAnsi="Arial"/>
          <w:b/>
          <w:bCs/>
          <w:sz w:val="21"/>
          <w:szCs w:val="21"/>
        </w:rPr>
        <w:t>·</w:t>
      </w:r>
      <w:r>
        <w:rPr>
          <w:rFonts w:ascii="Arial" w:hAnsi="Arial" w:cs="Arial"/>
          <w:b/>
          <w:bCs/>
          <w:sz w:val="21"/>
          <w:szCs w:val="21"/>
        </w:rPr>
        <w:t>月（货币种类：人民币）</w:t>
      </w:r>
    </w:p>
    <w:p>
      <w:pPr>
        <w:pStyle w:val="Normal"/>
        <w:overflowPunct w:val="false"/>
        <w:spacing w:lineRule="auto" w:line="480"/>
        <w:ind w:firstLine="360"/>
        <w:jc w:val="both"/>
        <w:rPr>
          <w:rFonts w:ascii="Arial" w:hAnsi="Arial" w:cs="Arial"/>
          <w:sz w:val="18"/>
          <w:szCs w:val="18"/>
        </w:rPr>
      </w:pPr>
      <w:r>
        <w:rPr>
          <w:rFonts w:ascii="Arial" w:hAnsi="Arial" w:cs="Arial"/>
          <w:sz w:val="18"/>
          <w:szCs w:val="18"/>
        </w:rPr>
        <w:t>注：</w:t>
      </w:r>
      <w:r>
        <w:rPr>
          <w:rFonts w:cs="Arial" w:ascii="Arial" w:hAnsi="Arial"/>
          <w:sz w:val="18"/>
          <w:szCs w:val="18"/>
        </w:rPr>
        <w:t>1</w:t>
      </w:r>
      <w:r>
        <w:rPr>
          <w:rFonts w:ascii="Arial" w:hAnsi="Arial" w:cs="Arial"/>
          <w:sz w:val="18"/>
          <w:szCs w:val="18"/>
        </w:rPr>
        <w:t>、评估的详细结果、过程及有关说明，见附后的《估价结果报告》及《估价技术报告》。</w:t>
      </w:r>
    </w:p>
    <w:p>
      <w:pPr>
        <w:pStyle w:val="Normal"/>
        <w:overflowPunct w:val="false"/>
        <w:spacing w:lineRule="auto" w:line="480"/>
        <w:ind w:firstLine="360"/>
        <w:jc w:val="both"/>
        <w:rPr>
          <w:rFonts w:ascii="Arial" w:hAnsi="Arial" w:cs="Arial"/>
          <w:sz w:val="18"/>
          <w:szCs w:val="18"/>
        </w:rPr>
      </w:pPr>
      <w:r>
        <w:rPr>
          <w:rFonts w:ascii="Arial" w:hAnsi="Arial" w:cs="Arial"/>
          <w:sz w:val="18"/>
          <w:szCs w:val="18"/>
        </w:rPr>
        <w:t xml:space="preserve">    </w:t>
      </w:r>
      <w:r>
        <w:rPr>
          <w:rFonts w:cs="Arial" w:ascii="Arial" w:hAnsi="Arial"/>
          <w:sz w:val="18"/>
          <w:szCs w:val="18"/>
        </w:rPr>
        <w:t>2</w:t>
      </w:r>
      <w:r>
        <w:rPr>
          <w:rFonts w:ascii="Arial" w:hAnsi="Arial" w:cs="Arial"/>
          <w:sz w:val="18"/>
          <w:szCs w:val="18"/>
        </w:rPr>
        <w:t>、估价结果为项目同地段、同类型普通住宅前</w:t>
      </w:r>
      <w:r>
        <w:rPr>
          <w:rFonts w:cs="Arial" w:ascii="Arial" w:hAnsi="Arial"/>
          <w:sz w:val="18"/>
          <w:szCs w:val="18"/>
        </w:rPr>
        <w:t>12</w:t>
      </w:r>
      <w:r>
        <w:rPr>
          <w:rFonts w:ascii="Arial" w:hAnsi="Arial" w:cs="Arial"/>
          <w:sz w:val="18"/>
          <w:szCs w:val="18"/>
        </w:rPr>
        <w:t>个月的市场平均月租金价格。</w:t>
      </w:r>
    </w:p>
    <w:p>
      <w:pPr>
        <w:pStyle w:val="Normal"/>
        <w:overflowPunct w:val="false"/>
        <w:spacing w:lineRule="auto" w:line="480"/>
        <w:ind w:left="707" w:hanging="347"/>
        <w:jc w:val="both"/>
        <w:rPr>
          <w:rFonts w:ascii="Arial" w:hAnsi="Arial" w:cs="Arial"/>
          <w:sz w:val="18"/>
          <w:szCs w:val="18"/>
        </w:rPr>
      </w:pPr>
      <w:r>
        <w:rPr>
          <w:rFonts w:ascii="Arial" w:hAnsi="Arial" w:cs="Arial"/>
          <w:sz w:val="18"/>
          <w:szCs w:val="18"/>
        </w:rPr>
        <w:t xml:space="preserve">    </w:t>
      </w:r>
      <w:r>
        <w:rPr>
          <w:rFonts w:cs="Arial" w:ascii="Arial" w:hAnsi="Arial"/>
          <w:sz w:val="18"/>
          <w:szCs w:val="18"/>
        </w:rPr>
        <w:t>3</w:t>
      </w:r>
      <w:r>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ind w:firstLine="4200"/>
        <w:jc w:val="both"/>
        <w:rPr>
          <w:rFonts w:ascii="Arial" w:hAnsi="Arial" w:cs="Arial"/>
          <w:sz w:val="21"/>
          <w:szCs w:val="21"/>
        </w:rPr>
      </w:pPr>
      <w:r>
        <w:rPr>
          <w:rFonts w:cs="Arial" w:ascii="Arial" w:hAnsi="Arial"/>
          <w:sz w:val="21"/>
          <w:szCs w:val="21"/>
        </w:rPr>
      </w:r>
    </w:p>
    <w:p>
      <w:pPr>
        <w:pStyle w:val="Normal"/>
        <w:spacing w:lineRule="auto" w:line="480"/>
        <w:rPr>
          <w:rFonts w:ascii="Arial" w:hAnsi="Arial" w:eastAsia="楷体" w:cs="Arial"/>
          <w:sz w:val="21"/>
          <w:szCs w:val="21"/>
        </w:rPr>
      </w:pPr>
      <w:r>
        <w:rPr>
          <w:rFonts w:eastAsia="楷体" w:cs="Arial" w:ascii="Arial" w:hAnsi="Arial"/>
          <w:sz w:val="21"/>
          <w:szCs w:val="21"/>
        </w:rPr>
      </w:r>
    </w:p>
    <w:p>
      <w:pPr>
        <w:pStyle w:val="Normal"/>
        <w:spacing w:lineRule="auto" w:line="480"/>
        <w:ind w:firstLine="4200"/>
        <w:jc w:val="both"/>
        <w:rPr>
          <w:rFonts w:ascii="Arial" w:hAnsi="Arial" w:cs="Arial"/>
          <w:sz w:val="21"/>
          <w:szCs w:val="21"/>
        </w:rPr>
      </w:pPr>
      <w:r>
        <w:rPr>
          <w:rFonts w:ascii="Arial" w:hAnsi="Arial" w:cs="Arial"/>
          <w:sz w:val="21"/>
          <w:szCs w:val="21"/>
        </w:rPr>
        <w:t>顺致</w:t>
      </w:r>
    </w:p>
    <w:p>
      <w:pPr>
        <w:pStyle w:val="Normal"/>
        <w:spacing w:lineRule="auto" w:line="480"/>
        <w:ind w:firstLine="420"/>
        <w:jc w:val="both"/>
        <w:rPr>
          <w:rFonts w:ascii="Arial" w:hAnsi="Arial" w:cs="Arial"/>
          <w:sz w:val="21"/>
          <w:szCs w:val="21"/>
        </w:rPr>
      </w:pPr>
      <w:r>
        <w:rPr>
          <w:rFonts w:ascii="Arial" w:hAnsi="Arial" w:cs="Arial"/>
          <w:sz w:val="21"/>
          <w:szCs w:val="21"/>
        </w:rPr>
        <w:t>商祺</w:t>
      </w:r>
    </w:p>
    <w:p>
      <w:pPr>
        <w:pStyle w:val="Normal"/>
        <w:spacing w:lineRule="auto" w:line="480"/>
        <w:ind w:firstLine="420"/>
        <w:jc w:val="both"/>
        <w:rPr>
          <w:rFonts w:ascii="Arial" w:hAnsi="Arial" w:cs="Arial"/>
          <w:sz w:val="21"/>
          <w:szCs w:val="21"/>
        </w:rPr>
      </w:pPr>
      <w:r>
        <w:rPr>
          <w:rFonts w:cs="Arial" w:ascii="Arial" w:hAnsi="Arial"/>
          <w:sz w:val="21"/>
          <w:szCs w:val="21"/>
        </w:rPr>
      </w:r>
    </w:p>
    <w:tbl>
      <w:tblPr>
        <w:tblW w:w="3402" w:type="dxa"/>
        <w:jc w:val="left"/>
        <w:tblInd w:w="5920" w:type="dxa"/>
        <w:tblCellMar>
          <w:top w:w="0" w:type="dxa"/>
          <w:left w:w="108" w:type="dxa"/>
          <w:bottom w:w="0" w:type="dxa"/>
          <w:right w:w="108" w:type="dxa"/>
        </w:tblCellMar>
        <w:tblLook w:firstRow="1" w:noVBand="1" w:lastRow="0" w:firstColumn="1" w:lastColumn="0" w:noHBand="0" w:val="04a0"/>
      </w:tblPr>
      <w:tblGrid>
        <w:gridCol w:w="3402"/>
      </w:tblGrid>
      <w:tr>
        <w:trPr/>
        <w:tc>
          <w:tcPr>
            <w:tcW w:w="3402" w:type="dxa"/>
            <w:tcBorders/>
            <w:shd w:color="auto" w:fill="auto" w:val="clear"/>
          </w:tcPr>
          <w:p>
            <w:pPr>
              <w:pStyle w:val="Normal"/>
              <w:spacing w:lineRule="auto" w:line="480"/>
              <w:rPr>
                <w:rFonts w:ascii="Arial" w:hAnsi="Arial" w:cs="Arial"/>
                <w:sz w:val="21"/>
                <w:szCs w:val="21"/>
              </w:rPr>
            </w:pPr>
            <w:r>
              <w:rPr>
                <w:rFonts w:ascii="Arial" w:hAnsi="Arial" w:cs="Arial"/>
                <w:sz w:val="21"/>
                <w:szCs w:val="21"/>
              </w:rPr>
              <w:t>北京康正宏基房地产评估有限公司</w:t>
            </w:r>
          </w:p>
        </w:tc>
      </w:tr>
      <w:tr>
        <w:trPr>
          <w:trHeight w:val="1431" w:hRule="atLeast"/>
        </w:trPr>
        <w:tc>
          <w:tcPr>
            <w:tcW w:w="3402" w:type="dxa"/>
            <w:tcBorders/>
            <w:shd w:color="auto" w:fill="auto" w:val="clear"/>
          </w:tcPr>
          <w:p>
            <w:pPr>
              <w:pStyle w:val="Normal"/>
              <w:spacing w:lineRule="auto" w:line="480"/>
              <w:rPr>
                <w:rFonts w:ascii="Arial" w:hAnsi="Arial" w:cs="Arial"/>
                <w:sz w:val="21"/>
                <w:szCs w:val="21"/>
              </w:rPr>
            </w:pPr>
            <w:r>
              <w:rPr>
                <w:rFonts w:ascii="Arial" w:hAnsi="Arial" w:cs="Arial"/>
                <w:sz w:val="21"/>
                <w:szCs w:val="21"/>
              </w:rPr>
              <w:t>法定代表人：</w:t>
            </w:r>
          </w:p>
        </w:tc>
      </w:tr>
      <w:tr>
        <w:trPr/>
        <w:tc>
          <w:tcPr>
            <w:tcW w:w="3402" w:type="dxa"/>
            <w:tcBorders/>
            <w:shd w:color="auto" w:fill="auto" w:val="clear"/>
          </w:tcPr>
          <w:p>
            <w:pPr>
              <w:pStyle w:val="Normal"/>
              <w:spacing w:lineRule="auto" w:line="480"/>
              <w:jc w:val="right"/>
              <w:rPr>
                <w:rFonts w:ascii="Arial" w:hAnsi="Arial" w:cs="Arial"/>
                <w:sz w:val="21"/>
                <w:szCs w:val="21"/>
              </w:rPr>
            </w:pPr>
            <w:r>
              <w:rPr>
                <w:rFonts w:ascii="Arial" w:hAnsi="Arial" w:cs="Arial"/>
                <w:sz w:val="21"/>
                <w:szCs w:val="21"/>
              </w:rPr>
              <w:t>二〇二三年十二月八日</w:t>
            </w:r>
          </w:p>
        </w:tc>
      </w:tr>
    </w:tbl>
    <w:p>
      <w:pPr>
        <w:pStyle w:val="Normal"/>
        <w:numPr>
          <w:ilvl w:val="0"/>
          <w:numId w:val="0"/>
        </w:numPr>
        <w:spacing w:lineRule="auto" w:line="480"/>
        <w:jc w:val="center"/>
        <w:outlineLvl w:val="0"/>
        <w:rPr/>
      </w:pPr>
      <w:r>
        <w:rPr>
          <w:rFonts w:ascii="Arial" w:hAnsi="Arial" w:cs="Arial" w:eastAsia="方正黑体简体"/>
          <w:sz w:val="32"/>
          <w:szCs w:val="32"/>
        </w:rPr>
        <w:t>目   录</w:t>
      </w:r>
    </w:p>
    <w:p>
      <w:pPr>
        <w:pStyle w:val="Normal"/>
        <w:numPr>
          <w:ilvl w:val="0"/>
          <w:numId w:val="0"/>
        </w:numPr>
        <w:spacing w:lineRule="auto" w:line="480"/>
        <w:jc w:val="center"/>
        <w:outlineLvl w:val="0"/>
        <w:rPr>
          <w:rFonts w:ascii="Arial" w:hAnsi="Arial" w:eastAsia="方正黑体简体" w:cs="Arial"/>
          <w:sz w:val="32"/>
          <w:szCs w:val="32"/>
        </w:rPr>
      </w:pPr>
      <w:r>
        <w:rPr/>
      </w:r>
    </w:p>
    <w:sdt>
      <w:sdtPr>
        <w:docPartObj>
          <w:docPartGallery w:val="Table of Contents"/>
          <w:docPartUnique w:val="true"/>
        </w:docPartObj>
      </w:sdtPr>
      <w:sdtContent>
        <w:p>
          <w:pPr>
            <w:pStyle w:val="12"/>
            <w:widowControl w:val="false"/>
            <w:tabs>
              <w:tab w:val="right" w:pos="9072" w:leader="dot"/>
            </w:tabs>
            <w:spacing w:lineRule="auto" w:line="360"/>
            <w:textAlignment w:val="baseline"/>
            <w:rPr>
              <w:rFonts w:ascii="Arial" w:hAnsi="Arial" w:eastAsia="宋体" w:cs="Arial"/>
              <w:b w:val="false"/>
              <w:b w:val="false"/>
              <w:bCs w:val="false"/>
              <w:kern w:val="2"/>
              <w:sz w:val="24"/>
              <w:szCs w:val="24"/>
            </w:rPr>
          </w:pPr>
          <w:r>
            <w:fldChar w:fldCharType="begin"/>
          </w:r>
          <w:r>
            <w:rPr>
              <w:webHidden/>
              <w:rStyle w:val="Style13"/>
              <w:sz w:val="24"/>
              <w:b/>
              <w:szCs w:val="24"/>
              <w:bCs/>
              <w:vanish w:val="false"/>
              <w:rFonts w:ascii="Arial" w:hAnsi="Arial" w:cs="Arial" w:eastAsia="宋体"/>
            </w:rPr>
            <w:instrText> TOC \z \o "1-3" \h</w:instrText>
          </w:r>
          <w:r>
            <w:rPr>
              <w:webHidden/>
              <w:rStyle w:val="Style13"/>
              <w:sz w:val="24"/>
              <w:b/>
              <w:szCs w:val="24"/>
              <w:bCs/>
              <w:vanish w:val="false"/>
              <w:rFonts w:ascii="Arial" w:hAnsi="Arial" w:cs="Arial" w:eastAsia="宋体"/>
            </w:rPr>
            <w:fldChar w:fldCharType="separate"/>
          </w:r>
          <w:hyperlink w:anchor="_Toc525655414">
            <w:r>
              <w:rPr>
                <w:webHidden/>
                <w:rStyle w:val="Style13"/>
                <w:rFonts w:ascii="Arial" w:hAnsi="Arial" w:cs="Arial" w:eastAsia="宋体"/>
                <w:b/>
                <w:bCs/>
                <w:vanish w:val="false"/>
                <w:color w:val="auto"/>
                <w:sz w:val="24"/>
                <w:szCs w:val="24"/>
              </w:rPr>
              <w:t>致估价委托人函</w:t>
            </w:r>
            <w:r>
              <w:rPr>
                <w:webHidden/>
              </w:rPr>
              <w:fldChar w:fldCharType="begin"/>
            </w:r>
            <w:r>
              <w:rPr>
                <w:webHidden/>
              </w:rPr>
              <w:instrText>PAGEREF _Toc525655414 \h</w:instrText>
            </w:r>
            <w:r>
              <w:rPr>
                <w:webHidden/>
              </w:rPr>
              <w:fldChar w:fldCharType="separate"/>
            </w:r>
            <w:r>
              <w:rPr>
                <w:rStyle w:val="Style13"/>
                <w:rFonts w:eastAsia="宋体" w:cs="Arial" w:ascii="Arial" w:hAnsi="Arial"/>
                <w:b/>
                <w:bCs/>
                <w:sz w:val="24"/>
                <w:szCs w:val="24"/>
              </w:rPr>
              <w:tab/>
              <w:t>1</w:t>
            </w:r>
            <w:r>
              <w:rPr>
                <w:webHidden/>
              </w:rPr>
              <w:fldChar w:fldCharType="end"/>
            </w:r>
          </w:hyperlink>
        </w:p>
        <w:p>
          <w:pPr>
            <w:pStyle w:val="12"/>
            <w:rPr>
              <w:rFonts w:ascii="Arial" w:hAnsi="Arial" w:eastAsia="宋体" w:cs="Arial"/>
              <w:b w:val="false"/>
              <w:b w:val="false"/>
              <w:bCs w:val="false"/>
              <w:kern w:val="2"/>
              <w:sz w:val="24"/>
              <w:szCs w:val="24"/>
            </w:rPr>
          </w:pPr>
          <w:hyperlink w:anchor="_Toc525655415">
            <w:r>
              <w:rPr>
                <w:webHidden/>
                <w:rStyle w:val="Style13"/>
                <w:rFonts w:ascii="Arial" w:hAnsi="Arial" w:cs="Arial" w:eastAsia="宋体"/>
                <w:vanish w:val="false"/>
                <w:color w:val="auto"/>
                <w:sz w:val="24"/>
                <w:szCs w:val="24"/>
              </w:rPr>
              <w:t>估价师声明</w:t>
            </w:r>
            <w:r>
              <w:rPr>
                <w:webHidden/>
              </w:rPr>
              <w:fldChar w:fldCharType="begin"/>
            </w:r>
            <w:r>
              <w:rPr>
                <w:webHidden/>
              </w:rPr>
              <w:instrText>PAGEREF _Toc525655415 \h</w:instrText>
            </w:r>
            <w:r>
              <w:rPr>
                <w:webHidden/>
              </w:rPr>
              <w:fldChar w:fldCharType="separate"/>
            </w:r>
            <w:r>
              <w:rPr>
                <w:rStyle w:val="Style13"/>
                <w:rFonts w:eastAsia="宋体" w:cs="Arial" w:ascii="Arial" w:hAnsi="Arial"/>
                <w:sz w:val="24"/>
                <w:szCs w:val="24"/>
              </w:rPr>
              <w:tab/>
              <w:t>6</w:t>
            </w:r>
            <w:r>
              <w:rPr>
                <w:webHidden/>
              </w:rPr>
              <w:fldChar w:fldCharType="end"/>
            </w:r>
          </w:hyperlink>
        </w:p>
        <w:p>
          <w:pPr>
            <w:pStyle w:val="12"/>
            <w:rPr>
              <w:rFonts w:ascii="Arial" w:hAnsi="Arial" w:eastAsia="宋体" w:cs="Arial"/>
              <w:b w:val="false"/>
              <w:b w:val="false"/>
              <w:bCs w:val="false"/>
              <w:kern w:val="2"/>
              <w:sz w:val="24"/>
              <w:szCs w:val="24"/>
            </w:rPr>
          </w:pPr>
          <w:hyperlink w:anchor="_Toc525655416">
            <w:r>
              <w:rPr>
                <w:webHidden/>
                <w:rStyle w:val="Style13"/>
                <w:rFonts w:ascii="Arial" w:hAnsi="Arial" w:cs="Arial" w:eastAsia="宋体"/>
                <w:vanish w:val="false"/>
                <w:color w:val="auto"/>
                <w:sz w:val="24"/>
                <w:szCs w:val="24"/>
              </w:rPr>
              <w:t>估价假设和限制条件</w:t>
            </w:r>
            <w:r>
              <w:rPr>
                <w:webHidden/>
              </w:rPr>
              <w:fldChar w:fldCharType="begin"/>
            </w:r>
            <w:r>
              <w:rPr>
                <w:webHidden/>
              </w:rPr>
              <w:instrText>PAGEREF _Toc525655416 \h</w:instrText>
            </w:r>
            <w:r>
              <w:rPr>
                <w:webHidden/>
              </w:rPr>
              <w:fldChar w:fldCharType="separate"/>
            </w:r>
            <w:r>
              <w:rPr>
                <w:rStyle w:val="Style13"/>
                <w:rFonts w:eastAsia="宋体" w:cs="Arial" w:ascii="Arial" w:hAnsi="Arial"/>
                <w:sz w:val="24"/>
                <w:szCs w:val="24"/>
              </w:rPr>
              <w:tab/>
              <w:t>8</w:t>
            </w:r>
            <w:r>
              <w:rPr>
                <w:webHidden/>
              </w:rPr>
              <w:fldChar w:fldCharType="end"/>
            </w:r>
          </w:hyperlink>
        </w:p>
        <w:p>
          <w:pPr>
            <w:pStyle w:val="12"/>
            <w:rPr>
              <w:rFonts w:ascii="Arial" w:hAnsi="Arial" w:eastAsia="宋体" w:cs="Arial"/>
              <w:b w:val="false"/>
              <w:b w:val="false"/>
              <w:bCs w:val="false"/>
              <w:kern w:val="2"/>
              <w:sz w:val="24"/>
              <w:szCs w:val="24"/>
            </w:rPr>
          </w:pPr>
          <w:hyperlink w:anchor="_Toc525655417">
            <w:r>
              <w:rPr>
                <w:webHidden/>
                <w:rStyle w:val="Style13"/>
                <w:rFonts w:ascii="Arial" w:hAnsi="Arial" w:cs="Arial" w:eastAsia="宋体"/>
                <w:vanish w:val="false"/>
                <w:color w:val="auto"/>
                <w:sz w:val="24"/>
                <w:szCs w:val="24"/>
              </w:rPr>
              <w:t>估价结果报告</w:t>
            </w:r>
            <w:r>
              <w:rPr>
                <w:webHidden/>
              </w:rPr>
              <w:fldChar w:fldCharType="begin"/>
            </w:r>
            <w:r>
              <w:rPr>
                <w:webHidden/>
              </w:rPr>
              <w:instrText>PAGEREF _Toc525655417 \h</w:instrText>
            </w:r>
            <w:r>
              <w:rPr>
                <w:webHidden/>
              </w:rPr>
              <w:fldChar w:fldCharType="separate"/>
            </w:r>
            <w:r>
              <w:rPr>
                <w:rStyle w:val="Style13"/>
                <w:rFonts w:eastAsia="宋体" w:cs="Arial" w:ascii="Arial" w:hAnsi="Arial"/>
                <w:sz w:val="24"/>
                <w:szCs w:val="24"/>
              </w:rPr>
              <w:tab/>
              <w:t>12</w:t>
            </w:r>
            <w:r>
              <w:rPr>
                <w:webHidden/>
              </w:rPr>
              <w:fldChar w:fldCharType="end"/>
            </w:r>
          </w:hyperlink>
        </w:p>
        <w:p>
          <w:pPr>
            <w:pStyle w:val="21"/>
            <w:rPr>
              <w:rFonts w:ascii="Arial" w:hAnsi="Arial" w:eastAsia="宋体" w:cs="Arial"/>
              <w:kern w:val="2"/>
              <w:sz w:val="21"/>
              <w:szCs w:val="21"/>
            </w:rPr>
          </w:pPr>
          <w:hyperlink w:anchor="_Toc525655418">
            <w:r>
              <w:rPr>
                <w:webHidden/>
                <w:rStyle w:val="Style13"/>
                <w:rFonts w:ascii="Arial" w:hAnsi="Arial" w:cs="Arial" w:eastAsia="宋体"/>
                <w:vanish w:val="false"/>
                <w:color w:val="auto"/>
                <w:sz w:val="21"/>
                <w:szCs w:val="21"/>
              </w:rPr>
              <w:t>一、估价委托人</w:t>
            </w:r>
            <w:r>
              <w:rPr>
                <w:webHidden/>
              </w:rPr>
              <w:fldChar w:fldCharType="begin"/>
            </w:r>
            <w:r>
              <w:rPr>
                <w:webHidden/>
              </w:rPr>
              <w:instrText>PAGEREF _Toc525655418 \h</w:instrText>
            </w:r>
            <w:r>
              <w:rPr>
                <w:webHidden/>
              </w:rPr>
              <w:fldChar w:fldCharType="separate"/>
            </w:r>
            <w:r>
              <w:rPr>
                <w:rStyle w:val="Style13"/>
                <w:rFonts w:eastAsia="宋体" w:cs="Arial" w:ascii="Arial" w:hAnsi="Arial"/>
                <w:sz w:val="21"/>
                <w:szCs w:val="21"/>
              </w:rPr>
              <w:tab/>
              <w:t>12</w:t>
            </w:r>
            <w:r>
              <w:rPr>
                <w:webHidden/>
              </w:rPr>
              <w:fldChar w:fldCharType="end"/>
            </w:r>
          </w:hyperlink>
        </w:p>
        <w:p>
          <w:pPr>
            <w:pStyle w:val="21"/>
            <w:rPr>
              <w:rFonts w:ascii="Arial" w:hAnsi="Arial" w:eastAsia="宋体" w:cs="Arial"/>
              <w:kern w:val="2"/>
              <w:sz w:val="21"/>
              <w:szCs w:val="21"/>
            </w:rPr>
          </w:pPr>
          <w:hyperlink w:anchor="_Toc525655419">
            <w:r>
              <w:rPr>
                <w:webHidden/>
                <w:rStyle w:val="Style13"/>
                <w:rFonts w:ascii="Arial" w:hAnsi="Arial" w:cs="Arial" w:eastAsia="宋体"/>
                <w:vanish w:val="false"/>
                <w:color w:val="auto"/>
                <w:sz w:val="21"/>
                <w:szCs w:val="21"/>
              </w:rPr>
              <w:t>二、房地产估价机构</w:t>
            </w:r>
            <w:r>
              <w:rPr>
                <w:webHidden/>
              </w:rPr>
              <w:fldChar w:fldCharType="begin"/>
            </w:r>
            <w:r>
              <w:rPr>
                <w:webHidden/>
              </w:rPr>
              <w:instrText>PAGEREF _Toc525655419 \h</w:instrText>
            </w:r>
            <w:r>
              <w:rPr>
                <w:webHidden/>
              </w:rPr>
              <w:fldChar w:fldCharType="separate"/>
            </w:r>
            <w:r>
              <w:rPr>
                <w:rStyle w:val="Style13"/>
                <w:rFonts w:eastAsia="宋体" w:cs="Arial" w:ascii="Arial" w:hAnsi="Arial"/>
                <w:sz w:val="21"/>
                <w:szCs w:val="21"/>
              </w:rPr>
              <w:tab/>
              <w:t>12</w:t>
            </w:r>
            <w:r>
              <w:rPr>
                <w:webHidden/>
              </w:rPr>
              <w:fldChar w:fldCharType="end"/>
            </w:r>
          </w:hyperlink>
        </w:p>
        <w:p>
          <w:pPr>
            <w:pStyle w:val="21"/>
            <w:rPr>
              <w:rFonts w:ascii="Arial" w:hAnsi="Arial" w:eastAsia="宋体" w:cs="Arial"/>
              <w:kern w:val="2"/>
              <w:sz w:val="21"/>
              <w:szCs w:val="21"/>
            </w:rPr>
          </w:pPr>
          <w:hyperlink w:anchor="_Toc525655420">
            <w:r>
              <w:rPr>
                <w:webHidden/>
                <w:rStyle w:val="Style13"/>
                <w:rFonts w:ascii="Arial" w:hAnsi="Arial" w:cs="Arial" w:eastAsia="宋体"/>
                <w:vanish w:val="false"/>
                <w:color w:val="auto"/>
                <w:sz w:val="21"/>
                <w:szCs w:val="21"/>
              </w:rPr>
              <w:t>三、估价目的</w:t>
            </w:r>
            <w:r>
              <w:rPr>
                <w:webHidden/>
              </w:rPr>
              <w:fldChar w:fldCharType="begin"/>
            </w:r>
            <w:r>
              <w:rPr>
                <w:webHidden/>
              </w:rPr>
              <w:instrText>PAGEREF _Toc525655420 \h</w:instrText>
            </w:r>
            <w:r>
              <w:rPr>
                <w:webHidden/>
              </w:rPr>
              <w:fldChar w:fldCharType="separate"/>
            </w:r>
            <w:r>
              <w:rPr>
                <w:rStyle w:val="Style13"/>
                <w:rFonts w:eastAsia="宋体" w:cs="Arial" w:ascii="Arial" w:hAnsi="Arial"/>
                <w:sz w:val="21"/>
                <w:szCs w:val="21"/>
              </w:rPr>
              <w:tab/>
              <w:t>12</w:t>
            </w:r>
            <w:r>
              <w:rPr>
                <w:webHidden/>
              </w:rPr>
              <w:fldChar w:fldCharType="end"/>
            </w:r>
          </w:hyperlink>
        </w:p>
        <w:p>
          <w:pPr>
            <w:pStyle w:val="21"/>
            <w:rPr>
              <w:rFonts w:ascii="Arial" w:hAnsi="Arial" w:eastAsia="宋体" w:cs="Arial"/>
              <w:kern w:val="2"/>
              <w:sz w:val="21"/>
              <w:szCs w:val="21"/>
            </w:rPr>
          </w:pPr>
          <w:hyperlink w:anchor="_Toc525655421">
            <w:r>
              <w:rPr>
                <w:webHidden/>
                <w:rStyle w:val="Style13"/>
                <w:rFonts w:ascii="Arial" w:hAnsi="Arial" w:cs="Arial" w:eastAsia="宋体"/>
                <w:vanish w:val="false"/>
                <w:color w:val="auto"/>
                <w:sz w:val="21"/>
                <w:szCs w:val="21"/>
              </w:rPr>
              <w:t>四、估价对象</w:t>
            </w:r>
            <w:r>
              <w:rPr>
                <w:webHidden/>
              </w:rPr>
              <w:fldChar w:fldCharType="begin"/>
            </w:r>
            <w:r>
              <w:rPr>
                <w:webHidden/>
              </w:rPr>
              <w:instrText>PAGEREF _Toc525655421 \h</w:instrText>
            </w:r>
            <w:r>
              <w:rPr>
                <w:webHidden/>
              </w:rPr>
              <w:fldChar w:fldCharType="separate"/>
            </w:r>
            <w:r>
              <w:rPr>
                <w:rStyle w:val="Style13"/>
                <w:rFonts w:eastAsia="宋体" w:cs="Arial" w:ascii="Arial" w:hAnsi="Arial"/>
                <w:sz w:val="21"/>
                <w:szCs w:val="21"/>
              </w:rPr>
              <w:tab/>
              <w:t>12</w:t>
            </w:r>
            <w:r>
              <w:rPr>
                <w:webHidden/>
              </w:rPr>
              <w:fldChar w:fldCharType="end"/>
            </w:r>
          </w:hyperlink>
        </w:p>
        <w:p>
          <w:pPr>
            <w:pStyle w:val="21"/>
            <w:rPr>
              <w:rFonts w:ascii="Arial" w:hAnsi="Arial" w:eastAsia="宋体" w:cs="Arial"/>
              <w:kern w:val="2"/>
              <w:sz w:val="21"/>
              <w:szCs w:val="21"/>
            </w:rPr>
          </w:pPr>
          <w:hyperlink w:anchor="_Toc525655422">
            <w:r>
              <w:rPr>
                <w:webHidden/>
                <w:rStyle w:val="Style13"/>
                <w:rFonts w:ascii="Arial" w:hAnsi="Arial" w:cs="Arial" w:eastAsia="宋体"/>
                <w:vanish w:val="false"/>
                <w:color w:val="auto"/>
                <w:sz w:val="21"/>
                <w:szCs w:val="21"/>
              </w:rPr>
              <w:t>五、价值时点</w:t>
            </w:r>
            <w:r>
              <w:rPr>
                <w:webHidden/>
              </w:rPr>
              <w:fldChar w:fldCharType="begin"/>
            </w:r>
            <w:r>
              <w:rPr>
                <w:webHidden/>
              </w:rPr>
              <w:instrText>PAGEREF _Toc525655422 \h</w:instrText>
            </w:r>
            <w:r>
              <w:rPr>
                <w:webHidden/>
              </w:rPr>
              <w:fldChar w:fldCharType="separate"/>
            </w:r>
            <w:r>
              <w:rPr>
                <w:rStyle w:val="Style13"/>
                <w:rFonts w:eastAsia="宋体" w:cs="Arial" w:ascii="Arial" w:hAnsi="Arial"/>
                <w:sz w:val="21"/>
                <w:szCs w:val="21"/>
              </w:rPr>
              <w:tab/>
              <w:t>18</w:t>
            </w:r>
            <w:r>
              <w:rPr>
                <w:webHidden/>
              </w:rPr>
              <w:fldChar w:fldCharType="end"/>
            </w:r>
          </w:hyperlink>
        </w:p>
        <w:p>
          <w:pPr>
            <w:pStyle w:val="21"/>
            <w:rPr>
              <w:rFonts w:ascii="Arial" w:hAnsi="Arial" w:eastAsia="宋体" w:cs="Arial"/>
              <w:kern w:val="2"/>
              <w:sz w:val="21"/>
              <w:szCs w:val="21"/>
            </w:rPr>
          </w:pPr>
          <w:hyperlink w:anchor="_Toc525655423">
            <w:r>
              <w:rPr>
                <w:webHidden/>
                <w:rStyle w:val="Style13"/>
                <w:rFonts w:ascii="Arial" w:hAnsi="Arial" w:cs="Arial" w:eastAsia="宋体"/>
                <w:vanish w:val="false"/>
                <w:color w:val="auto"/>
                <w:sz w:val="21"/>
                <w:szCs w:val="21"/>
              </w:rPr>
              <w:t>六、价值类型</w:t>
            </w:r>
            <w:r>
              <w:rPr>
                <w:webHidden/>
              </w:rPr>
              <w:fldChar w:fldCharType="begin"/>
            </w:r>
            <w:r>
              <w:rPr>
                <w:webHidden/>
              </w:rPr>
              <w:instrText>PAGEREF _Toc525655423 \h</w:instrText>
            </w:r>
            <w:r>
              <w:rPr>
                <w:webHidden/>
              </w:rPr>
              <w:fldChar w:fldCharType="separate"/>
            </w:r>
            <w:r>
              <w:rPr>
                <w:rStyle w:val="Style13"/>
                <w:rFonts w:eastAsia="宋体" w:cs="Arial" w:ascii="Arial" w:hAnsi="Arial"/>
                <w:sz w:val="21"/>
                <w:szCs w:val="21"/>
              </w:rPr>
              <w:tab/>
              <w:t>18</w:t>
            </w:r>
            <w:r>
              <w:rPr>
                <w:webHidden/>
              </w:rPr>
              <w:fldChar w:fldCharType="end"/>
            </w:r>
          </w:hyperlink>
        </w:p>
        <w:p>
          <w:pPr>
            <w:pStyle w:val="21"/>
            <w:rPr>
              <w:rFonts w:ascii="Arial" w:hAnsi="Arial" w:eastAsia="宋体" w:cs="Arial"/>
              <w:kern w:val="2"/>
              <w:sz w:val="21"/>
              <w:szCs w:val="21"/>
            </w:rPr>
          </w:pPr>
          <w:hyperlink w:anchor="_Toc525655424">
            <w:r>
              <w:rPr>
                <w:webHidden/>
                <w:rStyle w:val="Style13"/>
                <w:rFonts w:ascii="Arial" w:hAnsi="Arial" w:cs="Arial" w:eastAsia="宋体"/>
                <w:vanish w:val="false"/>
                <w:color w:val="auto"/>
                <w:sz w:val="21"/>
                <w:szCs w:val="21"/>
              </w:rPr>
              <w:t>七、估价原则</w:t>
            </w:r>
            <w:r>
              <w:rPr>
                <w:webHidden/>
              </w:rPr>
              <w:fldChar w:fldCharType="begin"/>
            </w:r>
            <w:r>
              <w:rPr>
                <w:webHidden/>
              </w:rPr>
              <w:instrText>PAGEREF _Toc525655424 \h</w:instrText>
            </w:r>
            <w:r>
              <w:rPr>
                <w:webHidden/>
              </w:rPr>
              <w:fldChar w:fldCharType="separate"/>
            </w:r>
            <w:r>
              <w:rPr>
                <w:rStyle w:val="Style13"/>
                <w:rFonts w:eastAsia="宋体" w:cs="Arial" w:ascii="Arial" w:hAnsi="Arial"/>
                <w:sz w:val="21"/>
                <w:szCs w:val="21"/>
              </w:rPr>
              <w:tab/>
              <w:t>18</w:t>
            </w:r>
            <w:r>
              <w:rPr>
                <w:webHidden/>
              </w:rPr>
              <w:fldChar w:fldCharType="end"/>
            </w:r>
          </w:hyperlink>
        </w:p>
        <w:p>
          <w:pPr>
            <w:pStyle w:val="21"/>
            <w:rPr>
              <w:rFonts w:ascii="Arial" w:hAnsi="Arial" w:eastAsia="宋体" w:cs="Arial"/>
              <w:kern w:val="2"/>
              <w:sz w:val="21"/>
              <w:szCs w:val="21"/>
            </w:rPr>
          </w:pPr>
          <w:hyperlink w:anchor="_Toc525655425">
            <w:r>
              <w:rPr>
                <w:webHidden/>
                <w:rStyle w:val="Style13"/>
                <w:rFonts w:ascii="Arial" w:hAnsi="Arial" w:cs="Arial" w:eastAsia="宋体"/>
                <w:vanish w:val="false"/>
                <w:color w:val="auto"/>
                <w:sz w:val="21"/>
                <w:szCs w:val="21"/>
              </w:rPr>
              <w:t>八、估价依据</w:t>
            </w:r>
            <w:r>
              <w:rPr>
                <w:webHidden/>
              </w:rPr>
              <w:fldChar w:fldCharType="begin"/>
            </w:r>
            <w:r>
              <w:rPr>
                <w:webHidden/>
              </w:rPr>
              <w:instrText>PAGEREF _Toc525655425 \h</w:instrText>
            </w:r>
            <w:r>
              <w:rPr>
                <w:webHidden/>
              </w:rPr>
              <w:fldChar w:fldCharType="separate"/>
            </w:r>
            <w:r>
              <w:rPr>
                <w:rStyle w:val="Style13"/>
                <w:rFonts w:eastAsia="宋体" w:cs="Arial" w:ascii="Arial" w:hAnsi="Arial"/>
                <w:sz w:val="21"/>
                <w:szCs w:val="21"/>
              </w:rPr>
              <w:tab/>
              <w:t>20</w:t>
            </w:r>
            <w:r>
              <w:rPr>
                <w:webHidden/>
              </w:rPr>
              <w:fldChar w:fldCharType="end"/>
            </w:r>
          </w:hyperlink>
        </w:p>
        <w:p>
          <w:pPr>
            <w:pStyle w:val="21"/>
            <w:rPr>
              <w:rFonts w:ascii="Arial" w:hAnsi="Arial" w:eastAsia="宋体" w:cs="Arial"/>
              <w:kern w:val="2"/>
              <w:sz w:val="21"/>
              <w:szCs w:val="21"/>
            </w:rPr>
          </w:pPr>
          <w:hyperlink w:anchor="_Toc525655426">
            <w:r>
              <w:rPr>
                <w:webHidden/>
                <w:rStyle w:val="Style13"/>
                <w:rFonts w:ascii="Arial" w:hAnsi="Arial" w:cs="Arial" w:eastAsia="宋体"/>
                <w:vanish w:val="false"/>
                <w:color w:val="auto"/>
                <w:sz w:val="21"/>
                <w:szCs w:val="21"/>
              </w:rPr>
              <w:t>九、估价方法</w:t>
            </w:r>
            <w:r>
              <w:rPr>
                <w:webHidden/>
              </w:rPr>
              <w:fldChar w:fldCharType="begin"/>
            </w:r>
            <w:r>
              <w:rPr>
                <w:webHidden/>
              </w:rPr>
              <w:instrText>PAGEREF _Toc525655426 \h</w:instrText>
            </w:r>
            <w:r>
              <w:rPr>
                <w:webHidden/>
              </w:rPr>
              <w:fldChar w:fldCharType="separate"/>
            </w:r>
            <w:r>
              <w:rPr>
                <w:rStyle w:val="Style13"/>
                <w:rFonts w:eastAsia="宋体" w:cs="Arial" w:ascii="Arial" w:hAnsi="Arial"/>
                <w:sz w:val="21"/>
                <w:szCs w:val="21"/>
              </w:rPr>
              <w:tab/>
              <w:t>22</w:t>
            </w:r>
            <w:r>
              <w:rPr>
                <w:webHidden/>
              </w:rPr>
              <w:fldChar w:fldCharType="end"/>
            </w:r>
          </w:hyperlink>
        </w:p>
        <w:p>
          <w:pPr>
            <w:pStyle w:val="21"/>
            <w:rPr>
              <w:rFonts w:ascii="Arial" w:hAnsi="Arial" w:eastAsia="宋体" w:cs="Arial"/>
              <w:kern w:val="2"/>
              <w:sz w:val="21"/>
              <w:szCs w:val="21"/>
            </w:rPr>
          </w:pPr>
          <w:hyperlink w:anchor="_Toc525655427">
            <w:r>
              <w:rPr>
                <w:webHidden/>
                <w:rStyle w:val="Style13"/>
                <w:rFonts w:ascii="Arial" w:hAnsi="Arial" w:cs="Arial" w:eastAsia="宋体"/>
                <w:vanish w:val="false"/>
                <w:color w:val="auto"/>
                <w:sz w:val="21"/>
                <w:szCs w:val="21"/>
              </w:rPr>
              <w:t>十、估价结果</w:t>
            </w:r>
            <w:r>
              <w:rPr>
                <w:webHidden/>
              </w:rPr>
              <w:fldChar w:fldCharType="begin"/>
            </w:r>
            <w:r>
              <w:rPr>
                <w:webHidden/>
              </w:rPr>
              <w:instrText>PAGEREF _Toc525655427 \h</w:instrText>
            </w:r>
            <w:r>
              <w:rPr>
                <w:webHidden/>
              </w:rPr>
              <w:fldChar w:fldCharType="separate"/>
            </w:r>
            <w:r>
              <w:rPr>
                <w:rStyle w:val="Style13"/>
                <w:rFonts w:eastAsia="宋体" w:cs="Arial" w:ascii="Arial" w:hAnsi="Arial"/>
                <w:sz w:val="21"/>
                <w:szCs w:val="21"/>
              </w:rPr>
              <w:tab/>
              <w:t>23</w:t>
            </w:r>
            <w:r>
              <w:rPr>
                <w:webHidden/>
              </w:rPr>
              <w:fldChar w:fldCharType="end"/>
            </w:r>
          </w:hyperlink>
        </w:p>
        <w:p>
          <w:pPr>
            <w:pStyle w:val="21"/>
            <w:rPr>
              <w:rFonts w:ascii="Arial" w:hAnsi="Arial" w:eastAsia="宋体" w:cs="Arial"/>
              <w:kern w:val="2"/>
              <w:sz w:val="21"/>
              <w:szCs w:val="21"/>
            </w:rPr>
          </w:pPr>
          <w:hyperlink w:anchor="_Toc525655428">
            <w:r>
              <w:rPr>
                <w:webHidden/>
                <w:rStyle w:val="Style13"/>
                <w:rFonts w:ascii="Arial" w:hAnsi="Arial" w:cs="Arial" w:eastAsia="宋体"/>
                <w:vanish w:val="false"/>
                <w:color w:val="auto"/>
                <w:sz w:val="21"/>
                <w:szCs w:val="21"/>
              </w:rPr>
              <w:t>十一、参与本次估价工作的评估专业人员</w:t>
            </w:r>
            <w:r>
              <w:rPr>
                <w:webHidden/>
              </w:rPr>
              <w:fldChar w:fldCharType="begin"/>
            </w:r>
            <w:r>
              <w:rPr>
                <w:webHidden/>
              </w:rPr>
              <w:instrText>PAGEREF _Toc525655428 \h</w:instrText>
            </w:r>
            <w:r>
              <w:rPr>
                <w:webHidden/>
              </w:rPr>
              <w:fldChar w:fldCharType="separate"/>
            </w:r>
            <w:r>
              <w:rPr>
                <w:rStyle w:val="Style13"/>
                <w:rFonts w:eastAsia="宋体" w:cs="Arial" w:ascii="Arial" w:hAnsi="Arial"/>
                <w:sz w:val="21"/>
                <w:szCs w:val="21"/>
              </w:rPr>
              <w:tab/>
              <w:t>24</w:t>
            </w:r>
            <w:r>
              <w:rPr>
                <w:webHidden/>
              </w:rPr>
              <w:fldChar w:fldCharType="end"/>
            </w:r>
          </w:hyperlink>
        </w:p>
        <w:p>
          <w:pPr>
            <w:pStyle w:val="21"/>
            <w:rPr>
              <w:rFonts w:ascii="Arial" w:hAnsi="Arial" w:eastAsia="宋体" w:cs="Arial"/>
              <w:kern w:val="2"/>
              <w:sz w:val="21"/>
              <w:szCs w:val="21"/>
            </w:rPr>
          </w:pPr>
          <w:hyperlink w:anchor="_Toc525655429">
            <w:r>
              <w:rPr>
                <w:webHidden/>
                <w:rStyle w:val="Style13"/>
                <w:rFonts w:ascii="Arial" w:hAnsi="Arial" w:cs="Arial" w:eastAsia="宋体"/>
                <w:vanish w:val="false"/>
                <w:color w:val="auto"/>
                <w:sz w:val="21"/>
                <w:szCs w:val="21"/>
              </w:rPr>
              <w:t>十二、实地查勘期</w:t>
            </w:r>
            <w:r>
              <w:rPr>
                <w:webHidden/>
              </w:rPr>
              <w:fldChar w:fldCharType="begin"/>
            </w:r>
            <w:r>
              <w:rPr>
                <w:webHidden/>
              </w:rPr>
              <w:instrText>PAGEREF _Toc525655429 \h</w:instrText>
            </w:r>
            <w:r>
              <w:rPr>
                <w:webHidden/>
              </w:rPr>
              <w:fldChar w:fldCharType="separate"/>
            </w:r>
            <w:r>
              <w:rPr>
                <w:rStyle w:val="Style13"/>
                <w:rFonts w:eastAsia="宋体" w:cs="Arial" w:ascii="Arial" w:hAnsi="Arial"/>
                <w:sz w:val="21"/>
                <w:szCs w:val="21"/>
              </w:rPr>
              <w:tab/>
              <w:t>24</w:t>
            </w:r>
            <w:r>
              <w:rPr>
                <w:webHidden/>
              </w:rPr>
              <w:fldChar w:fldCharType="end"/>
            </w:r>
          </w:hyperlink>
        </w:p>
        <w:p>
          <w:pPr>
            <w:pStyle w:val="21"/>
            <w:rPr>
              <w:rFonts w:ascii="Arial" w:hAnsi="Arial" w:eastAsia="宋体" w:cs="Arial"/>
              <w:kern w:val="2"/>
              <w:szCs w:val="24"/>
            </w:rPr>
          </w:pPr>
          <w:hyperlink w:anchor="_Toc525655430">
            <w:r>
              <w:rPr>
                <w:webHidden/>
                <w:rStyle w:val="Style13"/>
                <w:rFonts w:ascii="Arial" w:hAnsi="Arial" w:cs="Arial" w:eastAsia="宋体"/>
                <w:vanish w:val="false"/>
                <w:color w:val="auto"/>
                <w:sz w:val="21"/>
                <w:szCs w:val="21"/>
              </w:rPr>
              <w:t>十三、估价作业期</w:t>
            </w:r>
            <w:r>
              <w:rPr>
                <w:webHidden/>
              </w:rPr>
              <w:fldChar w:fldCharType="begin"/>
            </w:r>
            <w:r>
              <w:rPr>
                <w:webHidden/>
              </w:rPr>
              <w:instrText>PAGEREF _Toc525655430 \h</w:instrText>
            </w:r>
            <w:r>
              <w:rPr>
                <w:webHidden/>
              </w:rPr>
              <w:fldChar w:fldCharType="separate"/>
            </w:r>
            <w:r>
              <w:rPr>
                <w:rStyle w:val="Style13"/>
                <w:rFonts w:eastAsia="宋体" w:cs="Arial" w:ascii="Arial" w:hAnsi="Arial"/>
                <w:sz w:val="21"/>
                <w:szCs w:val="21"/>
              </w:rPr>
              <w:tab/>
              <w:t>24</w:t>
            </w:r>
            <w:r>
              <w:rPr>
                <w:webHidden/>
              </w:rPr>
              <w:fldChar w:fldCharType="end"/>
            </w:r>
          </w:hyperlink>
        </w:p>
        <w:p>
          <w:pPr>
            <w:pStyle w:val="12"/>
            <w:rPr>
              <w:rFonts w:ascii="Arial" w:hAnsi="Arial" w:eastAsia="宋体" w:cs="Arial"/>
              <w:b w:val="false"/>
              <w:b w:val="false"/>
              <w:bCs w:val="false"/>
              <w:kern w:val="2"/>
              <w:sz w:val="24"/>
              <w:szCs w:val="24"/>
            </w:rPr>
          </w:pPr>
          <w:hyperlink w:anchor="_Toc525655431">
            <w:r>
              <w:rPr>
                <w:webHidden/>
                <w:rStyle w:val="Style13"/>
                <w:rFonts w:ascii="Arial" w:hAnsi="Arial" w:cs="Arial" w:eastAsia="宋体"/>
                <w:vanish w:val="false"/>
                <w:color w:val="auto"/>
                <w:sz w:val="24"/>
                <w:szCs w:val="24"/>
              </w:rPr>
              <w:t>估价技术报告</w:t>
            </w:r>
            <w:r>
              <w:rPr>
                <w:webHidden/>
              </w:rPr>
              <w:fldChar w:fldCharType="begin"/>
            </w:r>
            <w:r>
              <w:rPr>
                <w:webHidden/>
              </w:rPr>
              <w:instrText>PAGEREF _Toc525655431 \h</w:instrText>
            </w:r>
            <w:r>
              <w:rPr>
                <w:webHidden/>
              </w:rPr>
              <w:fldChar w:fldCharType="separate"/>
            </w:r>
            <w:r>
              <w:rPr>
                <w:rStyle w:val="Style13"/>
                <w:rFonts w:eastAsia="宋体" w:cs="Arial" w:ascii="Arial" w:hAnsi="Arial"/>
                <w:sz w:val="24"/>
                <w:szCs w:val="24"/>
              </w:rPr>
              <w:tab/>
              <w:t>25</w:t>
            </w:r>
            <w:r>
              <w:rPr>
                <w:webHidden/>
              </w:rPr>
              <w:fldChar w:fldCharType="end"/>
            </w:r>
          </w:hyperlink>
        </w:p>
        <w:p>
          <w:pPr>
            <w:pStyle w:val="21"/>
            <w:rPr>
              <w:rFonts w:ascii="Arial" w:hAnsi="Arial" w:eastAsia="宋体" w:cs="Arial"/>
              <w:kern w:val="2"/>
              <w:sz w:val="21"/>
              <w:szCs w:val="21"/>
            </w:rPr>
          </w:pPr>
          <w:hyperlink w:anchor="_Toc525655432">
            <w:r>
              <w:rPr>
                <w:webHidden/>
                <w:rStyle w:val="Style13"/>
                <w:rFonts w:ascii="Arial" w:hAnsi="Arial" w:cs="Arial" w:eastAsia="宋体"/>
                <w:vanish w:val="false"/>
                <w:color w:val="auto"/>
                <w:sz w:val="21"/>
                <w:szCs w:val="21"/>
              </w:rPr>
              <w:t>一、估价对象描述与分析</w:t>
            </w:r>
            <w:r>
              <w:rPr>
                <w:webHidden/>
              </w:rPr>
              <w:fldChar w:fldCharType="begin"/>
            </w:r>
            <w:r>
              <w:rPr>
                <w:webHidden/>
              </w:rPr>
              <w:instrText>PAGEREF _Toc525655432 \h</w:instrText>
            </w:r>
            <w:r>
              <w:rPr>
                <w:webHidden/>
              </w:rPr>
              <w:fldChar w:fldCharType="separate"/>
            </w:r>
            <w:r>
              <w:rPr>
                <w:rStyle w:val="Style13"/>
                <w:rFonts w:eastAsia="宋体" w:cs="Arial" w:ascii="Arial" w:hAnsi="Arial"/>
                <w:sz w:val="21"/>
                <w:szCs w:val="21"/>
              </w:rPr>
              <w:tab/>
              <w:t>25</w:t>
            </w:r>
            <w:r>
              <w:rPr>
                <w:webHidden/>
              </w:rPr>
              <w:fldChar w:fldCharType="end"/>
            </w:r>
          </w:hyperlink>
        </w:p>
        <w:p>
          <w:pPr>
            <w:pStyle w:val="21"/>
            <w:rPr>
              <w:rFonts w:ascii="Arial" w:hAnsi="Arial" w:eastAsia="宋体" w:cs="Arial"/>
              <w:kern w:val="2"/>
              <w:sz w:val="21"/>
              <w:szCs w:val="21"/>
            </w:rPr>
          </w:pPr>
          <w:hyperlink w:anchor="_Toc525655433">
            <w:r>
              <w:rPr>
                <w:webHidden/>
                <w:rStyle w:val="Style13"/>
                <w:rFonts w:ascii="Arial" w:hAnsi="Arial" w:cs="Arial" w:eastAsia="宋体"/>
                <w:vanish w:val="false"/>
                <w:color w:val="auto"/>
                <w:sz w:val="21"/>
                <w:szCs w:val="21"/>
              </w:rPr>
              <w:t>（一）区位状况分析</w:t>
            </w:r>
            <w:r>
              <w:rPr>
                <w:webHidden/>
              </w:rPr>
              <w:fldChar w:fldCharType="begin"/>
            </w:r>
            <w:r>
              <w:rPr>
                <w:webHidden/>
              </w:rPr>
              <w:instrText>PAGEREF _Toc525655433 \h</w:instrText>
            </w:r>
            <w:r>
              <w:rPr>
                <w:webHidden/>
              </w:rPr>
              <w:fldChar w:fldCharType="separate"/>
            </w:r>
            <w:r>
              <w:rPr>
                <w:rStyle w:val="Style13"/>
                <w:rFonts w:eastAsia="宋体" w:cs="Arial" w:ascii="Arial" w:hAnsi="Arial"/>
                <w:sz w:val="21"/>
                <w:szCs w:val="21"/>
              </w:rPr>
              <w:tab/>
              <w:t>25</w:t>
            </w:r>
            <w:r>
              <w:rPr>
                <w:webHidden/>
              </w:rPr>
              <w:fldChar w:fldCharType="end"/>
            </w:r>
          </w:hyperlink>
        </w:p>
        <w:p>
          <w:pPr>
            <w:pStyle w:val="21"/>
            <w:rPr>
              <w:rFonts w:ascii="Arial" w:hAnsi="Arial" w:eastAsia="宋体" w:cs="Arial"/>
              <w:kern w:val="2"/>
              <w:sz w:val="21"/>
              <w:szCs w:val="21"/>
            </w:rPr>
          </w:pPr>
          <w:hyperlink w:anchor="_Toc525655435">
            <w:r>
              <w:rPr>
                <w:webHidden/>
                <w:rStyle w:val="Style13"/>
                <w:rFonts w:ascii="Arial" w:hAnsi="Arial" w:cs="Arial" w:eastAsia="宋体"/>
                <w:vanish w:val="false"/>
                <w:color w:val="auto"/>
                <w:sz w:val="21"/>
                <w:szCs w:val="21"/>
              </w:rPr>
              <w:t>（二）实物状况分析</w:t>
            </w:r>
            <w:r>
              <w:rPr>
                <w:webHidden/>
              </w:rPr>
              <w:fldChar w:fldCharType="begin"/>
            </w:r>
            <w:r>
              <w:rPr>
                <w:webHidden/>
              </w:rPr>
              <w:instrText>PAGEREF _Toc525655435 \h</w:instrText>
            </w:r>
            <w:r>
              <w:rPr>
                <w:webHidden/>
              </w:rPr>
              <w:fldChar w:fldCharType="separate"/>
            </w:r>
            <w:r>
              <w:rPr>
                <w:rStyle w:val="Style13"/>
                <w:rFonts w:eastAsia="宋体" w:cs="Arial" w:ascii="Arial" w:hAnsi="Arial"/>
                <w:sz w:val="21"/>
                <w:szCs w:val="21"/>
              </w:rPr>
              <w:tab/>
              <w:t>26</w:t>
            </w:r>
            <w:r>
              <w:rPr>
                <w:webHidden/>
              </w:rPr>
              <w:fldChar w:fldCharType="end"/>
            </w:r>
          </w:hyperlink>
        </w:p>
        <w:p>
          <w:pPr>
            <w:pStyle w:val="21"/>
            <w:rPr>
              <w:rFonts w:ascii="Arial" w:hAnsi="Arial" w:eastAsia="宋体" w:cs="Arial"/>
              <w:kern w:val="2"/>
              <w:sz w:val="21"/>
              <w:szCs w:val="21"/>
            </w:rPr>
          </w:pPr>
          <w:hyperlink w:anchor="_Toc525655436">
            <w:r>
              <w:rPr>
                <w:webHidden/>
                <w:rStyle w:val="Style13"/>
                <w:rFonts w:ascii="Arial" w:hAnsi="Arial" w:cs="Arial" w:eastAsia="宋体"/>
                <w:vanish w:val="false"/>
                <w:color w:val="auto"/>
                <w:sz w:val="21"/>
                <w:szCs w:val="21"/>
              </w:rPr>
              <w:t>（三）权益状况分析</w:t>
            </w:r>
            <w:r>
              <w:rPr>
                <w:webHidden/>
              </w:rPr>
              <w:fldChar w:fldCharType="begin"/>
            </w:r>
            <w:r>
              <w:rPr>
                <w:webHidden/>
              </w:rPr>
              <w:instrText>PAGEREF _Toc525655436 \h</w:instrText>
            </w:r>
            <w:r>
              <w:rPr>
                <w:webHidden/>
              </w:rPr>
              <w:fldChar w:fldCharType="separate"/>
            </w:r>
            <w:r>
              <w:rPr>
                <w:rStyle w:val="Style13"/>
                <w:rFonts w:eastAsia="宋体" w:cs="Arial" w:ascii="Arial" w:hAnsi="Arial"/>
                <w:sz w:val="21"/>
                <w:szCs w:val="21"/>
              </w:rPr>
              <w:tab/>
              <w:t>29</w:t>
            </w:r>
            <w:r>
              <w:rPr>
                <w:webHidden/>
              </w:rPr>
              <w:fldChar w:fldCharType="end"/>
            </w:r>
          </w:hyperlink>
        </w:p>
        <w:p>
          <w:pPr>
            <w:pStyle w:val="21"/>
            <w:rPr>
              <w:rFonts w:ascii="Arial" w:hAnsi="Arial" w:eastAsia="宋体" w:cs="Arial"/>
              <w:kern w:val="2"/>
              <w:sz w:val="21"/>
              <w:szCs w:val="21"/>
            </w:rPr>
          </w:pPr>
          <w:hyperlink w:anchor="_Toc525655437">
            <w:r>
              <w:rPr>
                <w:webHidden/>
                <w:rStyle w:val="Style13"/>
                <w:rFonts w:ascii="Arial" w:hAnsi="Arial" w:cs="Arial" w:eastAsia="宋体"/>
                <w:vanish w:val="false"/>
                <w:color w:val="auto"/>
                <w:sz w:val="21"/>
                <w:szCs w:val="21"/>
              </w:rPr>
              <w:t>二、市场背景描述与分析</w:t>
            </w:r>
            <w:r>
              <w:rPr>
                <w:webHidden/>
              </w:rPr>
              <w:fldChar w:fldCharType="begin"/>
            </w:r>
            <w:r>
              <w:rPr>
                <w:webHidden/>
              </w:rPr>
              <w:instrText>PAGEREF _Toc525655437 \h</w:instrText>
            </w:r>
            <w:r>
              <w:rPr>
                <w:webHidden/>
              </w:rPr>
              <w:fldChar w:fldCharType="separate"/>
            </w:r>
            <w:r>
              <w:rPr>
                <w:rStyle w:val="Style13"/>
                <w:rFonts w:eastAsia="宋体" w:cs="Arial" w:ascii="Arial" w:hAnsi="Arial"/>
                <w:sz w:val="21"/>
                <w:szCs w:val="21"/>
              </w:rPr>
              <w:tab/>
              <w:t>29</w:t>
            </w:r>
            <w:r>
              <w:rPr>
                <w:webHidden/>
              </w:rPr>
              <w:fldChar w:fldCharType="end"/>
            </w:r>
          </w:hyperlink>
        </w:p>
        <w:p>
          <w:pPr>
            <w:pStyle w:val="21"/>
            <w:rPr>
              <w:rFonts w:ascii="Arial" w:hAnsi="Arial" w:eastAsia="宋体" w:cs="Arial"/>
              <w:kern w:val="2"/>
              <w:sz w:val="21"/>
              <w:szCs w:val="21"/>
            </w:rPr>
          </w:pPr>
          <w:hyperlink w:anchor="_Toc525655438">
            <w:r>
              <w:rPr>
                <w:webHidden/>
                <w:rStyle w:val="Style13"/>
                <w:rFonts w:ascii="Arial" w:hAnsi="Arial" w:cs="Arial" w:eastAsia="宋体"/>
                <w:vanish w:val="false"/>
                <w:color w:val="auto"/>
                <w:sz w:val="21"/>
                <w:szCs w:val="21"/>
              </w:rPr>
              <w:t>三、最高最佳利用分析</w:t>
            </w:r>
            <w:r>
              <w:rPr>
                <w:webHidden/>
              </w:rPr>
              <w:fldChar w:fldCharType="begin"/>
            </w:r>
            <w:r>
              <w:rPr>
                <w:webHidden/>
              </w:rPr>
              <w:instrText>PAGEREF _Toc525655438 \h</w:instrText>
            </w:r>
            <w:r>
              <w:rPr>
                <w:webHidden/>
              </w:rPr>
              <w:fldChar w:fldCharType="separate"/>
            </w:r>
            <w:r>
              <w:rPr>
                <w:rStyle w:val="Style13"/>
                <w:rFonts w:eastAsia="宋体" w:cs="Arial" w:ascii="Arial" w:hAnsi="Arial"/>
                <w:sz w:val="21"/>
                <w:szCs w:val="21"/>
              </w:rPr>
              <w:tab/>
              <w:t>44</w:t>
            </w:r>
            <w:r>
              <w:rPr>
                <w:webHidden/>
              </w:rPr>
              <w:fldChar w:fldCharType="end"/>
            </w:r>
          </w:hyperlink>
        </w:p>
        <w:p>
          <w:pPr>
            <w:pStyle w:val="21"/>
            <w:rPr>
              <w:rFonts w:ascii="Arial" w:hAnsi="Arial" w:eastAsia="宋体" w:cs="Arial"/>
              <w:kern w:val="2"/>
              <w:sz w:val="21"/>
              <w:szCs w:val="21"/>
            </w:rPr>
          </w:pPr>
          <w:hyperlink w:anchor="_Toc525655439">
            <w:r>
              <w:rPr>
                <w:webHidden/>
                <w:rStyle w:val="Style13"/>
                <w:rFonts w:ascii="Arial" w:hAnsi="Arial" w:cs="Arial" w:eastAsia="宋体"/>
                <w:vanish w:val="false"/>
                <w:color w:val="auto"/>
                <w:sz w:val="21"/>
                <w:szCs w:val="21"/>
              </w:rPr>
              <w:t>四、估价方法适用性分析</w:t>
            </w:r>
            <w:r>
              <w:rPr>
                <w:webHidden/>
              </w:rPr>
              <w:fldChar w:fldCharType="begin"/>
            </w:r>
            <w:r>
              <w:rPr>
                <w:webHidden/>
              </w:rPr>
              <w:instrText>PAGEREF _Toc525655439 \h</w:instrText>
            </w:r>
            <w:r>
              <w:rPr>
                <w:webHidden/>
              </w:rPr>
              <w:fldChar w:fldCharType="separate"/>
            </w:r>
            <w:r>
              <w:rPr>
                <w:rStyle w:val="Style13"/>
                <w:rFonts w:eastAsia="宋体" w:cs="Arial" w:ascii="Arial" w:hAnsi="Arial"/>
                <w:sz w:val="21"/>
                <w:szCs w:val="21"/>
              </w:rPr>
              <w:tab/>
              <w:t>47</w:t>
            </w:r>
            <w:r>
              <w:rPr>
                <w:webHidden/>
              </w:rPr>
              <w:fldChar w:fldCharType="end"/>
            </w:r>
          </w:hyperlink>
        </w:p>
        <w:p>
          <w:pPr>
            <w:pStyle w:val="21"/>
            <w:rPr>
              <w:rFonts w:ascii="Arial" w:hAnsi="Arial" w:eastAsia="宋体" w:cs="Arial"/>
              <w:kern w:val="2"/>
              <w:sz w:val="21"/>
              <w:szCs w:val="21"/>
            </w:rPr>
          </w:pPr>
          <w:hyperlink w:anchor="_Toc525655440">
            <w:r>
              <w:rPr>
                <w:webHidden/>
                <w:rStyle w:val="Style13"/>
                <w:rFonts w:ascii="Arial" w:hAnsi="Arial" w:cs="Arial" w:eastAsia="宋体"/>
                <w:vanish w:val="false"/>
                <w:color w:val="auto"/>
                <w:sz w:val="21"/>
                <w:szCs w:val="21"/>
              </w:rPr>
              <w:t>五、估价测算过程</w:t>
            </w:r>
            <w:r>
              <w:rPr>
                <w:webHidden/>
              </w:rPr>
              <w:fldChar w:fldCharType="begin"/>
            </w:r>
            <w:r>
              <w:rPr>
                <w:webHidden/>
              </w:rPr>
              <w:instrText>PAGEREF _Toc525655440 \h</w:instrText>
            </w:r>
            <w:r>
              <w:rPr>
                <w:webHidden/>
              </w:rPr>
              <w:fldChar w:fldCharType="separate"/>
            </w:r>
            <w:r>
              <w:rPr>
                <w:rStyle w:val="Style13"/>
                <w:rFonts w:eastAsia="宋体" w:cs="Arial" w:ascii="Arial" w:hAnsi="Arial"/>
                <w:sz w:val="21"/>
                <w:szCs w:val="21"/>
              </w:rPr>
              <w:tab/>
              <w:t>49</w:t>
            </w:r>
            <w:r>
              <w:rPr>
                <w:webHidden/>
              </w:rPr>
              <w:fldChar w:fldCharType="end"/>
            </w:r>
          </w:hyperlink>
        </w:p>
        <w:p>
          <w:pPr>
            <w:pStyle w:val="21"/>
            <w:rPr>
              <w:rFonts w:ascii="Arial" w:hAnsi="Arial" w:eastAsia="宋体" w:cs="Arial"/>
              <w:kern w:val="2"/>
              <w:szCs w:val="24"/>
            </w:rPr>
          </w:pPr>
          <w:hyperlink w:anchor="_Toc525655441">
            <w:r>
              <w:rPr>
                <w:webHidden/>
                <w:rStyle w:val="Style13"/>
                <w:rFonts w:ascii="Arial" w:hAnsi="Arial" w:cs="Arial" w:eastAsia="宋体"/>
                <w:vanish w:val="false"/>
                <w:color w:val="auto"/>
                <w:sz w:val="21"/>
                <w:szCs w:val="21"/>
              </w:rPr>
              <w:t>六、估价结果确定</w:t>
            </w:r>
            <w:r>
              <w:rPr>
                <w:webHidden/>
              </w:rPr>
              <w:fldChar w:fldCharType="begin"/>
            </w:r>
            <w:r>
              <w:rPr>
                <w:webHidden/>
              </w:rPr>
              <w:instrText>PAGEREF _Toc525655441 \h</w:instrText>
            </w:r>
            <w:r>
              <w:rPr>
                <w:webHidden/>
              </w:rPr>
              <w:fldChar w:fldCharType="separate"/>
            </w:r>
            <w:r>
              <w:rPr>
                <w:rStyle w:val="Style13"/>
                <w:rFonts w:eastAsia="宋体" w:cs="Arial" w:ascii="Arial" w:hAnsi="Arial"/>
                <w:sz w:val="21"/>
                <w:szCs w:val="21"/>
              </w:rPr>
              <w:tab/>
              <w:t>64</w:t>
            </w:r>
            <w:r>
              <w:rPr>
                <w:webHidden/>
              </w:rPr>
              <w:fldChar w:fldCharType="end"/>
            </w:r>
          </w:hyperlink>
        </w:p>
        <w:p>
          <w:pPr>
            <w:pStyle w:val="12"/>
            <w:rPr>
              <w:rFonts w:ascii="Arial" w:hAnsi="Arial" w:eastAsia="宋体" w:cs="Arial"/>
              <w:b w:val="false"/>
              <w:b w:val="false"/>
              <w:bCs w:val="false"/>
              <w:kern w:val="2"/>
              <w:sz w:val="24"/>
              <w:szCs w:val="24"/>
            </w:rPr>
          </w:pPr>
          <w:hyperlink w:anchor="_Toc525655442">
            <w:r>
              <w:rPr>
                <w:webHidden/>
                <w:rStyle w:val="Style13"/>
                <w:rFonts w:ascii="Arial" w:hAnsi="Arial" w:cs="Arial" w:eastAsia="宋体"/>
                <w:vanish w:val="false"/>
                <w:color w:val="auto"/>
                <w:sz w:val="24"/>
                <w:szCs w:val="24"/>
              </w:rPr>
              <w:t>附   件</w:t>
            </w:r>
            <w:r>
              <w:rPr>
                <w:webHidden/>
              </w:rPr>
              <w:fldChar w:fldCharType="begin"/>
            </w:r>
            <w:r>
              <w:rPr>
                <w:webHidden/>
              </w:rPr>
              <w:instrText>PAGEREF _Toc525655442 \h</w:instrText>
            </w:r>
            <w:r>
              <w:rPr>
                <w:webHidden/>
              </w:rPr>
              <w:fldChar w:fldCharType="separate"/>
            </w:r>
            <w:r>
              <w:rPr>
                <w:rStyle w:val="Style13"/>
                <w:rFonts w:eastAsia="宋体" w:cs="Arial" w:ascii="Arial" w:hAnsi="Arial"/>
                <w:sz w:val="24"/>
                <w:szCs w:val="24"/>
              </w:rPr>
              <w:tab/>
              <w:t>66</w:t>
            </w:r>
            <w:r>
              <w:rPr>
                <w:webHidden/>
              </w:rPr>
              <w:fldChar w:fldCharType="end"/>
            </w:r>
          </w:hyperlink>
        </w:p>
        <w:p>
          <w:pPr>
            <w:pStyle w:val="Normal"/>
            <w:numPr>
              <w:ilvl w:val="0"/>
              <w:numId w:val="3"/>
            </w:numPr>
            <w:spacing w:lineRule="auto" w:line="360"/>
            <w:jc w:val="both"/>
            <w:rPr>
              <w:rFonts w:ascii="Arial" w:hAnsi="Arial" w:cs="Arial"/>
              <w:sz w:val="21"/>
              <w:szCs w:val="21"/>
              <w:highlight w:val="yellow"/>
            </w:rPr>
          </w:pPr>
          <w:r>
            <w:rPr>
              <w:rFonts w:ascii="Arial" w:hAnsi="Arial" w:cs="Arial"/>
              <w:sz w:val="21"/>
              <w:szCs w:val="21"/>
              <w:shd w:fill="FFFF00" w:val="clear"/>
            </w:rPr>
            <w:t>《估价委托书》复印件</w:t>
          </w:r>
          <w:r>
            <w:rPr>
              <w:shd w:fill="FFFF00" w:val="clear"/>
              <w:sz w:val="21"/>
              <w:szCs w:val="21"/>
              <w:rFonts w:ascii="Arial" w:hAnsi="Arial" w:cs="Arial"/>
            </w:rPr>
            <w:fldChar w:fldCharType="end"/>
          </w:r>
        </w:p>
        <w:p>
          <w:pPr>
            <w:sectPr>
              <w:headerReference w:type="default" r:id="rId4"/>
              <w:footerReference w:type="default" r:id="rId5"/>
              <w:type w:val="nextPage"/>
              <w:pgSz w:w="11906" w:h="16838"/>
              <w:pgMar w:left="1304" w:right="1304" w:header="1134" w:top="1843" w:footer="907" w:bottom="1134" w:gutter="0"/>
              <w:pgNumType w:start="1" w:fmt="decimal"/>
              <w:formProt w:val="false"/>
              <w:textDirection w:val="lrTb"/>
              <w:docGrid w:type="default" w:linePitch="326" w:charSpace="0"/>
            </w:sectPr>
          </w:pPr>
        </w:p>
      </w:sdtContent>
    </w:sdt>
    <w:p>
      <w:pPr>
        <w:pStyle w:val="Normal"/>
        <w:numPr>
          <w:ilvl w:val="0"/>
          <w:numId w:val="3"/>
        </w:numPr>
        <w:spacing w:lineRule="auto" w:line="360"/>
        <w:jc w:val="both"/>
        <w:rPr>
          <w:rFonts w:ascii="Arial" w:hAnsi="Arial" w:cs="Arial"/>
          <w:sz w:val="21"/>
          <w:szCs w:val="21"/>
        </w:rPr>
      </w:pPr>
      <w:r>
        <w:rPr>
          <w:rFonts w:ascii="Arial" w:hAnsi="Arial" w:cs="Arial"/>
          <w:sz w:val="21"/>
          <w:szCs w:val="21"/>
        </w:rPr>
        <w:t>估价对象所在位置示意图</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估价对象现状相关照片</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《关于房山区拱辰街道</w:t>
      </w:r>
      <w:r>
        <w:rPr>
          <w:rFonts w:cs="Arial" w:ascii="Arial" w:hAnsi="Arial"/>
          <w:sz w:val="21"/>
          <w:szCs w:val="21"/>
        </w:rPr>
        <w:t>FS00-LX09-6001</w:t>
      </w:r>
      <w:r>
        <w:rPr>
          <w:rFonts w:ascii="Arial" w:hAnsi="Arial" w:cs="Arial"/>
          <w:sz w:val="21"/>
          <w:szCs w:val="21"/>
        </w:rPr>
        <w:t>地块</w:t>
      </w:r>
      <w:r>
        <w:rPr>
          <w:rFonts w:cs="Arial" w:ascii="Arial" w:hAnsi="Arial"/>
          <w:sz w:val="21"/>
          <w:szCs w:val="21"/>
        </w:rPr>
        <w:t>R2</w:t>
      </w:r>
      <w:r>
        <w:rPr>
          <w:rFonts w:ascii="Arial" w:hAnsi="Arial" w:cs="Arial"/>
          <w:sz w:val="21"/>
          <w:szCs w:val="21"/>
        </w:rPr>
        <w:t>二类居住用地、</w:t>
      </w:r>
      <w:r>
        <w:rPr>
          <w:rFonts w:cs="Arial" w:ascii="Arial" w:hAnsi="Arial"/>
          <w:sz w:val="21"/>
          <w:szCs w:val="21"/>
        </w:rPr>
        <w:t>FS00-LX09-6003</w:t>
      </w:r>
      <w:r>
        <w:rPr>
          <w:rFonts w:ascii="Arial" w:hAnsi="Arial" w:cs="Arial"/>
          <w:sz w:val="21"/>
          <w:szCs w:val="21"/>
        </w:rPr>
        <w:t>地块</w:t>
      </w:r>
      <w:r>
        <w:rPr>
          <w:rFonts w:cs="Arial" w:ascii="Arial" w:hAnsi="Arial"/>
          <w:sz w:val="21"/>
          <w:szCs w:val="21"/>
        </w:rPr>
        <w:t>A33</w:t>
      </w:r>
      <w:r>
        <w:rPr>
          <w:rFonts w:ascii="Arial" w:hAnsi="Arial" w:cs="Arial"/>
          <w:sz w:val="21"/>
          <w:szCs w:val="21"/>
        </w:rPr>
        <w:t>基础教育用地项目“多规合一”协同平台综合会商意见的函》</w:t>
      </w:r>
      <w:r>
        <w:rPr>
          <w:rFonts w:cs="Arial" w:ascii="Arial" w:hAnsi="Arial"/>
          <w:sz w:val="21"/>
          <w:szCs w:val="21"/>
        </w:rPr>
        <w:t>[</w:t>
      </w:r>
      <w:r>
        <w:rPr>
          <w:rFonts w:ascii="Arial" w:hAnsi="Arial" w:cs="Arial"/>
          <w:sz w:val="21"/>
          <w:szCs w:val="21"/>
        </w:rPr>
        <w:t>京规自（房）综审函</w:t>
      </w:r>
      <w:r>
        <w:rPr>
          <w:rFonts w:cs="Arial" w:ascii="Arial" w:hAnsi="Arial"/>
          <w:sz w:val="21"/>
          <w:szCs w:val="21"/>
        </w:rPr>
        <w:t>[2020]0027</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《建设工程规划许可证》</w:t>
      </w:r>
      <w:r>
        <w:rPr>
          <w:rFonts w:cs="Arial" w:ascii="Arial" w:hAnsi="Arial"/>
          <w:sz w:val="21"/>
          <w:szCs w:val="21"/>
        </w:rPr>
        <w:t>[2020</w:t>
      </w:r>
      <w:r>
        <w:rPr>
          <w:rFonts w:ascii="Arial" w:hAnsi="Arial" w:cs="Arial"/>
          <w:sz w:val="21"/>
          <w:szCs w:val="21"/>
        </w:rPr>
        <w:t>规自（房）建字</w:t>
      </w:r>
      <w:r>
        <w:rPr>
          <w:rFonts w:cs="Arial" w:ascii="Arial" w:hAnsi="Arial"/>
          <w:sz w:val="21"/>
          <w:szCs w:val="21"/>
        </w:rPr>
        <w:t>0021</w:t>
      </w:r>
      <w:r>
        <w:rPr>
          <w:rFonts w:ascii="Arial" w:hAnsi="Arial" w:cs="Arial"/>
          <w:sz w:val="21"/>
          <w:szCs w:val="21"/>
        </w:rPr>
        <w:t>、</w:t>
      </w:r>
      <w:r>
        <w:rPr>
          <w:rFonts w:cs="Arial" w:ascii="Arial" w:hAnsi="Arial"/>
          <w:sz w:val="21"/>
          <w:szCs w:val="21"/>
        </w:rPr>
        <w:t>0024</w:t>
      </w:r>
      <w:r>
        <w:rPr>
          <w:rFonts w:ascii="Arial" w:hAnsi="Arial" w:cs="Arial"/>
          <w:sz w:val="21"/>
          <w:szCs w:val="21"/>
        </w:rPr>
        <w:t>、</w:t>
      </w:r>
      <w:r>
        <w:rPr>
          <w:rFonts w:cs="Arial" w:ascii="Arial" w:hAnsi="Arial"/>
          <w:sz w:val="21"/>
          <w:szCs w:val="21"/>
        </w:rPr>
        <w:t>0046</w:t>
      </w:r>
      <w:r>
        <w:rPr>
          <w:rFonts w:ascii="Arial" w:hAnsi="Arial" w:cs="Arial"/>
          <w:sz w:val="21"/>
          <w:szCs w:val="21"/>
        </w:rPr>
        <w:t>、</w:t>
      </w:r>
      <w:r>
        <w:rPr>
          <w:rFonts w:cs="Arial" w:ascii="Arial" w:hAnsi="Arial"/>
          <w:sz w:val="21"/>
          <w:szCs w:val="21"/>
        </w:rPr>
        <w:t>0047</w:t>
      </w:r>
      <w:r>
        <w:rPr>
          <w:rFonts w:ascii="Arial" w:hAnsi="Arial" w:cs="Arial"/>
          <w:sz w:val="21"/>
          <w:szCs w:val="21"/>
        </w:rPr>
        <w:t>号</w:t>
      </w:r>
      <w:r>
        <w:rPr>
          <w:rFonts w:cs="Arial" w:ascii="Arial" w:hAnsi="Arial"/>
          <w:sz w:val="21"/>
          <w:szCs w:val="21"/>
        </w:rPr>
        <w:t>]</w:t>
      </w:r>
      <w:r>
        <w:rPr>
          <w:rFonts w:ascii="Arial" w:hAnsi="Arial" w:cs="Arial"/>
          <w:sz w:val="21"/>
          <w:szCs w:val="21"/>
        </w:rPr>
        <w:t>及附件复印件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《建筑工程施工许可证》</w:t>
      </w:r>
      <w:r>
        <w:rPr>
          <w:rFonts w:cs="Arial" w:ascii="Arial" w:hAnsi="Arial"/>
          <w:sz w:val="21"/>
          <w:szCs w:val="21"/>
        </w:rPr>
        <w:t>[</w:t>
      </w:r>
      <w:r>
        <w:rPr>
          <w:rFonts w:ascii="Arial" w:hAnsi="Arial" w:cs="Arial"/>
          <w:sz w:val="21"/>
          <w:szCs w:val="21"/>
        </w:rPr>
        <w:t>编号：</w:t>
      </w:r>
      <w:r>
        <w:rPr>
          <w:rFonts w:cs="Arial" w:ascii="Arial" w:hAnsi="Arial"/>
          <w:sz w:val="21"/>
          <w:szCs w:val="21"/>
        </w:rPr>
        <w:t>[2020]</w:t>
      </w:r>
      <w:r>
        <w:rPr>
          <w:rFonts w:ascii="Arial" w:hAnsi="Arial" w:cs="Arial"/>
          <w:sz w:val="21"/>
          <w:szCs w:val="21"/>
        </w:rPr>
        <w:t>施</w:t>
      </w:r>
      <w:r>
        <w:rPr>
          <w:rFonts w:cs="Arial" w:ascii="Arial" w:hAnsi="Arial"/>
          <w:sz w:val="21"/>
          <w:szCs w:val="21"/>
        </w:rPr>
        <w:t>[</w:t>
      </w:r>
      <w:r>
        <w:rPr>
          <w:rFonts w:ascii="Arial" w:hAnsi="Arial" w:cs="Arial"/>
          <w:sz w:val="21"/>
          <w:szCs w:val="21"/>
        </w:rPr>
        <w:t>房</w:t>
      </w:r>
      <w:r>
        <w:rPr>
          <w:rFonts w:cs="Arial" w:ascii="Arial" w:hAnsi="Arial"/>
          <w:sz w:val="21"/>
          <w:szCs w:val="21"/>
        </w:rPr>
        <w:t>]</w:t>
      </w:r>
      <w:r>
        <w:rPr>
          <w:rFonts w:ascii="Arial" w:hAnsi="Arial" w:cs="Arial"/>
          <w:sz w:val="21"/>
          <w:szCs w:val="21"/>
        </w:rPr>
        <w:t>建字</w:t>
      </w:r>
      <w:r>
        <w:rPr>
          <w:rFonts w:cs="Arial" w:ascii="Arial" w:hAnsi="Arial"/>
          <w:sz w:val="21"/>
          <w:szCs w:val="21"/>
        </w:rPr>
        <w:t>0071</w:t>
      </w:r>
      <w:r>
        <w:rPr>
          <w:rFonts w:ascii="Arial" w:hAnsi="Arial" w:cs="Arial"/>
          <w:sz w:val="21"/>
          <w:szCs w:val="21"/>
        </w:rPr>
        <w:t>号</w:t>
      </w:r>
      <w:r>
        <w:rPr>
          <w:rFonts w:cs="Arial" w:ascii="Arial" w:hAnsi="Arial"/>
          <w:sz w:val="21"/>
          <w:szCs w:val="21"/>
        </w:rPr>
        <w:t>]</w:t>
      </w:r>
      <w:r>
        <w:rPr>
          <w:rFonts w:ascii="Arial" w:hAnsi="Arial" w:cs="Arial"/>
          <w:sz w:val="21"/>
          <w:szCs w:val="21"/>
        </w:rPr>
        <w:t>及附件复印件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《工程竣工验收备案表》</w:t>
      </w:r>
      <w:r>
        <w:rPr>
          <w:rFonts w:cs="Arial" w:ascii="Arial" w:hAnsi="Arial"/>
          <w:sz w:val="21"/>
          <w:szCs w:val="21"/>
        </w:rPr>
        <w:t>[</w:t>
      </w:r>
      <w:r>
        <w:rPr>
          <w:rFonts w:ascii="Arial" w:hAnsi="Arial" w:cs="Arial"/>
          <w:sz w:val="21"/>
          <w:szCs w:val="21"/>
        </w:rPr>
        <w:t>备案编号：</w:t>
      </w:r>
      <w:r>
        <w:rPr>
          <w:rFonts w:cs="Arial" w:ascii="Arial" w:hAnsi="Arial"/>
          <w:sz w:val="21"/>
          <w:szCs w:val="21"/>
        </w:rPr>
        <w:t>0396</w:t>
      </w:r>
      <w:r>
        <w:rPr>
          <w:rFonts w:ascii="Arial" w:hAnsi="Arial" w:cs="Arial"/>
          <w:sz w:val="21"/>
          <w:szCs w:val="21"/>
        </w:rPr>
        <w:t>房竣</w:t>
      </w:r>
      <w:r>
        <w:rPr>
          <w:rFonts w:cs="Arial" w:ascii="Arial" w:hAnsi="Arial"/>
          <w:sz w:val="21"/>
          <w:szCs w:val="21"/>
        </w:rPr>
        <w:t>2023</w:t>
      </w:r>
      <w:r>
        <w:rPr>
          <w:rFonts w:ascii="Arial" w:hAnsi="Arial" w:cs="Arial"/>
          <w:sz w:val="21"/>
          <w:szCs w:val="21"/>
        </w:rPr>
        <w:t>（建）</w:t>
      </w:r>
      <w:r>
        <w:rPr>
          <w:rFonts w:cs="Arial" w:ascii="Arial" w:hAnsi="Arial"/>
          <w:sz w:val="21"/>
          <w:szCs w:val="21"/>
        </w:rPr>
        <w:t>0020</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kern w:val="2"/>
          <w:sz w:val="21"/>
          <w:szCs w:val="21"/>
        </w:rPr>
        <w:t>《轩景家园共有产权房房源表》</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《北京市门楼牌编号证明信》</w:t>
      </w:r>
      <w:r>
        <w:rPr>
          <w:rFonts w:cs="Arial" w:ascii="Arial" w:hAnsi="Arial"/>
          <w:sz w:val="21"/>
          <w:szCs w:val="21"/>
        </w:rPr>
        <w:t>[(1100)</w:t>
      </w:r>
      <w:r>
        <w:rPr>
          <w:rFonts w:ascii="Arial" w:hAnsi="Arial" w:cs="Arial"/>
          <w:sz w:val="21"/>
          <w:szCs w:val="21"/>
        </w:rPr>
        <w:t>房山分局</w:t>
      </w:r>
      <w:r>
        <w:rPr>
          <w:rFonts w:cs="Arial" w:ascii="Arial" w:hAnsi="Arial"/>
          <w:sz w:val="21"/>
          <w:szCs w:val="21"/>
        </w:rPr>
        <w:t>066</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估价委托人《营业执照（副本）》复印件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房地产估价机构《营业执照（副本）》复印件</w:t>
      </w:r>
    </w:p>
    <w:p>
      <w:pPr>
        <w:pStyle w:val="Normal"/>
        <w:numPr>
          <w:ilvl w:val="0"/>
          <w:numId w:val="3"/>
        </w:numPr>
        <w:spacing w:lineRule="auto" w:line="360"/>
        <w:jc w:val="both"/>
        <w:rPr>
          <w:rFonts w:ascii="Arial" w:hAnsi="Arial" w:cs="Arial"/>
          <w:sz w:val="21"/>
          <w:szCs w:val="21"/>
        </w:rPr>
      </w:pPr>
      <w:r>
        <w:rPr>
          <w:rFonts w:ascii="Arial" w:hAnsi="Arial" w:cs="Arial"/>
          <w:sz w:val="21"/>
          <w:szCs w:val="21"/>
        </w:rPr>
        <w:t>估价机构资质证书复印件</w:t>
      </w:r>
    </w:p>
    <w:p>
      <w:pPr>
        <w:sectPr>
          <w:headerReference w:type="default" r:id="rId6"/>
          <w:footerReference w:type="default" r:id="rId7"/>
          <w:type w:val="continuous"/>
          <w:pgSz w:w="11906" w:h="16838"/>
          <w:pgMar w:left="1304" w:right="1304" w:header="1134" w:top="1843" w:footer="907" w:bottom="1134" w:gutter="0"/>
          <w:pgNumType w:fmt="decimal"/>
          <w:formProt w:val="false"/>
          <w:textDirection w:val="lrTb"/>
          <w:docGrid w:type="default" w:linePitch="326" w:charSpace="0"/>
        </w:sectPr>
        <w:pStyle w:val="Normal"/>
        <w:numPr>
          <w:ilvl w:val="0"/>
          <w:numId w:val="3"/>
        </w:numPr>
        <w:spacing w:lineRule="auto" w:line="360"/>
        <w:jc w:val="both"/>
        <w:rPr>
          <w:rFonts w:ascii="Arial" w:hAnsi="Arial" w:cs="Arial"/>
          <w:sz w:val="21"/>
          <w:szCs w:val="21"/>
        </w:rPr>
      </w:pPr>
      <w:r>
        <w:rPr>
          <w:rFonts w:ascii="Arial" w:hAnsi="Arial" w:cs="Arial"/>
          <w:sz w:val="21"/>
          <w:szCs w:val="21"/>
        </w:rPr>
        <w:t>评估专业人员执业证书复印件</w:t>
      </w:r>
    </w:p>
    <w:p>
      <w:pPr>
        <w:pStyle w:val="1"/>
        <w:spacing w:lineRule="auto" w:line="480"/>
        <w:jc w:val="center"/>
        <w:rPr>
          <w:rFonts w:eastAsia="方正黑体简体"/>
          <w:b w:val="false"/>
          <w:b w:val="false"/>
          <w:kern w:val="2"/>
          <w:sz w:val="32"/>
          <w:szCs w:val="32"/>
        </w:rPr>
      </w:pPr>
      <w:bookmarkStart w:id="5" w:name="_Toc379795041"/>
      <w:bookmarkStart w:id="6" w:name="_Toc525655415"/>
      <w:bookmarkEnd w:id="5"/>
      <w:bookmarkEnd w:id="6"/>
      <w:r>
        <w:rPr>
          <w:rFonts w:eastAsia="方正黑体简体"/>
          <w:b w:val="false"/>
          <w:kern w:val="2"/>
          <w:sz w:val="32"/>
          <w:szCs w:val="32"/>
        </w:rPr>
        <w:t>估价师声明</w:t>
      </w:r>
    </w:p>
    <w:p>
      <w:pPr>
        <w:pStyle w:val="Normal"/>
        <w:numPr>
          <w:ilvl w:val="0"/>
          <w:numId w:val="0"/>
        </w:numPr>
        <w:spacing w:lineRule="auto" w:line="480"/>
        <w:jc w:val="both"/>
        <w:outlineLvl w:val="0"/>
        <w:rPr>
          <w:rFonts w:ascii="Arial" w:hAnsi="Arial" w:cs="Arial"/>
          <w:kern w:val="2"/>
          <w:sz w:val="21"/>
          <w:szCs w:val="21"/>
        </w:rPr>
      </w:pPr>
      <w:r>
        <w:rPr>
          <w:rFonts w:ascii="Arial" w:hAnsi="Arial" w:cs="Arial"/>
          <w:kern w:val="2"/>
          <w:sz w:val="21"/>
          <w:szCs w:val="21"/>
        </w:rPr>
        <w:t>注册房地产估价师郑重声明：</w:t>
      </w:r>
    </w:p>
    <w:p>
      <w:pPr>
        <w:pStyle w:val="Normal"/>
        <w:numPr>
          <w:ilvl w:val="0"/>
          <w:numId w:val="0"/>
        </w:numPr>
        <w:spacing w:lineRule="auto" w:line="480"/>
        <w:jc w:val="both"/>
        <w:outlineLvl w:val="0"/>
        <w:rPr>
          <w:rFonts w:ascii="Arial" w:hAnsi="Arial" w:cs="Arial"/>
          <w:kern w:val="2"/>
          <w:sz w:val="21"/>
          <w:szCs w:val="21"/>
        </w:rPr>
      </w:pPr>
      <w:r>
        <w:rPr>
          <w:rFonts w:ascii="Arial" w:hAnsi="Arial" w:cs="Arial"/>
          <w:kern w:val="2"/>
          <w:sz w:val="21"/>
          <w:szCs w:val="21"/>
        </w:rPr>
        <w:t>（一）注册房地产估价师在本估价报告中对事实的说明是真实的和准确的，没有虚假记载、误导性陈述和重大遗漏。</w:t>
      </w:r>
    </w:p>
    <w:p>
      <w:pPr>
        <w:pStyle w:val="Normal"/>
        <w:numPr>
          <w:ilvl w:val="0"/>
          <w:numId w:val="0"/>
        </w:numPr>
        <w:spacing w:lineRule="auto" w:line="480"/>
        <w:jc w:val="both"/>
        <w:outlineLvl w:val="0"/>
        <w:rPr>
          <w:rFonts w:ascii="Arial" w:hAnsi="Arial" w:cs="Arial"/>
          <w:kern w:val="2"/>
          <w:sz w:val="21"/>
          <w:szCs w:val="21"/>
        </w:rPr>
      </w:pPr>
      <w:r>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pPr>
        <w:pStyle w:val="Normal"/>
        <w:numPr>
          <w:ilvl w:val="0"/>
          <w:numId w:val="0"/>
        </w:numPr>
        <w:spacing w:lineRule="auto" w:line="480"/>
        <w:jc w:val="both"/>
        <w:outlineLvl w:val="0"/>
        <w:rPr>
          <w:rFonts w:ascii="Arial" w:hAnsi="Arial" w:cs="Arial"/>
          <w:kern w:val="2"/>
          <w:sz w:val="21"/>
          <w:szCs w:val="21"/>
        </w:rPr>
      </w:pPr>
      <w:r>
        <w:rPr>
          <w:rFonts w:ascii="Arial" w:hAnsi="Arial" w:cs="Arial"/>
          <w:kern w:val="2"/>
          <w:sz w:val="21"/>
          <w:szCs w:val="21"/>
        </w:rPr>
        <w:t>（三）评估专业人员已于</w:t>
      </w: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5</w:t>
      </w:r>
      <w:r>
        <w:rPr>
          <w:rFonts w:ascii="Arial" w:hAnsi="Arial" w:cs="Arial"/>
          <w:kern w:val="2"/>
          <w:sz w:val="21"/>
          <w:szCs w:val="21"/>
        </w:rPr>
        <w:t>日对估价对象进行了实地查勘。我们与估价报告中的估价对象没有现实或潜在的利益，与估价委托人及估价利害关系人没有利害关系，也对本估价报告中的估价对象、估价委托人及估价利害关系人没有偏见。</w:t>
      </w:r>
    </w:p>
    <w:p>
      <w:pPr>
        <w:sectPr>
          <w:headerReference w:type="default" r:id="rId8"/>
          <w:footerReference w:type="default" r:id="rId9"/>
          <w:type w:val="nextPage"/>
          <w:pgSz w:w="11906" w:h="16838"/>
          <w:pgMar w:left="1304" w:right="1304" w:header="1134" w:top="1843" w:footer="907" w:bottom="1134" w:gutter="0"/>
          <w:pgNumType w:fmt="decimal"/>
          <w:formProt w:val="false"/>
          <w:textDirection w:val="lrTb"/>
          <w:docGrid w:type="default" w:linePitch="326" w:charSpace="0"/>
        </w:sectPr>
        <w:pStyle w:val="Normal"/>
        <w:numPr>
          <w:ilvl w:val="0"/>
          <w:numId w:val="0"/>
        </w:numPr>
        <w:spacing w:lineRule="auto" w:line="480"/>
        <w:jc w:val="both"/>
        <w:outlineLvl w:val="0"/>
        <w:rPr>
          <w:rFonts w:ascii="Arial" w:hAnsi="Arial" w:cs="Arial"/>
          <w:kern w:val="2"/>
          <w:sz w:val="21"/>
          <w:szCs w:val="21"/>
        </w:rPr>
      </w:pPr>
      <w:r>
        <w:rPr>
          <w:rFonts w:ascii="Arial" w:hAnsi="Arial" w:cs="Arial"/>
          <w:kern w:val="2"/>
          <w:sz w:val="21"/>
          <w:szCs w:val="21"/>
        </w:rPr>
        <w:t>（四）注册房地产估价师依照中华人民共和国国家标准《房地产估价规范》</w:t>
      </w:r>
      <w:r>
        <w:rPr>
          <w:rFonts w:cs="Arial" w:ascii="Arial" w:hAnsi="Arial"/>
          <w:kern w:val="2"/>
          <w:sz w:val="21"/>
          <w:szCs w:val="21"/>
        </w:rPr>
        <w:t>[GB/T 50291-2015]</w:t>
      </w:r>
      <w:r>
        <w:rPr>
          <w:rFonts w:ascii="Arial" w:hAnsi="Arial" w:cs="Arial"/>
          <w:kern w:val="2"/>
          <w:sz w:val="21"/>
          <w:szCs w:val="21"/>
        </w:rPr>
        <w:t>、《房地产估价基本术语标准》</w:t>
      </w:r>
      <w:r>
        <w:rPr>
          <w:rFonts w:cs="Arial" w:ascii="Arial" w:hAnsi="Arial"/>
          <w:kern w:val="2"/>
          <w:sz w:val="21"/>
          <w:szCs w:val="21"/>
        </w:rPr>
        <w:t>[GB/T 50899-2013]</w:t>
      </w:r>
      <w:r>
        <w:rPr>
          <w:rFonts w:ascii="Arial" w:hAnsi="Arial" w:cs="Arial"/>
          <w:kern w:val="2"/>
          <w:sz w:val="21"/>
          <w:szCs w:val="21"/>
        </w:rPr>
        <w:t>、参照</w:t>
      </w:r>
      <w:r>
        <w:rPr>
          <w:rFonts w:ascii="Arial" w:hAnsi="Arial" w:cs="Arial"/>
          <w:sz w:val="21"/>
          <w:szCs w:val="21"/>
        </w:rPr>
        <w:t xml:space="preserve">《关于发布《北京市公共租赁住房项目市场租金评估技术指引》的通知》 </w:t>
      </w:r>
      <w:r>
        <w:rPr>
          <w:rFonts w:cs="Arial" w:ascii="Arial" w:hAnsi="Arial"/>
          <w:sz w:val="21"/>
          <w:szCs w:val="21"/>
        </w:rPr>
        <w:t>[</w:t>
      </w:r>
      <w:r>
        <w:rPr>
          <w:rFonts w:ascii="Arial" w:hAnsi="Arial" w:cs="Arial"/>
          <w:sz w:val="21"/>
          <w:szCs w:val="21"/>
        </w:rPr>
        <w:t>北估秘</w:t>
      </w:r>
      <w:r>
        <w:rPr>
          <w:rFonts w:cs="Arial" w:ascii="Arial" w:hAnsi="Arial"/>
          <w:sz w:val="21"/>
          <w:szCs w:val="21"/>
        </w:rPr>
        <w:t>[2019]020</w:t>
      </w:r>
      <w:r>
        <w:rPr>
          <w:rFonts w:ascii="Arial" w:hAnsi="Arial" w:cs="Arial"/>
          <w:sz w:val="21"/>
          <w:szCs w:val="21"/>
        </w:rPr>
        <w:t>号</w:t>
      </w:r>
      <w:r>
        <w:rPr>
          <w:rFonts w:cs="Arial" w:ascii="Arial" w:hAnsi="Arial"/>
          <w:sz w:val="21"/>
          <w:szCs w:val="21"/>
        </w:rPr>
        <w:t>]</w:t>
      </w:r>
      <w:r>
        <w:rPr>
          <w:rFonts w:ascii="Arial" w:hAnsi="Arial" w:cs="Arial"/>
          <w:kern w:val="2"/>
          <w:sz w:val="21"/>
          <w:szCs w:val="21"/>
        </w:rPr>
        <w:t>以及相关房地产估价专项标准进行估价工作，撰写本估价报告。</w:t>
      </w:r>
    </w:p>
    <w:p>
      <w:pPr>
        <w:pStyle w:val="1"/>
        <w:spacing w:lineRule="auto" w:line="480"/>
        <w:jc w:val="center"/>
        <w:rPr>
          <w:rFonts w:eastAsia="方正黑体简体"/>
          <w:b w:val="false"/>
          <w:b w:val="false"/>
          <w:kern w:val="2"/>
          <w:sz w:val="32"/>
          <w:szCs w:val="32"/>
        </w:rPr>
      </w:pPr>
      <w:bookmarkStart w:id="7" w:name="_Toc525655416"/>
      <w:bookmarkStart w:id="8" w:name="_Toc379795042"/>
      <w:r>
        <w:rPr>
          <w:rFonts w:eastAsia="方正黑体简体"/>
          <w:b w:val="false"/>
          <w:kern w:val="2"/>
          <w:sz w:val="32"/>
          <w:szCs w:val="32"/>
        </w:rPr>
        <w:t>估价假设和限制条件</w:t>
      </w:r>
      <w:bookmarkEnd w:id="7"/>
      <w:bookmarkEnd w:id="8"/>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（一）本次估价的一般假设</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1.</w:t>
      </w:r>
      <w:r>
        <w:rPr>
          <w:rFonts w:ascii="Arial" w:hAnsi="Arial" w:cs="Arial"/>
          <w:kern w:val="2"/>
          <w:sz w:val="21"/>
          <w:szCs w:val="21"/>
        </w:rPr>
        <w:t>在调查时段的房地产租赁市场为公开、平等、自愿的交易市场。</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2.</w:t>
      </w:r>
      <w:r>
        <w:rPr>
          <w:rFonts w:ascii="Arial" w:hAnsi="Arial" w:cs="Arial"/>
          <w:kern w:val="2"/>
          <w:sz w:val="21"/>
          <w:szCs w:val="21"/>
        </w:rPr>
        <w:t>以估价对象符合规划设计条件，能够按规划共有产权住房用途持续使用，对外出租为假设前提。</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3.</w:t>
      </w:r>
      <w:r>
        <w:rPr>
          <w:rFonts w:ascii="Arial" w:hAnsi="Arial" w:cs="Arial"/>
          <w:kern w:val="2"/>
          <w:sz w:val="21"/>
          <w:szCs w:val="21"/>
        </w:rPr>
        <w:t>评估专业人员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pPr>
        <w:pStyle w:val="Normal"/>
        <w:spacing w:lineRule="auto" w:line="480"/>
        <w:ind w:firstLine="420"/>
        <w:jc w:val="both"/>
        <w:rPr>
          <w:rFonts w:ascii="Arial" w:hAnsi="Arial" w:cs="Arial"/>
          <w:sz w:val="21"/>
          <w:szCs w:val="21"/>
        </w:rPr>
      </w:pPr>
      <w:r>
        <w:rPr>
          <w:rFonts w:cs="Arial" w:ascii="Arial" w:hAnsi="Arial"/>
          <w:kern w:val="2"/>
          <w:sz w:val="21"/>
          <w:szCs w:val="21"/>
        </w:rPr>
        <w:t xml:space="preserve">4. </w:t>
      </w:r>
      <w:r>
        <w:rPr>
          <w:rFonts w:ascii="Arial" w:hAnsi="Arial" w:cs="Arial"/>
          <w:kern w:val="2"/>
          <w:sz w:val="21"/>
          <w:szCs w:val="21"/>
        </w:rPr>
        <w:t>本次估价结果是在满足全部假设与限制条件下，于价值时点</w:t>
      </w: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5</w:t>
      </w:r>
      <w:r>
        <w:rPr>
          <w:rFonts w:ascii="Arial" w:hAnsi="Arial" w:cs="Arial"/>
          <w:kern w:val="2"/>
          <w:sz w:val="21"/>
          <w:szCs w:val="21"/>
        </w:rPr>
        <w:t>日前</w:t>
      </w:r>
      <w:r>
        <w:rPr>
          <w:rFonts w:cs="Arial" w:ascii="Arial" w:hAnsi="Arial"/>
          <w:kern w:val="2"/>
          <w:sz w:val="21"/>
          <w:szCs w:val="21"/>
        </w:rPr>
        <w:t>12</w:t>
      </w:r>
      <w:r>
        <w:rPr>
          <w:rFonts w:ascii="Arial" w:hAnsi="Arial" w:cs="Arial"/>
          <w:kern w:val="2"/>
          <w:sz w:val="21"/>
          <w:szCs w:val="21"/>
        </w:rPr>
        <w:t>个月估价对象同地段、同类型普通住房的市场平均租金价格水平，估价结果</w:t>
      </w:r>
      <w:r>
        <w:rPr>
          <w:rFonts w:ascii="Arial" w:hAnsi="Arial" w:cs="Arial"/>
          <w:sz w:val="21"/>
          <w:szCs w:val="21"/>
        </w:rPr>
        <w:t>包括地租、房屋折旧、设备折旧、维修费、保险费、物业费、管理费、利息、利润等；不含供暖费、水电费、天然气费、通信费、有线电视费、上网宽带费和家具、家电租赁费及租赁税费等。</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5.</w:t>
      </w:r>
      <w:r>
        <w:rPr>
          <w:rFonts w:ascii="Arial" w:hAnsi="Arial" w:cs="Arial"/>
          <w:kern w:val="2"/>
          <w:sz w:val="21"/>
          <w:szCs w:val="21"/>
        </w:rPr>
        <w:t>估价对象户型、建筑面积、套数等情况均以估价委托人提供的</w:t>
      </w:r>
      <w:r>
        <w:rPr>
          <w:rFonts w:ascii="Arial" w:hAnsi="Arial" w:cs="Arial"/>
          <w:sz w:val="21"/>
          <w:szCs w:val="21"/>
        </w:rPr>
        <w:t>《不动产权证书》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复印件、</w:t>
      </w:r>
      <w:r>
        <w:rPr>
          <w:rFonts w:ascii="Arial" w:hAnsi="Arial" w:cs="Arial"/>
          <w:kern w:val="2"/>
          <w:sz w:val="21"/>
          <w:szCs w:val="21"/>
        </w:rPr>
        <w:t>《轩景家园共有产权房房源表》</w:t>
      </w:r>
      <w:r>
        <w:rPr>
          <w:rFonts w:ascii="Arial" w:hAnsi="Arial" w:cs="Arial"/>
          <w:sz w:val="21"/>
          <w:szCs w:val="21"/>
        </w:rPr>
        <w:t>复印件及《估价委托书》</w:t>
      </w:r>
      <w:r>
        <w:rPr>
          <w:rFonts w:ascii="Arial" w:hAnsi="Arial" w:cs="Arial"/>
          <w:kern w:val="2"/>
          <w:sz w:val="21"/>
          <w:szCs w:val="21"/>
        </w:rPr>
        <w:t>为</w:t>
      </w:r>
      <w:r>
        <w:rPr>
          <w:rFonts w:ascii="Arial" w:hAnsi="Arial" w:cs="Arial"/>
          <w:sz w:val="21"/>
          <w:szCs w:val="21"/>
        </w:rPr>
        <w:t>依据。</w:t>
      </w:r>
    </w:p>
    <w:p>
      <w:pPr>
        <w:pStyle w:val="Normal"/>
        <w:spacing w:lineRule="auto" w:line="480"/>
        <w:ind w:firstLine="420"/>
        <w:jc w:val="both"/>
        <w:rPr>
          <w:rFonts w:ascii="Arial" w:hAnsi="Arial" w:cs="Arial"/>
          <w:kern w:val="2"/>
          <w:sz w:val="21"/>
          <w:szCs w:val="21"/>
        </w:rPr>
      </w:pPr>
      <w:r>
        <w:rPr>
          <w:rFonts w:cs="Arial" w:ascii="Arial" w:hAnsi="Arial"/>
          <w:sz w:val="21"/>
          <w:szCs w:val="21"/>
        </w:rPr>
        <w:t>6.</w:t>
      </w:r>
      <w:r>
        <w:rPr>
          <w:rFonts w:ascii="Arial" w:hAnsi="Arial" w:cs="Arial"/>
          <w:kern w:val="2"/>
          <w:sz w:val="21"/>
          <w:szCs w:val="21"/>
        </w:rPr>
        <w:t>评估专业人员于</w:t>
      </w: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5</w:t>
      </w:r>
      <w:r>
        <w:rPr>
          <w:rFonts w:ascii="Arial" w:hAnsi="Arial" w:cs="Arial"/>
          <w:kern w:val="2"/>
          <w:sz w:val="21"/>
          <w:szCs w:val="21"/>
        </w:rPr>
        <w:t>日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7.</w:t>
      </w:r>
      <w:r>
        <w:rPr>
          <w:rFonts w:ascii="Arial" w:hAnsi="Arial" w:cs="Arial"/>
          <w:kern w:val="2"/>
          <w:sz w:val="21"/>
          <w:szCs w:val="21"/>
        </w:rPr>
        <w:t>任何有关估价对象的运作方式、程序符合国家、地方的有关法律、法规。</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8.</w:t>
      </w:r>
      <w:r>
        <w:rPr>
          <w:rFonts w:ascii="Arial" w:hAnsi="Arial" w:cs="Arial"/>
          <w:kern w:val="2"/>
          <w:sz w:val="21"/>
          <w:szCs w:val="21"/>
        </w:rPr>
        <w:t>本次估价结果未考虑国家宏观政策发生重大变化以及遇有自然力和其他不可抗力对估价结果的影响。</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9.</w:t>
      </w:r>
      <w:r>
        <w:rPr>
          <w:rFonts w:ascii="Arial" w:hAnsi="Arial" w:cs="Arial"/>
          <w:kern w:val="2"/>
          <w:sz w:val="21"/>
          <w:szCs w:val="21"/>
        </w:rPr>
        <w:t>估价结果未考虑估价对象及其运营企业已承担的债务、或有债务及经营决策失误或市场运作失当对其租赁价格水平的影响。</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10.</w:t>
      </w:r>
      <w:r>
        <w:rPr>
          <w:rFonts w:ascii="Arial" w:hAnsi="Arial" w:cs="Arial"/>
          <w:kern w:val="2"/>
          <w:sz w:val="21"/>
          <w:szCs w:val="21"/>
        </w:rPr>
        <w:t>根据估价目的，本次估价设定估价对象于价值时点不存在抵押、地役、查封等他项权利限制。</w:t>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（二）本次估价的未定事项假设</w:t>
      </w:r>
    </w:p>
    <w:p>
      <w:pPr>
        <w:pStyle w:val="Normal"/>
        <w:spacing w:lineRule="auto" w:line="480"/>
        <w:ind w:firstLine="420"/>
        <w:jc w:val="both"/>
        <w:rPr>
          <w:rFonts w:ascii="Arial" w:hAnsi="Arial" w:cs="Arial"/>
          <w:sz w:val="21"/>
          <w:szCs w:val="21"/>
        </w:rPr>
      </w:pPr>
      <w:r>
        <w:rPr>
          <w:rFonts w:ascii="Arial" w:hAnsi="Arial" w:cs="Arial"/>
          <w:sz w:val="21"/>
          <w:szCs w:val="21"/>
        </w:rPr>
        <w:t>无。</w:t>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（三）本次估价的背离事实假设</w:t>
      </w:r>
    </w:p>
    <w:p>
      <w:pPr>
        <w:pStyle w:val="Normal"/>
        <w:spacing w:lineRule="auto" w:line="480"/>
        <w:ind w:firstLine="420"/>
        <w:jc w:val="both"/>
        <w:rPr/>
      </w:pPr>
      <w:commentRangeStart w:id="2"/>
      <w:r>
        <w:rPr>
          <w:rFonts w:ascii="Arial" w:hAnsi="Arial" w:cs="Arial"/>
          <w:sz w:val="21"/>
          <w:szCs w:val="21"/>
        </w:rPr>
        <w:t>无。</w:t>
      </w:r>
      <w:commentRangeEnd w:id="2"/>
      <w:r>
        <w:commentReference w:id="2"/>
      </w:r>
      <w:r>
        <w:rPr>
          <w:rFonts w:ascii="Arial" w:hAnsi="Arial" w:cs="Arial"/>
          <w:sz w:val="21"/>
          <w:szCs w:val="21"/>
        </w:rPr>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（四）本次估价的不相一致假设</w:t>
      </w:r>
    </w:p>
    <w:p>
      <w:pPr>
        <w:pStyle w:val="Normal"/>
        <w:overflowPunct w:val="false"/>
        <w:spacing w:lineRule="auto" w:line="480"/>
        <w:ind w:firstLine="420"/>
        <w:jc w:val="both"/>
        <w:rPr>
          <w:rFonts w:ascii="Arial" w:hAnsi="Arial" w:cs="Arial"/>
          <w:kern w:val="2"/>
          <w:sz w:val="21"/>
          <w:szCs w:val="21"/>
        </w:rPr>
      </w:pPr>
      <w:r>
        <w:rPr>
          <w:rFonts w:cs="Arial" w:ascii="Arial" w:hAnsi="Arial"/>
          <w:kern w:val="2"/>
          <w:sz w:val="21"/>
          <w:szCs w:val="21"/>
        </w:rPr>
        <w:t>1.</w:t>
      </w:r>
      <w:r>
        <w:rPr>
          <w:rFonts w:ascii="Arial" w:hAnsi="Arial" w:cs="Arial"/>
          <w:kern w:val="2"/>
          <w:sz w:val="21"/>
          <w:szCs w:val="21"/>
        </w:rPr>
        <w:t>根据估价委托人提供的《北京市门楼牌编号证明信》</w:t>
      </w:r>
      <w:r>
        <w:rPr>
          <w:rFonts w:cs="Arial" w:ascii="Arial" w:hAnsi="Arial"/>
          <w:kern w:val="2"/>
          <w:sz w:val="21"/>
          <w:szCs w:val="21"/>
        </w:rPr>
        <w:t>[(1100)</w:t>
      </w:r>
      <w:r>
        <w:rPr>
          <w:rFonts w:ascii="Arial" w:hAnsi="Arial" w:cs="Arial"/>
          <w:kern w:val="2"/>
          <w:sz w:val="21"/>
          <w:szCs w:val="21"/>
        </w:rPr>
        <w:t>房山分局</w:t>
      </w:r>
      <w:r>
        <w:rPr>
          <w:rFonts w:cs="Arial" w:ascii="Arial" w:hAnsi="Arial"/>
          <w:kern w:val="2"/>
          <w:sz w:val="21"/>
          <w:szCs w:val="21"/>
        </w:rPr>
        <w:t>066</w:t>
      </w:r>
      <w:r>
        <w:rPr>
          <w:rFonts w:ascii="Arial" w:hAnsi="Arial" w:cs="Arial"/>
          <w:kern w:val="2"/>
          <w:sz w:val="21"/>
          <w:szCs w:val="21"/>
        </w:rPr>
        <w:t>号</w:t>
      </w:r>
      <w:r>
        <w:rPr>
          <w:rFonts w:cs="Arial" w:ascii="Arial" w:hAnsi="Arial"/>
          <w:kern w:val="2"/>
          <w:sz w:val="21"/>
          <w:szCs w:val="21"/>
        </w:rPr>
        <w:t>]</w:t>
      </w:r>
      <w:r>
        <w:rPr>
          <w:rFonts w:ascii="Arial" w:hAnsi="Arial" w:cs="Arial"/>
          <w:kern w:val="2"/>
          <w:sz w:val="21"/>
          <w:szCs w:val="21"/>
        </w:rPr>
        <w:t>复印件，规划施工号与现状门牌楼牌编号不一致，本评估报告相关楼牌号描述以现状楼牌号，即门牌楼牌编号为准，具体对照关系如下：</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1599"/>
        <w:gridCol w:w="1318"/>
        <w:gridCol w:w="1728"/>
        <w:gridCol w:w="4652"/>
      </w:tblGrid>
      <w:tr>
        <w:trPr>
          <w:trHeight w:val="230" w:hRule="atLeast"/>
        </w:trPr>
        <w:tc>
          <w:tcPr>
            <w:tcW w:w="15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序号</w:t>
            </w:r>
          </w:p>
        </w:tc>
        <w:tc>
          <w:tcPr>
            <w:tcW w:w="1318"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规划施工号</w:t>
            </w:r>
          </w:p>
        </w:tc>
        <w:tc>
          <w:tcPr>
            <w:tcW w:w="1728"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门牌楼牌编号</w:t>
            </w:r>
          </w:p>
        </w:tc>
        <w:tc>
          <w:tcPr>
            <w:tcW w:w="4652" w:type="dxa"/>
            <w:tcBorders>
              <w:top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建设工程规划许可证号</w:t>
            </w:r>
          </w:p>
        </w:tc>
      </w:tr>
      <w:tr>
        <w:trPr>
          <w:trHeight w:val="54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 xml:space="preserve">0021 </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 xml:space="preserve">0046 </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 xml:space="preserve">0021 </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 xml:space="preserve">0046 </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 xml:space="preserve">0021 </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 xml:space="preserve">0046 </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 xml:space="preserve">0021 </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 xml:space="preserve">0046 </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 xml:space="preserve">0021 </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 xml:space="preserve">0046 </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 xml:space="preserve">0021 </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 xml:space="preserve">0046 </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9#</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9</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11</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11#</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11</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13#</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15</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15#</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15</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r>
        <w:trPr>
          <w:trHeight w:val="460" w:hRule="atLeast"/>
        </w:trPr>
        <w:tc>
          <w:tcPr>
            <w:tcW w:w="1599" w:type="dxa"/>
            <w:tcBorders>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31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r>
              <w:rPr>
                <w:rFonts w:ascii="Arial" w:hAnsi="Arial" w:cs="Arial"/>
                <w:sz w:val="18"/>
                <w:szCs w:val="18"/>
              </w:rPr>
              <w:t>住宅楼</w:t>
            </w:r>
          </w:p>
        </w:tc>
        <w:tc>
          <w:tcPr>
            <w:tcW w:w="1728"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4652" w:type="dxa"/>
            <w:tcBorders>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 xml:space="preserve">2020 </w:t>
            </w:r>
            <w:r>
              <w:rPr>
                <w:rFonts w:ascii="Arial" w:hAnsi="Arial" w:cs="Arial"/>
                <w:sz w:val="18"/>
                <w:szCs w:val="18"/>
              </w:rPr>
              <w:t xml:space="preserve">规自（房）建字 </w:t>
            </w:r>
            <w:r>
              <w:rPr>
                <w:rFonts w:cs="Arial" w:ascii="Arial" w:hAnsi="Arial"/>
                <w:sz w:val="18"/>
                <w:szCs w:val="18"/>
              </w:rPr>
              <w:t>0024</w:t>
            </w:r>
            <w:r>
              <w:rPr>
                <w:rFonts w:ascii="Arial" w:hAnsi="Arial" w:cs="Arial"/>
                <w:sz w:val="18"/>
                <w:szCs w:val="18"/>
              </w:rPr>
              <w:t>号</w:t>
            </w:r>
            <w:r>
              <w:rPr>
                <w:rFonts w:cs="Arial" w:ascii="Arial" w:hAnsi="Arial"/>
                <w:sz w:val="18"/>
                <w:szCs w:val="18"/>
              </w:rPr>
              <w:br/>
              <w:t xml:space="preserve">2020 </w:t>
            </w:r>
            <w:r>
              <w:rPr>
                <w:rFonts w:ascii="Arial" w:hAnsi="Arial" w:cs="Arial"/>
                <w:sz w:val="18"/>
                <w:szCs w:val="18"/>
              </w:rPr>
              <w:t xml:space="preserve">规自（房）建字 </w:t>
            </w:r>
            <w:r>
              <w:rPr>
                <w:rFonts w:cs="Arial" w:ascii="Arial" w:hAnsi="Arial"/>
                <w:sz w:val="18"/>
                <w:szCs w:val="18"/>
              </w:rPr>
              <w:t>0047</w:t>
            </w:r>
            <w:r>
              <w:rPr>
                <w:rFonts w:ascii="Arial" w:hAnsi="Arial" w:cs="Arial"/>
                <w:sz w:val="18"/>
                <w:szCs w:val="18"/>
              </w:rPr>
              <w:t>号</w:t>
            </w:r>
          </w:p>
        </w:tc>
      </w:tr>
    </w:tbl>
    <w:p>
      <w:pPr>
        <w:pStyle w:val="Normal"/>
        <w:overflowPunct w:val="false"/>
        <w:spacing w:lineRule="auto" w:line="480"/>
        <w:ind w:firstLine="420"/>
        <w:jc w:val="both"/>
        <w:rPr>
          <w:rFonts w:ascii="Arial" w:hAnsi="Arial" w:cs="Arial"/>
          <w:kern w:val="2"/>
          <w:sz w:val="21"/>
          <w:szCs w:val="21"/>
        </w:rPr>
      </w:pPr>
      <w:r>
        <w:rPr>
          <w:rFonts w:cs="Arial" w:ascii="Arial" w:hAnsi="Arial"/>
          <w:kern w:val="2"/>
          <w:sz w:val="21"/>
          <w:szCs w:val="21"/>
        </w:rPr>
      </w:r>
    </w:p>
    <w:p>
      <w:pPr>
        <w:pStyle w:val="Normal"/>
        <w:overflowPunct w:val="false"/>
        <w:spacing w:lineRule="auto" w:line="480"/>
        <w:ind w:firstLine="420"/>
        <w:jc w:val="both"/>
        <w:rPr>
          <w:rFonts w:ascii="Arial" w:hAnsi="Arial" w:cs="Arial"/>
          <w:kern w:val="2"/>
          <w:sz w:val="21"/>
          <w:szCs w:val="21"/>
        </w:rPr>
      </w:pPr>
      <w:r>
        <w:rPr>
          <w:rFonts w:cs="Arial" w:ascii="Arial" w:hAnsi="Arial"/>
          <w:kern w:val="2"/>
          <w:sz w:val="21"/>
          <w:szCs w:val="21"/>
        </w:rPr>
        <w:t xml:space="preserve">2. </w:t>
      </w:r>
      <w:r>
        <w:rPr>
          <w:rFonts w:ascii="Arial" w:hAnsi="Arial" w:cs="Arial"/>
          <w:kern w:val="2"/>
          <w:sz w:val="21"/>
          <w:szCs w:val="21"/>
        </w:rPr>
        <w:t>根据估价委托人提供的《北京市门楼牌编号证明信》</w:t>
      </w:r>
      <w:r>
        <w:rPr>
          <w:rFonts w:cs="Arial" w:ascii="Arial" w:hAnsi="Arial"/>
          <w:kern w:val="2"/>
          <w:sz w:val="21"/>
          <w:szCs w:val="21"/>
        </w:rPr>
        <w:t>[(1100)</w:t>
      </w:r>
      <w:r>
        <w:rPr>
          <w:rFonts w:ascii="Arial" w:hAnsi="Arial" w:cs="Arial"/>
          <w:kern w:val="2"/>
          <w:sz w:val="21"/>
          <w:szCs w:val="21"/>
        </w:rPr>
        <w:t>房山分局</w:t>
      </w:r>
      <w:r>
        <w:rPr>
          <w:rFonts w:cs="Arial" w:ascii="Arial" w:hAnsi="Arial"/>
          <w:kern w:val="2"/>
          <w:sz w:val="21"/>
          <w:szCs w:val="21"/>
        </w:rPr>
        <w:t>066</w:t>
      </w:r>
      <w:r>
        <w:rPr>
          <w:rFonts w:ascii="Arial" w:hAnsi="Arial" w:cs="Arial"/>
          <w:kern w:val="2"/>
          <w:sz w:val="21"/>
          <w:szCs w:val="21"/>
        </w:rPr>
        <w:t>号</w:t>
      </w:r>
      <w:r>
        <w:rPr>
          <w:rFonts w:cs="Arial" w:ascii="Arial" w:hAnsi="Arial"/>
          <w:kern w:val="2"/>
          <w:sz w:val="21"/>
          <w:szCs w:val="21"/>
        </w:rPr>
        <w:t>]</w:t>
      </w:r>
      <w:r>
        <w:rPr>
          <w:rFonts w:ascii="Arial" w:hAnsi="Arial" w:cs="Arial"/>
          <w:kern w:val="2"/>
          <w:sz w:val="21"/>
          <w:szCs w:val="21"/>
        </w:rPr>
        <w:t>复印件，北京市房山区拱辰街道</w:t>
      </w:r>
      <w:r>
        <w:rPr>
          <w:rFonts w:cs="Arial" w:ascii="Arial" w:hAnsi="Arial"/>
          <w:kern w:val="2"/>
          <w:sz w:val="21"/>
          <w:szCs w:val="21"/>
        </w:rPr>
        <w:t>FSO0-LX09-6001</w:t>
      </w:r>
      <w:r>
        <w:rPr>
          <w:rFonts w:ascii="Arial" w:hAnsi="Arial" w:cs="Arial"/>
          <w:kern w:val="2"/>
          <w:sz w:val="21"/>
          <w:szCs w:val="21"/>
        </w:rPr>
        <w:t>地块</w:t>
      </w:r>
      <w:r>
        <w:rPr>
          <w:rFonts w:cs="Arial" w:ascii="Arial" w:hAnsi="Arial"/>
          <w:kern w:val="2"/>
          <w:sz w:val="21"/>
          <w:szCs w:val="21"/>
        </w:rPr>
        <w:t>R2</w:t>
      </w:r>
      <w:r>
        <w:rPr>
          <w:rFonts w:ascii="Arial" w:hAnsi="Arial" w:cs="Arial"/>
          <w:kern w:val="2"/>
          <w:sz w:val="21"/>
          <w:szCs w:val="21"/>
        </w:rPr>
        <w:t>二类居住用地与文雅街</w:t>
      </w:r>
      <w:r>
        <w:rPr>
          <w:rFonts w:cs="Arial" w:ascii="Arial" w:hAnsi="Arial"/>
          <w:kern w:val="2"/>
          <w:sz w:val="21"/>
          <w:szCs w:val="21"/>
        </w:rPr>
        <w:t>1</w:t>
      </w:r>
      <w:r>
        <w:rPr>
          <w:rFonts w:ascii="Arial" w:hAnsi="Arial" w:cs="Arial"/>
          <w:kern w:val="2"/>
          <w:sz w:val="21"/>
          <w:szCs w:val="21"/>
        </w:rPr>
        <w:t>号院为同一地址。</w:t>
      </w:r>
    </w:p>
    <w:p>
      <w:pPr>
        <w:pStyle w:val="Normal"/>
        <w:overflowPunct w:val="false"/>
        <w:spacing w:lineRule="auto" w:line="480"/>
        <w:ind w:firstLine="420"/>
        <w:jc w:val="both"/>
        <w:rPr>
          <w:rFonts w:ascii="Arial" w:hAnsi="Arial" w:cs="Arial"/>
          <w:kern w:val="2"/>
          <w:sz w:val="21"/>
          <w:szCs w:val="21"/>
        </w:rPr>
      </w:pPr>
      <w:r>
        <w:rPr>
          <w:rFonts w:cs="Arial" w:ascii="Arial" w:hAnsi="Arial"/>
          <w:kern w:val="2"/>
          <w:sz w:val="21"/>
          <w:szCs w:val="21"/>
        </w:rPr>
        <w:t>3.</w:t>
      </w:r>
      <w:r>
        <w:rPr>
          <w:rFonts w:ascii="Arial" w:hAnsi="Arial" w:cs="Arial"/>
          <w:kern w:val="2"/>
          <w:sz w:val="21"/>
          <w:szCs w:val="21"/>
        </w:rPr>
        <w:t>根据估价委托人提供的</w:t>
      </w:r>
      <w:r>
        <w:rPr>
          <w:rFonts w:ascii="Arial" w:hAnsi="Arial" w:cs="Arial"/>
          <w:sz w:val="21"/>
          <w:szCs w:val="21"/>
        </w:rPr>
        <w:t>《轩景家园共有产权房房源表》复印件</w:t>
      </w:r>
      <w:r>
        <w:rPr>
          <w:rFonts w:ascii="Arial" w:hAnsi="Arial" w:cs="Arial"/>
          <w:kern w:val="2"/>
          <w:sz w:val="21"/>
          <w:szCs w:val="21"/>
        </w:rPr>
        <w:t>，</w:t>
      </w:r>
      <w:commentRangeStart w:id="3"/>
      <w:r>
        <w:rPr>
          <w:rFonts w:ascii="Arial" w:hAnsi="Arial" w:cs="Arial"/>
          <w:kern w:val="2"/>
          <w:sz w:val="21"/>
          <w:szCs w:val="21"/>
        </w:rPr>
        <w:t>本次评估估价对象建筑面积为</w:t>
      </w:r>
      <w:r>
        <w:rPr>
          <w:rFonts w:cs="Arial" w:ascii="Arial" w:hAnsi="Arial"/>
          <w:kern w:val="2"/>
          <w:sz w:val="21"/>
          <w:szCs w:val="21"/>
        </w:rPr>
        <w:t>87.72-89.55</w:t>
      </w:r>
      <w:r>
        <w:rPr>
          <w:rFonts w:ascii="Arial" w:hAnsi="Arial" w:cs="Arial"/>
          <w:kern w:val="2"/>
          <w:sz w:val="21"/>
          <w:szCs w:val="21"/>
        </w:rPr>
        <w:t>平方米。</w:t>
      </w:r>
      <w:r>
        <w:rPr>
          <w:rFonts w:ascii="Arial" w:hAnsi="Arial" w:cs="Arial"/>
          <w:kern w:val="2"/>
          <w:sz w:val="21"/>
          <w:szCs w:val="21"/>
        </w:rPr>
      </w:r>
      <w:commentRangeEnd w:id="3"/>
      <w:r>
        <w:commentReference w:id="3"/>
      </w:r>
      <w:r>
        <w:rPr>
          <w:rFonts w:ascii="Arial" w:hAnsi="Arial" w:cs="Arial"/>
          <w:kern w:val="2"/>
          <w:sz w:val="21"/>
          <w:szCs w:val="21"/>
        </w:rPr>
        <w:t>根据《北京市住房和城乡建设委员会 北京市规划和自然资源委员会关于修订《北京市共有产权住房规划设计宜居建设导则（试行）》的通知》</w:t>
      </w:r>
      <w:r>
        <w:rPr>
          <w:rFonts w:cs="Arial" w:ascii="Arial" w:hAnsi="Arial"/>
          <w:kern w:val="2"/>
          <w:sz w:val="21"/>
          <w:szCs w:val="21"/>
        </w:rPr>
        <w:t>[</w:t>
      </w:r>
      <w:r>
        <w:rPr>
          <w:rFonts w:ascii="Arial" w:hAnsi="Arial" w:cs="Arial"/>
          <w:kern w:val="2"/>
          <w:sz w:val="21"/>
          <w:szCs w:val="21"/>
        </w:rPr>
        <w:t>京建发</w:t>
      </w:r>
      <w:r>
        <w:rPr>
          <w:rFonts w:cs="Arial" w:ascii="Arial" w:hAnsi="Arial"/>
          <w:kern w:val="2"/>
          <w:sz w:val="21"/>
          <w:szCs w:val="21"/>
        </w:rPr>
        <w:t>[2021]416</w:t>
      </w:r>
      <w:r>
        <w:rPr>
          <w:rFonts w:ascii="Arial" w:hAnsi="Arial" w:cs="Arial"/>
          <w:kern w:val="2"/>
          <w:sz w:val="21"/>
          <w:szCs w:val="21"/>
        </w:rPr>
        <w:t>号</w:t>
      </w:r>
      <w:r>
        <w:rPr>
          <w:rFonts w:cs="Arial" w:ascii="Arial" w:hAnsi="Arial"/>
          <w:kern w:val="2"/>
          <w:sz w:val="21"/>
          <w:szCs w:val="21"/>
        </w:rPr>
        <w:t>]</w:t>
      </w:r>
      <w:r>
        <w:rPr>
          <w:rFonts w:ascii="Arial" w:hAnsi="Arial" w:cs="Arial"/>
          <w:kern w:val="2"/>
          <w:sz w:val="21"/>
          <w:szCs w:val="21"/>
        </w:rPr>
        <w:t>相关规定，中心城区新建项目执行差别化面积标准，十八层</w:t>
      </w:r>
      <w:r>
        <w:rPr>
          <w:rFonts w:cs="Arial" w:ascii="Arial" w:hAnsi="Arial"/>
          <w:kern w:val="2"/>
          <w:sz w:val="21"/>
          <w:szCs w:val="21"/>
        </w:rPr>
        <w:t>(</w:t>
      </w:r>
      <w:r>
        <w:rPr>
          <w:rFonts w:ascii="Arial" w:hAnsi="Arial" w:cs="Arial"/>
          <w:kern w:val="2"/>
          <w:sz w:val="21"/>
          <w:szCs w:val="21"/>
        </w:rPr>
        <w:t>含</w:t>
      </w:r>
      <w:r>
        <w:rPr>
          <w:rFonts w:cs="Arial" w:ascii="Arial" w:hAnsi="Arial"/>
          <w:kern w:val="2"/>
          <w:sz w:val="21"/>
          <w:szCs w:val="21"/>
        </w:rPr>
        <w:t>)</w:t>
      </w:r>
      <w:r>
        <w:rPr>
          <w:rFonts w:ascii="Arial" w:hAnsi="Arial" w:cs="Arial"/>
          <w:kern w:val="2"/>
          <w:sz w:val="21"/>
          <w:szCs w:val="21"/>
        </w:rPr>
        <w:t>以下的住宅建筑，套型总建筑面积不大于</w:t>
      </w:r>
      <w:r>
        <w:rPr>
          <w:rFonts w:cs="Arial" w:ascii="Arial" w:hAnsi="Arial"/>
          <w:kern w:val="2"/>
          <w:sz w:val="21"/>
          <w:szCs w:val="21"/>
        </w:rPr>
        <w:t>95</w:t>
      </w:r>
      <w:r>
        <w:rPr>
          <w:rFonts w:ascii="Arial" w:hAnsi="Arial" w:cs="Arial"/>
          <w:kern w:val="2"/>
          <w:sz w:val="21"/>
          <w:szCs w:val="21"/>
        </w:rPr>
        <w:t>平方米；十八层以上的住宅建筑，套型总建筑面积不大于</w:t>
      </w:r>
      <w:r>
        <w:rPr>
          <w:rFonts w:cs="Arial" w:ascii="Arial" w:hAnsi="Arial"/>
          <w:kern w:val="2"/>
          <w:sz w:val="21"/>
          <w:szCs w:val="21"/>
        </w:rPr>
        <w:t>100</w:t>
      </w:r>
      <w:r>
        <w:rPr>
          <w:rFonts w:ascii="Arial" w:hAnsi="Arial" w:cs="Arial"/>
          <w:kern w:val="2"/>
          <w:sz w:val="21"/>
          <w:szCs w:val="21"/>
        </w:rPr>
        <w:t>平方米。其他区新建项目套型总建筑面积原则上不超过</w:t>
      </w:r>
      <w:r>
        <w:rPr>
          <w:rFonts w:cs="Arial" w:ascii="Arial" w:hAnsi="Arial"/>
          <w:kern w:val="2"/>
          <w:sz w:val="21"/>
          <w:szCs w:val="21"/>
        </w:rPr>
        <w:t>120</w:t>
      </w:r>
      <w:r>
        <w:rPr>
          <w:rFonts w:ascii="Arial" w:hAnsi="Arial" w:cs="Arial"/>
          <w:kern w:val="2"/>
          <w:sz w:val="21"/>
          <w:szCs w:val="21"/>
        </w:rPr>
        <w:t>平方米。严格限制套型总建筑面积在</w:t>
      </w:r>
      <w:r>
        <w:rPr>
          <w:rFonts w:cs="Arial" w:ascii="Arial" w:hAnsi="Arial"/>
          <w:kern w:val="2"/>
          <w:sz w:val="21"/>
          <w:szCs w:val="21"/>
        </w:rPr>
        <w:t>60</w:t>
      </w:r>
      <w:r>
        <w:rPr>
          <w:rFonts w:ascii="Arial" w:hAnsi="Arial" w:cs="Arial"/>
          <w:kern w:val="2"/>
          <w:sz w:val="21"/>
          <w:szCs w:val="21"/>
        </w:rPr>
        <w:t>平方米以下的套型比例。估价对象符合上述导则相关规定。根据众数原则，估价对象中套数占比最大的为</w:t>
      </w:r>
      <w:r>
        <w:rPr>
          <w:rFonts w:cs="Arial" w:ascii="Arial" w:hAnsi="Arial"/>
          <w:kern w:val="2"/>
          <w:sz w:val="21"/>
          <w:szCs w:val="21"/>
        </w:rPr>
        <w:t>87.72-89.55</w:t>
      </w:r>
      <w:r>
        <w:rPr>
          <w:rFonts w:ascii="Arial" w:hAnsi="Arial" w:cs="Arial"/>
          <w:kern w:val="2"/>
          <w:sz w:val="21"/>
          <w:szCs w:val="21"/>
        </w:rPr>
        <w:t>平方米的三居室，故本次租金评估标准房是指参照被评估共有产权房项目的户型、面积、装修设备等因素及</w:t>
      </w:r>
      <w:r>
        <w:rPr>
          <w:rFonts w:ascii="Arial" w:hAnsi="Arial" w:cs="Arial"/>
          <w:bCs/>
          <w:sz w:val="21"/>
        </w:rPr>
        <w:t>《关于发布《北京市共有产权住房价格评估技术指引》的通知》</w:t>
      </w:r>
      <w:r>
        <w:rPr>
          <w:rFonts w:cs="Arial" w:ascii="Arial" w:hAnsi="Arial"/>
          <w:sz w:val="21"/>
          <w:szCs w:val="21"/>
        </w:rPr>
        <w:t>[</w:t>
      </w:r>
      <w:r>
        <w:rPr>
          <w:rFonts w:ascii="Arial" w:hAnsi="Arial" w:cs="Arial"/>
          <w:sz w:val="21"/>
          <w:szCs w:val="21"/>
        </w:rPr>
        <w:t>北估秘</w:t>
      </w:r>
      <w:r>
        <w:rPr>
          <w:rFonts w:cs="Arial" w:ascii="Arial" w:hAnsi="Arial"/>
          <w:sz w:val="21"/>
          <w:szCs w:val="21"/>
        </w:rPr>
        <w:t>[2023]002</w:t>
      </w:r>
      <w:r>
        <w:rPr>
          <w:rFonts w:ascii="Arial" w:hAnsi="Arial" w:cs="Arial"/>
          <w:sz w:val="21"/>
          <w:szCs w:val="21"/>
        </w:rPr>
        <w:t>号</w:t>
      </w:r>
      <w:r>
        <w:rPr>
          <w:rFonts w:cs="Arial" w:ascii="Arial" w:hAnsi="Arial"/>
          <w:sz w:val="21"/>
          <w:szCs w:val="21"/>
        </w:rPr>
        <w:t>]</w:t>
      </w:r>
      <w:r>
        <w:rPr>
          <w:rFonts w:ascii="Arial" w:hAnsi="Arial" w:cs="Arial"/>
          <w:kern w:val="2"/>
          <w:sz w:val="21"/>
          <w:szCs w:val="21"/>
        </w:rPr>
        <w:t>设定的房屋状况。</w:t>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（五）本次估价的依据不足假设</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截至本评估报告出具之日，估价委托人未能提供《关于房山区拱辰街道</w:t>
      </w:r>
      <w:r>
        <w:rPr>
          <w:rFonts w:cs="Arial" w:ascii="Arial" w:hAnsi="Arial"/>
          <w:sz w:val="21"/>
          <w:szCs w:val="21"/>
        </w:rPr>
        <w:t>FS00-LX09-6001</w:t>
      </w:r>
      <w:r>
        <w:rPr>
          <w:rFonts w:ascii="Arial" w:hAnsi="Arial" w:cs="Arial"/>
          <w:sz w:val="21"/>
          <w:szCs w:val="21"/>
        </w:rPr>
        <w:t>地块</w:t>
      </w:r>
      <w:r>
        <w:rPr>
          <w:rFonts w:cs="Arial" w:ascii="Arial" w:hAnsi="Arial"/>
          <w:sz w:val="21"/>
          <w:szCs w:val="21"/>
        </w:rPr>
        <w:t>R2</w:t>
      </w:r>
      <w:r>
        <w:rPr>
          <w:rFonts w:ascii="Arial" w:hAnsi="Arial" w:cs="Arial"/>
          <w:sz w:val="21"/>
          <w:szCs w:val="21"/>
        </w:rPr>
        <w:t>二类居住用地、</w:t>
      </w:r>
      <w:r>
        <w:rPr>
          <w:rFonts w:cs="Arial" w:ascii="Arial" w:hAnsi="Arial"/>
          <w:sz w:val="21"/>
          <w:szCs w:val="21"/>
        </w:rPr>
        <w:t>FS00-LX09-6003</w:t>
      </w:r>
      <w:r>
        <w:rPr>
          <w:rFonts w:ascii="Arial" w:hAnsi="Arial" w:cs="Arial"/>
          <w:sz w:val="21"/>
          <w:szCs w:val="21"/>
        </w:rPr>
        <w:t>地块</w:t>
      </w:r>
      <w:r>
        <w:rPr>
          <w:rFonts w:cs="Arial" w:ascii="Arial" w:hAnsi="Arial"/>
          <w:sz w:val="21"/>
          <w:szCs w:val="21"/>
        </w:rPr>
        <w:t>A33</w:t>
      </w:r>
      <w:r>
        <w:rPr>
          <w:rFonts w:ascii="Arial" w:hAnsi="Arial" w:cs="Arial"/>
          <w:sz w:val="21"/>
          <w:szCs w:val="21"/>
        </w:rPr>
        <w:t>基础教育用地项目“多规合一”协同平台综合会商意见的函》</w:t>
      </w:r>
      <w:r>
        <w:rPr>
          <w:rFonts w:cs="Arial" w:ascii="Arial" w:hAnsi="Arial"/>
          <w:sz w:val="21"/>
          <w:szCs w:val="21"/>
        </w:rPr>
        <w:t>[</w:t>
      </w:r>
      <w:r>
        <w:rPr>
          <w:rFonts w:ascii="Arial" w:hAnsi="Arial" w:cs="Arial"/>
          <w:sz w:val="21"/>
          <w:szCs w:val="21"/>
        </w:rPr>
        <w:t>京规自（房）综审函</w:t>
      </w:r>
      <w:r>
        <w:rPr>
          <w:rFonts w:cs="Arial" w:ascii="Arial" w:hAnsi="Arial"/>
          <w:sz w:val="21"/>
          <w:szCs w:val="21"/>
        </w:rPr>
        <w:t>[2020]0027</w:t>
      </w:r>
      <w:r>
        <w:rPr>
          <w:rFonts w:ascii="Arial" w:hAnsi="Arial" w:cs="Arial"/>
          <w:sz w:val="21"/>
          <w:szCs w:val="21"/>
        </w:rPr>
        <w:t>号</w:t>
      </w:r>
      <w:r>
        <w:rPr>
          <w:rFonts w:cs="Arial" w:ascii="Arial" w:hAnsi="Arial"/>
          <w:sz w:val="21"/>
          <w:szCs w:val="21"/>
        </w:rPr>
        <w:t>]</w:t>
      </w:r>
      <w:r>
        <w:rPr>
          <w:rFonts w:ascii="Arial" w:hAnsi="Arial" w:cs="Arial"/>
          <w:sz w:val="21"/>
          <w:szCs w:val="21"/>
        </w:rPr>
        <w:t>、《建设工程规划许可证》</w:t>
      </w:r>
      <w:r>
        <w:rPr>
          <w:rFonts w:cs="Arial" w:ascii="Arial" w:hAnsi="Arial"/>
          <w:sz w:val="21"/>
          <w:szCs w:val="21"/>
        </w:rPr>
        <w:t>[2020</w:t>
      </w:r>
      <w:r>
        <w:rPr>
          <w:rFonts w:ascii="Arial" w:hAnsi="Arial" w:cs="Arial"/>
          <w:sz w:val="21"/>
          <w:szCs w:val="21"/>
        </w:rPr>
        <w:t>规自（房）建字</w:t>
      </w:r>
      <w:r>
        <w:rPr>
          <w:rFonts w:cs="Arial" w:ascii="Arial" w:hAnsi="Arial"/>
          <w:sz w:val="21"/>
          <w:szCs w:val="21"/>
        </w:rPr>
        <w:t>0021</w:t>
      </w:r>
      <w:r>
        <w:rPr>
          <w:rFonts w:ascii="Arial" w:hAnsi="Arial" w:cs="Arial"/>
          <w:sz w:val="21"/>
          <w:szCs w:val="21"/>
        </w:rPr>
        <w:t>、</w:t>
      </w:r>
      <w:r>
        <w:rPr>
          <w:rFonts w:cs="Arial" w:ascii="Arial" w:hAnsi="Arial"/>
          <w:sz w:val="21"/>
          <w:szCs w:val="21"/>
        </w:rPr>
        <w:t>0024</w:t>
      </w:r>
      <w:r>
        <w:rPr>
          <w:rFonts w:ascii="Arial" w:hAnsi="Arial" w:cs="Arial"/>
          <w:sz w:val="21"/>
          <w:szCs w:val="21"/>
        </w:rPr>
        <w:t>、</w:t>
      </w:r>
      <w:r>
        <w:rPr>
          <w:rFonts w:cs="Arial" w:ascii="Arial" w:hAnsi="Arial"/>
          <w:sz w:val="21"/>
          <w:szCs w:val="21"/>
        </w:rPr>
        <w:t>0046</w:t>
      </w:r>
      <w:r>
        <w:rPr>
          <w:rFonts w:ascii="Arial" w:hAnsi="Arial" w:cs="Arial"/>
          <w:sz w:val="21"/>
          <w:szCs w:val="21"/>
        </w:rPr>
        <w:t>、</w:t>
      </w:r>
      <w:r>
        <w:rPr>
          <w:rFonts w:cs="Arial" w:ascii="Arial" w:hAnsi="Arial"/>
          <w:sz w:val="21"/>
          <w:szCs w:val="21"/>
        </w:rPr>
        <w:t>0047</w:t>
      </w:r>
      <w:r>
        <w:rPr>
          <w:rFonts w:ascii="Arial" w:hAnsi="Arial" w:cs="Arial"/>
          <w:sz w:val="21"/>
          <w:szCs w:val="21"/>
        </w:rPr>
        <w:t>号</w:t>
      </w:r>
      <w:r>
        <w:rPr>
          <w:rFonts w:cs="Arial" w:ascii="Arial" w:hAnsi="Arial"/>
          <w:sz w:val="21"/>
          <w:szCs w:val="21"/>
        </w:rPr>
        <w:t>]</w:t>
      </w:r>
      <w:r>
        <w:rPr>
          <w:rFonts w:ascii="Arial" w:hAnsi="Arial" w:cs="Arial"/>
          <w:sz w:val="21"/>
          <w:szCs w:val="21"/>
        </w:rPr>
        <w:t>及附件、《建筑工程施工许可证》</w:t>
      </w:r>
      <w:r>
        <w:rPr>
          <w:rFonts w:cs="Arial" w:ascii="Arial" w:hAnsi="Arial"/>
          <w:sz w:val="21"/>
          <w:szCs w:val="21"/>
        </w:rPr>
        <w:t>[</w:t>
      </w:r>
      <w:r>
        <w:rPr>
          <w:rFonts w:ascii="Arial" w:hAnsi="Arial" w:cs="Arial"/>
          <w:sz w:val="21"/>
          <w:szCs w:val="21"/>
        </w:rPr>
        <w:t>编号：</w:t>
      </w:r>
      <w:r>
        <w:rPr>
          <w:rFonts w:cs="Arial" w:ascii="Arial" w:hAnsi="Arial"/>
          <w:sz w:val="21"/>
          <w:szCs w:val="21"/>
        </w:rPr>
        <w:t>[2020]</w:t>
      </w:r>
      <w:r>
        <w:rPr>
          <w:rFonts w:ascii="Arial" w:hAnsi="Arial" w:cs="Arial"/>
          <w:sz w:val="21"/>
          <w:szCs w:val="21"/>
        </w:rPr>
        <w:t>施</w:t>
      </w:r>
      <w:r>
        <w:rPr>
          <w:rFonts w:cs="Arial" w:ascii="Arial" w:hAnsi="Arial"/>
          <w:sz w:val="21"/>
          <w:szCs w:val="21"/>
        </w:rPr>
        <w:t>[</w:t>
      </w:r>
      <w:r>
        <w:rPr>
          <w:rFonts w:ascii="Arial" w:hAnsi="Arial" w:cs="Arial"/>
          <w:sz w:val="21"/>
          <w:szCs w:val="21"/>
        </w:rPr>
        <w:t>房</w:t>
      </w:r>
      <w:r>
        <w:rPr>
          <w:rFonts w:cs="Arial" w:ascii="Arial" w:hAnsi="Arial"/>
          <w:sz w:val="21"/>
          <w:szCs w:val="21"/>
        </w:rPr>
        <w:t>]</w:t>
      </w:r>
      <w:r>
        <w:rPr>
          <w:rFonts w:ascii="Arial" w:hAnsi="Arial" w:cs="Arial"/>
          <w:sz w:val="21"/>
          <w:szCs w:val="21"/>
        </w:rPr>
        <w:t>建字</w:t>
      </w:r>
      <w:r>
        <w:rPr>
          <w:rFonts w:cs="Arial" w:ascii="Arial" w:hAnsi="Arial"/>
          <w:sz w:val="21"/>
          <w:szCs w:val="21"/>
        </w:rPr>
        <w:t>0071</w:t>
      </w:r>
      <w:r>
        <w:rPr>
          <w:rFonts w:ascii="Arial" w:hAnsi="Arial" w:cs="Arial"/>
          <w:sz w:val="21"/>
          <w:szCs w:val="21"/>
        </w:rPr>
        <w:t>号</w:t>
      </w:r>
      <w:r>
        <w:rPr>
          <w:rFonts w:cs="Arial" w:ascii="Arial" w:hAnsi="Arial"/>
          <w:sz w:val="21"/>
          <w:szCs w:val="21"/>
        </w:rPr>
        <w:t>]</w:t>
      </w:r>
      <w:r>
        <w:rPr>
          <w:rFonts w:ascii="Arial" w:hAnsi="Arial" w:cs="Arial"/>
          <w:sz w:val="21"/>
          <w:szCs w:val="21"/>
        </w:rPr>
        <w:t>及附件、《工程竣工验收备案表》</w:t>
      </w:r>
      <w:r>
        <w:rPr>
          <w:rFonts w:cs="Arial" w:ascii="Arial" w:hAnsi="Arial"/>
          <w:sz w:val="21"/>
          <w:szCs w:val="21"/>
        </w:rPr>
        <w:t>[</w:t>
      </w:r>
      <w:r>
        <w:rPr>
          <w:rFonts w:ascii="Arial" w:hAnsi="Arial" w:cs="Arial"/>
          <w:sz w:val="21"/>
          <w:szCs w:val="21"/>
        </w:rPr>
        <w:t>备案编号：</w:t>
      </w:r>
      <w:r>
        <w:rPr>
          <w:rFonts w:cs="Arial" w:ascii="Arial" w:hAnsi="Arial"/>
          <w:sz w:val="21"/>
          <w:szCs w:val="21"/>
        </w:rPr>
        <w:t>0396</w:t>
      </w:r>
      <w:r>
        <w:rPr>
          <w:rFonts w:ascii="Arial" w:hAnsi="Arial" w:cs="Arial"/>
          <w:sz w:val="21"/>
          <w:szCs w:val="21"/>
        </w:rPr>
        <w:t>房竣</w:t>
      </w:r>
      <w:r>
        <w:rPr>
          <w:rFonts w:cs="Arial" w:ascii="Arial" w:hAnsi="Arial"/>
          <w:sz w:val="21"/>
          <w:szCs w:val="21"/>
        </w:rPr>
        <w:t>2023</w:t>
      </w:r>
      <w:r>
        <w:rPr>
          <w:rFonts w:ascii="Arial" w:hAnsi="Arial" w:cs="Arial"/>
          <w:sz w:val="21"/>
          <w:szCs w:val="21"/>
        </w:rPr>
        <w:t>（建）</w:t>
      </w:r>
      <w:r>
        <w:rPr>
          <w:rFonts w:cs="Arial" w:ascii="Arial" w:hAnsi="Arial"/>
          <w:sz w:val="21"/>
          <w:szCs w:val="21"/>
        </w:rPr>
        <w:t>0020</w:t>
      </w:r>
      <w:r>
        <w:rPr>
          <w:rFonts w:ascii="Arial" w:hAnsi="Arial" w:cs="Arial"/>
          <w:sz w:val="21"/>
          <w:szCs w:val="21"/>
        </w:rPr>
        <w:t>号</w:t>
      </w:r>
      <w:r>
        <w:rPr>
          <w:rFonts w:cs="Arial" w:ascii="Arial" w:hAnsi="Arial"/>
          <w:sz w:val="21"/>
          <w:szCs w:val="21"/>
        </w:rPr>
        <w:t>]</w:t>
      </w:r>
      <w:r>
        <w:rPr>
          <w:rFonts w:ascii="Arial" w:hAnsi="Arial" w:cs="Arial"/>
          <w:sz w:val="21"/>
          <w:szCs w:val="21"/>
        </w:rPr>
        <w:t>、《不动产权证书》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、《北京市门楼牌编号证明信》</w:t>
      </w:r>
      <w:r>
        <w:rPr>
          <w:rFonts w:cs="Arial" w:ascii="Arial" w:hAnsi="Arial"/>
          <w:sz w:val="21"/>
          <w:szCs w:val="21"/>
        </w:rPr>
        <w:t>[(1100)</w:t>
      </w:r>
      <w:r>
        <w:rPr>
          <w:rFonts w:ascii="Arial" w:hAnsi="Arial" w:cs="Arial"/>
          <w:sz w:val="21"/>
          <w:szCs w:val="21"/>
        </w:rPr>
        <w:t>房山分局</w:t>
      </w:r>
      <w:r>
        <w:rPr>
          <w:rFonts w:cs="Arial" w:ascii="Arial" w:hAnsi="Arial"/>
          <w:sz w:val="21"/>
          <w:szCs w:val="21"/>
        </w:rPr>
        <w:t>066</w:t>
      </w:r>
      <w:r>
        <w:rPr>
          <w:rFonts w:ascii="Arial" w:hAnsi="Arial" w:cs="Arial"/>
          <w:sz w:val="21"/>
          <w:szCs w:val="21"/>
        </w:rPr>
        <w:t>号</w:t>
      </w:r>
      <w:r>
        <w:rPr>
          <w:rFonts w:cs="Arial" w:ascii="Arial" w:hAnsi="Arial"/>
          <w:sz w:val="21"/>
          <w:szCs w:val="21"/>
        </w:rPr>
        <w:t>]</w:t>
      </w:r>
      <w:r>
        <w:rPr>
          <w:rFonts w:ascii="Arial" w:hAnsi="Arial" w:cs="Arial"/>
          <w:sz w:val="21"/>
          <w:szCs w:val="21"/>
        </w:rPr>
        <w:t>等资料原件供评估专业人员核对。本次评估以估价委托人提供的上述资料复印件与原件一致为估价的假设前提。</w:t>
      </w:r>
    </w:p>
    <w:p>
      <w:pPr>
        <w:pStyle w:val="Normal"/>
        <w:numPr>
          <w:ilvl w:val="0"/>
          <w:numId w:val="0"/>
        </w:numPr>
        <w:spacing w:lineRule="auto" w:line="480"/>
        <w:jc w:val="both"/>
        <w:outlineLvl w:val="0"/>
        <w:rPr>
          <w:rFonts w:ascii="Arial" w:hAnsi="Arial" w:cs="Arial"/>
          <w:b/>
          <w:b/>
          <w:kern w:val="2"/>
          <w:sz w:val="21"/>
          <w:szCs w:val="21"/>
        </w:rPr>
      </w:pPr>
      <w:r>
        <w:rPr>
          <w:rFonts w:ascii="Arial" w:hAnsi="Arial" w:cs="Arial"/>
          <w:b/>
          <w:kern w:val="2"/>
          <w:sz w:val="21"/>
          <w:szCs w:val="21"/>
        </w:rPr>
        <w:t>（六）估价报告使用限制</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1.</w:t>
      </w:r>
      <w:r>
        <w:rPr>
          <w:rFonts w:ascii="Arial" w:hAnsi="Arial" w:cs="Arial"/>
          <w:kern w:val="2"/>
          <w:sz w:val="21"/>
          <w:szCs w:val="21"/>
        </w:rPr>
        <w:t>使用范围：本估价报告只能由估价报告载明的报告使用者使用，且只能用于本报告载明的唯一估价目的和用途。</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2.</w:t>
      </w:r>
      <w:r>
        <w:rPr>
          <w:rFonts w:ascii="Arial" w:hAnsi="Arial" w:cs="Arial"/>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3.</w:t>
      </w:r>
      <w:r>
        <w:rPr>
          <w:rFonts w:ascii="Arial" w:hAnsi="Arial" w:cs="Arial"/>
          <w:kern w:val="2"/>
          <w:sz w:val="21"/>
          <w:szCs w:val="21"/>
        </w:rPr>
        <w:t>除估价委托人、估价委托合同中约定的其他估价报告使用人和法律、行政法规规定的估价报告使用人之外，其他任何机构和个人不能成为估价报告的使用人。</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4.</w:t>
      </w:r>
      <w:r>
        <w:rPr>
          <w:rFonts w:ascii="Arial" w:hAnsi="Arial" w:cs="Arial"/>
          <w:kern w:val="2"/>
          <w:sz w:val="21"/>
          <w:szCs w:val="21"/>
        </w:rPr>
        <w:t>估价报告使用人应当正确理解估价结论。估价结论不等同于估价对象可实现价格，估价结论不应当被认为是对估价对象可实现价格的保证。</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5.</w:t>
      </w:r>
      <w:r>
        <w:rPr>
          <w:rFonts w:ascii="Arial" w:hAnsi="Arial" w:cs="Arial"/>
          <w:kern w:val="2"/>
          <w:sz w:val="21"/>
          <w:szCs w:val="21"/>
        </w:rPr>
        <w:t>本</w:t>
      </w:r>
      <w:r>
        <w:rPr>
          <w:rFonts w:ascii="Arial" w:hAnsi="Arial" w:cs="Arial"/>
          <w:sz w:val="21"/>
          <w:szCs w:val="21"/>
        </w:rPr>
        <w:t>估价报告</w:t>
      </w:r>
      <w:r>
        <w:rPr>
          <w:rFonts w:ascii="Arial" w:hAnsi="Arial" w:cs="Arial"/>
          <w:kern w:val="2"/>
          <w:sz w:val="21"/>
          <w:szCs w:val="21"/>
        </w:rPr>
        <w:t>评估目的是</w:t>
      </w:r>
      <w:r>
        <w:rPr>
          <w:rFonts w:ascii="Arial" w:hAnsi="Arial" w:cs="Arial"/>
          <w:sz w:val="21"/>
          <w:szCs w:val="21"/>
        </w:rPr>
        <w:t>为估价委托人确定共有产权住房项目市场租金提供价格参考依据</w:t>
      </w:r>
      <w:r>
        <w:rPr>
          <w:rFonts w:ascii="Arial" w:hAnsi="Arial" w:cs="Arial"/>
          <w:kern w:val="2"/>
          <w:sz w:val="21"/>
          <w:szCs w:val="21"/>
        </w:rPr>
        <w:t>，不做其他评估目的之用。如果估价对象的评估条件或目的发生变化，需重新进行评估。</w:t>
      </w:r>
    </w:p>
    <w:p>
      <w:pPr>
        <w:pStyle w:val="Normal"/>
        <w:spacing w:lineRule="auto" w:line="480"/>
        <w:ind w:firstLine="420"/>
        <w:jc w:val="both"/>
        <w:rPr>
          <w:rFonts w:ascii="Arial" w:hAnsi="Arial" w:cs="Arial"/>
          <w:kern w:val="2"/>
          <w:sz w:val="21"/>
          <w:szCs w:val="21"/>
        </w:rPr>
      </w:pPr>
      <w:r>
        <w:rPr>
          <w:rFonts w:cs="Arial" w:ascii="Arial" w:hAnsi="Arial"/>
          <w:sz w:val="21"/>
          <w:szCs w:val="21"/>
        </w:rPr>
        <w:t>6.</w:t>
      </w:r>
      <w:r>
        <w:rPr>
          <w:rFonts w:ascii="Arial" w:hAnsi="Arial" w:cs="Arial"/>
          <w:kern w:val="2"/>
          <w:sz w:val="21"/>
          <w:szCs w:val="21"/>
        </w:rPr>
        <w:t>估价委托人应对其提供的权属证明以及其他资料的真实性、完整性和合法性负责。如因资料失实或资料提供人有所隐匿而导致估价结果失真，估价机构不承担相应的责任。</w:t>
      </w:r>
    </w:p>
    <w:p>
      <w:pPr>
        <w:pStyle w:val="Normal"/>
        <w:spacing w:lineRule="auto" w:line="480"/>
        <w:ind w:firstLine="420"/>
        <w:jc w:val="both"/>
        <w:rPr>
          <w:rFonts w:ascii="Arial" w:hAnsi="Arial" w:cs="Arial"/>
          <w:kern w:val="2"/>
          <w:sz w:val="21"/>
          <w:szCs w:val="21"/>
        </w:rPr>
      </w:pPr>
      <w:r>
        <w:rPr>
          <w:rFonts w:cs="Arial" w:ascii="Arial" w:hAnsi="Arial"/>
          <w:kern w:val="2"/>
          <w:sz w:val="21"/>
          <w:szCs w:val="21"/>
        </w:rPr>
        <w:t>7.</w:t>
      </w:r>
      <w:r>
        <w:rPr>
          <w:rFonts w:ascii="Arial" w:hAnsi="Arial" w:cs="Arial"/>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pPr>
        <w:pStyle w:val="Normal"/>
        <w:spacing w:lineRule="auto" w:line="480"/>
        <w:ind w:firstLine="420"/>
        <w:jc w:val="both"/>
        <w:rPr>
          <w:rFonts w:ascii="Arial" w:hAnsi="Arial" w:cs="Arial"/>
          <w:sz w:val="21"/>
          <w:szCs w:val="21"/>
        </w:rPr>
      </w:pPr>
      <w:r>
        <w:rPr>
          <w:rFonts w:cs="Arial" w:ascii="Arial" w:hAnsi="Arial"/>
          <w:sz w:val="21"/>
          <w:szCs w:val="21"/>
        </w:rPr>
        <w:t>8.</w:t>
      </w:r>
      <w:r>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pPr>
        <w:pStyle w:val="Normal"/>
        <w:spacing w:lineRule="auto" w:line="480"/>
        <w:ind w:firstLine="420"/>
        <w:jc w:val="both"/>
        <w:rPr>
          <w:rFonts w:ascii="Arial" w:hAnsi="Arial" w:cs="Arial"/>
          <w:sz w:val="21"/>
          <w:szCs w:val="21"/>
        </w:rPr>
      </w:pPr>
      <w:r>
        <w:rPr>
          <w:rFonts w:cs="Arial" w:ascii="Arial" w:hAnsi="Arial"/>
          <w:sz w:val="21"/>
          <w:szCs w:val="21"/>
        </w:rPr>
        <w:t>9.</w:t>
      </w:r>
      <w:r>
        <w:rPr>
          <w:rFonts w:ascii="Arial" w:hAnsi="Arial" w:cs="Arial"/>
          <w:sz w:val="21"/>
          <w:szCs w:val="21"/>
        </w:rPr>
        <w:t>本估价报告在估价机构盖章和注册房地产估价师签字盖章的条件下有效。</w:t>
      </w:r>
    </w:p>
    <w:p>
      <w:pPr>
        <w:pStyle w:val="Normal"/>
        <w:spacing w:lineRule="auto" w:line="480"/>
        <w:ind w:firstLine="420"/>
        <w:jc w:val="both"/>
        <w:rPr>
          <w:rFonts w:ascii="Arial" w:hAnsi="Arial" w:cs="Arial"/>
          <w:sz w:val="21"/>
          <w:szCs w:val="21"/>
        </w:rPr>
      </w:pPr>
      <w:r>
        <w:rPr>
          <w:rFonts w:cs="Arial" w:ascii="Arial" w:hAnsi="Arial"/>
          <w:kern w:val="2"/>
          <w:sz w:val="21"/>
          <w:szCs w:val="21"/>
        </w:rPr>
        <w:t>10.</w:t>
      </w:r>
      <w:r>
        <w:rPr>
          <w:rFonts w:ascii="Arial" w:hAnsi="Arial" w:cs="Arial"/>
          <w:sz w:val="21"/>
          <w:szCs w:val="21"/>
        </w:rPr>
        <w:t>价值时点后，估价报告有效期内估价对象的质量及价格标准发生变化，并对估价对象租赁价值产生明显影响时，不能直接使用本次估价结论。</w:t>
      </w:r>
    </w:p>
    <w:p>
      <w:pPr>
        <w:pStyle w:val="Normal"/>
        <w:spacing w:lineRule="auto" w:line="480"/>
        <w:ind w:firstLine="420"/>
        <w:jc w:val="both"/>
        <w:rPr>
          <w:rFonts w:ascii="Arial" w:hAnsi="Arial" w:cs="Arial"/>
          <w:sz w:val="21"/>
          <w:szCs w:val="21"/>
        </w:rPr>
      </w:pPr>
      <w:r>
        <w:rPr>
          <w:rFonts w:cs="Arial" w:ascii="Arial" w:hAnsi="Arial"/>
          <w:sz w:val="21"/>
          <w:szCs w:val="21"/>
        </w:rPr>
        <w:t>11.</w:t>
      </w:r>
      <w:r>
        <w:rPr>
          <w:rFonts w:ascii="Arial" w:hAnsi="Arial" w:cs="Arial"/>
          <w:sz w:val="21"/>
          <w:szCs w:val="21"/>
        </w:rPr>
        <w:t>本次估价未考虑特殊交易方式对估价结果的影响。</w:t>
      </w:r>
    </w:p>
    <w:p>
      <w:pPr>
        <w:pStyle w:val="Normal"/>
        <w:spacing w:lineRule="auto" w:line="480"/>
        <w:ind w:firstLine="420"/>
        <w:jc w:val="both"/>
        <w:rPr>
          <w:rFonts w:ascii="Arial" w:hAnsi="Arial" w:cs="Arial"/>
          <w:sz w:val="21"/>
          <w:szCs w:val="21"/>
        </w:rPr>
      </w:pPr>
      <w:r>
        <w:rPr>
          <w:rFonts w:cs="Arial" w:ascii="Arial" w:hAnsi="Arial"/>
          <w:sz w:val="21"/>
          <w:szCs w:val="21"/>
        </w:rPr>
        <w:t>12.</w:t>
      </w:r>
      <w:r>
        <w:rPr>
          <w:rFonts w:ascii="Arial" w:hAnsi="Arial" w:cs="Arial"/>
          <w:sz w:val="21"/>
          <w:szCs w:val="21"/>
        </w:rPr>
        <w:t>根据估价委托人提供的资料，估价对象不存在抵押、担保等他项权利登记，本次估价不考虑抵押等他项权利及现利用状况对估价对象租金价格产生的影响。</w:t>
      </w:r>
    </w:p>
    <w:p>
      <w:pPr>
        <w:sectPr>
          <w:headerReference w:type="default" r:id="rId10"/>
          <w:footerReference w:type="default" r:id="rId11"/>
          <w:type w:val="nextPage"/>
          <w:pgSz w:w="11906" w:h="16838"/>
          <w:pgMar w:left="1304" w:right="1304" w:header="1134" w:top="1843" w:footer="907" w:bottom="1134" w:gutter="0"/>
          <w:pgNumType w:fmt="decimal"/>
          <w:formProt w:val="false"/>
          <w:textDirection w:val="lrTb"/>
          <w:docGrid w:type="default" w:linePitch="326" w:charSpace="0"/>
        </w:sectPr>
        <w:pStyle w:val="Normal"/>
        <w:spacing w:lineRule="auto" w:line="480"/>
        <w:ind w:firstLine="420"/>
        <w:jc w:val="both"/>
        <w:rPr>
          <w:rFonts w:ascii="Arial" w:hAnsi="Arial" w:cs="Arial"/>
          <w:sz w:val="21"/>
          <w:szCs w:val="21"/>
        </w:rPr>
      </w:pPr>
      <w:r>
        <w:rPr>
          <w:rFonts w:cs="Arial" w:ascii="Arial" w:hAnsi="Arial"/>
          <w:kern w:val="2"/>
          <w:sz w:val="21"/>
          <w:szCs w:val="21"/>
        </w:rPr>
        <w:t>13.</w:t>
      </w:r>
      <w:r>
        <w:rPr>
          <w:rFonts w:ascii="Arial" w:hAnsi="Arial" w:cs="Arial"/>
          <w:kern w:val="2"/>
          <w:sz w:val="21"/>
          <w:szCs w:val="21"/>
        </w:rPr>
        <w:t>本估价报告自报告出具日起计算，自</w:t>
      </w: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8</w:t>
      </w:r>
      <w:r>
        <w:rPr>
          <w:rFonts w:ascii="Arial" w:hAnsi="Arial" w:cs="Arial"/>
          <w:kern w:val="2"/>
          <w:sz w:val="21"/>
          <w:szCs w:val="21"/>
        </w:rPr>
        <w:t>日至</w:t>
      </w:r>
      <w:r>
        <w:rPr>
          <w:rFonts w:cs="Arial" w:ascii="Arial" w:hAnsi="Arial"/>
          <w:kern w:val="2"/>
          <w:sz w:val="21"/>
          <w:szCs w:val="21"/>
        </w:rPr>
        <w:t>2024</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7</w:t>
      </w:r>
      <w:r>
        <w:rPr>
          <w:rFonts w:ascii="Arial" w:hAnsi="Arial" w:cs="Arial"/>
          <w:kern w:val="2"/>
          <w:sz w:val="21"/>
          <w:szCs w:val="21"/>
        </w:rPr>
        <w:t>日有效</w:t>
      </w:r>
      <w:bookmarkStart w:id="9" w:name="_Toc168225811"/>
      <w:bookmarkEnd w:id="9"/>
      <w:r>
        <w:rPr>
          <w:rFonts w:ascii="Arial" w:hAnsi="Arial" w:cs="Arial"/>
          <w:kern w:val="2"/>
          <w:sz w:val="21"/>
          <w:szCs w:val="21"/>
        </w:rPr>
        <w:t>。</w:t>
      </w:r>
    </w:p>
    <w:p>
      <w:pPr>
        <w:pStyle w:val="1"/>
        <w:spacing w:lineRule="auto" w:line="360"/>
        <w:jc w:val="center"/>
        <w:rPr>
          <w:rFonts w:eastAsia="方正黑体简体"/>
          <w:b w:val="false"/>
          <w:b w:val="false"/>
          <w:kern w:val="2"/>
          <w:sz w:val="32"/>
          <w:szCs w:val="32"/>
        </w:rPr>
      </w:pPr>
      <w:bookmarkStart w:id="10" w:name="_Toc525655417"/>
      <w:bookmarkStart w:id="11" w:name="_Toc168225812"/>
      <w:r>
        <w:rPr>
          <w:rFonts w:eastAsia="方正黑体简体"/>
          <w:b w:val="false"/>
          <w:kern w:val="2"/>
          <w:sz w:val="32"/>
          <w:szCs w:val="32"/>
        </w:rPr>
        <w:t>估价结果报告</w:t>
      </w:r>
      <w:bookmarkEnd w:id="10"/>
      <w:bookmarkEnd w:id="11"/>
    </w:p>
    <w:p>
      <w:pPr>
        <w:pStyle w:val="2"/>
        <w:numPr>
          <w:ilvl w:val="0"/>
          <w:numId w:val="0"/>
        </w:numPr>
        <w:overflowPunct w:val="false"/>
        <w:spacing w:lineRule="auto" w:line="480"/>
        <w:ind w:left="358" w:hanging="358"/>
        <w:jc w:val="both"/>
        <w:textAlignment w:val="auto"/>
        <w:rPr>
          <w:rFonts w:eastAsia="宋体"/>
          <w:b w:val="false"/>
          <w:b w:val="false"/>
          <w:kern w:val="2"/>
          <w:sz w:val="21"/>
          <w:szCs w:val="21"/>
        </w:rPr>
      </w:pPr>
      <w:bookmarkStart w:id="12" w:name="_Toc525655418"/>
      <w:bookmarkStart w:id="13" w:name="_Toc216083223"/>
      <w:r>
        <w:rPr>
          <w:rFonts w:eastAsia="宋体"/>
          <w:kern w:val="2"/>
          <w:sz w:val="21"/>
          <w:szCs w:val="21"/>
        </w:rPr>
        <w:t>一</w:t>
      </w:r>
      <w:bookmarkEnd w:id="13"/>
      <w:r>
        <w:rPr>
          <w:rFonts w:eastAsia="宋体"/>
          <w:kern w:val="2"/>
          <w:sz w:val="21"/>
          <w:szCs w:val="21"/>
        </w:rPr>
        <w:t>、估价委托人</w:t>
      </w:r>
      <w:bookmarkEnd w:id="12"/>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单位名称：北京市燕房保障性住房建设投资有限公司</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14" w:name="_Toc168225814"/>
      <w:bookmarkStart w:id="15" w:name="_Toc525655419"/>
      <w:r>
        <w:rPr>
          <w:rFonts w:eastAsia="宋体"/>
          <w:kern w:val="2"/>
          <w:sz w:val="21"/>
          <w:szCs w:val="21"/>
        </w:rPr>
        <w:t>二、房地产估价机构</w:t>
      </w:r>
      <w:bookmarkEnd w:id="14"/>
      <w:bookmarkEnd w:id="15"/>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受托机构：北京康正宏基房地产评估有限公司</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资质级别：壹级</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资格证书号：建房估备字</w:t>
      </w:r>
      <w:r>
        <w:rPr>
          <w:rFonts w:cs="Arial" w:ascii="Arial" w:hAnsi="Arial"/>
          <w:sz w:val="21"/>
          <w:szCs w:val="21"/>
        </w:rPr>
        <w:t>[2013]081</w:t>
      </w:r>
      <w:r>
        <w:rPr>
          <w:rFonts w:ascii="Arial" w:hAnsi="Arial" w:cs="Arial"/>
          <w:sz w:val="21"/>
          <w:szCs w:val="21"/>
        </w:rPr>
        <w:t>号</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有效期限：</w:t>
      </w:r>
      <w:r>
        <w:rPr>
          <w:rFonts w:cs="Arial" w:ascii="Arial" w:hAnsi="Arial"/>
          <w:sz w:val="21"/>
          <w:szCs w:val="21"/>
        </w:rPr>
        <w:t>2022</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30</w:t>
      </w:r>
      <w:r>
        <w:rPr>
          <w:rFonts w:ascii="Arial" w:hAnsi="Arial" w:cs="Arial"/>
          <w:sz w:val="21"/>
          <w:szCs w:val="21"/>
        </w:rPr>
        <w:t>日至</w:t>
      </w:r>
      <w:r>
        <w:rPr>
          <w:rFonts w:cs="Arial" w:ascii="Arial" w:hAnsi="Arial"/>
          <w:sz w:val="21"/>
          <w:szCs w:val="21"/>
        </w:rPr>
        <w:t>2025</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29</w:t>
      </w:r>
      <w:r>
        <w:rPr>
          <w:rFonts w:ascii="Arial" w:hAnsi="Arial" w:cs="Arial"/>
          <w:sz w:val="21"/>
          <w:szCs w:val="21"/>
        </w:rPr>
        <w:t>日</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注册地址：北京市丰台区芳城园一区</w:t>
      </w:r>
      <w:r>
        <w:rPr>
          <w:rFonts w:cs="Arial" w:ascii="Arial" w:hAnsi="Arial"/>
          <w:sz w:val="21"/>
          <w:szCs w:val="21"/>
        </w:rPr>
        <w:t>16</w:t>
      </w:r>
      <w:r>
        <w:rPr>
          <w:rFonts w:ascii="Arial" w:hAnsi="Arial" w:cs="Arial"/>
          <w:sz w:val="21"/>
          <w:szCs w:val="21"/>
        </w:rPr>
        <w:t>号楼</w:t>
      </w:r>
      <w:r>
        <w:rPr>
          <w:rFonts w:cs="Arial" w:ascii="Arial" w:hAnsi="Arial"/>
          <w:sz w:val="21"/>
          <w:szCs w:val="21"/>
        </w:rPr>
        <w:t>2</w:t>
      </w:r>
      <w:r>
        <w:rPr>
          <w:rFonts w:ascii="Arial" w:hAnsi="Arial" w:cs="Arial"/>
          <w:sz w:val="21"/>
          <w:szCs w:val="21"/>
        </w:rPr>
        <w:t>层</w:t>
      </w:r>
      <w:r>
        <w:rPr>
          <w:rFonts w:cs="Arial" w:ascii="Arial" w:hAnsi="Arial"/>
          <w:sz w:val="21"/>
          <w:szCs w:val="21"/>
        </w:rPr>
        <w:t>2</w:t>
      </w:r>
      <w:r>
        <w:rPr>
          <w:rFonts w:ascii="Arial" w:hAnsi="Arial" w:cs="Arial"/>
          <w:sz w:val="21"/>
          <w:szCs w:val="21"/>
        </w:rPr>
        <w:t>门配套公建</w:t>
      </w:r>
      <w:r>
        <w:rPr>
          <w:rFonts w:cs="Arial" w:ascii="Arial" w:hAnsi="Arial"/>
          <w:sz w:val="21"/>
          <w:szCs w:val="21"/>
        </w:rPr>
        <w:t>01</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法定代表人：齐宏</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联 系 人：李诗霖</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联系电话：</w:t>
      </w:r>
      <w:r>
        <w:rPr>
          <w:rFonts w:cs="Arial" w:ascii="Arial" w:hAnsi="Arial"/>
          <w:sz w:val="21"/>
          <w:szCs w:val="21"/>
        </w:rPr>
        <w:t>010-82253558</w:t>
      </w:r>
    </w:p>
    <w:p>
      <w:pPr>
        <w:pStyle w:val="Normal"/>
        <w:overflowPunct w:val="false"/>
        <w:spacing w:lineRule="auto" w:line="480"/>
        <w:ind w:firstLine="420"/>
        <w:jc w:val="both"/>
        <w:rPr>
          <w:rFonts w:ascii="Arial" w:hAnsi="Arial" w:cs="Arial"/>
          <w:kern w:val="2"/>
          <w:sz w:val="21"/>
          <w:szCs w:val="21"/>
        </w:rPr>
      </w:pPr>
      <w:r>
        <w:rPr>
          <w:rFonts w:cs="Arial" w:ascii="Arial" w:hAnsi="Arial"/>
          <w:kern w:val="2"/>
          <w:sz w:val="21"/>
          <w:szCs w:val="21"/>
        </w:rPr>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16" w:name="_Toc168225815"/>
      <w:bookmarkStart w:id="17" w:name="_Toc525655420"/>
      <w:r>
        <w:rPr>
          <w:rFonts w:eastAsia="宋体"/>
          <w:kern w:val="2"/>
          <w:sz w:val="21"/>
          <w:szCs w:val="21"/>
        </w:rPr>
        <w:t>三、估价目的</w:t>
      </w:r>
      <w:bookmarkEnd w:id="16"/>
      <w:bookmarkEnd w:id="17"/>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为规范本市共有产权住房项目区域市场租金，维护共有产权住房项目相关各方的合法权益，依据《北京市共有产权住房管理暂行办法》（京建法〔</w:t>
      </w:r>
      <w:r>
        <w:rPr>
          <w:rFonts w:cs="Arial" w:ascii="Arial" w:hAnsi="Arial"/>
          <w:kern w:val="2"/>
          <w:sz w:val="21"/>
          <w:szCs w:val="21"/>
        </w:rPr>
        <w:t>2017</w:t>
      </w:r>
      <w:r>
        <w:rPr>
          <w:rFonts w:ascii="Arial" w:hAnsi="Arial" w:cs="Arial"/>
          <w:kern w:val="2"/>
          <w:sz w:val="21"/>
          <w:szCs w:val="21"/>
        </w:rPr>
        <w:t>〕</w:t>
      </w:r>
      <w:r>
        <w:rPr>
          <w:rFonts w:cs="Arial" w:ascii="Arial" w:hAnsi="Arial"/>
          <w:kern w:val="2"/>
          <w:sz w:val="21"/>
          <w:szCs w:val="21"/>
        </w:rPr>
        <w:t>16</w:t>
      </w:r>
      <w:r>
        <w:rPr>
          <w:rFonts w:ascii="Arial" w:hAnsi="Arial" w:cs="Arial"/>
          <w:kern w:val="2"/>
          <w:sz w:val="21"/>
          <w:szCs w:val="21"/>
        </w:rPr>
        <w:t>号）、《关于规范共有产权住房出租管理工作的通知（试行）》、《房地产估价规范》（</w:t>
      </w:r>
      <w:r>
        <w:rPr>
          <w:rFonts w:cs="Arial" w:ascii="Arial" w:hAnsi="Arial"/>
          <w:kern w:val="2"/>
          <w:sz w:val="21"/>
          <w:szCs w:val="21"/>
        </w:rPr>
        <w:t>GB/T 50291-2015</w:t>
      </w:r>
      <w:r>
        <w:rPr>
          <w:rFonts w:ascii="Arial" w:hAnsi="Arial" w:cs="Arial"/>
          <w:kern w:val="2"/>
          <w:sz w:val="21"/>
          <w:szCs w:val="21"/>
        </w:rPr>
        <w:t>）、《关于发布《北京市共有产权住房价格评估技术指引》的通知》</w:t>
      </w:r>
      <w:r>
        <w:rPr>
          <w:rFonts w:cs="Arial" w:ascii="Arial" w:hAnsi="Arial"/>
          <w:sz w:val="21"/>
          <w:szCs w:val="21"/>
        </w:rPr>
        <w:t>[</w:t>
      </w:r>
      <w:r>
        <w:rPr>
          <w:rFonts w:ascii="Arial" w:hAnsi="Arial" w:cs="Arial"/>
          <w:sz w:val="21"/>
          <w:szCs w:val="21"/>
        </w:rPr>
        <w:t>北估秘</w:t>
      </w:r>
      <w:r>
        <w:rPr>
          <w:rFonts w:cs="Arial" w:ascii="Arial" w:hAnsi="Arial"/>
          <w:sz w:val="21"/>
          <w:szCs w:val="21"/>
        </w:rPr>
        <w:t>[2023]002</w:t>
      </w:r>
      <w:r>
        <w:rPr>
          <w:rFonts w:ascii="Arial" w:hAnsi="Arial" w:cs="Arial"/>
          <w:sz w:val="21"/>
          <w:szCs w:val="21"/>
        </w:rPr>
        <w:t>号</w:t>
      </w:r>
      <w:r>
        <w:rPr>
          <w:rFonts w:cs="Arial" w:ascii="Arial" w:hAnsi="Arial"/>
          <w:sz w:val="21"/>
          <w:szCs w:val="21"/>
        </w:rPr>
        <w:t>]</w:t>
      </w:r>
      <w:r>
        <w:rPr>
          <w:rFonts w:ascii="Arial" w:hAnsi="Arial" w:cs="Arial"/>
          <w:kern w:val="2"/>
          <w:sz w:val="21"/>
          <w:szCs w:val="21"/>
        </w:rPr>
        <w:t xml:space="preserve">、参照《关于发布《北京市公共租赁住房项目市场租金评估技术指引》的通知》 </w:t>
      </w:r>
      <w:r>
        <w:rPr>
          <w:rFonts w:cs="Arial" w:ascii="Arial" w:hAnsi="Arial"/>
          <w:kern w:val="2"/>
          <w:sz w:val="21"/>
          <w:szCs w:val="21"/>
        </w:rPr>
        <w:t>[</w:t>
      </w:r>
      <w:r>
        <w:rPr>
          <w:rFonts w:ascii="Arial" w:hAnsi="Arial" w:cs="Arial"/>
          <w:kern w:val="2"/>
          <w:sz w:val="21"/>
          <w:szCs w:val="21"/>
        </w:rPr>
        <w:t>北估秘</w:t>
      </w:r>
      <w:r>
        <w:rPr>
          <w:rFonts w:cs="Arial" w:ascii="Arial" w:hAnsi="Arial"/>
          <w:kern w:val="2"/>
          <w:sz w:val="21"/>
          <w:szCs w:val="21"/>
        </w:rPr>
        <w:t>[2019]020</w:t>
      </w:r>
      <w:r>
        <w:rPr>
          <w:rFonts w:ascii="Arial" w:hAnsi="Arial" w:cs="Arial"/>
          <w:kern w:val="2"/>
          <w:sz w:val="21"/>
          <w:szCs w:val="21"/>
        </w:rPr>
        <w:t>号</w:t>
      </w:r>
      <w:r>
        <w:rPr>
          <w:rFonts w:cs="Arial" w:ascii="Arial" w:hAnsi="Arial"/>
          <w:kern w:val="2"/>
          <w:sz w:val="21"/>
          <w:szCs w:val="21"/>
        </w:rPr>
        <w:t>]</w:t>
      </w:r>
      <w:r>
        <w:rPr>
          <w:rFonts w:ascii="Arial" w:hAnsi="Arial" w:cs="Arial"/>
          <w:kern w:val="2"/>
          <w:sz w:val="21"/>
          <w:szCs w:val="21"/>
        </w:rPr>
        <w:t>，为估价委托人确定共有产权住房项目市场租金提供价格参考依据。</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18" w:name="_Toc525655421"/>
      <w:bookmarkStart w:id="19" w:name="_Toc168225816"/>
      <w:r>
        <w:rPr>
          <w:rFonts w:eastAsia="宋体"/>
          <w:kern w:val="2"/>
          <w:sz w:val="21"/>
          <w:szCs w:val="21"/>
        </w:rPr>
        <w:t>四、估价对象</w:t>
      </w:r>
      <w:bookmarkEnd w:id="18"/>
      <w:bookmarkEnd w:id="19"/>
    </w:p>
    <w:p>
      <w:pPr>
        <w:pStyle w:val="Normal"/>
        <w:overflowPunct w:val="false"/>
        <w:spacing w:lineRule="auto" w:line="480"/>
        <w:jc w:val="both"/>
        <w:rPr>
          <w:rFonts w:ascii="Arial" w:hAnsi="Arial" w:cs="Arial"/>
          <w:b/>
          <w:b/>
          <w:kern w:val="2"/>
          <w:sz w:val="21"/>
          <w:szCs w:val="21"/>
        </w:rPr>
      </w:pPr>
      <w:r>
        <w:rPr>
          <w:rFonts w:ascii="Arial" w:hAnsi="Arial" w:cs="Arial"/>
          <w:b/>
          <w:kern w:val="2"/>
          <w:sz w:val="21"/>
          <w:szCs w:val="21"/>
        </w:rPr>
        <w:t>（一）估价对象范围</w:t>
      </w:r>
    </w:p>
    <w:p>
      <w:pPr>
        <w:pStyle w:val="Normal"/>
        <w:tabs>
          <w:tab w:val="clear" w:pos="425"/>
          <w:tab w:val="left" w:pos="3544" w:leader="none"/>
        </w:tabs>
        <w:overflowPunct w:val="false"/>
        <w:spacing w:lineRule="auto" w:line="480"/>
        <w:ind w:firstLine="420"/>
        <w:jc w:val="both"/>
        <w:rPr>
          <w:rStyle w:val="Annotationreference"/>
          <w:rFonts w:ascii="Arial" w:hAnsi="Arial" w:cs="Arial"/>
        </w:rPr>
      </w:pPr>
      <w:r>
        <w:rPr>
          <w:rFonts w:ascii="Arial" w:hAnsi="Arial" w:cs="Arial"/>
          <w:kern w:val="2"/>
          <w:sz w:val="21"/>
          <w:szCs w:val="21"/>
        </w:rPr>
        <w:t>估价对象所属项目位于北京市房山区文雅街</w:t>
      </w:r>
      <w:r>
        <w:rPr>
          <w:rFonts w:cs="Arial" w:ascii="Arial" w:hAnsi="Arial"/>
          <w:kern w:val="2"/>
          <w:sz w:val="21"/>
          <w:szCs w:val="21"/>
        </w:rPr>
        <w:t>1</w:t>
      </w:r>
      <w:r>
        <w:rPr>
          <w:rFonts w:ascii="Arial" w:hAnsi="Arial" w:cs="Arial"/>
          <w:kern w:val="2"/>
          <w:sz w:val="21"/>
          <w:szCs w:val="21"/>
        </w:rPr>
        <w:t>号院（轩景家园共有产权住房），该项目有</w:t>
      </w:r>
      <w:r>
        <w:rPr>
          <w:rFonts w:cs="Arial" w:ascii="Arial" w:hAnsi="Arial"/>
          <w:kern w:val="2"/>
          <w:sz w:val="21"/>
          <w:szCs w:val="21"/>
        </w:rPr>
        <w:t>1#</w:t>
      </w:r>
      <w:r>
        <w:rPr>
          <w:rFonts w:ascii="Arial" w:hAnsi="Arial" w:cs="Arial"/>
          <w:kern w:val="2"/>
          <w:sz w:val="21"/>
          <w:szCs w:val="21"/>
        </w:rPr>
        <w:t>至</w:t>
      </w:r>
      <w:r>
        <w:rPr>
          <w:rFonts w:cs="Arial" w:ascii="Arial" w:hAnsi="Arial"/>
          <w:kern w:val="2"/>
          <w:sz w:val="21"/>
          <w:szCs w:val="21"/>
        </w:rPr>
        <w:t>16#</w:t>
      </w:r>
      <w:r>
        <w:rPr>
          <w:rFonts w:ascii="Arial" w:hAnsi="Arial" w:cs="Arial"/>
          <w:kern w:val="2"/>
          <w:sz w:val="21"/>
          <w:szCs w:val="21"/>
        </w:rPr>
        <w:t>共</w:t>
      </w:r>
      <w:r>
        <w:rPr>
          <w:rFonts w:cs="Arial" w:ascii="Arial" w:hAnsi="Arial"/>
          <w:kern w:val="2"/>
          <w:sz w:val="21"/>
          <w:szCs w:val="21"/>
        </w:rPr>
        <w:t>16</w:t>
      </w:r>
      <w:r>
        <w:rPr>
          <w:rFonts w:ascii="Arial" w:hAnsi="Arial" w:cs="Arial"/>
          <w:kern w:val="2"/>
          <w:sz w:val="21"/>
          <w:szCs w:val="21"/>
        </w:rPr>
        <w:t>栋共有产权住房，建成于</w:t>
      </w:r>
      <w:r>
        <w:rPr>
          <w:rFonts w:cs="Arial" w:ascii="Arial" w:hAnsi="Arial"/>
          <w:kern w:val="2"/>
          <w:sz w:val="21"/>
          <w:szCs w:val="21"/>
        </w:rPr>
        <w:t>2023</w:t>
      </w:r>
      <w:r>
        <w:rPr>
          <w:rFonts w:ascii="Arial" w:hAnsi="Arial" w:cs="Arial"/>
          <w:kern w:val="2"/>
          <w:sz w:val="21"/>
          <w:szCs w:val="21"/>
        </w:rPr>
        <w:t>年。根据估价委托人提供的《轩景家园共有产权房房源表》</w:t>
      </w:r>
      <w:r>
        <w:rPr>
          <w:rFonts w:ascii="Arial" w:hAnsi="Arial" w:cs="Arial"/>
          <w:sz w:val="21"/>
          <w:szCs w:val="21"/>
        </w:rPr>
        <w:t>复印件</w:t>
      </w:r>
      <w:r>
        <w:rPr>
          <w:rFonts w:ascii="Arial" w:hAnsi="Arial" w:cs="Arial"/>
          <w:kern w:val="2"/>
          <w:sz w:val="21"/>
          <w:szCs w:val="21"/>
        </w:rPr>
        <w:t>，估价对象建筑面积共计</w:t>
      </w:r>
      <w:r>
        <w:rPr>
          <w:rFonts w:cs="Arial" w:ascii="Arial" w:hAnsi="Arial"/>
          <w:kern w:val="2"/>
          <w:sz w:val="21"/>
          <w:szCs w:val="21"/>
        </w:rPr>
        <w:t>68237.69</w:t>
      </w:r>
      <w:r>
        <w:rPr>
          <w:rFonts w:ascii="Arial" w:hAnsi="Arial" w:cs="Arial"/>
          <w:kern w:val="2"/>
          <w:sz w:val="21"/>
          <w:szCs w:val="21"/>
        </w:rPr>
        <w:t>平方米，可对外配租房屋共计</w:t>
      </w:r>
      <w:r>
        <w:rPr>
          <w:rFonts w:cs="Arial" w:ascii="Arial" w:hAnsi="Arial"/>
          <w:kern w:val="2"/>
          <w:sz w:val="21"/>
          <w:szCs w:val="21"/>
        </w:rPr>
        <w:t>770</w:t>
      </w:r>
      <w:r>
        <w:rPr>
          <w:rFonts w:ascii="Arial" w:hAnsi="Arial" w:cs="Arial"/>
          <w:kern w:val="2"/>
          <w:sz w:val="21"/>
          <w:szCs w:val="21"/>
        </w:rPr>
        <w:t>套。房源具体户型等情况详见下表：</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976"/>
        <w:gridCol w:w="1248"/>
        <w:gridCol w:w="977"/>
        <w:gridCol w:w="1696"/>
        <w:gridCol w:w="974"/>
        <w:gridCol w:w="1157"/>
        <w:gridCol w:w="1261"/>
        <w:gridCol w:w="1008"/>
      </w:tblGrid>
      <w:tr>
        <w:trPr>
          <w:tblHeader w:val="true"/>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户型</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朝向</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套型</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套数</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总建筑面积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1261"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Arial" w:hAnsi="Arial" w:cs="Arial"/>
                <w:b/>
                <w:b/>
                <w:bCs/>
                <w:sz w:val="18"/>
                <w:szCs w:val="18"/>
              </w:rPr>
            </w:pPr>
            <w:r>
              <w:rPr>
                <w:rFonts w:ascii="Arial" w:hAnsi="Arial" w:cs="Arial"/>
                <w:b/>
                <w:bCs/>
                <w:sz w:val="18"/>
                <w:szCs w:val="18"/>
              </w:rPr>
              <w:t>所属楼宇</w:t>
            </w:r>
          </w:p>
          <w:p>
            <w:pPr>
              <w:pStyle w:val="Normal"/>
              <w:jc w:val="center"/>
              <w:rPr>
                <w:rFonts w:ascii="Arial" w:hAnsi="Arial" w:cs="Arial"/>
                <w:b/>
                <w:b/>
                <w:bCs/>
                <w:sz w:val="18"/>
                <w:szCs w:val="18"/>
              </w:rPr>
            </w:pPr>
            <w:r>
              <w:rPr>
                <w:rFonts w:ascii="Arial" w:hAnsi="Arial" w:cs="Arial"/>
                <w:b/>
                <w:bCs/>
                <w:sz w:val="18"/>
                <w:szCs w:val="18"/>
              </w:rPr>
              <w:t>（现状）</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比例</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4282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5.19%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107.65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2153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6435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87.72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4210.56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6.23%</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87.89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175.78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88.04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4754.16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7.01%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3706.08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1412.64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88.38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176.76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1856.61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2.73%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3627.68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1770</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3717.42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2832.96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88.61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1594.98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2.34%</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88.81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1243.34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1690.81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1691.95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3473.34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5.06%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3028.72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r>
              <w:rPr>
                <w:rFonts w:ascii="Arial" w:hAnsi="Arial" w:cs="Arial"/>
                <w:sz w:val="18"/>
                <w:szCs w:val="18"/>
              </w:rPr>
              <w:t>、</w:t>
            </w: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4.42%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1425.6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1701.26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7164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10.39%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603</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53468.28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64.21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256.84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0.52%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64.57</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129.14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451.41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0.91%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C1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两室两厅一卫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13#</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合计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68237.69</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r>
    </w:tbl>
    <w:p>
      <w:pPr>
        <w:pStyle w:val="Normal"/>
        <w:overflowPunct w:val="false"/>
        <w:snapToGrid w:val="false"/>
        <w:ind w:firstLine="360"/>
        <w:jc w:val="both"/>
        <w:rPr>
          <w:rFonts w:ascii="Arial" w:hAnsi="Arial" w:cs="Arial"/>
          <w:kern w:val="2"/>
          <w:sz w:val="18"/>
          <w:szCs w:val="18"/>
        </w:rPr>
      </w:pPr>
      <w:r>
        <w:rPr>
          <w:rFonts w:cs="Arial" w:ascii="Arial" w:hAnsi="Arial"/>
          <w:kern w:val="2"/>
          <w:sz w:val="18"/>
          <w:szCs w:val="18"/>
        </w:rPr>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于价值时点，估价对象已竣工备案，室内装修情况为全装修。</w:t>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参照《关于发布《北京市共有产权住房价格评估技术指引》的通知》</w:t>
      </w:r>
      <w:r>
        <w:rPr>
          <w:rFonts w:cs="Arial" w:ascii="Arial" w:hAnsi="Arial"/>
          <w:sz w:val="21"/>
          <w:szCs w:val="21"/>
        </w:rPr>
        <w:t>[</w:t>
      </w:r>
      <w:r>
        <w:rPr>
          <w:rFonts w:ascii="Arial" w:hAnsi="Arial" w:cs="Arial"/>
          <w:sz w:val="21"/>
          <w:szCs w:val="21"/>
        </w:rPr>
        <w:t>北估秘</w:t>
      </w:r>
      <w:r>
        <w:rPr>
          <w:rFonts w:cs="Arial" w:ascii="Arial" w:hAnsi="Arial"/>
          <w:sz w:val="21"/>
          <w:szCs w:val="21"/>
        </w:rPr>
        <w:t>[2023]002</w:t>
      </w:r>
      <w:r>
        <w:rPr>
          <w:rFonts w:ascii="Arial" w:hAnsi="Arial" w:cs="Arial"/>
          <w:sz w:val="21"/>
          <w:szCs w:val="21"/>
        </w:rPr>
        <w:t>号</w:t>
      </w:r>
      <w:r>
        <w:rPr>
          <w:rFonts w:cs="Arial" w:ascii="Arial" w:hAnsi="Arial"/>
          <w:sz w:val="21"/>
          <w:szCs w:val="21"/>
        </w:rPr>
        <w:t>]</w:t>
      </w:r>
      <w:r>
        <w:rPr>
          <w:rFonts w:ascii="Arial" w:hAnsi="Arial" w:cs="Arial"/>
          <w:kern w:val="2"/>
          <w:sz w:val="21"/>
          <w:szCs w:val="21"/>
        </w:rPr>
        <w:t>及《轩景家园共有产权房房源表》</w:t>
      </w:r>
      <w:r>
        <w:rPr>
          <w:rFonts w:ascii="Arial" w:hAnsi="Arial" w:cs="Arial"/>
          <w:sz w:val="21"/>
          <w:szCs w:val="21"/>
        </w:rPr>
        <w:t>复印件</w:t>
      </w:r>
      <w:r>
        <w:rPr>
          <w:rFonts w:ascii="Arial" w:hAnsi="Arial" w:cs="Arial"/>
          <w:kern w:val="2"/>
          <w:sz w:val="21"/>
          <w:szCs w:val="21"/>
        </w:rPr>
        <w:t xml:space="preserve">，本次估价按照众数原则设定具有代表性的标准房屋，具体标准房详见下表： </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4502"/>
        <w:gridCol w:w="4795"/>
      </w:tblGrid>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项目</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标准房</w:t>
            </w:r>
          </w:p>
        </w:tc>
      </w:tr>
      <w:tr>
        <w:trPr>
          <w:trHeight w:val="193"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楼层</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中楼层</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户型</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三室两厅一卫</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面积</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cs="Arial"/>
                <w:sz w:val="18"/>
                <w:szCs w:val="18"/>
              </w:rPr>
            </w:pPr>
            <w:r>
              <w:rPr>
                <w:rFonts w:eastAsia="华文细黑" w:cs="Arial" w:ascii="Arial" w:hAnsi="Arial"/>
                <w:sz w:val="18"/>
                <w:szCs w:val="18"/>
                <w:lang w:bidi="ar"/>
              </w:rPr>
              <w:t>87.72-89.55</w:t>
            </w:r>
            <w:r>
              <w:rPr>
                <w:rStyle w:val="Annotationreference"/>
                <w:rFonts w:ascii="Arial" w:hAnsi="Arial" w:cs="Arial"/>
                <w:sz w:val="18"/>
                <w:szCs w:val="18"/>
              </w:rPr>
              <w:t>（㎡）</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朝向</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南北</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装修</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ascii="Arial" w:hAnsi="Arial" w:cs="Arial" w:eastAsia="华文细黑"/>
                <w:sz w:val="18"/>
                <w:szCs w:val="18"/>
                <w:lang w:bidi="ar"/>
              </w:rPr>
              <w:t>全装修</w:t>
            </w:r>
          </w:p>
        </w:tc>
      </w:tr>
      <w:tr>
        <w:trPr>
          <w:trHeight w:val="20" w:hRule="atLeast"/>
        </w:trPr>
        <w:tc>
          <w:tcPr>
            <w:tcW w:w="450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设备设施</w:t>
            </w:r>
          </w:p>
        </w:tc>
        <w:tc>
          <w:tcPr>
            <w:tcW w:w="479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齐全</w:t>
            </w:r>
          </w:p>
        </w:tc>
      </w:tr>
    </w:tbl>
    <w:p>
      <w:pPr>
        <w:pStyle w:val="Normal"/>
        <w:overflowPunct w:val="false"/>
        <w:spacing w:before="120" w:after="0"/>
        <w:jc w:val="center"/>
        <w:rPr>
          <w:rFonts w:ascii="Arial" w:hAnsi="Arial" w:cs="Arial"/>
          <w:kern w:val="2"/>
          <w:sz w:val="21"/>
          <w:szCs w:val="21"/>
        </w:rPr>
      </w:pPr>
      <w:r>
        <w:rPr>
          <w:rFonts w:cs="Arial" w:ascii="Arial" w:hAnsi="Arial"/>
          <w:kern w:val="2"/>
          <w:sz w:val="21"/>
          <w:szCs w:val="21"/>
        </w:rPr>
      </w:r>
      <w:r>
        <w:br w:type="page"/>
      </w:r>
    </w:p>
    <w:p>
      <w:pPr>
        <w:pStyle w:val="Normal"/>
        <w:overflowPunct w:val="false"/>
        <w:spacing w:before="120" w:after="0"/>
        <w:jc w:val="center"/>
        <w:rPr/>
      </w:pPr>
      <w:r>
        <w:rPr>
          <w:rFonts w:ascii="Arial" w:hAnsi="Arial" w:cs="Arial"/>
          <w:kern w:val="2"/>
          <w:sz w:val="21"/>
          <w:szCs w:val="21"/>
        </w:rPr>
        <w:t>估价对象位置</w:t>
      </w:r>
      <w:commentRangeStart w:id="4"/>
      <w:r>
        <w:rPr>
          <w:rFonts w:ascii="Arial" w:hAnsi="Arial" w:cs="Arial"/>
          <w:kern w:val="2"/>
          <w:sz w:val="21"/>
          <w:szCs w:val="21"/>
        </w:rPr>
        <w:t>示意图</w:t>
      </w:r>
      <w:commentRangeEnd w:id="4"/>
      <w:r>
        <w:commentReference w:id="4"/>
      </w:r>
      <w:r>
        <w:rPr>
          <w:rFonts w:ascii="Arial" w:hAnsi="Arial" w:cs="Arial"/>
          <w:kern w:val="2"/>
          <w:sz w:val="21"/>
          <w:szCs w:val="21"/>
        </w:rPr>
      </w:r>
    </w:p>
    <w:p>
      <w:pPr>
        <w:pStyle w:val="Normal"/>
        <w:overflowPunct w:val="false"/>
        <w:spacing w:before="120" w:after="0"/>
        <w:jc w:val="center"/>
        <w:rPr>
          <w:rFonts w:ascii="Arial" w:hAnsi="Arial" w:cs="Arial"/>
          <w:kern w:val="2"/>
          <w:sz w:val="21"/>
          <w:szCs w:val="21"/>
        </w:rPr>
      </w:pPr>
      <w:r>
        <w:rPr/>
        <w:drawing>
          <wp:inline distT="0" distB="0" distL="0" distR="0">
            <wp:extent cx="5904865" cy="4352290"/>
            <wp:effectExtent l="0" t="0" r="0" b="0"/>
            <wp:docPr id="5" name="图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
                    <pic:cNvPicPr>
                      <a:picLocks noChangeAspect="1" noChangeArrowheads="1"/>
                    </pic:cNvPicPr>
                  </pic:nvPicPr>
                  <pic:blipFill>
                    <a:blip r:embed="rId12"/>
                    <a:stretch>
                      <a:fillRect/>
                    </a:stretch>
                  </pic:blipFill>
                  <pic:spPr bwMode="auto">
                    <a:xfrm>
                      <a:off x="0" y="0"/>
                      <a:ext cx="5904865" cy="4352290"/>
                    </a:xfrm>
                    <a:prstGeom prst="rect">
                      <a:avLst/>
                    </a:prstGeom>
                  </pic:spPr>
                </pic:pic>
              </a:graphicData>
            </a:graphic>
          </wp:inline>
        </w:drawing>
      </w:r>
    </w:p>
    <w:p>
      <w:pPr>
        <w:pStyle w:val="Normal"/>
        <w:overflowPunct w:val="false"/>
        <w:spacing w:lineRule="auto" w:line="480"/>
        <w:jc w:val="center"/>
        <w:rPr>
          <w:rFonts w:ascii="Arial" w:hAnsi="Arial" w:cs="Arial"/>
          <w:bCs/>
          <w:sz w:val="21"/>
          <w:szCs w:val="21"/>
        </w:rPr>
      </w:pPr>
      <w:r>
        <w:rPr>
          <w:rFonts w:cs="Arial" w:ascii="Arial" w:hAnsi="Arial"/>
          <w:bCs/>
          <w:sz w:val="21"/>
          <w:szCs w:val="21"/>
        </w:rPr>
      </w:r>
    </w:p>
    <w:p>
      <w:pPr>
        <w:pStyle w:val="Normal"/>
        <w:overflowPunct w:val="false"/>
        <w:spacing w:lineRule="auto" w:line="480"/>
        <w:jc w:val="both"/>
        <w:rPr>
          <w:rFonts w:ascii="Arial" w:hAnsi="Arial" w:cs="Arial"/>
          <w:b/>
          <w:b/>
          <w:kern w:val="2"/>
          <w:sz w:val="21"/>
          <w:szCs w:val="21"/>
        </w:rPr>
      </w:pPr>
      <w:r>
        <w:rPr>
          <w:rFonts w:ascii="Arial" w:hAnsi="Arial" w:cs="Arial"/>
          <w:b/>
          <w:kern w:val="2"/>
          <w:sz w:val="21"/>
          <w:szCs w:val="21"/>
        </w:rPr>
        <w:t>（二）土地基本状况</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kern w:val="2"/>
          <w:sz w:val="21"/>
          <w:szCs w:val="21"/>
        </w:rPr>
        <w:t>根据估价委托人提供的</w:t>
      </w:r>
      <w:r>
        <w:rPr>
          <w:rFonts w:ascii="Arial" w:hAnsi="Arial" w:cs="Arial"/>
          <w:sz w:val="21"/>
          <w:szCs w:val="21"/>
        </w:rPr>
        <w:t>《关于房山区拱辰街道</w:t>
      </w:r>
      <w:r>
        <w:rPr>
          <w:rFonts w:cs="Arial" w:ascii="Arial" w:hAnsi="Arial"/>
          <w:sz w:val="21"/>
          <w:szCs w:val="21"/>
        </w:rPr>
        <w:t>FS00-LX09-6001</w:t>
      </w:r>
      <w:r>
        <w:rPr>
          <w:rFonts w:ascii="Arial" w:hAnsi="Arial" w:cs="Arial"/>
          <w:sz w:val="21"/>
          <w:szCs w:val="21"/>
        </w:rPr>
        <w:t>地块</w:t>
      </w:r>
      <w:r>
        <w:rPr>
          <w:rFonts w:cs="Arial" w:ascii="Arial" w:hAnsi="Arial"/>
          <w:sz w:val="21"/>
          <w:szCs w:val="21"/>
        </w:rPr>
        <w:t>R2</w:t>
      </w:r>
      <w:r>
        <w:rPr>
          <w:rFonts w:ascii="Arial" w:hAnsi="Arial" w:cs="Arial"/>
          <w:sz w:val="21"/>
          <w:szCs w:val="21"/>
        </w:rPr>
        <w:t>二类居住用地、</w:t>
      </w:r>
      <w:r>
        <w:rPr>
          <w:rFonts w:cs="Arial" w:ascii="Arial" w:hAnsi="Arial"/>
          <w:sz w:val="21"/>
          <w:szCs w:val="21"/>
        </w:rPr>
        <w:t>FS00-LX09-6003</w:t>
      </w:r>
      <w:r>
        <w:rPr>
          <w:rFonts w:ascii="Arial" w:hAnsi="Arial" w:cs="Arial"/>
          <w:sz w:val="21"/>
          <w:szCs w:val="21"/>
        </w:rPr>
        <w:t>地块</w:t>
      </w:r>
      <w:r>
        <w:rPr>
          <w:rFonts w:cs="Arial" w:ascii="Arial" w:hAnsi="Arial"/>
          <w:sz w:val="21"/>
          <w:szCs w:val="21"/>
        </w:rPr>
        <w:t>A33</w:t>
      </w:r>
      <w:r>
        <w:rPr>
          <w:rFonts w:ascii="Arial" w:hAnsi="Arial" w:cs="Arial"/>
          <w:sz w:val="21"/>
          <w:szCs w:val="21"/>
        </w:rPr>
        <w:t>基础教育用地项目“多规合一”协同平台综合会商意见的函》</w:t>
      </w:r>
      <w:r>
        <w:rPr>
          <w:rFonts w:cs="Arial" w:ascii="Arial" w:hAnsi="Arial"/>
          <w:sz w:val="21"/>
          <w:szCs w:val="21"/>
        </w:rPr>
        <w:t>[</w:t>
      </w:r>
      <w:r>
        <w:rPr>
          <w:rFonts w:ascii="Arial" w:hAnsi="Arial" w:cs="Arial"/>
          <w:sz w:val="21"/>
          <w:szCs w:val="21"/>
        </w:rPr>
        <w:t>京规自（房）综审函</w:t>
      </w:r>
      <w:r>
        <w:rPr>
          <w:rFonts w:cs="Arial" w:ascii="Arial" w:hAnsi="Arial"/>
          <w:sz w:val="21"/>
          <w:szCs w:val="21"/>
        </w:rPr>
        <w:t>[2020]0027</w:t>
      </w:r>
      <w:r>
        <w:rPr>
          <w:rFonts w:ascii="Arial" w:hAnsi="Arial" w:cs="Arial"/>
          <w:sz w:val="21"/>
          <w:szCs w:val="21"/>
        </w:rPr>
        <w:t>号</w:t>
      </w:r>
      <w:r>
        <w:rPr>
          <w:rFonts w:cs="Arial" w:ascii="Arial" w:hAnsi="Arial"/>
          <w:sz w:val="21"/>
          <w:szCs w:val="21"/>
        </w:rPr>
        <w:t>]</w:t>
      </w:r>
      <w:r>
        <w:rPr>
          <w:rFonts w:ascii="Arial" w:hAnsi="Arial" w:cs="Arial"/>
          <w:sz w:val="21"/>
          <w:szCs w:val="21"/>
        </w:rPr>
        <w:t>复印件及《不动产权证书》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复印件</w:t>
      </w:r>
      <w:r>
        <w:rPr>
          <w:rFonts w:ascii="Arial" w:hAnsi="Arial" w:cs="Arial"/>
        </w:rPr>
        <w:t>，</w:t>
      </w:r>
      <w:r>
        <w:rPr>
          <w:rFonts w:ascii="Arial" w:hAnsi="Arial" w:cs="Arial"/>
          <w:kern w:val="2"/>
          <w:sz w:val="21"/>
          <w:szCs w:val="21"/>
        </w:rPr>
        <w:t>估价对象权利人为北京世茂嘉年华房地产开发有限公司，共有情况为单独所有，坐落为北京市房山区拱辰街道</w:t>
      </w:r>
      <w:r>
        <w:rPr>
          <w:rFonts w:cs="Arial" w:ascii="Arial" w:hAnsi="Arial"/>
          <w:kern w:val="2"/>
          <w:sz w:val="21"/>
          <w:szCs w:val="21"/>
        </w:rPr>
        <w:t>FSO0-LX09-6001</w:t>
      </w:r>
      <w:r>
        <w:rPr>
          <w:rFonts w:ascii="Arial" w:hAnsi="Arial" w:cs="Arial"/>
          <w:kern w:val="2"/>
          <w:sz w:val="21"/>
          <w:szCs w:val="21"/>
        </w:rPr>
        <w:t>地块</w:t>
      </w:r>
      <w:r>
        <w:rPr>
          <w:rFonts w:cs="Arial" w:ascii="Arial" w:hAnsi="Arial"/>
          <w:kern w:val="2"/>
          <w:sz w:val="21"/>
          <w:szCs w:val="21"/>
        </w:rPr>
        <w:t>R2</w:t>
      </w:r>
      <w:r>
        <w:rPr>
          <w:rFonts w:ascii="Arial" w:hAnsi="Arial" w:cs="Arial"/>
          <w:kern w:val="2"/>
          <w:sz w:val="21"/>
          <w:szCs w:val="21"/>
        </w:rPr>
        <w:t>二类居住用地。权利类型为国有建设用地使用权，权利性质为出让，用途为城镇住宅用地，估价对象所属项目出让国有建设用地使用权总面积为</w:t>
      </w:r>
      <w:r>
        <w:rPr>
          <w:rFonts w:cs="Arial" w:ascii="Arial" w:hAnsi="Arial"/>
          <w:kern w:val="2"/>
          <w:sz w:val="21"/>
          <w:szCs w:val="21"/>
        </w:rPr>
        <w:t>31805.73</w:t>
      </w:r>
      <w:r>
        <w:rPr>
          <w:rFonts w:ascii="Arial" w:hAnsi="Arial" w:cs="Arial"/>
          <w:kern w:val="2"/>
          <w:sz w:val="21"/>
          <w:szCs w:val="21"/>
        </w:rPr>
        <w:t>平方米</w:t>
      </w:r>
      <w:r>
        <w:rPr>
          <w:rFonts w:ascii="Arial" w:hAnsi="Arial" w:cs="Arial"/>
          <w:sz w:val="21"/>
          <w:szCs w:val="21"/>
        </w:rPr>
        <w:t>。</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估价对象所属项目用地四至：</w:t>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证载四至：东至城市道路用地，南至公园绿地，西至公园绿地，北至公园绿地。</w:t>
      </w:r>
    </w:p>
    <w:p>
      <w:pPr>
        <w:pStyle w:val="Normal"/>
        <w:overflowPunct w:val="false"/>
        <w:spacing w:lineRule="auto" w:line="480"/>
        <w:ind w:firstLine="420"/>
        <w:jc w:val="both"/>
        <w:rPr>
          <w:rFonts w:ascii="Arial" w:hAnsi="Arial" w:cs="Arial"/>
          <w:sz w:val="21"/>
          <w:szCs w:val="21"/>
        </w:rPr>
      </w:pPr>
      <w:commentRangeStart w:id="5"/>
      <w:r>
        <w:rPr>
          <w:rFonts w:ascii="Arial" w:hAnsi="Arial" w:cs="Arial"/>
          <w:kern w:val="2"/>
          <w:sz w:val="21"/>
          <w:szCs w:val="21"/>
        </w:rPr>
        <w:t>现状四至</w:t>
      </w:r>
      <w:r>
        <w:rPr>
          <w:rFonts w:ascii="Arial" w:hAnsi="Arial" w:cs="Arial"/>
          <w:kern w:val="2"/>
          <w:sz w:val="21"/>
          <w:szCs w:val="21"/>
        </w:rPr>
      </w:r>
      <w:commentRangeEnd w:id="5"/>
      <w:r>
        <w:commentReference w:id="5"/>
      </w:r>
      <w:r>
        <w:rPr>
          <w:rFonts w:ascii="Arial" w:hAnsi="Arial" w:cs="Arial"/>
          <w:kern w:val="2"/>
          <w:sz w:val="21"/>
          <w:szCs w:val="21"/>
        </w:rPr>
        <w:t>：东至房山区教师进修学校（新址），南至世茂轩景颂小区，西至世茂轩景颂小区，北至高教园一号路。</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4.</w:t>
      </w:r>
      <w:r>
        <w:rPr>
          <w:rFonts w:ascii="Arial" w:hAnsi="Arial" w:cs="Arial"/>
          <w:sz w:val="21"/>
          <w:szCs w:val="21"/>
        </w:rPr>
        <w:t>开发程度：</w:t>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pPr>
        <w:pStyle w:val="Normal"/>
        <w:overflowPunct w:val="false"/>
        <w:spacing w:lineRule="auto" w:line="480"/>
        <w:ind w:firstLine="420"/>
        <w:jc w:val="both"/>
        <w:rPr>
          <w:rFonts w:ascii="Arial" w:hAnsi="Arial" w:cs="Arial"/>
          <w:sz w:val="21"/>
          <w:szCs w:val="21"/>
        </w:rPr>
      </w:pPr>
      <w:r>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Pr>
          <w:rFonts w:ascii="Arial" w:hAnsi="Arial" w:cs="Arial"/>
          <w:sz w:val="21"/>
          <w:szCs w:val="21"/>
        </w:rPr>
        <w:t>。</w:t>
      </w:r>
    </w:p>
    <w:p>
      <w:pPr>
        <w:pStyle w:val="Normal"/>
        <w:overflowPunct w:val="false"/>
        <w:spacing w:lineRule="auto" w:line="480"/>
        <w:jc w:val="both"/>
        <w:rPr>
          <w:rFonts w:ascii="Arial" w:hAnsi="Arial" w:cs="Arial"/>
          <w:b/>
          <w:b/>
          <w:kern w:val="2"/>
          <w:sz w:val="21"/>
          <w:szCs w:val="21"/>
        </w:rPr>
      </w:pPr>
      <w:r>
        <w:rPr>
          <w:rFonts w:ascii="Arial" w:hAnsi="Arial" w:cs="Arial"/>
          <w:b/>
          <w:kern w:val="2"/>
          <w:sz w:val="21"/>
          <w:szCs w:val="21"/>
        </w:rPr>
        <w:t>（三）建筑物基本状况</w:t>
      </w:r>
    </w:p>
    <w:p>
      <w:pPr>
        <w:pStyle w:val="Normal"/>
        <w:tabs>
          <w:tab w:val="clear" w:pos="425"/>
          <w:tab w:val="left" w:pos="3544" w:leader="none"/>
        </w:tabs>
        <w:overflowPunct w:val="false"/>
        <w:spacing w:lineRule="auto" w:line="480"/>
        <w:ind w:firstLine="420"/>
        <w:jc w:val="both"/>
        <w:rPr>
          <w:rStyle w:val="Annotationreference"/>
          <w:rFonts w:ascii="Arial" w:hAnsi="Arial" w:cs="Arial"/>
        </w:rPr>
      </w:pPr>
      <w:r>
        <w:rPr>
          <w:rFonts w:ascii="Arial" w:hAnsi="Arial" w:cs="Arial"/>
          <w:kern w:val="2"/>
          <w:sz w:val="21"/>
          <w:szCs w:val="21"/>
        </w:rPr>
        <w:t>估价对象所属项目位于北京市房山区文雅街</w:t>
      </w:r>
      <w:r>
        <w:rPr>
          <w:rFonts w:cs="Arial" w:ascii="Arial" w:hAnsi="Arial"/>
          <w:kern w:val="2"/>
          <w:sz w:val="21"/>
          <w:szCs w:val="21"/>
        </w:rPr>
        <w:t>1</w:t>
      </w:r>
      <w:r>
        <w:rPr>
          <w:rFonts w:ascii="Arial" w:hAnsi="Arial" w:cs="Arial"/>
          <w:kern w:val="2"/>
          <w:sz w:val="21"/>
          <w:szCs w:val="21"/>
        </w:rPr>
        <w:t>号院（轩景家园共有产权住房），该项目有</w:t>
      </w:r>
      <w:r>
        <w:rPr>
          <w:rFonts w:cs="Arial" w:ascii="Arial" w:hAnsi="Arial"/>
          <w:kern w:val="2"/>
          <w:sz w:val="21"/>
          <w:szCs w:val="21"/>
        </w:rPr>
        <w:t>1#</w:t>
      </w:r>
      <w:r>
        <w:rPr>
          <w:rFonts w:ascii="Arial" w:hAnsi="Arial" w:cs="Arial"/>
          <w:kern w:val="2"/>
          <w:sz w:val="21"/>
          <w:szCs w:val="21"/>
        </w:rPr>
        <w:t>至</w:t>
      </w:r>
      <w:r>
        <w:rPr>
          <w:rFonts w:cs="Arial" w:ascii="Arial" w:hAnsi="Arial"/>
          <w:kern w:val="2"/>
          <w:sz w:val="21"/>
          <w:szCs w:val="21"/>
        </w:rPr>
        <w:t>16#</w:t>
      </w:r>
      <w:r>
        <w:rPr>
          <w:rFonts w:ascii="Arial" w:hAnsi="Arial" w:cs="Arial"/>
          <w:kern w:val="2"/>
          <w:sz w:val="21"/>
          <w:szCs w:val="21"/>
        </w:rPr>
        <w:t>共</w:t>
      </w:r>
      <w:r>
        <w:rPr>
          <w:rFonts w:cs="Arial" w:ascii="Arial" w:hAnsi="Arial"/>
          <w:kern w:val="2"/>
          <w:sz w:val="21"/>
          <w:szCs w:val="21"/>
        </w:rPr>
        <w:t>16</w:t>
      </w:r>
      <w:r>
        <w:rPr>
          <w:rFonts w:ascii="Arial" w:hAnsi="Arial" w:cs="Arial"/>
          <w:kern w:val="2"/>
          <w:sz w:val="21"/>
          <w:szCs w:val="21"/>
        </w:rPr>
        <w:t>栋共有产权住房，建成于</w:t>
      </w:r>
      <w:r>
        <w:rPr>
          <w:rFonts w:cs="Arial" w:ascii="Arial" w:hAnsi="Arial"/>
          <w:kern w:val="2"/>
          <w:sz w:val="21"/>
          <w:szCs w:val="21"/>
        </w:rPr>
        <w:t>2023</w:t>
      </w:r>
      <w:r>
        <w:rPr>
          <w:rFonts w:ascii="Arial" w:hAnsi="Arial" w:cs="Arial"/>
          <w:kern w:val="2"/>
          <w:sz w:val="21"/>
          <w:szCs w:val="21"/>
        </w:rPr>
        <w:t>年。根据估价委托人提供的《轩景家园共有产权房房源表》</w:t>
      </w:r>
      <w:r>
        <w:rPr>
          <w:rFonts w:ascii="Arial" w:hAnsi="Arial" w:cs="Arial"/>
          <w:sz w:val="21"/>
          <w:szCs w:val="21"/>
        </w:rPr>
        <w:t>复印件</w:t>
      </w:r>
      <w:r>
        <w:rPr>
          <w:rFonts w:ascii="Arial" w:hAnsi="Arial" w:cs="Arial"/>
          <w:kern w:val="2"/>
          <w:sz w:val="21"/>
          <w:szCs w:val="21"/>
        </w:rPr>
        <w:t>，估价对象建筑面积共计</w:t>
      </w:r>
      <w:r>
        <w:rPr>
          <w:rFonts w:cs="Arial" w:ascii="Arial" w:hAnsi="Arial"/>
          <w:kern w:val="2"/>
          <w:sz w:val="21"/>
          <w:szCs w:val="21"/>
        </w:rPr>
        <w:t>68237.69</w:t>
      </w:r>
      <w:r>
        <w:rPr>
          <w:rFonts w:ascii="Arial" w:hAnsi="Arial" w:cs="Arial"/>
          <w:kern w:val="2"/>
          <w:sz w:val="21"/>
          <w:szCs w:val="21"/>
        </w:rPr>
        <w:t>平方米，可对外配租房屋共计</w:t>
      </w:r>
      <w:r>
        <w:rPr>
          <w:rFonts w:cs="Arial" w:ascii="Arial" w:hAnsi="Arial"/>
          <w:kern w:val="2"/>
          <w:sz w:val="21"/>
          <w:szCs w:val="21"/>
        </w:rPr>
        <w:t>770</w:t>
      </w:r>
      <w:r>
        <w:rPr>
          <w:rFonts w:ascii="Arial" w:hAnsi="Arial" w:cs="Arial"/>
          <w:kern w:val="2"/>
          <w:sz w:val="21"/>
          <w:szCs w:val="21"/>
        </w:rPr>
        <w:t>套。房源具体户型等情况详见下表：</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976"/>
        <w:gridCol w:w="1248"/>
        <w:gridCol w:w="977"/>
        <w:gridCol w:w="1696"/>
        <w:gridCol w:w="974"/>
        <w:gridCol w:w="1157"/>
        <w:gridCol w:w="1261"/>
        <w:gridCol w:w="1008"/>
      </w:tblGrid>
      <w:tr>
        <w:trPr>
          <w:tblHeader w:val="true"/>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户型</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朝向</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套型</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套数</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总建筑面积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1261"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Arial" w:hAnsi="Arial" w:cs="Arial"/>
                <w:b/>
                <w:b/>
                <w:bCs/>
                <w:sz w:val="18"/>
                <w:szCs w:val="18"/>
              </w:rPr>
            </w:pPr>
            <w:r>
              <w:rPr>
                <w:rFonts w:ascii="Arial" w:hAnsi="Arial" w:cs="Arial"/>
                <w:b/>
                <w:bCs/>
                <w:sz w:val="18"/>
                <w:szCs w:val="18"/>
              </w:rPr>
              <w:t>所属楼宇</w:t>
            </w:r>
          </w:p>
          <w:p>
            <w:pPr>
              <w:pStyle w:val="Normal"/>
              <w:jc w:val="center"/>
              <w:rPr>
                <w:rFonts w:ascii="Arial" w:hAnsi="Arial" w:cs="Arial"/>
                <w:b/>
                <w:b/>
                <w:bCs/>
                <w:sz w:val="18"/>
                <w:szCs w:val="18"/>
              </w:rPr>
            </w:pPr>
            <w:r>
              <w:rPr>
                <w:rFonts w:ascii="Arial" w:hAnsi="Arial" w:cs="Arial"/>
                <w:b/>
                <w:bCs/>
                <w:sz w:val="18"/>
                <w:szCs w:val="18"/>
              </w:rPr>
              <w:t>（现状）</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比例</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4282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5.19%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107.65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2153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6435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87.72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4210.56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6.23%</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87.89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175.78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88.04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4754.16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7.01%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3706.08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1412.64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88.38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176.76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1856.61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2.73%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3627.68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1770</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3717.42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2832.96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88.61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1594.98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2.34%</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88.81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1243.34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1690.81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1691.95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3473.34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5.06%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3028.72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r>
              <w:rPr>
                <w:rFonts w:ascii="Arial" w:hAnsi="Arial" w:cs="Arial"/>
                <w:sz w:val="18"/>
                <w:szCs w:val="18"/>
              </w:rPr>
              <w:t>、</w:t>
            </w: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4.42%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1425.6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1701.26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7164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10.39%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603</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53468.28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64.21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256.84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0.52%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64.57</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129.14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451.41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0.91%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C1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两室两厅一卫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13#</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合计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68237.69</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r>
    </w:tbl>
    <w:p>
      <w:pPr>
        <w:pStyle w:val="Normal"/>
        <w:overflowPunct w:val="false"/>
        <w:snapToGrid w:val="false"/>
        <w:ind w:firstLine="360"/>
        <w:jc w:val="both"/>
        <w:rPr>
          <w:rFonts w:ascii="Arial" w:hAnsi="Arial" w:cs="Arial"/>
          <w:kern w:val="2"/>
          <w:sz w:val="18"/>
          <w:szCs w:val="18"/>
        </w:rPr>
      </w:pPr>
      <w:r>
        <w:rPr>
          <w:rFonts w:cs="Arial" w:ascii="Arial" w:hAnsi="Arial"/>
          <w:kern w:val="2"/>
          <w:sz w:val="18"/>
          <w:szCs w:val="18"/>
        </w:rPr>
      </w:r>
    </w:p>
    <w:p>
      <w:pPr>
        <w:pStyle w:val="Normal"/>
        <w:tabs>
          <w:tab w:val="clear" w:pos="425"/>
          <w:tab w:val="left" w:pos="3544" w:leader="none"/>
        </w:tabs>
        <w:overflowPunct w:val="false"/>
        <w:spacing w:lineRule="auto" w:line="480"/>
        <w:ind w:firstLine="420"/>
        <w:jc w:val="both"/>
        <w:rPr>
          <w:rFonts w:ascii="Arial" w:hAnsi="Arial" w:cs="Arial"/>
          <w:kern w:val="2"/>
          <w:sz w:val="21"/>
          <w:szCs w:val="21"/>
        </w:rPr>
      </w:pPr>
      <w:r>
        <w:rPr>
          <w:rFonts w:ascii="Arial" w:hAnsi="Arial" w:cs="Arial"/>
          <w:kern w:val="2"/>
          <w:sz w:val="21"/>
          <w:szCs w:val="21"/>
        </w:rPr>
        <w:t>根据估价人员现场勘查，估价对象交付装饰装修标准如下：</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685"/>
        <w:gridCol w:w="2318"/>
        <w:gridCol w:w="6295"/>
      </w:tblGrid>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序号</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部 件</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装修标准</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1</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外墙</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涂料</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2</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单元门</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玻璃门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3</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户门</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防盗门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4</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室内门</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木门、木玻门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5</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外窗</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塑钢窗</w:t>
            </w:r>
          </w:p>
        </w:tc>
      </w:tr>
      <w:tr>
        <w:trPr>
          <w:trHeight w:val="303"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6</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客厅</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顶棚：涂料；墙面：涂料；地面：地砖；木塑踢脚线、木质门框、过门石</w:t>
            </w:r>
          </w:p>
        </w:tc>
      </w:tr>
      <w:tr>
        <w:trPr>
          <w:trHeight w:val="303"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7</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卧室</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顶棚：涂料；墙面：涂料；地面：强化复合木地板；木塑踢脚线、木质门框、过门石</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8</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厨房</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顶棚：铝扣板；墙面：墙砖；地面：地砖；整体橱柜、不锈钢洗菜池</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9</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卫生间</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顶棚：铝扣板；墙面：墙砖；地面：地砖；陶瓷洗手池、座便器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10</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阳台</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顶棚：涂料；墙面：涂料；地面：地砖；木塑踢脚线、塑钢护栏</w:t>
            </w:r>
          </w:p>
        </w:tc>
      </w:tr>
      <w:tr>
        <w:trPr>
          <w:trHeight w:val="291"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11</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设备</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抽油烟机、灶台、淋浴器、浴霸、玄关柜、晾衣杆</w:t>
            </w:r>
          </w:p>
        </w:tc>
      </w:tr>
    </w:tbl>
    <w:p>
      <w:pPr>
        <w:pStyle w:val="Normal"/>
        <w:overflowPunct w:val="false"/>
        <w:snapToGrid w:val="false"/>
        <w:ind w:firstLine="360"/>
        <w:jc w:val="both"/>
        <w:rPr>
          <w:rFonts w:ascii="Arial" w:hAnsi="Arial" w:cs="Arial"/>
          <w:kern w:val="2"/>
          <w:sz w:val="18"/>
          <w:szCs w:val="18"/>
        </w:rPr>
      </w:pPr>
      <w:r>
        <w:rPr>
          <w:rFonts w:cs="Arial" w:ascii="Arial" w:hAnsi="Arial"/>
          <w:kern w:val="2"/>
          <w:sz w:val="18"/>
          <w:szCs w:val="18"/>
        </w:rPr>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估价人员实地查勘，于价值时点，估价对象已完工，未发现重大质量缺损情况，综合各项因素认为实物状况较好。</w:t>
      </w:r>
    </w:p>
    <w:p>
      <w:pPr>
        <w:pStyle w:val="Normal"/>
        <w:overflowPunct w:val="false"/>
        <w:spacing w:lineRule="auto" w:line="480"/>
        <w:jc w:val="both"/>
        <w:rPr>
          <w:rFonts w:ascii="Arial" w:hAnsi="Arial" w:cs="Arial"/>
          <w:b/>
          <w:b/>
          <w:kern w:val="2"/>
          <w:sz w:val="21"/>
          <w:szCs w:val="21"/>
        </w:rPr>
      </w:pPr>
      <w:r>
        <w:rPr>
          <w:rFonts w:ascii="Arial" w:hAnsi="Arial" w:cs="Arial"/>
          <w:b/>
          <w:kern w:val="2"/>
          <w:sz w:val="21"/>
          <w:szCs w:val="21"/>
        </w:rPr>
        <w:t>（四）对价格影响的分析</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估价对象作为住宅使用，通用性相对较好，能完全满足大部分求租者的需求，因此不会影响其租金价格水平。</w:t>
      </w:r>
    </w:p>
    <w:p>
      <w:pPr>
        <w:pStyle w:val="Normal"/>
        <w:overflowPunct w:val="false"/>
        <w:spacing w:lineRule="auto" w:line="480"/>
        <w:jc w:val="both"/>
        <w:rPr>
          <w:rFonts w:ascii="Arial" w:hAnsi="Arial" w:cs="Arial"/>
          <w:b/>
          <w:b/>
          <w:kern w:val="2"/>
          <w:sz w:val="21"/>
          <w:szCs w:val="21"/>
        </w:rPr>
      </w:pPr>
      <w:r>
        <w:rPr>
          <w:rFonts w:ascii="Arial" w:hAnsi="Arial" w:cs="Arial"/>
          <w:b/>
          <w:kern w:val="2"/>
          <w:sz w:val="21"/>
          <w:szCs w:val="21"/>
        </w:rPr>
        <w:t>（五）他项权利状况</w:t>
      </w:r>
    </w:p>
    <w:p>
      <w:pPr>
        <w:pStyle w:val="Normal"/>
        <w:overflowPunct w:val="false"/>
        <w:spacing w:lineRule="auto" w:line="480"/>
        <w:ind w:firstLine="420"/>
        <w:jc w:val="both"/>
        <w:rPr>
          <w:rFonts w:ascii="Arial" w:hAnsi="Arial" w:cs="Arial"/>
          <w:kern w:val="2"/>
          <w:sz w:val="21"/>
          <w:szCs w:val="21"/>
        </w:rPr>
      </w:pPr>
      <w:r>
        <w:rPr>
          <w:rFonts w:ascii="Arial" w:hAnsi="Arial" w:cs="Arial"/>
          <w:sz w:val="21"/>
          <w:szCs w:val="21"/>
        </w:rPr>
        <w:t>根据估价委托人提供的资料及评估专业人员实地查勘，于价值时点，</w:t>
      </w:r>
      <w:commentRangeStart w:id="6"/>
      <w:r>
        <w:rPr>
          <w:rFonts w:ascii="Arial" w:hAnsi="Arial" w:cs="Arial"/>
          <w:sz w:val="21"/>
          <w:szCs w:val="21"/>
        </w:rPr>
        <w:t>未发现估价对象存在</w:t>
      </w:r>
      <w:r>
        <w:rPr>
          <w:rFonts w:ascii="Arial" w:hAnsi="Arial" w:cs="Arial"/>
          <w:kern w:val="2"/>
          <w:sz w:val="21"/>
          <w:szCs w:val="21"/>
        </w:rPr>
        <w:t>抵押、地役、查封等他项权利</w:t>
      </w:r>
      <w:r>
        <w:rPr>
          <w:rFonts w:ascii="Arial" w:hAnsi="Arial" w:cs="Arial"/>
          <w:sz w:val="21"/>
          <w:szCs w:val="21"/>
        </w:rPr>
        <w:t>。</w:t>
      </w:r>
      <w:r>
        <w:rPr>
          <w:rFonts w:ascii="Arial" w:hAnsi="Arial" w:cs="Arial"/>
          <w:sz w:val="21"/>
          <w:szCs w:val="21"/>
        </w:rPr>
      </w:r>
      <w:commentRangeEnd w:id="6"/>
      <w:r>
        <w:commentReference w:id="6"/>
      </w:r>
      <w:r>
        <w:rPr>
          <w:rFonts w:ascii="Arial" w:hAnsi="Arial" w:cs="Arial"/>
          <w:kern w:val="2"/>
          <w:sz w:val="21"/>
          <w:szCs w:val="21"/>
        </w:rPr>
        <w:t>根据估价目的，本次估价未考虑抵押、地役、查封等他项权利影响，故设定估价对象于价值时点不存在抵押、地役、查封等他项权利限制。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20" w:name="_Toc525655422"/>
      <w:bookmarkStart w:id="21" w:name="_Toc168225817"/>
      <w:r>
        <w:rPr>
          <w:rFonts w:eastAsia="宋体"/>
          <w:kern w:val="2"/>
          <w:sz w:val="21"/>
          <w:szCs w:val="21"/>
        </w:rPr>
        <w:t>五</w:t>
      </w:r>
      <w:bookmarkEnd w:id="21"/>
      <w:r>
        <w:rPr>
          <w:rFonts w:eastAsia="宋体"/>
          <w:kern w:val="2"/>
          <w:sz w:val="21"/>
          <w:szCs w:val="21"/>
        </w:rPr>
        <w:t>、价值时点</w:t>
      </w:r>
      <w:bookmarkEnd w:id="20"/>
    </w:p>
    <w:p>
      <w:pPr>
        <w:pStyle w:val="Normal"/>
        <w:overflowPunct w:val="false"/>
        <w:spacing w:lineRule="auto" w:line="480"/>
        <w:ind w:firstLine="420"/>
        <w:jc w:val="both"/>
        <w:rPr/>
      </w:pP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5</w:t>
      </w:r>
      <w:r>
        <w:rPr>
          <w:rFonts w:ascii="Arial" w:hAnsi="Arial" w:cs="Arial"/>
          <w:kern w:val="2"/>
          <w:sz w:val="21"/>
          <w:szCs w:val="21"/>
        </w:rPr>
        <w:t>日（实地查勘之日）</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22" w:name="_Toc525655423"/>
      <w:bookmarkStart w:id="23" w:name="_Toc168225818"/>
      <w:r>
        <w:rPr>
          <w:rFonts w:eastAsia="宋体"/>
          <w:kern w:val="2"/>
          <w:sz w:val="21"/>
          <w:szCs w:val="21"/>
        </w:rPr>
        <w:t>六</w:t>
      </w:r>
      <w:bookmarkEnd w:id="23"/>
      <w:r>
        <w:rPr>
          <w:rFonts w:eastAsia="宋体"/>
          <w:kern w:val="2"/>
          <w:sz w:val="21"/>
          <w:szCs w:val="21"/>
        </w:rPr>
        <w:t>、价值类型</w:t>
      </w:r>
      <w:bookmarkEnd w:id="22"/>
    </w:p>
    <w:p>
      <w:pPr>
        <w:pStyle w:val="Normal"/>
        <w:overflowPunct w:val="false"/>
        <w:spacing w:lineRule="auto" w:line="480"/>
        <w:ind w:firstLine="420"/>
        <w:jc w:val="both"/>
        <w:rPr>
          <w:rFonts w:ascii="Arial" w:hAnsi="Arial" w:cs="Arial"/>
          <w:sz w:val="21"/>
          <w:szCs w:val="21"/>
        </w:rPr>
      </w:pPr>
      <w:r>
        <w:rPr>
          <w:rFonts w:ascii="Arial" w:hAnsi="Arial" w:cs="Arial"/>
          <w:kern w:val="2"/>
          <w:sz w:val="21"/>
          <w:szCs w:val="21"/>
        </w:rPr>
        <w:t>共有产权住房项目市场租金是指与共有产权住房项目同地段、同类型的普通住房在估价时段</w:t>
      </w:r>
      <w:r>
        <w:rPr>
          <w:rFonts w:ascii="Arial" w:hAnsi="Arial" w:cs="Arial"/>
          <w:sz w:val="21"/>
          <w:szCs w:val="21"/>
        </w:rPr>
        <w:t>（</w:t>
      </w:r>
      <w:r>
        <w:rPr>
          <w:rFonts w:cs="Arial" w:ascii="Arial" w:hAnsi="Arial"/>
          <w:sz w:val="21"/>
          <w:szCs w:val="21"/>
        </w:rPr>
        <w:t>2022</w:t>
      </w:r>
      <w:r>
        <w:rPr>
          <w:rFonts w:ascii="Arial" w:hAnsi="Arial" w:cs="Arial"/>
          <w:sz w:val="21"/>
          <w:szCs w:val="21"/>
        </w:rPr>
        <w:t>年</w:t>
      </w:r>
      <w:r>
        <w:rPr>
          <w:rFonts w:cs="Arial" w:ascii="Arial" w:hAnsi="Arial"/>
          <w:sz w:val="21"/>
          <w:szCs w:val="21"/>
        </w:rPr>
        <w:t>12</w:t>
      </w:r>
      <w:r>
        <w:rPr>
          <w:rFonts w:ascii="Arial" w:hAnsi="Arial" w:cs="Arial"/>
          <w:sz w:val="21"/>
          <w:szCs w:val="21"/>
        </w:rPr>
        <w:t>月至</w:t>
      </w:r>
      <w:r>
        <w:rPr>
          <w:rFonts w:cs="Arial" w:ascii="Arial" w:hAnsi="Arial"/>
          <w:sz w:val="21"/>
          <w:szCs w:val="21"/>
        </w:rPr>
        <w:t>2023</w:t>
      </w:r>
      <w:r>
        <w:rPr>
          <w:rFonts w:ascii="Arial" w:hAnsi="Arial" w:cs="Arial"/>
          <w:sz w:val="21"/>
          <w:szCs w:val="21"/>
        </w:rPr>
        <w:t>年</w:t>
      </w:r>
      <w:r>
        <w:rPr>
          <w:rFonts w:cs="Arial" w:ascii="Arial" w:hAnsi="Arial"/>
          <w:sz w:val="21"/>
          <w:szCs w:val="21"/>
        </w:rPr>
        <w:t>11</w:t>
      </w:r>
      <w:r>
        <w:rPr>
          <w:rFonts w:ascii="Arial" w:hAnsi="Arial" w:cs="Arial"/>
          <w:sz w:val="21"/>
          <w:szCs w:val="21"/>
        </w:rPr>
        <w:t>月）</w:t>
      </w:r>
      <w:r>
        <w:rPr>
          <w:rFonts w:ascii="Arial" w:hAnsi="Arial" w:cs="Arial"/>
          <w:kern w:val="2"/>
          <w:sz w:val="21"/>
          <w:szCs w:val="21"/>
        </w:rPr>
        <w:t>的市场租赁平均价格。</w:t>
      </w:r>
      <w:bookmarkStart w:id="24" w:name="_Toc168225819"/>
      <w:bookmarkStart w:id="25" w:name="_Toc525655424"/>
      <w:r>
        <w:rPr>
          <w:rFonts w:ascii="Arial" w:hAnsi="Arial" w:cs="Arial"/>
          <w:sz w:val="21"/>
          <w:szCs w:val="21"/>
        </w:rPr>
        <w:t>根据房地产评估的技术规程和本次估价目的，本次估价采用的是市场价值标准。估价结果中的房地产租金价格是指估价对象在估价时段（</w:t>
      </w:r>
      <w:r>
        <w:rPr>
          <w:rFonts w:cs="Arial" w:ascii="Arial" w:hAnsi="Arial"/>
          <w:sz w:val="21"/>
          <w:szCs w:val="21"/>
        </w:rPr>
        <w:t>2022</w:t>
      </w:r>
      <w:r>
        <w:rPr>
          <w:rFonts w:ascii="Arial" w:hAnsi="Arial" w:cs="Arial"/>
          <w:sz w:val="21"/>
          <w:szCs w:val="21"/>
        </w:rPr>
        <w:t>年</w:t>
      </w:r>
      <w:r>
        <w:rPr>
          <w:rFonts w:cs="Arial" w:ascii="Arial" w:hAnsi="Arial"/>
          <w:sz w:val="21"/>
          <w:szCs w:val="21"/>
        </w:rPr>
        <w:t>12</w:t>
      </w:r>
      <w:r>
        <w:rPr>
          <w:rFonts w:ascii="Arial" w:hAnsi="Arial" w:cs="Arial"/>
          <w:sz w:val="21"/>
          <w:szCs w:val="21"/>
        </w:rPr>
        <w:t>月至</w:t>
      </w:r>
      <w:r>
        <w:rPr>
          <w:rFonts w:cs="Arial" w:ascii="Arial" w:hAnsi="Arial"/>
          <w:sz w:val="21"/>
          <w:szCs w:val="21"/>
        </w:rPr>
        <w:t>2023</w:t>
      </w:r>
      <w:r>
        <w:rPr>
          <w:rFonts w:ascii="Arial" w:hAnsi="Arial" w:cs="Arial"/>
          <w:sz w:val="21"/>
          <w:szCs w:val="21"/>
        </w:rPr>
        <w:t>年</w:t>
      </w:r>
      <w:r>
        <w:rPr>
          <w:rFonts w:cs="Arial" w:ascii="Arial" w:hAnsi="Arial"/>
          <w:sz w:val="21"/>
          <w:szCs w:val="21"/>
        </w:rPr>
        <w:t>11</w:t>
      </w:r>
      <w:r>
        <w:rPr>
          <w:rFonts w:ascii="Arial" w:hAnsi="Arial" w:cs="Arial"/>
          <w:sz w:val="21"/>
          <w:szCs w:val="21"/>
        </w:rPr>
        <w:t xml:space="preserve">月）规划利用条件及下述设定条件下的市场平均租金价格：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 xml:space="preserve">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1</w:t>
      </w:r>
      <w:r>
        <w:rPr>
          <w:rFonts w:ascii="Arial" w:hAnsi="Arial" w:cs="Arial"/>
          <w:sz w:val="21"/>
          <w:szCs w:val="21"/>
        </w:rPr>
        <w:t xml:space="preserve">）同地段是指按照就近原则，能够满足共有产权住房项目市场租金评估所需要的可比小区数量所形成的同质区域。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2</w:t>
      </w:r>
      <w:r>
        <w:rPr>
          <w:rFonts w:ascii="Arial" w:hAnsi="Arial" w:cs="Arial"/>
          <w:sz w:val="21"/>
          <w:szCs w:val="21"/>
        </w:rPr>
        <w:t xml:space="preserve">）同类型是指使用功能、建筑结构、面积、户型、装修、家具家电设备及周边环境与配套相同或相似的住房。 </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3</w:t>
      </w:r>
      <w:r>
        <w:rPr>
          <w:rFonts w:ascii="Arial" w:hAnsi="Arial" w:cs="Arial"/>
          <w:sz w:val="21"/>
          <w:szCs w:val="21"/>
        </w:rPr>
        <w:t>）估价时段是指价值时点前一年（</w:t>
      </w:r>
      <w:r>
        <w:rPr>
          <w:rFonts w:cs="Arial" w:ascii="Arial" w:hAnsi="Arial"/>
          <w:sz w:val="21"/>
          <w:szCs w:val="21"/>
        </w:rPr>
        <w:t>2022</w:t>
      </w:r>
      <w:r>
        <w:rPr>
          <w:rFonts w:ascii="Arial" w:hAnsi="Arial" w:cs="Arial"/>
          <w:sz w:val="21"/>
          <w:szCs w:val="21"/>
        </w:rPr>
        <w:t>年</w:t>
      </w:r>
      <w:r>
        <w:rPr>
          <w:rFonts w:cs="Arial" w:ascii="Arial" w:hAnsi="Arial"/>
          <w:sz w:val="21"/>
          <w:szCs w:val="21"/>
        </w:rPr>
        <w:t>12</w:t>
      </w:r>
      <w:r>
        <w:rPr>
          <w:rFonts w:ascii="Arial" w:hAnsi="Arial" w:cs="Arial"/>
          <w:sz w:val="21"/>
          <w:szCs w:val="21"/>
        </w:rPr>
        <w:t>月至</w:t>
      </w:r>
      <w:r>
        <w:rPr>
          <w:rFonts w:cs="Arial" w:ascii="Arial" w:hAnsi="Arial"/>
          <w:sz w:val="21"/>
          <w:szCs w:val="21"/>
        </w:rPr>
        <w:t>2023</w:t>
      </w:r>
      <w:r>
        <w:rPr>
          <w:rFonts w:ascii="Arial" w:hAnsi="Arial" w:cs="Arial"/>
          <w:sz w:val="21"/>
          <w:szCs w:val="21"/>
        </w:rPr>
        <w:t>年</w:t>
      </w:r>
      <w:r>
        <w:rPr>
          <w:rFonts w:cs="Arial" w:ascii="Arial" w:hAnsi="Arial"/>
          <w:sz w:val="21"/>
          <w:szCs w:val="21"/>
        </w:rPr>
        <w:t>11</w:t>
      </w:r>
      <w:r>
        <w:rPr>
          <w:rFonts w:ascii="Arial" w:hAnsi="Arial" w:cs="Arial"/>
          <w:sz w:val="21"/>
          <w:szCs w:val="21"/>
        </w:rPr>
        <w:t>月）。</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4</w:t>
      </w:r>
      <w:r>
        <w:rPr>
          <w:rFonts w:ascii="Arial" w:hAnsi="Arial" w:cs="Arial"/>
          <w:sz w:val="21"/>
          <w:szCs w:val="21"/>
        </w:rPr>
        <w:t>）装修状况依据共有产权住房现状条件设定为全装修。</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overflowPunct w:val="false"/>
        <w:spacing w:lineRule="auto" w:line="480"/>
        <w:jc w:val="both"/>
        <w:textAlignment w:val="auto"/>
        <w:rPr>
          <w:rFonts w:eastAsia="宋体"/>
          <w:kern w:val="2"/>
          <w:sz w:val="21"/>
          <w:szCs w:val="21"/>
        </w:rPr>
      </w:pPr>
      <w:r>
        <w:rPr>
          <w:rFonts w:eastAsia="宋体"/>
          <w:kern w:val="2"/>
          <w:sz w:val="21"/>
          <w:szCs w:val="21"/>
        </w:rPr>
        <w:t>七、估价原则</w:t>
      </w:r>
      <w:bookmarkEnd w:id="24"/>
      <w:bookmarkEnd w:id="25"/>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 xml:space="preserve">我们在本次估价时遵循了以下原则： </w:t>
      </w:r>
    </w:p>
    <w:p>
      <w:pPr>
        <w:pStyle w:val="Normal"/>
        <w:overflowPunct w:val="false"/>
        <w:spacing w:lineRule="auto" w:line="480"/>
        <w:jc w:val="both"/>
        <w:rPr>
          <w:rFonts w:ascii="Arial" w:hAnsi="Arial" w:cs="Arial"/>
          <w:b/>
          <w:b/>
          <w:sz w:val="21"/>
          <w:szCs w:val="21"/>
        </w:rPr>
      </w:pPr>
      <w:r>
        <w:rPr>
          <w:rFonts w:ascii="Arial" w:hAnsi="Arial" w:cs="Arial"/>
          <w:b/>
          <w:sz w:val="21"/>
          <w:szCs w:val="21"/>
        </w:rPr>
        <w:t>（一）独立、客观、公正原则</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独立、客观、公正原则要求评估专业人员站在中立的立场上，评估出对各方当事人来说均是公平合理的价格。独立、客观、公正原则是房地产估价的基本原则，也是房地产估价中的最高行为准则。</w:t>
      </w:r>
    </w:p>
    <w:p>
      <w:pPr>
        <w:pStyle w:val="Normal"/>
        <w:overflowPunct w:val="false"/>
        <w:spacing w:lineRule="auto" w:line="480"/>
        <w:jc w:val="both"/>
        <w:rPr>
          <w:rFonts w:ascii="Arial" w:hAnsi="Arial" w:cs="Arial"/>
          <w:b/>
          <w:b/>
          <w:sz w:val="21"/>
          <w:szCs w:val="21"/>
        </w:rPr>
      </w:pPr>
      <w:r>
        <w:rPr>
          <w:rFonts w:ascii="Arial" w:hAnsi="Arial" w:cs="Arial"/>
          <w:b/>
          <w:sz w:val="21"/>
          <w:szCs w:val="21"/>
        </w:rPr>
        <w:t>（二）合法原则</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等允许的处分方式为依据；在其他方面，如评估出的价格必须符合国家的价格政策。</w:t>
      </w:r>
    </w:p>
    <w:p>
      <w:pPr>
        <w:pStyle w:val="Normal"/>
        <w:overflowPunct w:val="false"/>
        <w:spacing w:lineRule="auto" w:line="480"/>
        <w:jc w:val="both"/>
        <w:rPr>
          <w:rFonts w:ascii="Arial" w:hAnsi="Arial" w:cs="Arial"/>
          <w:b/>
          <w:b/>
          <w:sz w:val="21"/>
          <w:szCs w:val="21"/>
        </w:rPr>
      </w:pPr>
      <w:r>
        <w:rPr>
          <w:rFonts w:ascii="Arial" w:hAnsi="Arial" w:cs="Arial"/>
          <w:b/>
          <w:sz w:val="21"/>
          <w:szCs w:val="21"/>
        </w:rPr>
        <w:t>（三）最高最佳利用原则</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最佳利用是在法律上可行、技术上可能、经济上可行，经过充分合理的论证，能使估价对象价值达到最大、最可能的使用。</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本次估价对象为</w:t>
      </w:r>
      <w:r>
        <w:rPr>
          <w:rFonts w:ascii="Arial" w:hAnsi="Arial" w:cs="Arial"/>
          <w:kern w:val="2"/>
          <w:sz w:val="21"/>
          <w:szCs w:val="21"/>
        </w:rPr>
        <w:t>北京市房山区文雅街</w:t>
      </w:r>
      <w:r>
        <w:rPr>
          <w:rFonts w:cs="Arial" w:ascii="Arial" w:hAnsi="Arial"/>
          <w:kern w:val="2"/>
          <w:sz w:val="21"/>
          <w:szCs w:val="21"/>
        </w:rPr>
        <w:t>1</w:t>
      </w:r>
      <w:r>
        <w:rPr>
          <w:rFonts w:ascii="Arial" w:hAnsi="Arial" w:cs="Arial"/>
          <w:kern w:val="2"/>
          <w:sz w:val="21"/>
          <w:szCs w:val="21"/>
        </w:rPr>
        <w:t>号院轩景家园共计</w:t>
      </w:r>
      <w:r>
        <w:rPr>
          <w:rFonts w:cs="Arial" w:ascii="Arial" w:hAnsi="Arial"/>
          <w:kern w:val="2"/>
          <w:sz w:val="21"/>
          <w:szCs w:val="21"/>
        </w:rPr>
        <w:t>770</w:t>
      </w:r>
      <w:r>
        <w:rPr>
          <w:rFonts w:ascii="Arial" w:hAnsi="Arial" w:cs="Arial"/>
          <w:kern w:val="2"/>
          <w:sz w:val="21"/>
          <w:szCs w:val="21"/>
        </w:rPr>
        <w:t>套共有产权住房项目</w:t>
      </w:r>
      <w:r>
        <w:rPr>
          <w:rFonts w:ascii="Arial" w:hAnsi="Arial" w:cs="Arial"/>
          <w:sz w:val="21"/>
          <w:szCs w:val="21"/>
        </w:rPr>
        <w:t>，根据政府相关批文，估价对象为</w:t>
      </w:r>
      <w:r>
        <w:rPr>
          <w:rFonts w:ascii="Arial" w:hAnsi="Arial" w:cs="Arial"/>
          <w:kern w:val="2"/>
          <w:sz w:val="21"/>
          <w:szCs w:val="21"/>
        </w:rPr>
        <w:t>共有产权住房项目</w:t>
      </w:r>
      <w:r>
        <w:rPr>
          <w:rFonts w:ascii="Arial" w:hAnsi="Arial" w:cs="Arial"/>
          <w:sz w:val="21"/>
          <w:szCs w:val="21"/>
        </w:rPr>
        <w:t>，程序上合规；其土地用途为住宅，符合城市规划限制的要求；估价对象依据相关政策及批复进行建设，其建筑结构及布局在技术上能满足</w:t>
      </w:r>
      <w:r>
        <w:rPr>
          <w:rFonts w:ascii="Arial" w:hAnsi="Arial" w:cs="Arial"/>
          <w:kern w:val="2"/>
          <w:sz w:val="21"/>
          <w:szCs w:val="21"/>
        </w:rPr>
        <w:t>共有产权住房项目</w:t>
      </w:r>
      <w:r>
        <w:rPr>
          <w:rFonts w:ascii="Arial" w:hAnsi="Arial" w:cs="Arial"/>
          <w:sz w:val="21"/>
          <w:szCs w:val="21"/>
        </w:rPr>
        <w:t>的要求，按照不高于市场租金水平进行配租，经济效益较普通商品住宅低，作为政策性住房，其主要目的是为满足适配人群对住房的实际需求，因此，建设</w:t>
      </w:r>
      <w:r>
        <w:rPr>
          <w:rFonts w:ascii="Arial" w:hAnsi="Arial" w:cs="Arial"/>
          <w:kern w:val="2"/>
          <w:sz w:val="21"/>
          <w:szCs w:val="21"/>
        </w:rPr>
        <w:t>共有产权住房项目</w:t>
      </w:r>
      <w:r>
        <w:rPr>
          <w:rFonts w:ascii="Arial" w:hAnsi="Arial" w:cs="Arial"/>
          <w:sz w:val="21"/>
          <w:szCs w:val="21"/>
        </w:rPr>
        <w:t>具有很大的社会效益。故估价对象符合最高最佳利用原则。</w:t>
      </w:r>
    </w:p>
    <w:p>
      <w:pPr>
        <w:pStyle w:val="Normal"/>
        <w:overflowPunct w:val="false"/>
        <w:spacing w:lineRule="auto" w:line="480"/>
        <w:jc w:val="both"/>
        <w:rPr>
          <w:rFonts w:ascii="Arial" w:hAnsi="Arial" w:cs="Arial"/>
          <w:b/>
          <w:b/>
          <w:sz w:val="21"/>
          <w:szCs w:val="21"/>
        </w:rPr>
      </w:pPr>
      <w:r>
        <w:rPr>
          <w:rFonts w:ascii="Arial" w:hAnsi="Arial" w:cs="Arial"/>
          <w:b/>
          <w:sz w:val="21"/>
          <w:szCs w:val="21"/>
        </w:rPr>
        <w:t>（四）替代原则</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替代原则也反映了房地产估价的基本原理和最一般的估价过程：房地产估价所要确定的估价结论是估价对象的客观合理价值。对于房地产交易目的而言，该客观合理价值应当是在公开市场上最可能形成或者成立的价格，房地产估价就是参照公开市场上足够数量的类似房地产的近期成交价格来确定估价对象的客观合理价值的。</w:t>
      </w:r>
    </w:p>
    <w:p>
      <w:pPr>
        <w:pStyle w:val="Normal"/>
        <w:overflowPunct w:val="false"/>
        <w:spacing w:lineRule="auto" w:line="480"/>
        <w:jc w:val="both"/>
        <w:rPr>
          <w:rFonts w:ascii="Arial" w:hAnsi="Arial" w:cs="Arial"/>
          <w:b/>
          <w:b/>
          <w:sz w:val="21"/>
          <w:szCs w:val="21"/>
        </w:rPr>
      </w:pPr>
      <w:r>
        <w:rPr>
          <w:rFonts w:ascii="Arial" w:hAnsi="Arial" w:cs="Arial"/>
          <w:b/>
          <w:sz w:val="21"/>
          <w:szCs w:val="21"/>
        </w:rPr>
        <w:t>（五）价值时点原则</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由于房屋租金价格与房屋销售价格有一定的区别，房屋租金价格一经合同签约确定后，合同租赁期内不能随意变动。通常房屋租赁合同期为一年以上。故本报告在评估中选取的市场案例租金价格为价值时点前</w:t>
      </w:r>
      <w:r>
        <w:rPr>
          <w:rFonts w:cs="Arial" w:ascii="Arial" w:hAnsi="Arial"/>
          <w:sz w:val="21"/>
          <w:szCs w:val="21"/>
        </w:rPr>
        <w:t>12</w:t>
      </w:r>
      <w:r>
        <w:rPr>
          <w:rFonts w:ascii="Arial" w:hAnsi="Arial" w:cs="Arial"/>
          <w:sz w:val="21"/>
          <w:szCs w:val="21"/>
        </w:rPr>
        <w:t>个月的市场平均租金水平，这样可以避免季节性波动带来的时点差异，并在此基础上评估价值时点前一年内的市场平均租金水平，更好地满足估价委托人估价的目的。</w:t>
      </w:r>
    </w:p>
    <w:p>
      <w:pPr>
        <w:pStyle w:val="Normal"/>
        <w:overflowPunct w:val="false"/>
        <w:spacing w:lineRule="auto" w:line="480"/>
        <w:ind w:firstLine="422"/>
        <w:jc w:val="both"/>
        <w:rPr>
          <w:rFonts w:ascii="Arial" w:hAnsi="Arial" w:cs="Arial"/>
          <w:b/>
          <w:b/>
          <w:kern w:val="2"/>
          <w:sz w:val="21"/>
          <w:szCs w:val="21"/>
        </w:rPr>
      </w:pPr>
      <w:r>
        <w:rPr>
          <w:rFonts w:cs="Arial" w:ascii="Arial" w:hAnsi="Arial"/>
          <w:b/>
          <w:kern w:val="2"/>
          <w:sz w:val="21"/>
          <w:szCs w:val="21"/>
        </w:rPr>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26" w:name="_Toc525655425"/>
      <w:bookmarkStart w:id="27" w:name="_Toc168225820"/>
      <w:r>
        <w:rPr>
          <w:rFonts w:eastAsia="宋体"/>
          <w:kern w:val="2"/>
          <w:sz w:val="21"/>
          <w:szCs w:val="21"/>
        </w:rPr>
        <w:t>八、估价</w:t>
      </w:r>
      <w:bookmarkEnd w:id="27"/>
      <w:r>
        <w:rPr>
          <w:rFonts w:eastAsia="宋体"/>
          <w:kern w:val="2"/>
          <w:sz w:val="21"/>
          <w:szCs w:val="21"/>
        </w:rPr>
        <w:t>依据</w:t>
      </w:r>
      <w:bookmarkEnd w:id="26"/>
    </w:p>
    <w:p>
      <w:pPr>
        <w:pStyle w:val="Normal"/>
        <w:overflowPunct w:val="false"/>
        <w:spacing w:lineRule="auto" w:line="480"/>
        <w:jc w:val="both"/>
        <w:rPr>
          <w:rFonts w:ascii="Arial" w:hAnsi="Arial" w:cs="Arial"/>
          <w:b/>
          <w:b/>
          <w:sz w:val="21"/>
          <w:szCs w:val="21"/>
        </w:rPr>
      </w:pPr>
      <w:r>
        <w:rPr>
          <w:rFonts w:ascii="Arial" w:hAnsi="Arial" w:cs="Arial"/>
          <w:b/>
          <w:sz w:val="21"/>
          <w:szCs w:val="21"/>
        </w:rPr>
        <w:t>（一）有关的法律、法规及技术标准文件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1.</w:t>
      </w:r>
      <w:r>
        <w:rPr>
          <w:rFonts w:cs="Arial" w:ascii="Arial" w:hAnsi="Arial"/>
        </w:rPr>
        <w:t xml:space="preserve"> </w:t>
      </w:r>
      <w:r>
        <w:rPr>
          <w:rFonts w:ascii="Arial" w:hAnsi="Arial" w:cs="Arial"/>
          <w:sz w:val="21"/>
          <w:szCs w:val="21"/>
        </w:rPr>
        <w:t>《中华人民共和国土地管理法》（</w:t>
      </w:r>
      <w:r>
        <w:rPr>
          <w:rFonts w:cs="Arial" w:ascii="Arial" w:hAnsi="Arial"/>
          <w:sz w:val="21"/>
          <w:szCs w:val="21"/>
        </w:rPr>
        <w:t>1986</w:t>
      </w:r>
      <w:r>
        <w:rPr>
          <w:rFonts w:ascii="Arial" w:hAnsi="Arial" w:cs="Arial"/>
          <w:sz w:val="21"/>
          <w:szCs w:val="21"/>
        </w:rPr>
        <w:t>年</w:t>
      </w:r>
      <w:r>
        <w:rPr>
          <w:rFonts w:cs="Arial" w:ascii="Arial" w:hAnsi="Arial"/>
          <w:sz w:val="21"/>
          <w:szCs w:val="21"/>
        </w:rPr>
        <w:t>6</w:t>
      </w:r>
      <w:r>
        <w:rPr>
          <w:rFonts w:ascii="Arial" w:hAnsi="Arial" w:cs="Arial"/>
          <w:sz w:val="21"/>
          <w:szCs w:val="21"/>
        </w:rPr>
        <w:t>月</w:t>
      </w:r>
      <w:r>
        <w:rPr>
          <w:rFonts w:cs="Arial" w:ascii="Arial" w:hAnsi="Arial"/>
          <w:sz w:val="21"/>
          <w:szCs w:val="21"/>
        </w:rPr>
        <w:t>25</w:t>
      </w:r>
      <w:r>
        <w:rPr>
          <w:rFonts w:ascii="Arial" w:hAnsi="Arial" w:cs="Arial"/>
          <w:sz w:val="21"/>
          <w:szCs w:val="21"/>
        </w:rPr>
        <w:t>日第六届全国人民代表大会常务委员会第十六次会议通过，中华人民共和国主席令第</w:t>
      </w:r>
      <w:r>
        <w:rPr>
          <w:rFonts w:cs="Arial" w:ascii="Arial" w:hAnsi="Arial"/>
          <w:sz w:val="21"/>
          <w:szCs w:val="21"/>
        </w:rPr>
        <w:t>41</w:t>
      </w:r>
      <w:r>
        <w:rPr>
          <w:rFonts w:ascii="Arial" w:hAnsi="Arial" w:cs="Arial"/>
          <w:sz w:val="21"/>
          <w:szCs w:val="21"/>
        </w:rPr>
        <w:t>号公布，</w:t>
      </w:r>
      <w:r>
        <w:rPr>
          <w:rFonts w:cs="Arial" w:ascii="Arial" w:hAnsi="Arial"/>
          <w:sz w:val="21"/>
          <w:szCs w:val="21"/>
        </w:rPr>
        <w:t>1987</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r>
        <w:rPr>
          <w:rFonts w:cs="Arial" w:ascii="Arial" w:hAnsi="Arial"/>
          <w:sz w:val="21"/>
          <w:szCs w:val="21"/>
        </w:rPr>
        <w:t>1988</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29</w:t>
      </w:r>
      <w:r>
        <w:rPr>
          <w:rFonts w:ascii="Arial" w:hAnsi="Arial" w:cs="Arial"/>
          <w:sz w:val="21"/>
          <w:szCs w:val="21"/>
        </w:rPr>
        <w:t>日第七届全国人民代表大会常务委员会第五次会议第一次修正通过，自</w:t>
      </w:r>
      <w:r>
        <w:rPr>
          <w:rFonts w:cs="Arial" w:ascii="Arial" w:hAnsi="Arial"/>
          <w:sz w:val="21"/>
          <w:szCs w:val="21"/>
        </w:rPr>
        <w:t>1988</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29</w:t>
      </w:r>
      <w:r>
        <w:rPr>
          <w:rFonts w:ascii="Arial" w:hAnsi="Arial" w:cs="Arial"/>
          <w:sz w:val="21"/>
          <w:szCs w:val="21"/>
        </w:rPr>
        <w:t>日起施行；</w:t>
      </w:r>
      <w:r>
        <w:rPr>
          <w:rFonts w:cs="Arial" w:ascii="Arial" w:hAnsi="Arial"/>
          <w:sz w:val="21"/>
          <w:szCs w:val="21"/>
        </w:rPr>
        <w:t>1998</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29</w:t>
      </w:r>
      <w:r>
        <w:rPr>
          <w:rFonts w:ascii="Arial" w:hAnsi="Arial" w:cs="Arial"/>
          <w:sz w:val="21"/>
          <w:szCs w:val="21"/>
        </w:rPr>
        <w:t>日第九届全国人民代表大会常务委员会第四次会议修订通过，中华人民共和国主席令第</w:t>
      </w:r>
      <w:r>
        <w:rPr>
          <w:rFonts w:cs="Arial" w:ascii="Arial" w:hAnsi="Arial"/>
          <w:sz w:val="21"/>
          <w:szCs w:val="21"/>
        </w:rPr>
        <w:t>8</w:t>
      </w:r>
      <w:r>
        <w:rPr>
          <w:rFonts w:ascii="Arial" w:hAnsi="Arial" w:cs="Arial"/>
          <w:sz w:val="21"/>
          <w:szCs w:val="21"/>
        </w:rPr>
        <w:t>号公布，自</w:t>
      </w:r>
      <w:r>
        <w:rPr>
          <w:rFonts w:cs="Arial" w:ascii="Arial" w:hAnsi="Arial"/>
          <w:sz w:val="21"/>
          <w:szCs w:val="21"/>
        </w:rPr>
        <w:t>1999</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r>
        <w:rPr>
          <w:rFonts w:cs="Arial" w:ascii="Arial" w:hAnsi="Arial"/>
          <w:sz w:val="21"/>
          <w:szCs w:val="21"/>
        </w:rPr>
        <w:t>2004</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28</w:t>
      </w:r>
      <w:r>
        <w:rPr>
          <w:rFonts w:ascii="Arial" w:hAnsi="Arial" w:cs="Arial"/>
          <w:sz w:val="21"/>
          <w:szCs w:val="21"/>
        </w:rPr>
        <w:t>日第十届全国人民代表大会常务委员会第十一次会议第二次修正通过，中华人民共和国主席令第</w:t>
      </w:r>
      <w:r>
        <w:rPr>
          <w:rFonts w:cs="Arial" w:ascii="Arial" w:hAnsi="Arial"/>
          <w:sz w:val="21"/>
          <w:szCs w:val="21"/>
        </w:rPr>
        <w:t>28</w:t>
      </w:r>
      <w:r>
        <w:rPr>
          <w:rFonts w:ascii="Arial" w:hAnsi="Arial" w:cs="Arial"/>
          <w:sz w:val="21"/>
          <w:szCs w:val="21"/>
        </w:rPr>
        <w:t>号公布，自公布起日起施行；</w:t>
      </w:r>
      <w:r>
        <w:rPr>
          <w:rFonts w:cs="Arial" w:ascii="Arial" w:hAnsi="Arial"/>
          <w:sz w:val="21"/>
          <w:szCs w:val="21"/>
        </w:rPr>
        <w:t>2019</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26</w:t>
      </w:r>
      <w:r>
        <w:rPr>
          <w:rFonts w:ascii="Arial" w:hAnsi="Arial" w:cs="Arial"/>
          <w:sz w:val="21"/>
          <w:szCs w:val="21"/>
        </w:rPr>
        <w:t>日第十三届全国人民代表大会常务委员会第十二次会议第三次修正通过，自</w:t>
      </w:r>
      <w:r>
        <w:rPr>
          <w:rFonts w:cs="Arial" w:ascii="Arial" w:hAnsi="Arial"/>
          <w:sz w:val="21"/>
          <w:szCs w:val="21"/>
        </w:rPr>
        <w:t>2020</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《中华人民共和国资产评估法》（</w:t>
      </w:r>
      <w:r>
        <w:rPr>
          <w:rFonts w:cs="Arial" w:ascii="Arial" w:hAnsi="Arial"/>
          <w:sz w:val="21"/>
          <w:szCs w:val="21"/>
        </w:rPr>
        <w:t>2016</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2</w:t>
      </w:r>
      <w:r>
        <w:rPr>
          <w:rFonts w:ascii="Arial" w:hAnsi="Arial" w:cs="Arial"/>
          <w:sz w:val="21"/>
          <w:szCs w:val="21"/>
        </w:rPr>
        <w:t xml:space="preserve">日第十二届全国人民代表大会常务委员会第二十一次会议通过 </w:t>
      </w:r>
      <w:r>
        <w:rPr>
          <w:rFonts w:cs="Arial" w:ascii="Arial" w:hAnsi="Arial"/>
          <w:sz w:val="21"/>
          <w:szCs w:val="21"/>
        </w:rPr>
        <w:t>2016</w:t>
      </w:r>
      <w:r>
        <w:rPr>
          <w:rFonts w:ascii="Arial" w:hAnsi="Arial" w:cs="Arial"/>
          <w:sz w:val="21"/>
          <w:szCs w:val="21"/>
        </w:rPr>
        <w:t>年</w:t>
      </w:r>
      <w:r>
        <w:rPr>
          <w:rFonts w:cs="Arial" w:ascii="Arial" w:hAnsi="Arial"/>
          <w:sz w:val="21"/>
          <w:szCs w:val="21"/>
        </w:rPr>
        <w:t>3</w:t>
      </w:r>
      <w:r>
        <w:rPr>
          <w:rFonts w:ascii="Arial" w:hAnsi="Arial" w:cs="Arial"/>
          <w:sz w:val="21"/>
          <w:szCs w:val="21"/>
        </w:rPr>
        <w:t>月</w:t>
      </w:r>
      <w:r>
        <w:rPr>
          <w:rFonts w:cs="Arial" w:ascii="Arial" w:hAnsi="Arial"/>
          <w:sz w:val="21"/>
          <w:szCs w:val="21"/>
        </w:rPr>
        <w:t>16</w:t>
      </w:r>
      <w:r>
        <w:rPr>
          <w:rFonts w:ascii="Arial" w:hAnsi="Arial" w:cs="Arial"/>
          <w:sz w:val="21"/>
          <w:szCs w:val="21"/>
        </w:rPr>
        <w:t>日中华人民共和国主席令第</w:t>
      </w:r>
      <w:r>
        <w:rPr>
          <w:rFonts w:cs="Arial" w:ascii="Arial" w:hAnsi="Arial"/>
          <w:sz w:val="21"/>
          <w:szCs w:val="21"/>
        </w:rPr>
        <w:t>46</w:t>
      </w:r>
      <w:r>
        <w:rPr>
          <w:rFonts w:ascii="Arial" w:hAnsi="Arial" w:cs="Arial"/>
          <w:sz w:val="21"/>
          <w:szCs w:val="21"/>
        </w:rPr>
        <w:t>号公布 自</w:t>
      </w:r>
      <w:r>
        <w:rPr>
          <w:rFonts w:cs="Arial" w:ascii="Arial" w:hAnsi="Arial"/>
          <w:sz w:val="21"/>
          <w:szCs w:val="21"/>
        </w:rPr>
        <w:t>2016</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3.</w:t>
      </w:r>
      <w:r>
        <w:rPr>
          <w:rFonts w:ascii="Arial" w:hAnsi="Arial" w:cs="Arial"/>
          <w:sz w:val="21"/>
          <w:szCs w:val="21"/>
        </w:rPr>
        <w:t>《中华人民共和国城镇国有土地使用权出让和转让暂行条例》（一九九０年五月十九日中华人民共和国国务院令第五十五号发布　自发布之日起施行）</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 xml:space="preserve">4. </w:t>
      </w:r>
      <w:r>
        <w:rPr>
          <w:rFonts w:ascii="Arial" w:hAnsi="Arial" w:cs="Arial"/>
          <w:sz w:val="21"/>
          <w:szCs w:val="21"/>
        </w:rPr>
        <w:t>《中华人民共和国民法典》（</w:t>
      </w:r>
      <w:r>
        <w:rPr>
          <w:rFonts w:cs="Arial" w:ascii="Arial" w:hAnsi="Arial"/>
          <w:sz w:val="21"/>
          <w:szCs w:val="21"/>
        </w:rPr>
        <w:t>2020</w:t>
      </w:r>
      <w:r>
        <w:rPr>
          <w:rFonts w:ascii="Arial" w:hAnsi="Arial" w:cs="Arial"/>
          <w:sz w:val="21"/>
          <w:szCs w:val="21"/>
        </w:rPr>
        <w:t>年</w:t>
      </w:r>
      <w:r>
        <w:rPr>
          <w:rFonts w:cs="Arial" w:ascii="Arial" w:hAnsi="Arial"/>
          <w:sz w:val="21"/>
          <w:szCs w:val="21"/>
        </w:rPr>
        <w:t>5</w:t>
      </w:r>
      <w:r>
        <w:rPr>
          <w:rFonts w:ascii="Arial" w:hAnsi="Arial" w:cs="Arial"/>
          <w:sz w:val="21"/>
          <w:szCs w:val="21"/>
        </w:rPr>
        <w:t>月</w:t>
      </w:r>
      <w:r>
        <w:rPr>
          <w:rFonts w:cs="Arial" w:ascii="Arial" w:hAnsi="Arial"/>
          <w:sz w:val="21"/>
          <w:szCs w:val="21"/>
        </w:rPr>
        <w:t>28</w:t>
      </w:r>
      <w:r>
        <w:rPr>
          <w:rFonts w:ascii="Arial" w:hAnsi="Arial" w:cs="Arial"/>
          <w:sz w:val="21"/>
          <w:szCs w:val="21"/>
        </w:rPr>
        <w:t>日第十三届全国人大三次会议表决通过，自</w:t>
      </w:r>
      <w:r>
        <w:rPr>
          <w:rFonts w:cs="Arial" w:ascii="Arial" w:hAnsi="Arial"/>
          <w:sz w:val="21"/>
          <w:szCs w:val="21"/>
        </w:rPr>
        <w:t>2021</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5.</w:t>
      </w:r>
      <w:r>
        <w:rPr>
          <w:rFonts w:ascii="Arial" w:hAnsi="Arial" w:cs="Arial"/>
          <w:sz w:val="21"/>
          <w:szCs w:val="21"/>
        </w:rPr>
        <w:t>《中华人民共和国城市房地产管理法》（</w:t>
      </w:r>
      <w:r>
        <w:rPr>
          <w:rFonts w:cs="Arial" w:ascii="Arial" w:hAnsi="Arial"/>
          <w:sz w:val="21"/>
          <w:szCs w:val="21"/>
        </w:rPr>
        <w:t>1994</w:t>
      </w:r>
      <w:r>
        <w:rPr>
          <w:rFonts w:ascii="Arial" w:hAnsi="Arial" w:cs="Arial"/>
          <w:sz w:val="21"/>
          <w:szCs w:val="21"/>
        </w:rPr>
        <w:t>年</w:t>
      </w:r>
      <w:r>
        <w:rPr>
          <w:rFonts w:cs="Arial" w:ascii="Arial" w:hAnsi="Arial"/>
          <w:sz w:val="21"/>
          <w:szCs w:val="21"/>
        </w:rPr>
        <w:t>7</w:t>
      </w:r>
      <w:r>
        <w:rPr>
          <w:rFonts w:ascii="Arial" w:hAnsi="Arial" w:cs="Arial"/>
          <w:sz w:val="21"/>
          <w:szCs w:val="21"/>
        </w:rPr>
        <w:t>月</w:t>
      </w:r>
      <w:r>
        <w:rPr>
          <w:rFonts w:cs="Arial" w:ascii="Arial" w:hAnsi="Arial"/>
          <w:sz w:val="21"/>
          <w:szCs w:val="21"/>
        </w:rPr>
        <w:t>5</w:t>
      </w:r>
      <w:r>
        <w:rPr>
          <w:rFonts w:ascii="Arial" w:hAnsi="Arial" w:cs="Arial"/>
          <w:sz w:val="21"/>
          <w:szCs w:val="21"/>
        </w:rPr>
        <w:t>日第八届全国人民代表大会常务委员会第八次会议通过，中华人民共和国主席令第</w:t>
      </w:r>
      <w:r>
        <w:rPr>
          <w:rFonts w:cs="Arial" w:ascii="Arial" w:hAnsi="Arial"/>
          <w:sz w:val="21"/>
          <w:szCs w:val="21"/>
        </w:rPr>
        <w:t>29</w:t>
      </w:r>
      <w:r>
        <w:rPr>
          <w:rFonts w:ascii="Arial" w:hAnsi="Arial" w:cs="Arial"/>
          <w:sz w:val="21"/>
          <w:szCs w:val="21"/>
        </w:rPr>
        <w:t>号公布，自</w:t>
      </w:r>
      <w:r>
        <w:rPr>
          <w:rFonts w:cs="Arial" w:ascii="Arial" w:hAnsi="Arial"/>
          <w:sz w:val="21"/>
          <w:szCs w:val="21"/>
        </w:rPr>
        <w:t>1995</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r>
        <w:rPr>
          <w:rFonts w:cs="Arial" w:ascii="Arial" w:hAnsi="Arial"/>
          <w:sz w:val="21"/>
          <w:szCs w:val="21"/>
        </w:rPr>
        <w:t>2007</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30</w:t>
      </w:r>
      <w:r>
        <w:rPr>
          <w:rFonts w:ascii="Arial" w:hAnsi="Arial" w:cs="Arial"/>
          <w:sz w:val="21"/>
          <w:szCs w:val="21"/>
        </w:rPr>
        <w:t>日第十届全国人民代表大会常务委员会第二十九次会议通过第一次修正通过，中华人民共和国主席令第</w:t>
      </w:r>
      <w:r>
        <w:rPr>
          <w:rFonts w:cs="Arial" w:ascii="Arial" w:hAnsi="Arial"/>
          <w:sz w:val="21"/>
          <w:szCs w:val="21"/>
        </w:rPr>
        <w:t>72</w:t>
      </w:r>
      <w:r>
        <w:rPr>
          <w:rFonts w:ascii="Arial" w:hAnsi="Arial" w:cs="Arial"/>
          <w:sz w:val="21"/>
          <w:szCs w:val="21"/>
        </w:rPr>
        <w:t>号公布，自公布之日起施行；</w:t>
      </w:r>
      <w:r>
        <w:rPr>
          <w:rFonts w:cs="Arial" w:ascii="Arial" w:hAnsi="Arial"/>
          <w:sz w:val="21"/>
          <w:szCs w:val="21"/>
        </w:rPr>
        <w:t>2009</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27</w:t>
      </w:r>
      <w:r>
        <w:rPr>
          <w:rFonts w:ascii="Arial" w:hAnsi="Arial" w:cs="Arial"/>
          <w:sz w:val="21"/>
          <w:szCs w:val="21"/>
        </w:rPr>
        <w:t>日第十一届全国人民代表大会常务委员会第十次会议第二次修正通过，中华人民共和国主席令第</w:t>
      </w:r>
      <w:r>
        <w:rPr>
          <w:rFonts w:cs="Arial" w:ascii="Arial" w:hAnsi="Arial"/>
          <w:sz w:val="21"/>
          <w:szCs w:val="21"/>
        </w:rPr>
        <w:t>18</w:t>
      </w:r>
      <w:r>
        <w:rPr>
          <w:rFonts w:ascii="Arial" w:hAnsi="Arial" w:cs="Arial"/>
          <w:sz w:val="21"/>
          <w:szCs w:val="21"/>
        </w:rPr>
        <w:t>号公布，自公布之日起施行；</w:t>
      </w:r>
      <w:r>
        <w:rPr>
          <w:rFonts w:cs="Arial" w:ascii="Arial" w:hAnsi="Arial"/>
          <w:sz w:val="21"/>
          <w:szCs w:val="21"/>
        </w:rPr>
        <w:t>2019</w:t>
      </w:r>
      <w:r>
        <w:rPr>
          <w:rFonts w:ascii="Arial" w:hAnsi="Arial" w:cs="Arial"/>
          <w:sz w:val="21"/>
          <w:szCs w:val="21"/>
        </w:rPr>
        <w:t>年</w:t>
      </w:r>
      <w:r>
        <w:rPr>
          <w:rFonts w:cs="Arial" w:ascii="Arial" w:hAnsi="Arial"/>
          <w:sz w:val="21"/>
          <w:szCs w:val="21"/>
        </w:rPr>
        <w:t>8</w:t>
      </w:r>
      <w:r>
        <w:rPr>
          <w:rFonts w:ascii="Arial" w:hAnsi="Arial" w:cs="Arial"/>
          <w:sz w:val="21"/>
          <w:szCs w:val="21"/>
        </w:rPr>
        <w:t>月</w:t>
      </w:r>
      <w:r>
        <w:rPr>
          <w:rFonts w:cs="Arial" w:ascii="Arial" w:hAnsi="Arial"/>
          <w:sz w:val="21"/>
          <w:szCs w:val="21"/>
        </w:rPr>
        <w:t>26</w:t>
      </w:r>
      <w:r>
        <w:rPr>
          <w:rFonts w:ascii="Arial" w:hAnsi="Arial" w:cs="Arial"/>
          <w:sz w:val="21"/>
          <w:szCs w:val="21"/>
        </w:rPr>
        <w:t>日第十三届全国人大常委会第十二次会议通过第三次修正，自</w:t>
      </w:r>
      <w:r>
        <w:rPr>
          <w:rFonts w:cs="Arial" w:ascii="Arial" w:hAnsi="Arial"/>
          <w:sz w:val="21"/>
          <w:szCs w:val="21"/>
        </w:rPr>
        <w:t>2020</w:t>
      </w:r>
      <w:r>
        <w:rPr>
          <w:rFonts w:ascii="Arial" w:hAnsi="Arial" w:cs="Arial"/>
          <w:sz w:val="21"/>
          <w:szCs w:val="21"/>
        </w:rPr>
        <w:t>年</w:t>
      </w:r>
      <w:r>
        <w:rPr>
          <w:rFonts w:cs="Arial" w:ascii="Arial" w:hAnsi="Arial"/>
          <w:sz w:val="21"/>
          <w:szCs w:val="21"/>
        </w:rPr>
        <w:t>1</w:t>
      </w:r>
      <w:r>
        <w:rPr>
          <w:rFonts w:ascii="Arial" w:hAnsi="Arial" w:cs="Arial"/>
          <w:sz w:val="21"/>
          <w:szCs w:val="21"/>
        </w:rPr>
        <w:t>月</w:t>
      </w:r>
      <w:r>
        <w:rPr>
          <w:rFonts w:cs="Arial" w:ascii="Arial" w:hAnsi="Arial"/>
          <w:sz w:val="21"/>
          <w:szCs w:val="21"/>
        </w:rPr>
        <w:t>1</w:t>
      </w:r>
      <w:r>
        <w:rPr>
          <w:rFonts w:ascii="Arial" w:hAnsi="Arial" w:cs="Arial"/>
          <w:sz w:val="21"/>
          <w:szCs w:val="21"/>
        </w:rPr>
        <w:t>日起施行）</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6.</w:t>
      </w:r>
      <w:r>
        <w:rPr>
          <w:rFonts w:ascii="Arial" w:hAnsi="Arial" w:cs="Arial"/>
          <w:sz w:val="21"/>
          <w:szCs w:val="21"/>
        </w:rPr>
        <w:t>住房和城乡建设部等六部委《关于试点城市发展共有产权性质政策性商品住房的指导意见》（建保〔</w:t>
      </w:r>
      <w:r>
        <w:rPr>
          <w:rFonts w:cs="Arial" w:ascii="Arial" w:hAnsi="Arial"/>
          <w:sz w:val="21"/>
          <w:szCs w:val="21"/>
        </w:rPr>
        <w:t>2014</w:t>
      </w:r>
      <w:r>
        <w:rPr>
          <w:rFonts w:ascii="Arial" w:hAnsi="Arial" w:cs="Arial"/>
          <w:sz w:val="21"/>
          <w:szCs w:val="21"/>
        </w:rPr>
        <w:t>〕</w:t>
      </w:r>
      <w:r>
        <w:rPr>
          <w:rFonts w:cs="Arial" w:ascii="Arial" w:hAnsi="Arial"/>
          <w:sz w:val="21"/>
          <w:szCs w:val="21"/>
        </w:rPr>
        <w:t>174</w:t>
      </w:r>
      <w:r>
        <w:rPr>
          <w:rFonts w:ascii="Arial" w:hAnsi="Arial" w:cs="Arial"/>
          <w:sz w:val="21"/>
          <w:szCs w:val="21"/>
        </w:rPr>
        <w:t>号）</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7.</w:t>
      </w:r>
      <w:r>
        <w:rPr>
          <w:rFonts w:ascii="Arial" w:hAnsi="Arial" w:cs="Arial"/>
          <w:sz w:val="21"/>
          <w:szCs w:val="21"/>
        </w:rPr>
        <w:t>《北京市共有产权住房管理暂行办法》（京建法〔</w:t>
      </w:r>
      <w:r>
        <w:rPr>
          <w:rFonts w:cs="Arial" w:ascii="Arial" w:hAnsi="Arial"/>
          <w:sz w:val="21"/>
          <w:szCs w:val="21"/>
        </w:rPr>
        <w:t>2017</w:t>
      </w:r>
      <w:r>
        <w:rPr>
          <w:rFonts w:ascii="Arial" w:hAnsi="Arial" w:cs="Arial"/>
          <w:sz w:val="21"/>
          <w:szCs w:val="21"/>
        </w:rPr>
        <w:t>〕</w:t>
      </w:r>
      <w:r>
        <w:rPr>
          <w:rFonts w:cs="Arial" w:ascii="Arial" w:hAnsi="Arial"/>
          <w:sz w:val="21"/>
          <w:szCs w:val="21"/>
        </w:rPr>
        <w:t>16</w:t>
      </w:r>
      <w:r>
        <w:rPr>
          <w:rFonts w:ascii="Arial" w:hAnsi="Arial" w:cs="Arial"/>
          <w:sz w:val="21"/>
          <w:szCs w:val="21"/>
        </w:rPr>
        <w:t>号）</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8.</w:t>
      </w:r>
      <w:r>
        <w:rPr>
          <w:rFonts w:ascii="Arial" w:hAnsi="Arial" w:cs="Arial"/>
          <w:sz w:val="21"/>
          <w:szCs w:val="21"/>
        </w:rPr>
        <w:t>《北京市住房和城乡建设委员会 北京市规划和自然资源委员会关于修订《北京市共有产权住房规划设计宜居建设导则（试行）》的通知》</w:t>
      </w:r>
      <w:r>
        <w:rPr>
          <w:rFonts w:cs="Arial" w:ascii="Arial" w:hAnsi="Arial"/>
          <w:sz w:val="21"/>
          <w:szCs w:val="21"/>
        </w:rPr>
        <w:t>[</w:t>
      </w:r>
      <w:r>
        <w:rPr>
          <w:rFonts w:ascii="Arial" w:hAnsi="Arial" w:cs="Arial"/>
          <w:sz w:val="21"/>
          <w:szCs w:val="21"/>
        </w:rPr>
        <w:t>京建发</w:t>
      </w:r>
      <w:r>
        <w:rPr>
          <w:rFonts w:cs="Arial" w:ascii="Arial" w:hAnsi="Arial"/>
          <w:sz w:val="21"/>
          <w:szCs w:val="21"/>
        </w:rPr>
        <w:t>[2021]416</w:t>
      </w:r>
      <w:r>
        <w:rPr>
          <w:rFonts w:ascii="Arial" w:hAnsi="Arial" w:cs="Arial"/>
          <w:sz w:val="21"/>
          <w:szCs w:val="21"/>
        </w:rPr>
        <w:t>号</w:t>
      </w:r>
      <w:r>
        <w:rPr>
          <w:rFonts w:cs="Arial" w:ascii="Arial" w:hAnsi="Arial"/>
          <w:sz w:val="21"/>
          <w:szCs w:val="21"/>
        </w:rPr>
        <w:t>]</w:t>
      </w:r>
    </w:p>
    <w:p>
      <w:pPr>
        <w:pStyle w:val="Normal"/>
        <w:numPr>
          <w:ilvl w:val="0"/>
          <w:numId w:val="4"/>
        </w:numPr>
        <w:overflowPunct w:val="false"/>
        <w:spacing w:lineRule="auto" w:line="480"/>
        <w:jc w:val="both"/>
        <w:rPr>
          <w:rFonts w:ascii="Arial" w:hAnsi="Arial" w:cs="Arial"/>
          <w:sz w:val="21"/>
          <w:szCs w:val="21"/>
        </w:rPr>
      </w:pPr>
      <w:r>
        <w:rPr>
          <w:rFonts w:ascii="Arial" w:hAnsi="Arial" w:cs="Arial"/>
          <w:b/>
          <w:sz w:val="21"/>
          <w:szCs w:val="21"/>
        </w:rPr>
        <w:t>技术标准</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sz w:val="21"/>
          <w:szCs w:val="21"/>
        </w:rPr>
        <w:t>《房地产估价规范》</w:t>
      </w:r>
      <w:r>
        <w:rPr>
          <w:rFonts w:cs="Arial" w:ascii="Arial" w:hAnsi="Arial"/>
          <w:sz w:val="21"/>
          <w:szCs w:val="21"/>
        </w:rPr>
        <w:t>[</w:t>
      </w:r>
      <w:r>
        <w:rPr>
          <w:rFonts w:cs="Arial" w:ascii="Arial" w:hAnsi="Arial"/>
          <w:bCs/>
          <w:spacing w:val="10"/>
          <w:sz w:val="21"/>
          <w:szCs w:val="21"/>
        </w:rPr>
        <w:t>GB/T 50291-2015</w:t>
      </w:r>
      <w:r>
        <w:rPr>
          <w:rFonts w:cs="Arial" w:ascii="Arial" w:hAnsi="Arial"/>
          <w:sz w:val="21"/>
          <w:szCs w:val="21"/>
        </w:rPr>
        <w:t>]</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《房地产估价基本术语标</w:t>
      </w:r>
      <w:r>
        <w:rPr>
          <w:rFonts w:ascii="Arial" w:hAnsi="Arial" w:cs="Arial"/>
          <w:bCs/>
          <w:spacing w:val="10"/>
          <w:sz w:val="21"/>
          <w:szCs w:val="21"/>
        </w:rPr>
        <w:t>准</w:t>
      </w:r>
      <w:r>
        <w:rPr>
          <w:rFonts w:ascii="Arial" w:hAnsi="Arial" w:cs="Arial"/>
          <w:sz w:val="21"/>
          <w:szCs w:val="21"/>
        </w:rPr>
        <w:t>》</w:t>
      </w:r>
      <w:r>
        <w:rPr>
          <w:rFonts w:cs="Arial" w:ascii="Arial" w:hAnsi="Arial"/>
          <w:bCs/>
          <w:spacing w:val="10"/>
          <w:sz w:val="21"/>
          <w:szCs w:val="21"/>
        </w:rPr>
        <w:t>[GB/T 50899-2013]</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3.</w:t>
      </w:r>
      <w:r>
        <w:rPr>
          <w:rFonts w:ascii="Arial" w:hAnsi="Arial" w:cs="Arial"/>
          <w:sz w:val="21"/>
          <w:szCs w:val="21"/>
        </w:rPr>
        <w:t xml:space="preserve">关于发布《北京市共有产权住房价格评估技术指引》的通知 </w:t>
      </w:r>
      <w:r>
        <w:rPr>
          <w:rFonts w:cs="Arial" w:ascii="Arial" w:hAnsi="Arial"/>
          <w:sz w:val="21"/>
          <w:szCs w:val="21"/>
        </w:rPr>
        <w:t>[</w:t>
      </w:r>
      <w:r>
        <w:rPr>
          <w:rFonts w:ascii="Arial" w:hAnsi="Arial" w:cs="Arial"/>
          <w:sz w:val="21"/>
          <w:szCs w:val="21"/>
        </w:rPr>
        <w:t>北估秘</w:t>
      </w:r>
      <w:r>
        <w:rPr>
          <w:rFonts w:cs="Arial" w:ascii="Arial" w:hAnsi="Arial"/>
          <w:sz w:val="21"/>
          <w:szCs w:val="21"/>
        </w:rPr>
        <w:t>[2023]002</w:t>
      </w:r>
      <w:r>
        <w:rPr>
          <w:rFonts w:ascii="Arial" w:hAnsi="Arial" w:cs="Arial"/>
          <w:sz w:val="21"/>
          <w:szCs w:val="21"/>
        </w:rPr>
        <w:t>号</w:t>
      </w:r>
      <w:r>
        <w:rPr>
          <w:rFonts w:cs="Arial" w:ascii="Arial" w:hAnsi="Arial"/>
          <w:sz w:val="21"/>
          <w:szCs w:val="21"/>
        </w:rPr>
        <w:t>]</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4.</w:t>
      </w:r>
      <w:r>
        <w:rPr>
          <w:rFonts w:ascii="Arial" w:hAnsi="Arial" w:cs="Arial"/>
          <w:sz w:val="21"/>
          <w:szCs w:val="21"/>
        </w:rPr>
        <w:t xml:space="preserve">《关于发布《北京市公共租赁住房项目市场租金评估技术指引》的通知》 </w:t>
      </w:r>
      <w:r>
        <w:rPr>
          <w:rFonts w:cs="Arial" w:ascii="Arial" w:hAnsi="Arial"/>
          <w:sz w:val="21"/>
          <w:szCs w:val="21"/>
        </w:rPr>
        <w:t>[</w:t>
      </w:r>
      <w:r>
        <w:rPr>
          <w:rFonts w:ascii="Arial" w:hAnsi="Arial" w:cs="Arial"/>
          <w:sz w:val="21"/>
          <w:szCs w:val="21"/>
        </w:rPr>
        <w:t>北估秘</w:t>
      </w:r>
      <w:r>
        <w:rPr>
          <w:rFonts w:cs="Arial" w:ascii="Arial" w:hAnsi="Arial"/>
          <w:sz w:val="21"/>
          <w:szCs w:val="21"/>
        </w:rPr>
        <w:t>[2019]020</w:t>
      </w:r>
      <w:r>
        <w:rPr>
          <w:rFonts w:ascii="Arial" w:hAnsi="Arial" w:cs="Arial"/>
          <w:sz w:val="21"/>
          <w:szCs w:val="21"/>
        </w:rPr>
        <w:t>号</w:t>
      </w:r>
      <w:r>
        <w:rPr>
          <w:rFonts w:cs="Arial" w:ascii="Arial" w:hAnsi="Arial"/>
          <w:sz w:val="21"/>
          <w:szCs w:val="21"/>
        </w:rPr>
        <w:t>]</w:t>
      </w:r>
    </w:p>
    <w:p>
      <w:pPr>
        <w:pStyle w:val="Normal"/>
        <w:overflowPunct w:val="false"/>
        <w:spacing w:lineRule="auto" w:line="480"/>
        <w:jc w:val="both"/>
        <w:rPr>
          <w:rFonts w:ascii="Arial" w:hAnsi="Arial" w:cs="Arial"/>
          <w:b/>
          <w:b/>
          <w:sz w:val="21"/>
          <w:szCs w:val="21"/>
        </w:rPr>
      </w:pPr>
      <w:r>
        <w:rPr>
          <w:rFonts w:ascii="Arial" w:hAnsi="Arial" w:cs="Arial"/>
          <w:b/>
          <w:sz w:val="21"/>
          <w:szCs w:val="21"/>
        </w:rPr>
        <w:t>（三）估价委托人提供的资料</w:t>
      </w:r>
    </w:p>
    <w:p>
      <w:pPr>
        <w:pStyle w:val="Normal"/>
        <w:overflowPunct w:val="false"/>
        <w:spacing w:lineRule="auto" w:line="480"/>
        <w:ind w:firstLine="420"/>
        <w:jc w:val="both"/>
        <w:rPr>
          <w:rFonts w:ascii="Arial" w:hAnsi="Arial" w:cs="Arial"/>
          <w:sz w:val="21"/>
          <w:szCs w:val="21"/>
        </w:rPr>
      </w:pPr>
      <w:r>
        <w:rPr>
          <w:rFonts w:cs="Arial" w:ascii="Arial" w:hAnsi="Arial"/>
          <w:sz w:val="21"/>
          <w:szCs w:val="21"/>
          <w:highlight w:val="yellow"/>
        </w:rPr>
        <w:t>1.</w:t>
      </w:r>
      <w:r>
        <w:rPr>
          <w:rFonts w:ascii="Arial" w:hAnsi="Arial" w:cs="Arial"/>
          <w:sz w:val="21"/>
          <w:szCs w:val="21"/>
          <w:highlight w:val="yellow"/>
        </w:rPr>
        <w:t>《估价委托书》及附表</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《关于房山区拱辰街道</w:t>
      </w:r>
      <w:r>
        <w:rPr>
          <w:rFonts w:cs="Arial" w:ascii="Arial" w:hAnsi="Arial"/>
          <w:sz w:val="21"/>
          <w:szCs w:val="21"/>
        </w:rPr>
        <w:t>FS00-LX09-6001</w:t>
      </w:r>
      <w:r>
        <w:rPr>
          <w:rFonts w:ascii="Arial" w:hAnsi="Arial" w:cs="Arial"/>
          <w:sz w:val="21"/>
          <w:szCs w:val="21"/>
        </w:rPr>
        <w:t>地块</w:t>
      </w:r>
      <w:r>
        <w:rPr>
          <w:rFonts w:cs="Arial" w:ascii="Arial" w:hAnsi="Arial"/>
          <w:sz w:val="21"/>
          <w:szCs w:val="21"/>
        </w:rPr>
        <w:t>R2</w:t>
      </w:r>
      <w:r>
        <w:rPr>
          <w:rFonts w:ascii="Arial" w:hAnsi="Arial" w:cs="Arial"/>
          <w:sz w:val="21"/>
          <w:szCs w:val="21"/>
        </w:rPr>
        <w:t>二类居住用地、</w:t>
      </w:r>
      <w:r>
        <w:rPr>
          <w:rFonts w:cs="Arial" w:ascii="Arial" w:hAnsi="Arial"/>
          <w:sz w:val="21"/>
          <w:szCs w:val="21"/>
        </w:rPr>
        <w:t>FS00-LX09-6003</w:t>
      </w:r>
      <w:r>
        <w:rPr>
          <w:rFonts w:ascii="Arial" w:hAnsi="Arial" w:cs="Arial"/>
          <w:sz w:val="21"/>
          <w:szCs w:val="21"/>
        </w:rPr>
        <w:t>地块</w:t>
      </w:r>
      <w:r>
        <w:rPr>
          <w:rFonts w:cs="Arial" w:ascii="Arial" w:hAnsi="Arial"/>
          <w:sz w:val="21"/>
          <w:szCs w:val="21"/>
        </w:rPr>
        <w:t>A33</w:t>
      </w:r>
      <w:r>
        <w:rPr>
          <w:rFonts w:ascii="Arial" w:hAnsi="Arial" w:cs="Arial"/>
          <w:sz w:val="21"/>
          <w:szCs w:val="21"/>
        </w:rPr>
        <w:t>基础教育用地项目“多规合一”协同平台综合会商意见的函》</w:t>
      </w:r>
      <w:r>
        <w:rPr>
          <w:rFonts w:cs="Arial" w:ascii="Arial" w:hAnsi="Arial"/>
          <w:sz w:val="21"/>
          <w:szCs w:val="21"/>
        </w:rPr>
        <w:t>[</w:t>
      </w:r>
      <w:r>
        <w:rPr>
          <w:rFonts w:ascii="Arial" w:hAnsi="Arial" w:cs="Arial"/>
          <w:sz w:val="21"/>
          <w:szCs w:val="21"/>
        </w:rPr>
        <w:t>京规自（房）综审函</w:t>
      </w:r>
      <w:r>
        <w:rPr>
          <w:rFonts w:cs="Arial" w:ascii="Arial" w:hAnsi="Arial"/>
          <w:sz w:val="21"/>
          <w:szCs w:val="21"/>
        </w:rPr>
        <w:t>[2020]0027</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3.</w:t>
      </w:r>
      <w:r>
        <w:rPr>
          <w:rFonts w:ascii="Arial" w:hAnsi="Arial" w:cs="Arial"/>
          <w:sz w:val="21"/>
          <w:szCs w:val="21"/>
        </w:rPr>
        <w:t>《建设工程规划许可证》</w:t>
      </w:r>
      <w:r>
        <w:rPr>
          <w:rFonts w:cs="Arial" w:ascii="Arial" w:hAnsi="Arial"/>
          <w:sz w:val="21"/>
          <w:szCs w:val="21"/>
        </w:rPr>
        <w:t>[2020</w:t>
      </w:r>
      <w:r>
        <w:rPr>
          <w:rFonts w:ascii="Arial" w:hAnsi="Arial" w:cs="Arial"/>
          <w:sz w:val="21"/>
          <w:szCs w:val="21"/>
        </w:rPr>
        <w:t>规自（房）建字</w:t>
      </w:r>
      <w:r>
        <w:rPr>
          <w:rFonts w:cs="Arial" w:ascii="Arial" w:hAnsi="Arial"/>
          <w:sz w:val="21"/>
          <w:szCs w:val="21"/>
        </w:rPr>
        <w:t>0021</w:t>
      </w:r>
      <w:r>
        <w:rPr>
          <w:rFonts w:ascii="Arial" w:hAnsi="Arial" w:cs="Arial"/>
          <w:sz w:val="21"/>
          <w:szCs w:val="21"/>
        </w:rPr>
        <w:t>、</w:t>
      </w:r>
      <w:r>
        <w:rPr>
          <w:rFonts w:cs="Arial" w:ascii="Arial" w:hAnsi="Arial"/>
          <w:sz w:val="21"/>
          <w:szCs w:val="21"/>
        </w:rPr>
        <w:t>0024</w:t>
      </w:r>
      <w:r>
        <w:rPr>
          <w:rFonts w:ascii="Arial" w:hAnsi="Arial" w:cs="Arial"/>
          <w:sz w:val="21"/>
          <w:szCs w:val="21"/>
        </w:rPr>
        <w:t>、</w:t>
      </w:r>
      <w:r>
        <w:rPr>
          <w:rFonts w:cs="Arial" w:ascii="Arial" w:hAnsi="Arial"/>
          <w:sz w:val="21"/>
          <w:szCs w:val="21"/>
        </w:rPr>
        <w:t>0046</w:t>
      </w:r>
      <w:r>
        <w:rPr>
          <w:rFonts w:ascii="Arial" w:hAnsi="Arial" w:cs="Arial"/>
          <w:sz w:val="21"/>
          <w:szCs w:val="21"/>
        </w:rPr>
        <w:t>、</w:t>
      </w:r>
      <w:r>
        <w:rPr>
          <w:rFonts w:cs="Arial" w:ascii="Arial" w:hAnsi="Arial"/>
          <w:sz w:val="21"/>
          <w:szCs w:val="21"/>
        </w:rPr>
        <w:t>0047</w:t>
      </w:r>
      <w:r>
        <w:rPr>
          <w:rFonts w:ascii="Arial" w:hAnsi="Arial" w:cs="Arial"/>
          <w:sz w:val="21"/>
          <w:szCs w:val="21"/>
        </w:rPr>
        <w:t>号</w:t>
      </w:r>
      <w:r>
        <w:rPr>
          <w:rFonts w:cs="Arial" w:ascii="Arial" w:hAnsi="Arial"/>
          <w:sz w:val="21"/>
          <w:szCs w:val="21"/>
        </w:rPr>
        <w:t>]</w:t>
      </w:r>
      <w:r>
        <w:rPr>
          <w:rFonts w:ascii="Arial" w:hAnsi="Arial" w:cs="Arial"/>
          <w:sz w:val="21"/>
          <w:szCs w:val="21"/>
        </w:rPr>
        <w:t>及附件复印件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4.</w:t>
      </w:r>
      <w:r>
        <w:rPr>
          <w:rFonts w:ascii="Arial" w:hAnsi="Arial" w:cs="Arial"/>
          <w:sz w:val="21"/>
          <w:szCs w:val="21"/>
        </w:rPr>
        <w:t>《建筑工程施工许可证》</w:t>
      </w:r>
      <w:r>
        <w:rPr>
          <w:rFonts w:cs="Arial" w:ascii="Arial" w:hAnsi="Arial"/>
          <w:sz w:val="21"/>
          <w:szCs w:val="21"/>
        </w:rPr>
        <w:t>[</w:t>
      </w:r>
      <w:r>
        <w:rPr>
          <w:rFonts w:ascii="Arial" w:hAnsi="Arial" w:cs="Arial"/>
          <w:sz w:val="21"/>
          <w:szCs w:val="21"/>
        </w:rPr>
        <w:t>编号：</w:t>
      </w:r>
      <w:r>
        <w:rPr>
          <w:rFonts w:cs="Arial" w:ascii="Arial" w:hAnsi="Arial"/>
          <w:sz w:val="21"/>
          <w:szCs w:val="21"/>
        </w:rPr>
        <w:t>[2020]</w:t>
      </w:r>
      <w:r>
        <w:rPr>
          <w:rFonts w:ascii="Arial" w:hAnsi="Arial" w:cs="Arial"/>
          <w:sz w:val="21"/>
          <w:szCs w:val="21"/>
        </w:rPr>
        <w:t>施</w:t>
      </w:r>
      <w:r>
        <w:rPr>
          <w:rFonts w:cs="Arial" w:ascii="Arial" w:hAnsi="Arial"/>
          <w:sz w:val="21"/>
          <w:szCs w:val="21"/>
        </w:rPr>
        <w:t>[</w:t>
      </w:r>
      <w:r>
        <w:rPr>
          <w:rFonts w:ascii="Arial" w:hAnsi="Arial" w:cs="Arial"/>
          <w:sz w:val="21"/>
          <w:szCs w:val="21"/>
        </w:rPr>
        <w:t>房</w:t>
      </w:r>
      <w:r>
        <w:rPr>
          <w:rFonts w:cs="Arial" w:ascii="Arial" w:hAnsi="Arial"/>
          <w:sz w:val="21"/>
          <w:szCs w:val="21"/>
        </w:rPr>
        <w:t>]</w:t>
      </w:r>
      <w:r>
        <w:rPr>
          <w:rFonts w:ascii="Arial" w:hAnsi="Arial" w:cs="Arial"/>
          <w:sz w:val="21"/>
          <w:szCs w:val="21"/>
        </w:rPr>
        <w:t>建字</w:t>
      </w:r>
      <w:r>
        <w:rPr>
          <w:rFonts w:cs="Arial" w:ascii="Arial" w:hAnsi="Arial"/>
          <w:sz w:val="21"/>
          <w:szCs w:val="21"/>
        </w:rPr>
        <w:t>0071</w:t>
      </w:r>
      <w:r>
        <w:rPr>
          <w:rFonts w:ascii="Arial" w:hAnsi="Arial" w:cs="Arial"/>
          <w:sz w:val="21"/>
          <w:szCs w:val="21"/>
        </w:rPr>
        <w:t>号</w:t>
      </w:r>
      <w:r>
        <w:rPr>
          <w:rFonts w:cs="Arial" w:ascii="Arial" w:hAnsi="Arial"/>
          <w:sz w:val="21"/>
          <w:szCs w:val="21"/>
        </w:rPr>
        <w:t>]</w:t>
      </w:r>
      <w:r>
        <w:rPr>
          <w:rFonts w:ascii="Arial" w:hAnsi="Arial" w:cs="Arial"/>
          <w:sz w:val="21"/>
          <w:szCs w:val="21"/>
        </w:rPr>
        <w:t>及附件复印件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5.</w:t>
      </w:r>
      <w:r>
        <w:rPr>
          <w:rFonts w:ascii="Arial" w:hAnsi="Arial" w:cs="Arial"/>
          <w:sz w:val="21"/>
          <w:szCs w:val="21"/>
        </w:rPr>
        <w:t>《工程竣工验收备案表》</w:t>
      </w:r>
      <w:r>
        <w:rPr>
          <w:rFonts w:cs="Arial" w:ascii="Arial" w:hAnsi="Arial"/>
          <w:sz w:val="21"/>
          <w:szCs w:val="21"/>
        </w:rPr>
        <w:t>[</w:t>
      </w:r>
      <w:r>
        <w:rPr>
          <w:rFonts w:ascii="Arial" w:hAnsi="Arial" w:cs="Arial"/>
          <w:sz w:val="21"/>
          <w:szCs w:val="21"/>
        </w:rPr>
        <w:t>备案编号：</w:t>
      </w:r>
      <w:r>
        <w:rPr>
          <w:rFonts w:cs="Arial" w:ascii="Arial" w:hAnsi="Arial"/>
          <w:sz w:val="21"/>
          <w:szCs w:val="21"/>
        </w:rPr>
        <w:t>0396</w:t>
      </w:r>
      <w:r>
        <w:rPr>
          <w:rFonts w:ascii="Arial" w:hAnsi="Arial" w:cs="Arial"/>
          <w:sz w:val="21"/>
          <w:szCs w:val="21"/>
        </w:rPr>
        <w:t>房竣</w:t>
      </w:r>
      <w:r>
        <w:rPr>
          <w:rFonts w:cs="Arial" w:ascii="Arial" w:hAnsi="Arial"/>
          <w:sz w:val="21"/>
          <w:szCs w:val="21"/>
        </w:rPr>
        <w:t>2023</w:t>
      </w:r>
      <w:r>
        <w:rPr>
          <w:rFonts w:ascii="Arial" w:hAnsi="Arial" w:cs="Arial"/>
          <w:sz w:val="21"/>
          <w:szCs w:val="21"/>
        </w:rPr>
        <w:t>（建）</w:t>
      </w:r>
      <w:r>
        <w:rPr>
          <w:rFonts w:cs="Arial" w:ascii="Arial" w:hAnsi="Arial"/>
          <w:sz w:val="21"/>
          <w:szCs w:val="21"/>
        </w:rPr>
        <w:t>0020</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6.</w:t>
      </w:r>
      <w:r>
        <w:rPr>
          <w:rFonts w:ascii="Arial" w:hAnsi="Arial" w:cs="Arial"/>
          <w:sz w:val="21"/>
          <w:szCs w:val="21"/>
        </w:rPr>
        <w:t>《不动产权证书》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overflowPunct w:val="false"/>
        <w:spacing w:lineRule="auto" w:line="480"/>
        <w:ind w:firstLine="420"/>
        <w:jc w:val="both"/>
        <w:rPr>
          <w:rFonts w:ascii="Arial" w:hAnsi="Arial" w:cs="Arial"/>
          <w:sz w:val="21"/>
          <w:szCs w:val="21"/>
        </w:rPr>
      </w:pPr>
      <w:r>
        <w:rPr>
          <w:rFonts w:cs="Arial" w:ascii="Arial" w:hAnsi="Arial"/>
          <w:kern w:val="2"/>
          <w:sz w:val="21"/>
          <w:szCs w:val="21"/>
        </w:rPr>
        <w:t>7.</w:t>
      </w:r>
      <w:r>
        <w:rPr>
          <w:rFonts w:ascii="Arial" w:hAnsi="Arial" w:cs="Arial"/>
          <w:kern w:val="2"/>
          <w:sz w:val="21"/>
          <w:szCs w:val="21"/>
        </w:rPr>
        <w:t>《轩景家园共有产权房房源表》</w:t>
      </w:r>
      <w:r>
        <w:rPr>
          <w:rFonts w:ascii="Arial" w:hAnsi="Arial" w:cs="Arial"/>
          <w:sz w:val="21"/>
          <w:szCs w:val="21"/>
        </w:rPr>
        <w:t>复印件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8.</w:t>
      </w:r>
      <w:r>
        <w:rPr>
          <w:rFonts w:ascii="Arial" w:hAnsi="Arial" w:cs="Arial"/>
          <w:sz w:val="21"/>
          <w:szCs w:val="21"/>
        </w:rPr>
        <w:t>《北京市门楼牌编号证明信》</w:t>
      </w:r>
      <w:r>
        <w:rPr>
          <w:rFonts w:cs="Arial" w:ascii="Arial" w:hAnsi="Arial"/>
          <w:sz w:val="21"/>
          <w:szCs w:val="21"/>
        </w:rPr>
        <w:t>[(1100)</w:t>
      </w:r>
      <w:r>
        <w:rPr>
          <w:rFonts w:ascii="Arial" w:hAnsi="Arial" w:cs="Arial"/>
          <w:sz w:val="21"/>
          <w:szCs w:val="21"/>
        </w:rPr>
        <w:t>房山分局</w:t>
      </w:r>
      <w:r>
        <w:rPr>
          <w:rFonts w:cs="Arial" w:ascii="Arial" w:hAnsi="Arial"/>
          <w:sz w:val="21"/>
          <w:szCs w:val="21"/>
        </w:rPr>
        <w:t>066</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overflowPunct w:val="false"/>
        <w:spacing w:lineRule="auto" w:line="480"/>
        <w:ind w:firstLine="420"/>
        <w:jc w:val="both"/>
        <w:rPr>
          <w:rFonts w:ascii="Arial" w:hAnsi="Arial" w:cs="Arial"/>
          <w:sz w:val="21"/>
          <w:szCs w:val="21"/>
        </w:rPr>
      </w:pPr>
      <w:r>
        <w:rPr>
          <w:rFonts w:cs="Arial" w:ascii="Arial" w:hAnsi="Arial"/>
          <w:sz w:val="21"/>
          <w:szCs w:val="21"/>
          <w:highlight w:val="yellow"/>
        </w:rPr>
        <w:t>9.</w:t>
      </w:r>
      <w:r>
        <w:rPr>
          <w:rFonts w:ascii="Arial" w:hAnsi="Arial" w:cs="Arial"/>
          <w:sz w:val="21"/>
          <w:szCs w:val="21"/>
          <w:highlight w:val="yellow"/>
        </w:rPr>
        <w:t>估价委托人《营业执照（副本）》复印件</w:t>
      </w:r>
    </w:p>
    <w:p>
      <w:pPr>
        <w:pStyle w:val="Normal"/>
        <w:overflowPunct w:val="false"/>
        <w:spacing w:lineRule="auto" w:line="480"/>
        <w:jc w:val="both"/>
        <w:rPr>
          <w:rFonts w:ascii="Arial" w:hAnsi="Arial" w:cs="Arial"/>
          <w:b/>
          <w:b/>
          <w:sz w:val="21"/>
          <w:szCs w:val="21"/>
        </w:rPr>
      </w:pPr>
      <w:r>
        <w:rPr>
          <w:rFonts w:ascii="Arial" w:hAnsi="Arial" w:cs="Arial"/>
          <w:b/>
          <w:sz w:val="21"/>
          <w:szCs w:val="21"/>
        </w:rPr>
        <w:t>（四）评估专业人员实地查勘的有关资料</w:t>
      </w:r>
    </w:p>
    <w:p>
      <w:pPr>
        <w:pStyle w:val="Normal"/>
        <w:overflowPunct w:val="false"/>
        <w:spacing w:lineRule="auto" w:line="480"/>
        <w:jc w:val="both"/>
        <w:rPr>
          <w:rFonts w:ascii="Arial" w:hAnsi="Arial" w:cs="Arial"/>
          <w:b/>
          <w:b/>
          <w:sz w:val="21"/>
          <w:szCs w:val="21"/>
        </w:rPr>
      </w:pPr>
      <w:r>
        <w:rPr>
          <w:rFonts w:ascii="Arial" w:hAnsi="Arial" w:cs="Arial"/>
          <w:b/>
          <w:sz w:val="21"/>
          <w:szCs w:val="21"/>
        </w:rPr>
        <w:t>（五）房地产估价机构资质证书</w:t>
      </w:r>
    </w:p>
    <w:p>
      <w:pPr>
        <w:pStyle w:val="Normal"/>
        <w:overflowPunct w:val="false"/>
        <w:spacing w:lineRule="auto" w:line="480"/>
        <w:ind w:firstLine="420"/>
        <w:jc w:val="both"/>
        <w:rPr/>
      </w:pPr>
      <w:r>
        <w:rPr/>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28" w:name="_Toc525655426"/>
      <w:bookmarkStart w:id="29" w:name="_Toc168225821"/>
      <w:r>
        <w:rPr>
          <w:rFonts w:eastAsia="宋体"/>
          <w:kern w:val="2"/>
          <w:sz w:val="21"/>
          <w:szCs w:val="21"/>
        </w:rPr>
        <w:t>九、估价方法</w:t>
      </w:r>
      <w:bookmarkEnd w:id="28"/>
      <w:bookmarkEnd w:id="29"/>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由于本次评估是为估价委托人确定共有产权住房项目市场租金提供价格参考依据，因此我们在认真分析研究估价对象的相关资料，并通过对邻近地区同类物业调查的基础上，根据《房地产估价规范》（</w:t>
      </w:r>
      <w:r>
        <w:rPr>
          <w:rFonts w:cs="Arial" w:ascii="Arial" w:hAnsi="Arial"/>
          <w:sz w:val="21"/>
          <w:szCs w:val="21"/>
        </w:rPr>
        <w:t>GB/T 50291-2015</w:t>
      </w:r>
      <w:r>
        <w:rPr>
          <w:rFonts w:ascii="Arial" w:hAnsi="Arial" w:cs="Arial"/>
          <w:sz w:val="21"/>
          <w:szCs w:val="21"/>
        </w:rPr>
        <w:t xml:space="preserve">），参考《关于发布《北京市公共租赁住房项目市场租金评估技术指引》的通知》 </w:t>
      </w:r>
      <w:r>
        <w:rPr>
          <w:rFonts w:cs="Arial" w:ascii="Arial" w:hAnsi="Arial"/>
          <w:sz w:val="21"/>
          <w:szCs w:val="21"/>
        </w:rPr>
        <w:t>[</w:t>
      </w:r>
      <w:r>
        <w:rPr>
          <w:rFonts w:ascii="Arial" w:hAnsi="Arial" w:cs="Arial"/>
          <w:sz w:val="21"/>
          <w:szCs w:val="21"/>
        </w:rPr>
        <w:t>北估秘</w:t>
      </w:r>
      <w:r>
        <w:rPr>
          <w:rFonts w:cs="Arial" w:ascii="Arial" w:hAnsi="Arial"/>
          <w:sz w:val="21"/>
          <w:szCs w:val="21"/>
        </w:rPr>
        <w:t>[2019]020</w:t>
      </w:r>
      <w:r>
        <w:rPr>
          <w:rFonts w:ascii="Arial" w:hAnsi="Arial" w:cs="Arial"/>
          <w:sz w:val="21"/>
          <w:szCs w:val="21"/>
        </w:rPr>
        <w:t>号</w:t>
      </w:r>
      <w:r>
        <w:rPr>
          <w:rFonts w:cs="Arial" w:ascii="Arial" w:hAnsi="Arial"/>
          <w:sz w:val="21"/>
          <w:szCs w:val="21"/>
        </w:rPr>
        <w:t>]</w:t>
      </w:r>
      <w:r>
        <w:rPr>
          <w:rFonts w:ascii="Arial" w:hAnsi="Arial" w:cs="Arial"/>
          <w:sz w:val="21"/>
          <w:szCs w:val="21"/>
        </w:rPr>
        <w:t>的估价程序，选用比较法进行估价，进而确定估价对象市场平均租金价格水平。</w:t>
      </w:r>
    </w:p>
    <w:p>
      <w:pPr>
        <w:pStyle w:val="13"/>
        <w:overflowPunct w:val="false"/>
        <w:spacing w:lineRule="auto" w:line="480"/>
        <w:ind w:right="140" w:hanging="0"/>
        <w:jc w:val="both"/>
        <w:textAlignment w:val="auto"/>
        <w:rPr>
          <w:rFonts w:ascii="Arial" w:hAnsi="Arial" w:cs="Arial"/>
          <w:b/>
          <w:b/>
          <w:sz w:val="21"/>
          <w:szCs w:val="21"/>
        </w:rPr>
      </w:pPr>
      <w:r>
        <w:rPr>
          <w:rFonts w:ascii="Arial" w:hAnsi="Arial" w:cs="Arial"/>
          <w:b/>
          <w:sz w:val="21"/>
          <w:szCs w:val="21"/>
        </w:rPr>
        <w:t xml:space="preserve">（一）估价思路 </w:t>
      </w:r>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本次选用比较法对估价对象的市场租金水平进行测算，具体测算思路如下：</w:t>
      </w:r>
    </w:p>
    <w:p>
      <w:pPr>
        <w:pStyle w:val="13"/>
        <w:overflowPunct w:val="false"/>
        <w:spacing w:lineRule="auto" w:line="480"/>
        <w:ind w:right="140" w:firstLine="420"/>
        <w:jc w:val="both"/>
        <w:textAlignment w:val="auto"/>
        <w:rPr>
          <w:rFonts w:ascii="Arial" w:hAnsi="Arial" w:cs="Arial"/>
          <w:sz w:val="21"/>
          <w:szCs w:val="21"/>
        </w:rPr>
      </w:pPr>
      <w:r>
        <w:rPr>
          <w:rFonts w:cs="宋体"/>
          <w:sz w:val="21"/>
          <w:szCs w:val="21"/>
        </w:rPr>
        <w:t>①</w:t>
      </w:r>
      <w:r>
        <w:rPr>
          <w:rFonts w:ascii="Arial" w:hAnsi="Arial" w:cs="Arial"/>
          <w:sz w:val="21"/>
          <w:szCs w:val="21"/>
        </w:rPr>
        <w:t>首先确定估价对象标准房，在估价对象周边区域选取适当数量住宅小区，结合估价机构监测数据、行业主管部门（北京市房地产市场管理事务中心）监测数据和估价机构市场调查三个方面的批量数据，确定各小区的年平均租赁价格。</w:t>
      </w:r>
    </w:p>
    <w:p>
      <w:pPr>
        <w:pStyle w:val="13"/>
        <w:overflowPunct w:val="false"/>
        <w:spacing w:lineRule="auto" w:line="480"/>
        <w:ind w:right="140" w:firstLine="420"/>
        <w:jc w:val="both"/>
        <w:textAlignment w:val="auto"/>
        <w:rPr>
          <w:rFonts w:ascii="Arial" w:hAnsi="Arial" w:cs="Arial"/>
          <w:sz w:val="21"/>
          <w:szCs w:val="21"/>
        </w:rPr>
      </w:pPr>
      <w:r>
        <w:rPr>
          <w:rFonts w:cs="宋体"/>
          <w:sz w:val="21"/>
          <w:szCs w:val="21"/>
        </w:rPr>
        <w:t>②</w:t>
      </w:r>
      <w:r>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pPr>
        <w:pStyle w:val="13"/>
        <w:overflowPunct w:val="false"/>
        <w:spacing w:lineRule="auto" w:line="480"/>
        <w:ind w:right="140" w:hanging="0"/>
        <w:jc w:val="both"/>
        <w:textAlignment w:val="auto"/>
        <w:rPr>
          <w:rFonts w:ascii="Arial" w:hAnsi="Arial" w:cs="Arial"/>
          <w:b/>
          <w:b/>
          <w:sz w:val="21"/>
          <w:szCs w:val="21"/>
        </w:rPr>
      </w:pPr>
      <w:r>
        <w:rPr>
          <w:rFonts w:ascii="Arial" w:hAnsi="Arial" w:cs="Arial"/>
          <w:b/>
          <w:sz w:val="21"/>
          <w:szCs w:val="21"/>
        </w:rPr>
        <w:t xml:space="preserve">（二）估价方法 </w:t>
      </w:r>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比较法，是在求取估价对象房地产租金水平时，根据替代原则，将估价对象与在较近时期内已发生交易的类似房地产租赁实例进行对照比较，并依据后者已知的价格，参照该房地产的交易情况、期日、区域及实物状况的差别，修正得出估价对象房地产租金水平的方法。本次估价采用比较法思路评估租金价格水平。</w:t>
      </w:r>
    </w:p>
    <w:p>
      <w:pPr>
        <w:pStyle w:val="13"/>
        <w:overflowPunct w:val="false"/>
        <w:spacing w:lineRule="auto" w:line="480"/>
        <w:ind w:right="140" w:firstLine="420"/>
        <w:jc w:val="both"/>
        <w:textAlignment w:val="auto"/>
        <w:rPr>
          <w:rFonts w:ascii="Arial" w:hAnsi="Arial" w:cs="Arial"/>
          <w:sz w:val="21"/>
          <w:szCs w:val="21"/>
        </w:rPr>
      </w:pPr>
      <w:r>
        <w:rPr>
          <w:rFonts w:cs="Arial" w:ascii="Arial" w:hAnsi="Arial"/>
          <w:sz w:val="21"/>
          <w:szCs w:val="21"/>
        </w:rPr>
        <w:t>1.</w:t>
      </w:r>
      <w:r>
        <w:rPr>
          <w:rFonts w:ascii="Arial" w:hAnsi="Arial" w:cs="Arial"/>
          <w:sz w:val="21"/>
          <w:szCs w:val="21"/>
        </w:rPr>
        <w:t>采用比较法的理由：</w:t>
      </w:r>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 xml:space="preserve">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 </w:t>
      </w:r>
    </w:p>
    <w:p>
      <w:pPr>
        <w:pStyle w:val="13"/>
        <w:overflowPunct w:val="false"/>
        <w:spacing w:lineRule="auto" w:line="480"/>
        <w:ind w:right="140" w:firstLine="420"/>
        <w:jc w:val="both"/>
        <w:textAlignment w:val="auto"/>
        <w:rPr>
          <w:rFonts w:ascii="Arial" w:hAnsi="Arial" w:cs="Arial"/>
          <w:sz w:val="21"/>
          <w:szCs w:val="21"/>
        </w:rPr>
      </w:pPr>
      <w:r>
        <w:rPr>
          <w:rFonts w:cs="Arial" w:ascii="Arial" w:hAnsi="Arial"/>
          <w:sz w:val="21"/>
          <w:szCs w:val="21"/>
        </w:rPr>
        <w:t>2.</w:t>
      </w:r>
      <w:r>
        <w:rPr>
          <w:rFonts w:ascii="Arial" w:hAnsi="Arial" w:cs="Arial"/>
          <w:sz w:val="21"/>
          <w:szCs w:val="21"/>
        </w:rPr>
        <w:t>不采用成本法、假设开发法、收益法的理由：</w:t>
      </w:r>
    </w:p>
    <w:p>
      <w:pPr>
        <w:pStyle w:val="13"/>
        <w:overflowPunct w:val="false"/>
        <w:spacing w:lineRule="auto" w:line="480"/>
        <w:ind w:right="140" w:firstLine="420"/>
        <w:jc w:val="both"/>
        <w:textAlignment w:val="auto"/>
        <w:rPr>
          <w:rFonts w:ascii="Arial" w:hAnsi="Arial" w:cs="Arial"/>
          <w:sz w:val="21"/>
          <w:szCs w:val="21"/>
        </w:rPr>
      </w:pPr>
      <w:r>
        <w:rPr>
          <w:rFonts w:cs="宋体"/>
          <w:sz w:val="21"/>
          <w:szCs w:val="21"/>
        </w:rPr>
        <w:t>①</w:t>
      </w:r>
      <w:r>
        <w:rPr>
          <w:rFonts w:ascii="Arial" w:hAnsi="Arial" w:cs="Arial"/>
          <w:sz w:val="21"/>
          <w:szCs w:val="21"/>
        </w:rPr>
        <w:t>成本法和假设开发法可评估房地产市场价值，但不适于租赁价格的评估。</w:t>
      </w:r>
    </w:p>
    <w:p>
      <w:pPr>
        <w:pStyle w:val="13"/>
        <w:overflowPunct w:val="false"/>
        <w:spacing w:lineRule="auto" w:line="480"/>
        <w:ind w:right="140" w:firstLine="420"/>
        <w:jc w:val="both"/>
        <w:textAlignment w:val="auto"/>
        <w:rPr>
          <w:rFonts w:ascii="Arial" w:hAnsi="Arial" w:cs="Arial"/>
          <w:sz w:val="21"/>
          <w:szCs w:val="21"/>
        </w:rPr>
      </w:pPr>
      <w:r>
        <w:rPr>
          <w:rFonts w:cs="宋体"/>
          <w:sz w:val="21"/>
          <w:szCs w:val="21"/>
        </w:rPr>
        <w:t>②</w:t>
      </w:r>
      <w:r>
        <w:rPr>
          <w:rFonts w:ascii="Arial" w:hAnsi="Arial" w:cs="Arial"/>
          <w:sz w:val="21"/>
          <w:szCs w:val="21"/>
        </w:rPr>
        <w:t xml:space="preserve">收益法适用于有现实收益或潜在收益的土地或房地产估价。估价对象用途为共有产权住房，能对外出租，为收益性物业，估价对象虽具有潜在租金收益，租金水平也相对稳定，而由于受到国人传统的购房理念以及固定资产投资、保值需求等的影响，目前估价对象所在区域同类商品房住宅业态租售比差距较大，采用房屋交易价格测算出的房屋租金不能反映正常的市场租金水平，故未采用收益法。 </w:t>
      </w:r>
    </w:p>
    <w:p>
      <w:pPr>
        <w:pStyle w:val="2"/>
        <w:numPr>
          <w:ilvl w:val="0"/>
          <w:numId w:val="0"/>
        </w:numPr>
        <w:overflowPunct w:val="false"/>
        <w:spacing w:lineRule="auto" w:line="480"/>
        <w:ind w:left="358" w:hanging="358"/>
        <w:jc w:val="both"/>
        <w:textAlignment w:val="auto"/>
        <w:rPr>
          <w:rFonts w:eastAsia="宋体"/>
          <w:kern w:val="2"/>
          <w:sz w:val="21"/>
          <w:szCs w:val="21"/>
        </w:rPr>
      </w:pPr>
      <w:bookmarkStart w:id="30" w:name="_Toc168225822"/>
      <w:bookmarkStart w:id="31" w:name="_Toc525655427"/>
      <w:r>
        <w:rPr>
          <w:rFonts w:eastAsia="宋体"/>
          <w:kern w:val="2"/>
          <w:sz w:val="21"/>
          <w:szCs w:val="21"/>
        </w:rPr>
        <w:t>十、估价结果</w:t>
      </w:r>
      <w:bookmarkEnd w:id="30"/>
      <w:bookmarkEnd w:id="31"/>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cs="Arial" w:ascii="Arial" w:hAnsi="Arial"/>
          <w:sz w:val="21"/>
          <w:szCs w:val="21"/>
        </w:rPr>
        <w:t>2023</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5</w:t>
      </w:r>
      <w:r>
        <w:rPr>
          <w:rFonts w:ascii="Arial" w:hAnsi="Arial" w:cs="Arial"/>
          <w:sz w:val="21"/>
          <w:szCs w:val="21"/>
        </w:rPr>
        <w:t>日前</w:t>
      </w:r>
      <w:r>
        <w:rPr>
          <w:rFonts w:cs="Arial" w:ascii="Arial" w:hAnsi="Arial"/>
          <w:sz w:val="21"/>
          <w:szCs w:val="21"/>
        </w:rPr>
        <w:t>12</w:t>
      </w:r>
      <w:r>
        <w:rPr>
          <w:rFonts w:ascii="Arial" w:hAnsi="Arial" w:cs="Arial"/>
          <w:sz w:val="21"/>
          <w:szCs w:val="21"/>
        </w:rPr>
        <w:t xml:space="preserve">个月的平均市场租金水平为： </w:t>
      </w:r>
    </w:p>
    <w:p>
      <w:pPr>
        <w:pStyle w:val="Normal"/>
        <w:overflowPunct w:val="false"/>
        <w:spacing w:lineRule="auto" w:line="480"/>
        <w:ind w:firstLine="422"/>
        <w:rPr>
          <w:rFonts w:ascii="Arial" w:hAnsi="Arial" w:cs="Arial"/>
          <w:b/>
          <w:b/>
          <w:bCs/>
          <w:sz w:val="21"/>
          <w:szCs w:val="21"/>
        </w:rPr>
      </w:pPr>
      <w:r>
        <w:rPr>
          <w:rFonts w:ascii="Arial" w:hAnsi="Arial" w:cs="Arial"/>
          <w:b/>
          <w:bCs/>
          <w:sz w:val="21"/>
          <w:szCs w:val="21"/>
        </w:rPr>
        <w:t>租金单价：</w:t>
      </w:r>
      <w:r>
        <w:rPr>
          <w:rFonts w:cs="Arial" w:ascii="Arial" w:hAnsi="Arial"/>
          <w:b/>
          <w:bCs/>
          <w:sz w:val="21"/>
          <w:szCs w:val="21"/>
        </w:rPr>
        <w:t>41.3</w:t>
      </w:r>
      <w:r>
        <w:rPr>
          <w:rFonts w:ascii="Arial" w:hAnsi="Arial" w:cs="Arial"/>
          <w:b/>
          <w:bCs/>
          <w:sz w:val="21"/>
          <w:szCs w:val="21"/>
        </w:rPr>
        <w:t>元</w:t>
      </w:r>
      <w:r>
        <w:rPr>
          <w:rFonts w:cs="Arial" w:ascii="Arial" w:hAnsi="Arial"/>
          <w:b/>
          <w:bCs/>
          <w:sz w:val="21"/>
          <w:szCs w:val="21"/>
        </w:rPr>
        <w:t>/</w:t>
      </w:r>
      <w:r>
        <w:rPr>
          <w:rFonts w:ascii="Arial" w:hAnsi="Arial" w:cs="Arial"/>
          <w:b/>
          <w:bCs/>
          <w:sz w:val="21"/>
          <w:szCs w:val="21"/>
        </w:rPr>
        <w:t>平方米</w:t>
      </w:r>
      <w:r>
        <w:rPr>
          <w:rFonts w:cs="Arial" w:ascii="Arial" w:hAnsi="Arial"/>
          <w:b/>
          <w:bCs/>
          <w:sz w:val="21"/>
          <w:szCs w:val="21"/>
        </w:rPr>
        <w:t>·</w:t>
      </w:r>
      <w:r>
        <w:rPr>
          <w:rFonts w:ascii="Arial" w:hAnsi="Arial" w:cs="Arial"/>
          <w:b/>
          <w:bCs/>
          <w:sz w:val="21"/>
          <w:szCs w:val="21"/>
        </w:rPr>
        <w:t>月（货币种类：人民币）</w:t>
      </w:r>
    </w:p>
    <w:p>
      <w:pPr>
        <w:pStyle w:val="Normal"/>
        <w:overflowPunct w:val="false"/>
        <w:spacing w:lineRule="auto" w:line="480"/>
        <w:ind w:firstLine="360"/>
        <w:jc w:val="both"/>
        <w:rPr>
          <w:rFonts w:ascii="Arial" w:hAnsi="Arial" w:cs="Arial"/>
          <w:sz w:val="18"/>
          <w:szCs w:val="18"/>
        </w:rPr>
      </w:pPr>
      <w:r>
        <w:rPr>
          <w:rFonts w:ascii="Arial" w:hAnsi="Arial" w:cs="Arial"/>
          <w:sz w:val="18"/>
          <w:szCs w:val="18"/>
        </w:rPr>
        <w:t>注：</w:t>
      </w:r>
      <w:r>
        <w:rPr>
          <w:rFonts w:cs="Arial" w:ascii="Arial" w:hAnsi="Arial"/>
          <w:sz w:val="18"/>
          <w:szCs w:val="18"/>
        </w:rPr>
        <w:t>1</w:t>
      </w:r>
      <w:r>
        <w:rPr>
          <w:rFonts w:ascii="Arial" w:hAnsi="Arial" w:cs="Arial"/>
          <w:sz w:val="18"/>
          <w:szCs w:val="18"/>
        </w:rPr>
        <w:t>、评估的详细结果、过程及有关说明，见附后的《估价结果报告》及《估价技术报告》。</w:t>
      </w:r>
    </w:p>
    <w:p>
      <w:pPr>
        <w:pStyle w:val="Normal"/>
        <w:overflowPunct w:val="false"/>
        <w:spacing w:lineRule="auto" w:line="480"/>
        <w:ind w:firstLine="360"/>
        <w:jc w:val="both"/>
        <w:rPr>
          <w:rFonts w:ascii="Arial" w:hAnsi="Arial" w:cs="Arial"/>
          <w:sz w:val="18"/>
          <w:szCs w:val="18"/>
        </w:rPr>
      </w:pPr>
      <w:r>
        <w:rPr>
          <w:rFonts w:ascii="Arial" w:hAnsi="Arial" w:cs="Arial"/>
          <w:sz w:val="18"/>
          <w:szCs w:val="18"/>
        </w:rPr>
        <w:t xml:space="preserve">    </w:t>
      </w:r>
      <w:r>
        <w:rPr>
          <w:rFonts w:cs="Arial" w:ascii="Arial" w:hAnsi="Arial"/>
          <w:sz w:val="18"/>
          <w:szCs w:val="18"/>
        </w:rPr>
        <w:t>2</w:t>
      </w:r>
      <w:r>
        <w:rPr>
          <w:rFonts w:ascii="Arial" w:hAnsi="Arial" w:cs="Arial"/>
          <w:sz w:val="18"/>
          <w:szCs w:val="18"/>
        </w:rPr>
        <w:t>、估价结果为项目同地段、同类型普通住宅前</w:t>
      </w:r>
      <w:r>
        <w:rPr>
          <w:rFonts w:cs="Arial" w:ascii="Arial" w:hAnsi="Arial"/>
          <w:sz w:val="18"/>
          <w:szCs w:val="18"/>
        </w:rPr>
        <w:t>12</w:t>
      </w:r>
      <w:r>
        <w:rPr>
          <w:rFonts w:ascii="Arial" w:hAnsi="Arial" w:cs="Arial"/>
          <w:sz w:val="18"/>
          <w:szCs w:val="18"/>
        </w:rPr>
        <w:t>个月的市场平均月租金价格。</w:t>
      </w:r>
    </w:p>
    <w:p>
      <w:pPr>
        <w:pStyle w:val="Normal"/>
        <w:overflowPunct w:val="false"/>
        <w:spacing w:lineRule="auto" w:line="480"/>
        <w:ind w:left="707" w:hanging="347"/>
        <w:jc w:val="both"/>
        <w:rPr>
          <w:rFonts w:ascii="Arial" w:hAnsi="Arial" w:cs="Arial"/>
          <w:sz w:val="18"/>
          <w:szCs w:val="18"/>
        </w:rPr>
      </w:pPr>
      <w:r>
        <w:rPr>
          <w:rFonts w:ascii="Arial" w:hAnsi="Arial" w:cs="Arial"/>
          <w:sz w:val="18"/>
          <w:szCs w:val="18"/>
        </w:rPr>
        <w:t xml:space="preserve">    </w:t>
      </w:r>
      <w:r>
        <w:rPr>
          <w:rFonts w:cs="Arial" w:ascii="Arial" w:hAnsi="Arial"/>
          <w:sz w:val="18"/>
          <w:szCs w:val="18"/>
        </w:rPr>
        <w:t>3</w:t>
      </w:r>
      <w:r>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pPr>
        <w:pStyle w:val="Normal"/>
        <w:overflowPunct w:val="false"/>
        <w:spacing w:lineRule="auto" w:line="480"/>
        <w:ind w:left="707" w:hanging="347"/>
        <w:jc w:val="both"/>
        <w:rPr>
          <w:rFonts w:ascii="Arial" w:hAnsi="Arial" w:cs="Arial"/>
          <w:sz w:val="18"/>
          <w:szCs w:val="18"/>
        </w:rPr>
      </w:pPr>
      <w:r>
        <w:rPr>
          <w:rFonts w:cs="Arial" w:ascii="Arial" w:hAnsi="Arial"/>
          <w:sz w:val="18"/>
          <w:szCs w:val="18"/>
        </w:rPr>
      </w:r>
    </w:p>
    <w:p>
      <w:pPr>
        <w:pStyle w:val="2"/>
        <w:numPr>
          <w:ilvl w:val="0"/>
          <w:numId w:val="0"/>
        </w:numPr>
        <w:overflowPunct w:val="false"/>
        <w:spacing w:lineRule="auto" w:line="480"/>
        <w:jc w:val="both"/>
        <w:textAlignment w:val="auto"/>
        <w:rPr>
          <w:rFonts w:eastAsia="宋体"/>
          <w:kern w:val="2"/>
          <w:sz w:val="21"/>
          <w:szCs w:val="21"/>
        </w:rPr>
      </w:pPr>
      <w:bookmarkStart w:id="32" w:name="_Toc525655428"/>
      <w:bookmarkStart w:id="33" w:name="_Toc168225824"/>
      <w:r>
        <w:rPr>
          <w:rFonts w:eastAsia="宋体"/>
          <w:kern w:val="2"/>
          <w:sz w:val="21"/>
          <w:szCs w:val="21"/>
        </w:rPr>
        <w:t>十</w:t>
      </w:r>
      <w:bookmarkEnd w:id="33"/>
      <w:r>
        <w:rPr>
          <w:rFonts w:eastAsia="宋体"/>
          <w:kern w:val="2"/>
          <w:sz w:val="21"/>
          <w:szCs w:val="21"/>
        </w:rPr>
        <w:t>一、参与本次估价工作的评估专业人员</w:t>
      </w:r>
      <w:bookmarkEnd w:id="32"/>
    </w:p>
    <w:tbl>
      <w:tblPr>
        <w:tblW w:w="9300" w:type="dxa"/>
        <w:jc w:val="center"/>
        <w:tblInd w:w="0" w:type="dxa"/>
        <w:tblCellMar>
          <w:top w:w="85" w:type="dxa"/>
          <w:left w:w="28" w:type="dxa"/>
          <w:bottom w:w="85" w:type="dxa"/>
          <w:right w:w="28" w:type="dxa"/>
        </w:tblCellMar>
        <w:tblLook w:firstRow="1" w:noVBand="1" w:lastRow="0" w:firstColumn="1" w:lastColumn="0" w:noHBand="0" w:val="04a0"/>
      </w:tblPr>
      <w:tblGrid>
        <w:gridCol w:w="1745"/>
        <w:gridCol w:w="2197"/>
        <w:gridCol w:w="2772"/>
        <w:gridCol w:w="2585"/>
      </w:tblGrid>
      <w:tr>
        <w:trPr>
          <w:trHeight w:val="454" w:hRule="atLeast"/>
          <w:cantSplit w:val="true"/>
        </w:trPr>
        <w:tc>
          <w:tcPr>
            <w:tcW w:w="9299" w:type="dxa"/>
            <w:gridSpan w:val="4"/>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b/>
                <w:b/>
                <w:sz w:val="21"/>
                <w:szCs w:val="21"/>
              </w:rPr>
            </w:pPr>
            <w:r>
              <w:rPr>
                <w:rFonts w:ascii="Arial" w:hAnsi="Arial" w:cs="Arial"/>
                <w:b/>
                <w:kern w:val="2"/>
                <w:sz w:val="21"/>
                <w:szCs w:val="21"/>
              </w:rPr>
              <w:t>注册房地产估价师</w:t>
            </w:r>
          </w:p>
        </w:tc>
      </w:tr>
      <w:tr>
        <w:trPr>
          <w:trHeight w:val="454" w:hRule="exact"/>
          <w:cantSplit w:val="true"/>
        </w:trPr>
        <w:tc>
          <w:tcPr>
            <w:tcW w:w="174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姓  名</w:t>
            </w:r>
          </w:p>
        </w:tc>
        <w:tc>
          <w:tcPr>
            <w:tcW w:w="219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注册号</w:t>
            </w:r>
          </w:p>
        </w:tc>
        <w:tc>
          <w:tcPr>
            <w:tcW w:w="277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签名</w:t>
            </w:r>
          </w:p>
        </w:tc>
        <w:tc>
          <w:tcPr>
            <w:tcW w:w="258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签名日期</w:t>
            </w:r>
          </w:p>
        </w:tc>
      </w:tr>
      <w:tr>
        <w:trPr>
          <w:trHeight w:val="1134" w:hRule="exact"/>
          <w:cantSplit w:val="true"/>
        </w:trPr>
        <w:tc>
          <w:tcPr>
            <w:tcW w:w="174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高  鹏</w:t>
            </w:r>
          </w:p>
        </w:tc>
        <w:tc>
          <w:tcPr>
            <w:tcW w:w="219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cs="Arial" w:ascii="Arial" w:hAnsi="Arial"/>
                <w:sz w:val="21"/>
                <w:szCs w:val="21"/>
              </w:rPr>
              <w:t>1120140024</w:t>
            </w:r>
          </w:p>
        </w:tc>
        <w:tc>
          <w:tcPr>
            <w:tcW w:w="277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cs="Arial" w:ascii="Arial" w:hAnsi="Arial"/>
                <w:sz w:val="21"/>
                <w:szCs w:val="21"/>
              </w:rPr>
            </w:r>
          </w:p>
        </w:tc>
        <w:tc>
          <w:tcPr>
            <w:tcW w:w="258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ind w:firstLine="420"/>
              <w:jc w:val="right"/>
              <w:rPr>
                <w:rFonts w:ascii="Arial" w:hAnsi="Arial" w:cs="Arial"/>
                <w:sz w:val="21"/>
                <w:szCs w:val="21"/>
              </w:rPr>
            </w:pPr>
            <w:r>
              <w:rPr>
                <w:rFonts w:ascii="Arial" w:hAnsi="Arial" w:cs="Arial"/>
                <w:sz w:val="21"/>
                <w:szCs w:val="21"/>
              </w:rPr>
              <w:t>年    月    日</w:t>
            </w:r>
          </w:p>
        </w:tc>
      </w:tr>
      <w:tr>
        <w:trPr>
          <w:trHeight w:val="1134" w:hRule="exact"/>
          <w:cantSplit w:val="true"/>
        </w:trPr>
        <w:tc>
          <w:tcPr>
            <w:tcW w:w="174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许皓源</w:t>
            </w:r>
          </w:p>
        </w:tc>
        <w:tc>
          <w:tcPr>
            <w:tcW w:w="219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eastAsia="方正黑体简体" w:cs="Arial" w:ascii="Arial" w:hAnsi="Arial"/>
                <w:sz w:val="21"/>
                <w:szCs w:val="21"/>
              </w:rPr>
              <w:t>1119980019</w:t>
            </w:r>
          </w:p>
        </w:tc>
        <w:tc>
          <w:tcPr>
            <w:tcW w:w="277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cs="Arial" w:ascii="Arial" w:hAnsi="Arial"/>
                <w:sz w:val="21"/>
                <w:szCs w:val="21"/>
              </w:rPr>
            </w:r>
          </w:p>
        </w:tc>
        <w:tc>
          <w:tcPr>
            <w:tcW w:w="258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ind w:firstLine="420"/>
              <w:jc w:val="right"/>
              <w:rPr>
                <w:rFonts w:ascii="Arial" w:hAnsi="Arial" w:cs="Arial"/>
                <w:sz w:val="21"/>
                <w:szCs w:val="21"/>
              </w:rPr>
            </w:pPr>
            <w:r>
              <w:rPr>
                <w:rFonts w:ascii="Arial" w:hAnsi="Arial" w:cs="Arial"/>
                <w:sz w:val="21"/>
                <w:szCs w:val="21"/>
              </w:rPr>
              <w:t>年    月    日</w:t>
            </w:r>
          </w:p>
        </w:tc>
      </w:tr>
      <w:tr>
        <w:trPr>
          <w:trHeight w:val="454" w:hRule="atLeast"/>
          <w:cantSplit w:val="true"/>
        </w:trPr>
        <w:tc>
          <w:tcPr>
            <w:tcW w:w="9299" w:type="dxa"/>
            <w:gridSpan w:val="4"/>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b/>
                <w:b/>
                <w:kern w:val="2"/>
                <w:sz w:val="21"/>
                <w:szCs w:val="21"/>
              </w:rPr>
            </w:pPr>
            <w:r>
              <w:rPr>
                <w:rFonts w:ascii="Arial" w:hAnsi="Arial" w:cs="Arial"/>
                <w:b/>
                <w:kern w:val="2"/>
                <w:sz w:val="21"/>
                <w:szCs w:val="21"/>
              </w:rPr>
              <w:t xml:space="preserve">其他评估专业人员 </w:t>
            </w:r>
          </w:p>
        </w:tc>
      </w:tr>
      <w:tr>
        <w:trPr>
          <w:trHeight w:val="454" w:hRule="exact"/>
          <w:cantSplit w:val="true"/>
        </w:trPr>
        <w:tc>
          <w:tcPr>
            <w:tcW w:w="174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姓  名</w:t>
            </w:r>
          </w:p>
        </w:tc>
        <w:tc>
          <w:tcPr>
            <w:tcW w:w="219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kern w:val="2"/>
                <w:sz w:val="21"/>
                <w:szCs w:val="21"/>
              </w:rPr>
              <w:t>相关资格或职称</w:t>
            </w:r>
          </w:p>
        </w:tc>
        <w:tc>
          <w:tcPr>
            <w:tcW w:w="277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签名</w:t>
            </w:r>
          </w:p>
        </w:tc>
        <w:tc>
          <w:tcPr>
            <w:tcW w:w="258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签名日期</w:t>
            </w:r>
          </w:p>
        </w:tc>
      </w:tr>
      <w:tr>
        <w:trPr>
          <w:trHeight w:val="1134" w:hRule="exact"/>
          <w:cantSplit w:val="true"/>
        </w:trPr>
        <w:tc>
          <w:tcPr>
            <w:tcW w:w="174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彭雅博</w:t>
            </w:r>
          </w:p>
        </w:tc>
        <w:tc>
          <w:tcPr>
            <w:tcW w:w="2197"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ascii="Arial" w:hAnsi="Arial" w:cs="Arial"/>
                <w:sz w:val="21"/>
                <w:szCs w:val="21"/>
              </w:rPr>
              <w:t>——</w:t>
            </w:r>
          </w:p>
        </w:tc>
        <w:tc>
          <w:tcPr>
            <w:tcW w:w="2772"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rPr>
                <w:rFonts w:ascii="Arial" w:hAnsi="Arial" w:cs="Arial"/>
                <w:sz w:val="21"/>
                <w:szCs w:val="21"/>
              </w:rPr>
            </w:pPr>
            <w:r>
              <w:rPr>
                <w:rFonts w:cs="Arial" w:ascii="Arial" w:hAnsi="Arial"/>
                <w:sz w:val="21"/>
                <w:szCs w:val="21"/>
              </w:rPr>
            </w:r>
          </w:p>
        </w:tc>
        <w:tc>
          <w:tcPr>
            <w:tcW w:w="2585" w:type="dxa"/>
            <w:tcBorders>
              <w:top w:val="single" w:sz="2" w:space="0" w:color="404040"/>
              <w:left w:val="single" w:sz="2" w:space="0" w:color="404040"/>
              <w:bottom w:val="single" w:sz="2" w:space="0" w:color="404040"/>
              <w:right w:val="single" w:sz="2" w:space="0" w:color="404040"/>
            </w:tcBorders>
            <w:shd w:fill="auto" w:val="clear"/>
            <w:vAlign w:val="center"/>
          </w:tcPr>
          <w:p>
            <w:pPr>
              <w:pStyle w:val="Normal"/>
              <w:tabs>
                <w:tab w:val="clear" w:pos="425"/>
                <w:tab w:val="left" w:pos="5160" w:leader="none"/>
              </w:tabs>
              <w:overflowPunct w:val="false"/>
              <w:ind w:firstLine="420"/>
              <w:jc w:val="right"/>
              <w:rPr>
                <w:rFonts w:ascii="Arial" w:hAnsi="Arial" w:cs="Arial"/>
                <w:sz w:val="21"/>
                <w:szCs w:val="21"/>
              </w:rPr>
            </w:pPr>
            <w:r>
              <w:rPr>
                <w:rFonts w:ascii="Arial" w:hAnsi="Arial" w:cs="Arial"/>
                <w:sz w:val="21"/>
                <w:szCs w:val="21"/>
              </w:rPr>
              <w:t xml:space="preserve">  </w:t>
            </w:r>
            <w:r>
              <w:rPr>
                <w:rFonts w:ascii="Arial" w:hAnsi="Arial" w:cs="Arial"/>
                <w:sz w:val="21"/>
                <w:szCs w:val="21"/>
              </w:rPr>
              <w:t>年    月    日</w:t>
            </w:r>
          </w:p>
        </w:tc>
      </w:tr>
    </w:tbl>
    <w:p>
      <w:pPr>
        <w:pStyle w:val="Normal"/>
        <w:overflowPunct w:val="false"/>
        <w:spacing w:lineRule="auto" w:line="480"/>
        <w:jc w:val="both"/>
        <w:rPr>
          <w:rFonts w:ascii="Arial" w:hAnsi="Arial" w:cs="Arial"/>
          <w:kern w:val="2"/>
          <w:sz w:val="21"/>
          <w:szCs w:val="21"/>
        </w:rPr>
      </w:pPr>
      <w:r>
        <w:rPr>
          <w:rFonts w:cs="Arial" w:ascii="Arial" w:hAnsi="Arial"/>
          <w:kern w:val="2"/>
          <w:sz w:val="21"/>
          <w:szCs w:val="21"/>
        </w:rPr>
      </w:r>
    </w:p>
    <w:p>
      <w:pPr>
        <w:pStyle w:val="2"/>
        <w:numPr>
          <w:ilvl w:val="0"/>
          <w:numId w:val="0"/>
        </w:numPr>
        <w:overflowPunct w:val="false"/>
        <w:spacing w:lineRule="auto" w:line="480"/>
        <w:jc w:val="both"/>
        <w:textAlignment w:val="auto"/>
        <w:rPr>
          <w:rFonts w:eastAsia="宋体"/>
          <w:kern w:val="2"/>
          <w:sz w:val="21"/>
          <w:szCs w:val="21"/>
        </w:rPr>
      </w:pPr>
      <w:bookmarkStart w:id="34" w:name="_Toc525655429"/>
      <w:r>
        <w:rPr>
          <w:rFonts w:eastAsia="宋体"/>
          <w:kern w:val="2"/>
          <w:sz w:val="21"/>
          <w:szCs w:val="21"/>
        </w:rPr>
        <w:t>十二、实地查勘期</w:t>
      </w:r>
      <w:bookmarkEnd w:id="34"/>
    </w:p>
    <w:p>
      <w:pPr>
        <w:pStyle w:val="Normal"/>
        <w:overflowPunct w:val="false"/>
        <w:spacing w:lineRule="auto" w:line="480"/>
        <w:ind w:firstLine="420"/>
        <w:jc w:val="both"/>
        <w:rPr/>
      </w:pP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5</w:t>
      </w:r>
      <w:r>
        <w:rPr>
          <w:rFonts w:ascii="Arial" w:hAnsi="Arial" w:cs="Arial"/>
          <w:kern w:val="2"/>
          <w:sz w:val="21"/>
          <w:szCs w:val="21"/>
        </w:rPr>
        <w:t>日</w:t>
      </w:r>
    </w:p>
    <w:p>
      <w:pPr>
        <w:pStyle w:val="Normal"/>
        <w:overflowPunct w:val="false"/>
        <w:spacing w:lineRule="auto" w:line="480"/>
        <w:jc w:val="both"/>
        <w:rPr>
          <w:rFonts w:ascii="Arial" w:hAnsi="Arial" w:cs="Arial"/>
          <w:kern w:val="2"/>
          <w:sz w:val="21"/>
          <w:szCs w:val="21"/>
        </w:rPr>
      </w:pPr>
      <w:r>
        <w:rPr>
          <w:rFonts w:cs="Arial" w:ascii="Arial" w:hAnsi="Arial"/>
          <w:kern w:val="2"/>
          <w:sz w:val="21"/>
          <w:szCs w:val="21"/>
        </w:rPr>
      </w:r>
    </w:p>
    <w:p>
      <w:pPr>
        <w:pStyle w:val="2"/>
        <w:numPr>
          <w:ilvl w:val="0"/>
          <w:numId w:val="0"/>
        </w:numPr>
        <w:overflowPunct w:val="false"/>
        <w:spacing w:lineRule="auto" w:line="480"/>
        <w:jc w:val="both"/>
        <w:textAlignment w:val="auto"/>
        <w:rPr>
          <w:rFonts w:eastAsia="宋体"/>
          <w:kern w:val="2"/>
          <w:sz w:val="21"/>
          <w:szCs w:val="21"/>
        </w:rPr>
      </w:pPr>
      <w:bookmarkStart w:id="35" w:name="_Toc168225825"/>
      <w:bookmarkStart w:id="36" w:name="_Toc525655430"/>
      <w:r>
        <w:rPr>
          <w:rFonts w:eastAsia="宋体"/>
          <w:kern w:val="2"/>
          <w:sz w:val="21"/>
          <w:szCs w:val="21"/>
        </w:rPr>
        <w:t>十三、估价作业期</w:t>
      </w:r>
      <w:bookmarkEnd w:id="35"/>
      <w:bookmarkEnd w:id="36"/>
      <w:r>
        <w:rPr>
          <w:rFonts w:eastAsia="宋体"/>
          <w:kern w:val="2"/>
          <w:sz w:val="21"/>
          <w:szCs w:val="21"/>
        </w:rPr>
        <w:t xml:space="preserve">  </w:t>
      </w:r>
    </w:p>
    <w:p>
      <w:pPr>
        <w:sectPr>
          <w:headerReference w:type="default" r:id="rId13"/>
          <w:footerReference w:type="default" r:id="rId14"/>
          <w:type w:val="nextPage"/>
          <w:pgSz w:w="11906" w:h="16838"/>
          <w:pgMar w:left="1304" w:right="1304" w:header="1134" w:top="1843" w:footer="907" w:bottom="1134" w:gutter="0"/>
          <w:pgNumType w:fmt="decimal"/>
          <w:formProt w:val="false"/>
          <w:textDirection w:val="lrTb"/>
          <w:docGrid w:type="default" w:linePitch="326" w:charSpace="0"/>
        </w:sectPr>
        <w:pStyle w:val="Normal"/>
        <w:overflowPunct w:val="false"/>
        <w:spacing w:lineRule="auto" w:line="480"/>
        <w:ind w:firstLine="420"/>
        <w:jc w:val="both"/>
        <w:rPr/>
      </w:pP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5</w:t>
      </w:r>
      <w:r>
        <w:rPr>
          <w:rFonts w:ascii="Arial" w:hAnsi="Arial" w:cs="Arial"/>
          <w:kern w:val="2"/>
          <w:sz w:val="21"/>
          <w:szCs w:val="21"/>
        </w:rPr>
        <w:t>日</w:t>
      </w:r>
      <w:r>
        <w:rPr>
          <w:rFonts w:ascii="Arial" w:hAnsi="Arial" w:cs="Arial"/>
          <w:sz w:val="21"/>
          <w:szCs w:val="21"/>
        </w:rPr>
        <w:t>至</w:t>
      </w:r>
      <w:r>
        <w:rPr>
          <w:rFonts w:cs="Arial" w:ascii="Arial" w:hAnsi="Arial"/>
          <w:kern w:val="2"/>
          <w:sz w:val="21"/>
          <w:szCs w:val="21"/>
        </w:rPr>
        <w:t>2023</w:t>
      </w:r>
      <w:r>
        <w:rPr>
          <w:rFonts w:ascii="Arial" w:hAnsi="Arial" w:cs="Arial"/>
          <w:kern w:val="2"/>
          <w:sz w:val="21"/>
          <w:szCs w:val="21"/>
        </w:rPr>
        <w:t>年</w:t>
      </w:r>
      <w:r>
        <w:rPr>
          <w:rFonts w:cs="Arial" w:ascii="Arial" w:hAnsi="Arial"/>
          <w:kern w:val="2"/>
          <w:sz w:val="21"/>
          <w:szCs w:val="21"/>
        </w:rPr>
        <w:t>12</w:t>
      </w:r>
      <w:r>
        <w:rPr>
          <w:rFonts w:ascii="Arial" w:hAnsi="Arial" w:cs="Arial"/>
          <w:kern w:val="2"/>
          <w:sz w:val="21"/>
          <w:szCs w:val="21"/>
        </w:rPr>
        <w:t>月</w:t>
      </w:r>
      <w:r>
        <w:rPr>
          <w:rFonts w:cs="Arial" w:ascii="Arial" w:hAnsi="Arial"/>
          <w:kern w:val="2"/>
          <w:sz w:val="21"/>
          <w:szCs w:val="21"/>
        </w:rPr>
        <w:t>8</w:t>
      </w:r>
      <w:r>
        <w:rPr>
          <w:rFonts w:ascii="Arial" w:hAnsi="Arial" w:cs="Arial"/>
          <w:kern w:val="2"/>
          <w:sz w:val="21"/>
          <w:szCs w:val="21"/>
        </w:rPr>
        <w:t>日</w:t>
      </w:r>
    </w:p>
    <w:p>
      <w:pPr>
        <w:pStyle w:val="1"/>
        <w:spacing w:lineRule="auto" w:line="480"/>
        <w:jc w:val="center"/>
        <w:rPr>
          <w:rFonts w:eastAsia="方正黑体简体"/>
          <w:b w:val="false"/>
          <w:b w:val="false"/>
          <w:kern w:val="2"/>
          <w:sz w:val="32"/>
          <w:szCs w:val="32"/>
        </w:rPr>
      </w:pPr>
      <w:bookmarkStart w:id="37" w:name="_Toc525655431"/>
      <w:r>
        <w:rPr>
          <w:rFonts w:eastAsia="方正黑体简体"/>
          <w:b w:val="false"/>
          <w:kern w:val="2"/>
          <w:sz w:val="32"/>
          <w:szCs w:val="32"/>
        </w:rPr>
        <w:t>估价技术报告</w:t>
      </w:r>
      <w:bookmarkEnd w:id="37"/>
    </w:p>
    <w:p>
      <w:pPr>
        <w:pStyle w:val="2"/>
        <w:numPr>
          <w:ilvl w:val="0"/>
          <w:numId w:val="0"/>
        </w:numPr>
        <w:spacing w:lineRule="auto" w:line="480"/>
        <w:ind w:left="358" w:hanging="358"/>
        <w:jc w:val="both"/>
        <w:rPr>
          <w:rFonts w:eastAsia="宋体"/>
          <w:kern w:val="2"/>
          <w:sz w:val="21"/>
          <w:szCs w:val="21"/>
        </w:rPr>
      </w:pPr>
      <w:bookmarkStart w:id="38" w:name="_Toc525655432"/>
      <w:r>
        <w:rPr>
          <w:rFonts w:eastAsia="宋体"/>
          <w:kern w:val="2"/>
          <w:sz w:val="21"/>
          <w:szCs w:val="21"/>
        </w:rPr>
        <w:t>一、估价对象描述与分析</w:t>
      </w:r>
      <w:bookmarkEnd w:id="38"/>
    </w:p>
    <w:p>
      <w:pPr>
        <w:pStyle w:val="2"/>
        <w:numPr>
          <w:ilvl w:val="0"/>
          <w:numId w:val="0"/>
        </w:numPr>
        <w:spacing w:lineRule="auto" w:line="480"/>
        <w:ind w:left="360" w:hanging="360"/>
        <w:jc w:val="both"/>
        <w:rPr>
          <w:rFonts w:eastAsia="宋体"/>
          <w:kern w:val="2"/>
          <w:sz w:val="21"/>
          <w:szCs w:val="21"/>
        </w:rPr>
      </w:pPr>
      <w:bookmarkStart w:id="39" w:name="_Toc525655433"/>
      <w:r>
        <w:rPr>
          <w:rFonts w:eastAsia="宋体"/>
          <w:kern w:val="2"/>
          <w:sz w:val="21"/>
          <w:szCs w:val="21"/>
        </w:rPr>
        <w:t>（一）区位状况分析</w:t>
      </w:r>
      <w:bookmarkEnd w:id="39"/>
    </w:p>
    <w:p>
      <w:pPr>
        <w:pStyle w:val="Normal"/>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sz w:val="21"/>
          <w:szCs w:val="21"/>
        </w:rPr>
        <w:t>位置状况</w:t>
      </w:r>
    </w:p>
    <w:p>
      <w:pPr>
        <w:pStyle w:val="Normal"/>
        <w:spacing w:lineRule="auto" w:line="480"/>
        <w:ind w:firstLine="420"/>
        <w:jc w:val="both"/>
        <w:rPr>
          <w:rFonts w:ascii="Arial" w:hAnsi="Arial" w:cs="Arial"/>
          <w:sz w:val="21"/>
          <w:szCs w:val="21"/>
        </w:rPr>
      </w:pPr>
      <w:r>
        <w:rPr>
          <w:rFonts w:ascii="Arial" w:hAnsi="Arial" w:cs="Arial"/>
          <w:kern w:val="2"/>
          <w:sz w:val="21"/>
          <w:szCs w:val="21"/>
        </w:rPr>
        <w:t>估价对象所属项目位于北京市房山区，其所属项目西侧邻近城市主干道——阳光北大街，土地级别属于北京市基准地价居住类七级，</w:t>
      </w:r>
      <w:r>
        <w:rPr>
          <w:rFonts w:eastAsia="微软雅黑" w:cs="Arial" w:ascii="Arial" w:hAnsi="Arial"/>
          <w:kern w:val="2"/>
          <w:sz w:val="21"/>
          <w:szCs w:val="21"/>
        </w:rPr>
        <w:t>VII-</w:t>
      </w:r>
      <w:r>
        <w:rPr>
          <w:rFonts w:ascii="Arial" w:hAnsi="Arial" w:cs="Arial" w:eastAsia="微软雅黑"/>
          <w:kern w:val="2"/>
          <w:sz w:val="21"/>
          <w:szCs w:val="21"/>
        </w:rPr>
        <w:t>房</w:t>
      </w:r>
      <w:r>
        <w:rPr>
          <w:rFonts w:eastAsia="微软雅黑" w:cs="Arial" w:ascii="Arial" w:hAnsi="Arial"/>
          <w:kern w:val="2"/>
          <w:sz w:val="21"/>
          <w:szCs w:val="21"/>
        </w:rPr>
        <w:t>1</w:t>
      </w:r>
      <w:r>
        <w:rPr>
          <w:rFonts w:ascii="Arial" w:hAnsi="Arial" w:cs="Arial"/>
          <w:kern w:val="2"/>
          <w:sz w:val="21"/>
          <w:szCs w:val="21"/>
        </w:rPr>
        <w:t>区片，地理位置状况较好。</w:t>
      </w:r>
    </w:p>
    <w:p>
      <w:pPr>
        <w:pStyle w:val="Normal"/>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居住社区成熟度</w:t>
      </w:r>
    </w:p>
    <w:p>
      <w:pPr>
        <w:pStyle w:val="Normal"/>
        <w:spacing w:lineRule="auto" w:line="480"/>
        <w:ind w:firstLine="420"/>
        <w:jc w:val="both"/>
        <w:rPr>
          <w:rFonts w:ascii="Arial" w:hAnsi="Arial" w:cs="Arial"/>
          <w:sz w:val="21"/>
          <w:szCs w:val="21"/>
        </w:rPr>
      </w:pPr>
      <w:r>
        <w:rPr>
          <w:rFonts w:ascii="Arial" w:hAnsi="Arial" w:cs="Arial"/>
          <w:sz w:val="21"/>
          <w:szCs w:val="21"/>
        </w:rPr>
        <w:t>周边有世茂维拉、丹枫园、碧波园、智汇雅苑等居住社区，居住小区规模较大，入住率较高，综合评价居住区成熟度较好。</w:t>
      </w:r>
    </w:p>
    <w:p>
      <w:pPr>
        <w:pStyle w:val="Normal"/>
        <w:spacing w:lineRule="auto" w:line="480"/>
        <w:ind w:firstLine="420"/>
        <w:jc w:val="both"/>
        <w:rPr>
          <w:rFonts w:ascii="Arial" w:hAnsi="Arial" w:cs="Arial"/>
          <w:sz w:val="21"/>
          <w:szCs w:val="21"/>
        </w:rPr>
      </w:pPr>
      <w:r>
        <w:rPr>
          <w:rFonts w:cs="Arial" w:ascii="Arial" w:hAnsi="Arial"/>
          <w:sz w:val="21"/>
          <w:szCs w:val="21"/>
        </w:rPr>
        <w:t>3.</w:t>
      </w:r>
      <w:r>
        <w:rPr>
          <w:rFonts w:ascii="Arial" w:hAnsi="Arial" w:cs="Arial"/>
          <w:sz w:val="21"/>
          <w:szCs w:val="21"/>
        </w:rPr>
        <w:t>交通状况</w:t>
      </w:r>
    </w:p>
    <w:p>
      <w:pPr>
        <w:pStyle w:val="Normal"/>
        <w:spacing w:lineRule="auto" w:line="480"/>
        <w:ind w:firstLine="420"/>
        <w:jc w:val="both"/>
        <w:rPr>
          <w:rFonts w:ascii="Arial" w:hAnsi="Arial" w:cs="Arial"/>
          <w:sz w:val="21"/>
          <w:szCs w:val="21"/>
        </w:rPr>
      </w:pPr>
      <w:r>
        <w:rPr>
          <w:rFonts w:ascii="Arial" w:hAnsi="Arial" w:cs="Arial"/>
          <w:sz w:val="21"/>
          <w:szCs w:val="21"/>
        </w:rPr>
        <w:t>估价对象所属项目西侧距离城市主干道——阳光北大街直线距离约</w:t>
      </w:r>
      <w:r>
        <w:rPr>
          <w:rFonts w:cs="Arial" w:ascii="Arial" w:hAnsi="Arial"/>
          <w:sz w:val="21"/>
          <w:szCs w:val="21"/>
        </w:rPr>
        <w:t>160</w:t>
      </w:r>
      <w:r>
        <w:rPr>
          <w:rFonts w:ascii="Arial" w:hAnsi="Arial" w:cs="Arial"/>
          <w:sz w:val="21"/>
          <w:szCs w:val="21"/>
        </w:rPr>
        <w:t>米，周边有</w:t>
      </w:r>
      <w:r>
        <w:rPr>
          <w:rFonts w:cs="Arial" w:ascii="Arial" w:hAnsi="Arial"/>
          <w:sz w:val="21"/>
          <w:szCs w:val="21"/>
        </w:rPr>
        <w:t>953</w:t>
      </w:r>
      <w:r>
        <w:rPr>
          <w:rFonts w:ascii="Arial" w:hAnsi="Arial" w:cs="Arial"/>
          <w:sz w:val="21"/>
          <w:szCs w:val="21"/>
        </w:rPr>
        <w:t>路、</w:t>
      </w:r>
      <w:r>
        <w:rPr>
          <w:rFonts w:cs="Arial" w:ascii="Arial" w:hAnsi="Arial"/>
          <w:sz w:val="21"/>
          <w:szCs w:val="21"/>
        </w:rPr>
        <w:t>F12</w:t>
      </w:r>
      <w:r>
        <w:rPr>
          <w:rFonts w:ascii="Arial" w:hAnsi="Arial" w:cs="Arial"/>
          <w:sz w:val="21"/>
          <w:szCs w:val="21"/>
        </w:rPr>
        <w:t>路、</w:t>
      </w:r>
      <w:r>
        <w:rPr>
          <w:rFonts w:cs="Arial" w:ascii="Arial" w:hAnsi="Arial"/>
          <w:sz w:val="21"/>
          <w:szCs w:val="21"/>
        </w:rPr>
        <w:t>F1</w:t>
      </w:r>
      <w:r>
        <w:rPr>
          <w:rFonts w:ascii="Arial" w:hAnsi="Arial" w:cs="Arial"/>
          <w:sz w:val="21"/>
          <w:szCs w:val="21"/>
        </w:rPr>
        <w:t>路内环、</w:t>
      </w:r>
      <w:r>
        <w:rPr>
          <w:rFonts w:cs="Arial" w:ascii="Arial" w:hAnsi="Arial"/>
          <w:sz w:val="21"/>
          <w:szCs w:val="21"/>
        </w:rPr>
        <w:t>F1</w:t>
      </w:r>
      <w:r>
        <w:rPr>
          <w:rFonts w:ascii="Arial" w:hAnsi="Arial" w:cs="Arial"/>
          <w:sz w:val="21"/>
          <w:szCs w:val="21"/>
        </w:rPr>
        <w:t>路外环、</w:t>
      </w:r>
      <w:r>
        <w:rPr>
          <w:rFonts w:cs="Arial" w:ascii="Arial" w:hAnsi="Arial"/>
          <w:sz w:val="21"/>
          <w:szCs w:val="21"/>
        </w:rPr>
        <w:t>F46</w:t>
      </w:r>
      <w:r>
        <w:rPr>
          <w:rFonts w:ascii="Arial" w:hAnsi="Arial" w:cs="Arial"/>
          <w:sz w:val="21"/>
          <w:szCs w:val="21"/>
        </w:rPr>
        <w:t>路、</w:t>
      </w:r>
      <w:r>
        <w:rPr>
          <w:rFonts w:cs="Arial" w:ascii="Arial" w:hAnsi="Arial"/>
          <w:sz w:val="21"/>
          <w:szCs w:val="21"/>
        </w:rPr>
        <w:t>F47</w:t>
      </w:r>
      <w:r>
        <w:rPr>
          <w:rFonts w:ascii="Arial" w:hAnsi="Arial" w:cs="Arial"/>
          <w:sz w:val="21"/>
          <w:szCs w:val="21"/>
        </w:rPr>
        <w:t>路等多条公交线路途径并设有站点，距地铁房山线（广阳城站）直线距离约</w:t>
      </w:r>
      <w:r>
        <w:rPr>
          <w:rFonts w:cs="Arial" w:ascii="Arial" w:hAnsi="Arial"/>
          <w:sz w:val="21"/>
          <w:szCs w:val="21"/>
        </w:rPr>
        <w:t>1.5</w:t>
      </w:r>
      <w:r>
        <w:rPr>
          <w:rFonts w:ascii="Arial" w:hAnsi="Arial" w:cs="Arial"/>
          <w:sz w:val="21"/>
          <w:szCs w:val="21"/>
        </w:rPr>
        <w:t>公里，综合评价</w:t>
      </w:r>
      <w:commentRangeStart w:id="7"/>
      <w:r>
        <w:rPr>
          <w:rFonts w:ascii="Arial" w:hAnsi="Arial" w:cs="Arial"/>
          <w:sz w:val="21"/>
          <w:szCs w:val="21"/>
        </w:rPr>
        <w:t>交通便捷度一般</w:t>
      </w:r>
      <w:r>
        <w:rPr>
          <w:rFonts w:ascii="Arial" w:hAnsi="Arial" w:cs="Arial"/>
          <w:sz w:val="21"/>
          <w:szCs w:val="21"/>
        </w:rPr>
      </w:r>
      <w:commentRangeEnd w:id="7"/>
      <w:r>
        <w:commentReference w:id="7"/>
      </w:r>
      <w:r>
        <w:rPr>
          <w:rFonts w:ascii="Arial" w:hAnsi="Arial" w:cs="Arial"/>
          <w:sz w:val="21"/>
          <w:szCs w:val="21"/>
        </w:rPr>
        <w:t>。</w:t>
      </w:r>
    </w:p>
    <w:p>
      <w:pPr>
        <w:pStyle w:val="Normal"/>
        <w:spacing w:lineRule="auto" w:line="480"/>
        <w:ind w:firstLine="420"/>
        <w:jc w:val="both"/>
        <w:rPr>
          <w:rFonts w:ascii="Arial" w:hAnsi="Arial" w:cs="Arial"/>
          <w:i/>
          <w:i/>
          <w:sz w:val="21"/>
          <w:szCs w:val="21"/>
        </w:rPr>
      </w:pPr>
      <w:r>
        <w:rPr>
          <w:rFonts w:cs="Arial" w:ascii="Arial" w:hAnsi="Arial"/>
          <w:sz w:val="21"/>
          <w:szCs w:val="21"/>
        </w:rPr>
        <w:t>4.</w:t>
      </w:r>
      <w:r>
        <w:rPr>
          <w:rFonts w:ascii="Arial" w:hAnsi="Arial" w:cs="Arial"/>
          <w:sz w:val="21"/>
          <w:szCs w:val="21"/>
        </w:rPr>
        <w:t>商业设施</w:t>
      </w:r>
    </w:p>
    <w:p>
      <w:pPr>
        <w:pStyle w:val="Normal"/>
        <w:spacing w:lineRule="auto" w:line="480"/>
        <w:ind w:firstLine="420"/>
        <w:jc w:val="both"/>
        <w:rPr>
          <w:rFonts w:ascii="Arial" w:hAnsi="Arial" w:cs="Arial"/>
          <w:sz w:val="21"/>
          <w:szCs w:val="21"/>
        </w:rPr>
      </w:pPr>
      <w:r>
        <w:rPr>
          <w:rFonts w:ascii="Arial" w:hAnsi="Arial" w:cs="Arial"/>
          <w:sz w:val="21"/>
          <w:szCs w:val="21"/>
        </w:rPr>
        <w:t>以估价对象为中心</w:t>
      </w:r>
      <w:r>
        <w:rPr>
          <w:rFonts w:cs="Arial" w:ascii="Arial" w:hAnsi="Arial"/>
          <w:sz w:val="21"/>
          <w:szCs w:val="21"/>
        </w:rPr>
        <w:t>2</w:t>
      </w:r>
      <w:r>
        <w:rPr>
          <w:rFonts w:ascii="Arial" w:hAnsi="Arial" w:cs="Arial"/>
          <w:sz w:val="21"/>
          <w:szCs w:val="21"/>
        </w:rPr>
        <w:t>公里范围内有首开龙湖北京熙悦天街、绿地缤纷城（房山店）等商业服务设施，商业设施以小区配套为主，且数量一般，综合评价商业设施一般。</w:t>
      </w:r>
    </w:p>
    <w:p>
      <w:pPr>
        <w:pStyle w:val="Normal"/>
        <w:spacing w:lineRule="auto" w:line="480"/>
        <w:ind w:firstLine="420"/>
        <w:jc w:val="both"/>
        <w:rPr>
          <w:rFonts w:ascii="Arial" w:hAnsi="Arial" w:cs="Arial"/>
          <w:sz w:val="21"/>
          <w:szCs w:val="21"/>
        </w:rPr>
      </w:pPr>
      <w:r>
        <w:rPr>
          <w:rFonts w:cs="Arial" w:ascii="Arial" w:hAnsi="Arial"/>
          <w:sz w:val="21"/>
          <w:szCs w:val="21"/>
        </w:rPr>
        <w:t>5.</w:t>
      </w:r>
      <w:r>
        <w:rPr>
          <w:rFonts w:ascii="Arial" w:hAnsi="Arial" w:cs="Arial"/>
          <w:sz w:val="21"/>
          <w:szCs w:val="21"/>
        </w:rPr>
        <w:t>环境状况</w:t>
      </w:r>
    </w:p>
    <w:p>
      <w:pPr>
        <w:pStyle w:val="Normal"/>
        <w:spacing w:lineRule="auto" w:line="480"/>
        <w:ind w:firstLine="420"/>
        <w:jc w:val="both"/>
        <w:rPr>
          <w:rFonts w:ascii="Arial" w:hAnsi="Arial" w:cs="Arial"/>
          <w:sz w:val="21"/>
          <w:szCs w:val="21"/>
        </w:rPr>
      </w:pPr>
      <w:r>
        <w:rPr>
          <w:rFonts w:ascii="Arial" w:hAnsi="Arial" w:cs="Arial"/>
          <w:sz w:val="21"/>
          <w:szCs w:val="21"/>
        </w:rPr>
        <w:t>以估价对象为中心</w:t>
      </w:r>
      <w:r>
        <w:rPr>
          <w:rFonts w:cs="Arial" w:ascii="Arial" w:hAnsi="Arial"/>
          <w:sz w:val="21"/>
          <w:szCs w:val="21"/>
        </w:rPr>
        <w:t>2</w:t>
      </w:r>
      <w:r>
        <w:rPr>
          <w:rFonts w:ascii="Arial" w:hAnsi="Arial" w:cs="Arial"/>
          <w:sz w:val="21"/>
          <w:szCs w:val="21"/>
        </w:rPr>
        <w:t>公里范围内有清水熙森林公园、昊天公园、广阳城森林公园等自然景观，有中国社会科学院大学（良乡校区）、北京理工大学（良乡校区）等高校。绿化面积较大，人文环境较好，综合评价环境状况较好。</w:t>
      </w:r>
    </w:p>
    <w:p>
      <w:pPr>
        <w:pStyle w:val="Normal"/>
        <w:spacing w:lineRule="auto" w:line="480"/>
        <w:ind w:firstLine="420"/>
        <w:jc w:val="both"/>
        <w:rPr>
          <w:rFonts w:ascii="Arial" w:hAnsi="Arial" w:cs="Arial"/>
          <w:sz w:val="21"/>
          <w:szCs w:val="21"/>
        </w:rPr>
      </w:pPr>
      <w:r>
        <w:rPr>
          <w:rFonts w:cs="Arial" w:ascii="Arial" w:hAnsi="Arial"/>
          <w:sz w:val="21"/>
          <w:szCs w:val="21"/>
        </w:rPr>
        <w:t>6.</w:t>
      </w:r>
      <w:r>
        <w:rPr>
          <w:rFonts w:ascii="Arial" w:hAnsi="Arial" w:cs="Arial"/>
          <w:sz w:val="21"/>
          <w:szCs w:val="21"/>
        </w:rPr>
        <w:t>公共配套设施状况</w:t>
      </w:r>
    </w:p>
    <w:p>
      <w:pPr>
        <w:pStyle w:val="Normal"/>
        <w:spacing w:lineRule="auto" w:line="480"/>
        <w:ind w:firstLine="420"/>
        <w:jc w:val="both"/>
        <w:rPr>
          <w:rFonts w:ascii="Arial" w:hAnsi="Arial" w:cs="Arial"/>
          <w:sz w:val="21"/>
          <w:szCs w:val="21"/>
        </w:rPr>
      </w:pPr>
      <w:r>
        <w:rPr>
          <w:rFonts w:ascii="Arial" w:hAnsi="Arial" w:cs="Arial"/>
          <w:sz w:val="21"/>
          <w:szCs w:val="21"/>
        </w:rPr>
        <w:t>估价对象所在区域周边</w:t>
      </w:r>
      <w:r>
        <w:rPr>
          <w:rFonts w:cs="Arial" w:ascii="Arial" w:hAnsi="Arial"/>
          <w:sz w:val="21"/>
          <w:szCs w:val="21"/>
        </w:rPr>
        <w:t>2</w:t>
      </w:r>
      <w:r>
        <w:rPr>
          <w:rFonts w:ascii="Arial" w:hAnsi="Arial" w:cs="Arial"/>
          <w:sz w:val="21"/>
          <w:szCs w:val="21"/>
        </w:rPr>
        <w:t>公里范围内有首开龙湖北京熙悦天街、绿地缤纷城（房山店）等商业场所；有申宝未来之星幼儿园、长阳中心小学、众联职校等教育机构；有北京市房山区长阳镇碧波园社区卫生服务站、房山区中医医院（月华分院）等医疗设施；北京农商银行（长阳支行）、中国邮政储蓄银行（良乡营业所）等金融机构，公共配套设施状况较好。</w:t>
      </w:r>
    </w:p>
    <w:p>
      <w:pPr>
        <w:pStyle w:val="Normal"/>
        <w:spacing w:lineRule="auto" w:line="480"/>
        <w:ind w:firstLine="420"/>
        <w:jc w:val="both"/>
        <w:rPr>
          <w:rFonts w:ascii="Arial" w:hAnsi="Arial" w:cs="Arial"/>
          <w:sz w:val="21"/>
          <w:szCs w:val="21"/>
        </w:rPr>
      </w:pPr>
      <w:r>
        <w:rPr>
          <w:rFonts w:ascii="Arial" w:hAnsi="Arial" w:cs="Arial"/>
          <w:sz w:val="21"/>
          <w:szCs w:val="21"/>
        </w:rPr>
        <w:t>综上，估价对象地理位置状况较好，居住社区成熟度较好，</w:t>
      </w:r>
      <w:commentRangeStart w:id="8"/>
      <w:r>
        <w:rPr>
          <w:rFonts w:ascii="Arial" w:hAnsi="Arial" w:cs="Arial"/>
          <w:sz w:val="21"/>
          <w:szCs w:val="21"/>
        </w:rPr>
        <w:t>交通便捷度较好</w:t>
      </w:r>
      <w:r>
        <w:rPr>
          <w:rFonts w:ascii="Arial" w:hAnsi="Arial" w:cs="Arial"/>
          <w:sz w:val="21"/>
          <w:szCs w:val="21"/>
        </w:rPr>
      </w:r>
      <w:commentRangeEnd w:id="8"/>
      <w:r>
        <w:commentReference w:id="8"/>
      </w:r>
      <w:r>
        <w:rPr>
          <w:rFonts w:ascii="Arial" w:hAnsi="Arial" w:cs="Arial"/>
          <w:sz w:val="21"/>
          <w:szCs w:val="21"/>
        </w:rPr>
        <w:t>，商业设施一般，环境状况较好，公共配套设施状况较好。区域规划无特殊限制。总体评价影响估价对象的区位条件较</w:t>
      </w:r>
      <w:bookmarkStart w:id="40" w:name="_Toc525655434"/>
      <w:bookmarkEnd w:id="40"/>
      <w:r>
        <w:rPr>
          <w:rFonts w:ascii="Arial" w:hAnsi="Arial" w:cs="Arial"/>
          <w:sz w:val="21"/>
          <w:szCs w:val="21"/>
        </w:rPr>
        <w:t>好。</w:t>
      </w:r>
    </w:p>
    <w:p>
      <w:pPr>
        <w:pStyle w:val="2"/>
        <w:numPr>
          <w:ilvl w:val="0"/>
          <w:numId w:val="0"/>
        </w:numPr>
        <w:spacing w:lineRule="auto" w:line="480"/>
        <w:ind w:left="360" w:hanging="360"/>
        <w:jc w:val="both"/>
        <w:rPr>
          <w:rFonts w:eastAsia="宋体"/>
          <w:kern w:val="2"/>
          <w:sz w:val="21"/>
          <w:szCs w:val="21"/>
        </w:rPr>
      </w:pPr>
      <w:bookmarkStart w:id="41" w:name="_Toc525655435"/>
      <w:r>
        <w:rPr>
          <w:rFonts w:eastAsia="宋体"/>
          <w:kern w:val="2"/>
          <w:sz w:val="21"/>
          <w:szCs w:val="21"/>
        </w:rPr>
        <w:t>（二）实物状况分析</w:t>
      </w:r>
      <w:bookmarkEnd w:id="41"/>
    </w:p>
    <w:p>
      <w:pPr>
        <w:pStyle w:val="Normal"/>
        <w:overflowPunct w:val="false"/>
        <w:spacing w:lineRule="auto" w:line="480"/>
        <w:ind w:firstLine="420"/>
        <w:jc w:val="both"/>
        <w:rPr>
          <w:rFonts w:ascii="Arial" w:hAnsi="Arial" w:cs="Arial"/>
          <w:kern w:val="2"/>
          <w:sz w:val="21"/>
          <w:szCs w:val="21"/>
        </w:rPr>
      </w:pPr>
      <w:r>
        <w:rPr>
          <w:rFonts w:ascii="Arial" w:hAnsi="Arial" w:cs="Arial"/>
          <w:bCs/>
          <w:sz w:val="21"/>
          <w:szCs w:val="21"/>
        </w:rPr>
        <w:t>估价对象为</w:t>
      </w:r>
      <w:r>
        <w:rPr>
          <w:rFonts w:ascii="Arial" w:hAnsi="Arial" w:cs="Arial"/>
          <w:kern w:val="2"/>
          <w:sz w:val="21"/>
          <w:szCs w:val="21"/>
        </w:rPr>
        <w:t>北京市房山区文雅街</w:t>
      </w:r>
      <w:r>
        <w:rPr>
          <w:rFonts w:cs="Arial" w:ascii="Arial" w:hAnsi="Arial"/>
          <w:kern w:val="2"/>
          <w:sz w:val="21"/>
          <w:szCs w:val="21"/>
        </w:rPr>
        <w:t>1</w:t>
      </w:r>
      <w:r>
        <w:rPr>
          <w:rFonts w:ascii="Arial" w:hAnsi="Arial" w:cs="Arial"/>
          <w:kern w:val="2"/>
          <w:sz w:val="21"/>
          <w:szCs w:val="21"/>
        </w:rPr>
        <w:t>号院轩景家园共计</w:t>
      </w:r>
      <w:r>
        <w:rPr>
          <w:rFonts w:cs="Arial" w:ascii="Arial" w:hAnsi="Arial"/>
          <w:kern w:val="2"/>
          <w:sz w:val="21"/>
          <w:szCs w:val="21"/>
        </w:rPr>
        <w:t>770</w:t>
      </w:r>
      <w:r>
        <w:rPr>
          <w:rFonts w:ascii="Arial" w:hAnsi="Arial" w:cs="Arial"/>
          <w:kern w:val="2"/>
          <w:sz w:val="21"/>
          <w:szCs w:val="21"/>
        </w:rPr>
        <w:t>套共有产权住房项目，权利人为北京世茂嘉年华房地产开发有限公司，估价对象建筑面积共计</w:t>
      </w:r>
      <w:r>
        <w:rPr>
          <w:rFonts w:cs="Arial" w:ascii="Arial" w:hAnsi="Arial"/>
          <w:kern w:val="2"/>
          <w:sz w:val="21"/>
          <w:szCs w:val="21"/>
        </w:rPr>
        <w:t>68237.69</w:t>
      </w:r>
      <w:r>
        <w:rPr>
          <w:rFonts w:ascii="Arial" w:hAnsi="Arial" w:cs="Arial"/>
          <w:kern w:val="2"/>
          <w:sz w:val="21"/>
          <w:szCs w:val="21"/>
        </w:rPr>
        <w:t>平方米，共</w:t>
      </w:r>
      <w:r>
        <w:rPr>
          <w:rFonts w:cs="Arial" w:ascii="Arial" w:hAnsi="Arial"/>
          <w:kern w:val="2"/>
          <w:sz w:val="21"/>
          <w:szCs w:val="21"/>
        </w:rPr>
        <w:t>770</w:t>
      </w:r>
      <w:r>
        <w:rPr>
          <w:rFonts w:ascii="Arial" w:hAnsi="Arial" w:cs="Arial"/>
          <w:kern w:val="2"/>
          <w:sz w:val="21"/>
          <w:szCs w:val="21"/>
        </w:rPr>
        <w:t>套，用途为共有产权住房。</w:t>
      </w:r>
    </w:p>
    <w:p>
      <w:pPr>
        <w:pStyle w:val="Normal"/>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sz w:val="21"/>
          <w:szCs w:val="21"/>
        </w:rPr>
        <w:t>土地实物状况</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1</w:t>
      </w:r>
      <w:r>
        <w:rPr>
          <w:rFonts w:ascii="Arial" w:hAnsi="Arial" w:cs="Arial"/>
          <w:sz w:val="21"/>
          <w:szCs w:val="21"/>
        </w:rPr>
        <w:t>）估价对象土地为国有土地，土地所有权归国家所有。</w:t>
      </w:r>
    </w:p>
    <w:p>
      <w:pPr>
        <w:pStyle w:val="Normal"/>
        <w:spacing w:lineRule="auto" w:line="480"/>
        <w:ind w:firstLine="420"/>
        <w:jc w:val="both"/>
        <w:rPr>
          <w:rFonts w:ascii="Arial" w:hAnsi="Arial" w:cs="Arial"/>
          <w:kern w:val="2"/>
          <w:sz w:val="21"/>
          <w:szCs w:val="21"/>
        </w:rPr>
      </w:pPr>
      <w:r>
        <w:rPr>
          <w:rFonts w:ascii="Arial" w:hAnsi="Arial" w:cs="Arial"/>
          <w:kern w:val="2"/>
          <w:sz w:val="21"/>
          <w:szCs w:val="21"/>
        </w:rPr>
        <w:t>根据估价委托人提供的</w:t>
      </w:r>
      <w:r>
        <w:rPr>
          <w:rFonts w:ascii="Arial" w:hAnsi="Arial" w:cs="Arial"/>
          <w:sz w:val="21"/>
          <w:szCs w:val="21"/>
        </w:rPr>
        <w:t>《关于房山区拱辰街道</w:t>
      </w:r>
      <w:r>
        <w:rPr>
          <w:rFonts w:cs="Arial" w:ascii="Arial" w:hAnsi="Arial"/>
          <w:sz w:val="21"/>
          <w:szCs w:val="21"/>
        </w:rPr>
        <w:t>FS00-LX09-6001</w:t>
      </w:r>
      <w:r>
        <w:rPr>
          <w:rFonts w:ascii="Arial" w:hAnsi="Arial" w:cs="Arial"/>
          <w:sz w:val="21"/>
          <w:szCs w:val="21"/>
        </w:rPr>
        <w:t>地块</w:t>
      </w:r>
      <w:r>
        <w:rPr>
          <w:rFonts w:cs="Arial" w:ascii="Arial" w:hAnsi="Arial"/>
          <w:sz w:val="21"/>
          <w:szCs w:val="21"/>
        </w:rPr>
        <w:t>R2</w:t>
      </w:r>
      <w:r>
        <w:rPr>
          <w:rFonts w:ascii="Arial" w:hAnsi="Arial" w:cs="Arial"/>
          <w:sz w:val="21"/>
          <w:szCs w:val="21"/>
        </w:rPr>
        <w:t>二类居住用地、</w:t>
      </w:r>
      <w:r>
        <w:rPr>
          <w:rFonts w:cs="Arial" w:ascii="Arial" w:hAnsi="Arial"/>
          <w:sz w:val="21"/>
          <w:szCs w:val="21"/>
        </w:rPr>
        <w:t>FS00-LX09-6003</w:t>
      </w:r>
      <w:r>
        <w:rPr>
          <w:rFonts w:ascii="Arial" w:hAnsi="Arial" w:cs="Arial"/>
          <w:sz w:val="21"/>
          <w:szCs w:val="21"/>
        </w:rPr>
        <w:t>地块</w:t>
      </w:r>
      <w:r>
        <w:rPr>
          <w:rFonts w:cs="Arial" w:ascii="Arial" w:hAnsi="Arial"/>
          <w:sz w:val="21"/>
          <w:szCs w:val="21"/>
        </w:rPr>
        <w:t>A33</w:t>
      </w:r>
      <w:r>
        <w:rPr>
          <w:rFonts w:ascii="Arial" w:hAnsi="Arial" w:cs="Arial"/>
          <w:sz w:val="21"/>
          <w:szCs w:val="21"/>
        </w:rPr>
        <w:t>基础教育用地项目“多规合一”协同平台综合会商意见的函》</w:t>
      </w:r>
      <w:r>
        <w:rPr>
          <w:rFonts w:cs="Arial" w:ascii="Arial" w:hAnsi="Arial"/>
          <w:sz w:val="21"/>
          <w:szCs w:val="21"/>
        </w:rPr>
        <w:t>[</w:t>
      </w:r>
      <w:r>
        <w:rPr>
          <w:rFonts w:ascii="Arial" w:hAnsi="Arial" w:cs="Arial"/>
          <w:sz w:val="21"/>
          <w:szCs w:val="21"/>
        </w:rPr>
        <w:t>京规自（房）综审函</w:t>
      </w:r>
      <w:r>
        <w:rPr>
          <w:rFonts w:cs="Arial" w:ascii="Arial" w:hAnsi="Arial"/>
          <w:sz w:val="21"/>
          <w:szCs w:val="21"/>
        </w:rPr>
        <w:t>[2020]0027</w:t>
      </w:r>
      <w:r>
        <w:rPr>
          <w:rFonts w:ascii="Arial" w:hAnsi="Arial" w:cs="Arial"/>
          <w:sz w:val="21"/>
          <w:szCs w:val="21"/>
        </w:rPr>
        <w:t>号</w:t>
      </w:r>
      <w:r>
        <w:rPr>
          <w:rFonts w:cs="Arial" w:ascii="Arial" w:hAnsi="Arial"/>
          <w:sz w:val="21"/>
          <w:szCs w:val="21"/>
        </w:rPr>
        <w:t>]</w:t>
      </w:r>
      <w:r>
        <w:rPr>
          <w:rFonts w:ascii="Arial" w:hAnsi="Arial" w:cs="Arial"/>
          <w:sz w:val="21"/>
          <w:szCs w:val="21"/>
        </w:rPr>
        <w:t>复印件及《不动产权证书》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复印件</w:t>
      </w:r>
      <w:r>
        <w:rPr>
          <w:rFonts w:ascii="Arial" w:hAnsi="Arial" w:cs="Arial"/>
        </w:rPr>
        <w:t>，</w:t>
      </w:r>
      <w:r>
        <w:rPr>
          <w:rFonts w:ascii="Arial" w:hAnsi="Arial" w:cs="Arial"/>
          <w:kern w:val="2"/>
          <w:sz w:val="21"/>
          <w:szCs w:val="21"/>
        </w:rPr>
        <w:t>估价对象权利人为北京世茂嘉年华房地产开发有限公司，共有情况为单独所有，坐落为北京市房山区拱辰街道</w:t>
      </w:r>
      <w:r>
        <w:rPr>
          <w:rFonts w:cs="Arial" w:ascii="Arial" w:hAnsi="Arial"/>
          <w:kern w:val="2"/>
          <w:sz w:val="21"/>
          <w:szCs w:val="21"/>
        </w:rPr>
        <w:t>FSO0-LX09-6001</w:t>
      </w:r>
      <w:r>
        <w:rPr>
          <w:rFonts w:ascii="Arial" w:hAnsi="Arial" w:cs="Arial"/>
          <w:kern w:val="2"/>
          <w:sz w:val="21"/>
          <w:szCs w:val="21"/>
        </w:rPr>
        <w:t>地块</w:t>
      </w:r>
      <w:r>
        <w:rPr>
          <w:rFonts w:cs="Arial" w:ascii="Arial" w:hAnsi="Arial"/>
          <w:kern w:val="2"/>
          <w:sz w:val="21"/>
          <w:szCs w:val="21"/>
        </w:rPr>
        <w:t>R2</w:t>
      </w:r>
      <w:r>
        <w:rPr>
          <w:rFonts w:ascii="Arial" w:hAnsi="Arial" w:cs="Arial"/>
          <w:kern w:val="2"/>
          <w:sz w:val="21"/>
          <w:szCs w:val="21"/>
        </w:rPr>
        <w:t>二类居住用地。权利类型为国有建设用地使用权，权利性质为出让，用途为城镇住宅用地，估价对象所属项目出让国有建设用地使用权总面积为</w:t>
      </w:r>
      <w:r>
        <w:rPr>
          <w:rFonts w:cs="Arial" w:ascii="Arial" w:hAnsi="Arial"/>
          <w:kern w:val="2"/>
          <w:sz w:val="21"/>
          <w:szCs w:val="21"/>
        </w:rPr>
        <w:t>31805.73</w:t>
      </w:r>
      <w:r>
        <w:rPr>
          <w:rFonts w:ascii="Arial" w:hAnsi="Arial" w:cs="Arial"/>
          <w:kern w:val="2"/>
          <w:sz w:val="21"/>
          <w:szCs w:val="21"/>
        </w:rPr>
        <w:t>平方米</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2</w:t>
      </w:r>
      <w:r>
        <w:rPr>
          <w:rFonts w:ascii="Arial" w:hAnsi="Arial" w:cs="Arial"/>
          <w:sz w:val="21"/>
          <w:szCs w:val="21"/>
        </w:rPr>
        <w:t>）估价对象所属项目用地四至：</w:t>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证载四至：东至城市道路用地，南至公园绿地，西至公园绿地，北至公园绿地。</w:t>
      </w:r>
    </w:p>
    <w:p>
      <w:pPr>
        <w:pStyle w:val="Normal"/>
        <w:overflowPunct w:val="false"/>
        <w:spacing w:lineRule="auto" w:line="480"/>
        <w:ind w:firstLine="420"/>
        <w:jc w:val="both"/>
        <w:rPr>
          <w:rFonts w:ascii="Arial" w:hAnsi="Arial" w:cs="Arial"/>
          <w:kern w:val="2"/>
          <w:sz w:val="21"/>
          <w:szCs w:val="21"/>
        </w:rPr>
      </w:pPr>
      <w:commentRangeStart w:id="9"/>
      <w:r>
        <w:rPr>
          <w:rFonts w:ascii="Arial" w:hAnsi="Arial" w:cs="Arial"/>
          <w:kern w:val="2"/>
          <w:sz w:val="21"/>
          <w:szCs w:val="21"/>
        </w:rPr>
        <w:t>现状四至</w:t>
      </w:r>
      <w:r>
        <w:rPr>
          <w:rFonts w:ascii="Arial" w:hAnsi="Arial" w:cs="Arial"/>
          <w:kern w:val="2"/>
          <w:sz w:val="21"/>
          <w:szCs w:val="21"/>
        </w:rPr>
      </w:r>
      <w:commentRangeEnd w:id="9"/>
      <w:r>
        <w:commentReference w:id="9"/>
      </w:r>
      <w:r>
        <w:rPr>
          <w:rFonts w:ascii="Arial" w:hAnsi="Arial" w:cs="Arial"/>
          <w:kern w:val="2"/>
          <w:sz w:val="21"/>
          <w:szCs w:val="21"/>
        </w:rPr>
        <w:t>：东至房山区教师进修学校（新址），南至世茂轩景颂小区，西至世茂轩景颂小区，北至高教园一号路。</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3</w:t>
      </w:r>
      <w:r>
        <w:rPr>
          <w:rFonts w:ascii="Arial" w:hAnsi="Arial" w:cs="Arial"/>
          <w:sz w:val="21"/>
          <w:szCs w:val="21"/>
        </w:rPr>
        <w:t>）估价对象所属项目用地呈较规则形状，对利用无不良影响，场地呈较平坦地势，工程地质条件良好，无不良地质现象。估价对象现状已完成开发建设，土地利用程度高。</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4</w:t>
      </w:r>
      <w:r>
        <w:rPr>
          <w:rFonts w:ascii="Arial" w:hAnsi="Arial" w:cs="Arial"/>
          <w:sz w:val="21"/>
          <w:szCs w:val="21"/>
        </w:rPr>
        <w:t>）开发程度：</w:t>
      </w:r>
    </w:p>
    <w:p>
      <w:pPr>
        <w:pStyle w:val="Normal"/>
        <w:overflowPunct w:val="false"/>
        <w:spacing w:lineRule="auto" w:line="480"/>
        <w:ind w:firstLine="420"/>
        <w:jc w:val="both"/>
        <w:rPr>
          <w:rFonts w:ascii="Arial" w:hAnsi="Arial" w:cs="Arial"/>
          <w:kern w:val="2"/>
          <w:sz w:val="21"/>
          <w:szCs w:val="21"/>
        </w:rPr>
      </w:pPr>
      <w:r>
        <w:rPr>
          <w:rFonts w:ascii="Arial" w:hAnsi="Arial" w:cs="Arial"/>
          <w:kern w:val="2"/>
          <w:sz w:val="21"/>
          <w:szCs w:val="21"/>
        </w:rPr>
        <w:t>估价对象所在区域市政基础设施完备，为“七通”（即通路、通电、通讯、通上水、通下水、通燃气、通热力），且保证程度高。</w:t>
      </w:r>
    </w:p>
    <w:p>
      <w:pPr>
        <w:pStyle w:val="Normal"/>
        <w:spacing w:lineRule="auto" w:line="480"/>
        <w:ind w:right="205" w:firstLine="420"/>
        <w:jc w:val="both"/>
        <w:rPr>
          <w:rFonts w:ascii="Arial" w:hAnsi="Arial" w:cs="Arial"/>
          <w:sz w:val="21"/>
          <w:szCs w:val="21"/>
        </w:rPr>
      </w:pPr>
      <w:r>
        <w:rPr>
          <w:rFonts w:ascii="Arial" w:hAnsi="Arial" w:cs="Arial"/>
          <w:kern w:val="2"/>
          <w:sz w:val="21"/>
          <w:szCs w:val="21"/>
        </w:rPr>
        <w:t>综上所述，估价对象土地实物状况较好，场地地势平坦，地质条件良好，基础设施完备，宗地条件有利于估价对象利用，对估价对象租赁价格无不良影响</w:t>
      </w:r>
      <w:r>
        <w:rPr>
          <w:rFonts w:ascii="Arial" w:hAnsi="Arial" w:cs="Arial"/>
          <w:sz w:val="21"/>
          <w:szCs w:val="21"/>
        </w:rPr>
        <w:t>。</w:t>
      </w:r>
    </w:p>
    <w:p>
      <w:pPr>
        <w:pStyle w:val="Normal"/>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建筑物实物状况</w:t>
      </w:r>
    </w:p>
    <w:p>
      <w:pPr>
        <w:pStyle w:val="Normal"/>
        <w:tabs>
          <w:tab w:val="clear" w:pos="425"/>
          <w:tab w:val="left" w:pos="3544" w:leader="none"/>
        </w:tabs>
        <w:overflowPunct w:val="false"/>
        <w:spacing w:lineRule="auto" w:line="480"/>
        <w:ind w:firstLine="420"/>
        <w:jc w:val="both"/>
        <w:rPr>
          <w:rStyle w:val="Annotationreference"/>
          <w:rFonts w:ascii="Arial" w:hAnsi="Arial" w:cs="Arial"/>
        </w:rPr>
      </w:pPr>
      <w:r>
        <w:rPr>
          <w:rFonts w:ascii="Arial" w:hAnsi="Arial" w:cs="Arial"/>
          <w:kern w:val="2"/>
          <w:sz w:val="21"/>
          <w:szCs w:val="21"/>
        </w:rPr>
        <w:t>估价对象所属项目位于北京市房山区文雅街</w:t>
      </w:r>
      <w:r>
        <w:rPr>
          <w:rFonts w:cs="Arial" w:ascii="Arial" w:hAnsi="Arial"/>
          <w:kern w:val="2"/>
          <w:sz w:val="21"/>
          <w:szCs w:val="21"/>
        </w:rPr>
        <w:t>1</w:t>
      </w:r>
      <w:r>
        <w:rPr>
          <w:rFonts w:ascii="Arial" w:hAnsi="Arial" w:cs="Arial"/>
          <w:kern w:val="2"/>
          <w:sz w:val="21"/>
          <w:szCs w:val="21"/>
        </w:rPr>
        <w:t>号院（轩景家园共有产权住房），该项目有</w:t>
      </w:r>
      <w:r>
        <w:rPr>
          <w:rFonts w:cs="Arial" w:ascii="Arial" w:hAnsi="Arial"/>
          <w:kern w:val="2"/>
          <w:sz w:val="21"/>
          <w:szCs w:val="21"/>
        </w:rPr>
        <w:t>1#</w:t>
      </w:r>
      <w:r>
        <w:rPr>
          <w:rFonts w:ascii="Arial" w:hAnsi="Arial" w:cs="Arial"/>
          <w:kern w:val="2"/>
          <w:sz w:val="21"/>
          <w:szCs w:val="21"/>
        </w:rPr>
        <w:t>至</w:t>
      </w:r>
      <w:r>
        <w:rPr>
          <w:rFonts w:cs="Arial" w:ascii="Arial" w:hAnsi="Arial"/>
          <w:kern w:val="2"/>
          <w:sz w:val="21"/>
          <w:szCs w:val="21"/>
        </w:rPr>
        <w:t>16#</w:t>
      </w:r>
      <w:r>
        <w:rPr>
          <w:rFonts w:ascii="Arial" w:hAnsi="Arial" w:cs="Arial"/>
          <w:kern w:val="2"/>
          <w:sz w:val="21"/>
          <w:szCs w:val="21"/>
        </w:rPr>
        <w:t>共</w:t>
      </w:r>
      <w:r>
        <w:rPr>
          <w:rFonts w:cs="Arial" w:ascii="Arial" w:hAnsi="Arial"/>
          <w:kern w:val="2"/>
          <w:sz w:val="21"/>
          <w:szCs w:val="21"/>
        </w:rPr>
        <w:t>16</w:t>
      </w:r>
      <w:r>
        <w:rPr>
          <w:rFonts w:ascii="Arial" w:hAnsi="Arial" w:cs="Arial"/>
          <w:kern w:val="2"/>
          <w:sz w:val="21"/>
          <w:szCs w:val="21"/>
        </w:rPr>
        <w:t>栋共有产权住房，建成于</w:t>
      </w:r>
      <w:r>
        <w:rPr>
          <w:rFonts w:cs="Arial" w:ascii="Arial" w:hAnsi="Arial"/>
          <w:kern w:val="2"/>
          <w:sz w:val="21"/>
          <w:szCs w:val="21"/>
        </w:rPr>
        <w:t>2023</w:t>
      </w:r>
      <w:r>
        <w:rPr>
          <w:rFonts w:ascii="Arial" w:hAnsi="Arial" w:cs="Arial"/>
          <w:kern w:val="2"/>
          <w:sz w:val="21"/>
          <w:szCs w:val="21"/>
        </w:rPr>
        <w:t>年。根据估价委托人提供的《轩景家园共有产权房房源表》</w:t>
      </w:r>
      <w:r>
        <w:rPr>
          <w:rFonts w:ascii="Arial" w:hAnsi="Arial" w:cs="Arial"/>
          <w:sz w:val="21"/>
          <w:szCs w:val="21"/>
        </w:rPr>
        <w:t>复印件</w:t>
      </w:r>
      <w:r>
        <w:rPr>
          <w:rFonts w:ascii="Arial" w:hAnsi="Arial" w:cs="Arial"/>
          <w:kern w:val="2"/>
          <w:sz w:val="21"/>
          <w:szCs w:val="21"/>
        </w:rPr>
        <w:t>，估价对象建筑面积共计</w:t>
      </w:r>
      <w:r>
        <w:rPr>
          <w:rFonts w:cs="Arial" w:ascii="Arial" w:hAnsi="Arial"/>
          <w:kern w:val="2"/>
          <w:sz w:val="21"/>
          <w:szCs w:val="21"/>
        </w:rPr>
        <w:t>68237.69</w:t>
      </w:r>
      <w:r>
        <w:rPr>
          <w:rFonts w:ascii="Arial" w:hAnsi="Arial" w:cs="Arial"/>
          <w:kern w:val="2"/>
          <w:sz w:val="21"/>
          <w:szCs w:val="21"/>
        </w:rPr>
        <w:t>平方米，可对外</w:t>
      </w:r>
      <w:commentRangeStart w:id="10"/>
      <w:r>
        <w:rPr>
          <w:rFonts w:ascii="Arial" w:hAnsi="Arial" w:cs="Arial"/>
          <w:kern w:val="2"/>
          <w:sz w:val="21"/>
          <w:szCs w:val="21"/>
        </w:rPr>
        <w:t>配租</w:t>
      </w:r>
      <w:r>
        <w:rPr>
          <w:rFonts w:ascii="Arial" w:hAnsi="Arial" w:cs="Arial"/>
          <w:kern w:val="2"/>
          <w:sz w:val="21"/>
          <w:szCs w:val="21"/>
        </w:rPr>
      </w:r>
      <w:commentRangeEnd w:id="10"/>
      <w:r>
        <w:commentReference w:id="10"/>
      </w:r>
      <w:r>
        <w:rPr>
          <w:rFonts w:ascii="Arial" w:hAnsi="Arial" w:cs="Arial"/>
          <w:kern w:val="2"/>
          <w:sz w:val="21"/>
          <w:szCs w:val="21"/>
        </w:rPr>
        <w:t>房屋共计</w:t>
      </w:r>
      <w:r>
        <w:rPr>
          <w:rFonts w:cs="Arial" w:ascii="Arial" w:hAnsi="Arial"/>
          <w:kern w:val="2"/>
          <w:sz w:val="21"/>
          <w:szCs w:val="21"/>
        </w:rPr>
        <w:t>770</w:t>
      </w:r>
      <w:r>
        <w:rPr>
          <w:rFonts w:ascii="Arial" w:hAnsi="Arial" w:cs="Arial"/>
          <w:kern w:val="2"/>
          <w:sz w:val="21"/>
          <w:szCs w:val="21"/>
        </w:rPr>
        <w:t>套。房源具体户型等情况详见下表：</w:t>
      </w:r>
    </w:p>
    <w:tbl>
      <w:tblPr>
        <w:tblW w:w="5000" w:type="pct"/>
        <w:jc w:val="left"/>
        <w:tblInd w:w="0" w:type="dxa"/>
        <w:tblCellMar>
          <w:top w:w="0" w:type="dxa"/>
          <w:left w:w="108" w:type="dxa"/>
          <w:bottom w:w="0" w:type="dxa"/>
          <w:right w:w="108" w:type="dxa"/>
        </w:tblCellMar>
        <w:tblLook w:firstRow="1" w:noVBand="1" w:lastRow="0" w:firstColumn="1" w:lastColumn="0" w:noHBand="0" w:val="04a0"/>
      </w:tblPr>
      <w:tblGrid>
        <w:gridCol w:w="976"/>
        <w:gridCol w:w="1248"/>
        <w:gridCol w:w="977"/>
        <w:gridCol w:w="1696"/>
        <w:gridCol w:w="974"/>
        <w:gridCol w:w="1157"/>
        <w:gridCol w:w="1261"/>
        <w:gridCol w:w="1008"/>
      </w:tblGrid>
      <w:tr>
        <w:trPr>
          <w:tblHeader w:val="true"/>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户型</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朝向</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套型</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套数</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总建筑面积</w:t>
            </w:r>
          </w:p>
          <w:p>
            <w:pPr>
              <w:pStyle w:val="Normal"/>
              <w:jc w:val="center"/>
              <w:rPr>
                <w:rFonts w:ascii="Arial" w:hAnsi="Arial" w:cs="Arial"/>
                <w:b/>
                <w:b/>
                <w:bCs/>
                <w:sz w:val="18"/>
                <w:szCs w:val="18"/>
              </w:rPr>
            </w:pPr>
            <w:r>
              <w:rPr>
                <w:rFonts w:ascii="Arial" w:hAnsi="Arial" w:cs="Arial"/>
                <w:b/>
                <w:bCs/>
                <w:sz w:val="18"/>
                <w:szCs w:val="18"/>
              </w:rPr>
              <w:t>（平方米）</w:t>
            </w:r>
          </w:p>
        </w:tc>
        <w:tc>
          <w:tcPr>
            <w:tcW w:w="1261" w:type="dxa"/>
            <w:tcBorders>
              <w:top w:val="single" w:sz="4" w:space="0" w:color="000000"/>
              <w:left w:val="single" w:sz="4" w:space="0" w:color="000000"/>
              <w:bottom w:val="single" w:sz="4" w:space="0" w:color="000000"/>
              <w:right w:val="single" w:sz="4" w:space="0" w:color="000000"/>
            </w:tcBorders>
            <w:shd w:fill="auto" w:val="clear"/>
          </w:tcPr>
          <w:p>
            <w:pPr>
              <w:pStyle w:val="Normal"/>
              <w:jc w:val="center"/>
              <w:rPr>
                <w:rFonts w:ascii="Arial" w:hAnsi="Arial" w:cs="Arial"/>
                <w:b/>
                <w:b/>
                <w:bCs/>
                <w:sz w:val="18"/>
                <w:szCs w:val="18"/>
              </w:rPr>
            </w:pPr>
            <w:r>
              <w:rPr>
                <w:rFonts w:ascii="Arial" w:hAnsi="Arial" w:cs="Arial"/>
                <w:b/>
                <w:bCs/>
                <w:sz w:val="18"/>
                <w:szCs w:val="18"/>
              </w:rPr>
              <w:t>所属楼宇</w:t>
            </w:r>
          </w:p>
          <w:p>
            <w:pPr>
              <w:pStyle w:val="Normal"/>
              <w:jc w:val="center"/>
              <w:rPr>
                <w:rFonts w:ascii="Arial" w:hAnsi="Arial" w:cs="Arial"/>
                <w:b/>
                <w:b/>
                <w:bCs/>
                <w:sz w:val="18"/>
                <w:szCs w:val="18"/>
              </w:rPr>
            </w:pPr>
            <w:r>
              <w:rPr>
                <w:rFonts w:ascii="Arial" w:hAnsi="Arial" w:cs="Arial"/>
                <w:b/>
                <w:bCs/>
                <w:sz w:val="18"/>
                <w:szCs w:val="18"/>
              </w:rPr>
              <w:t>（现状）</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比例</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4282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5.19%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A1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107.65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四室两厅两卫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2153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6435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7.79%</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87.72</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4210.56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6.23%</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87.89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175.78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4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88.04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4754.16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7.01%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3706.08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88.29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1412.64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8#</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88.38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176.76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1856.61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2.73%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3627.68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88.49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1769.8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1770</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2.60%</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3717.42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5.45%</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88.53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2832.96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4.16%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88.61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1594.98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2.34%</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88.81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1243.34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14#</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1.82%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88.99</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1690.81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9#</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1691.95</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89.06</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3473.34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3#</w:t>
            </w:r>
            <w:r>
              <w:rPr>
                <w:rFonts w:ascii="Arial" w:hAnsi="Arial" w:cs="Arial"/>
                <w:sz w:val="18"/>
                <w:szCs w:val="18"/>
              </w:rPr>
              <w:t>、</w:t>
            </w:r>
            <w:r>
              <w:rPr>
                <w:rFonts w:cs="Arial" w:ascii="Arial" w:hAnsi="Arial"/>
                <w:sz w:val="18"/>
                <w:szCs w:val="18"/>
              </w:rPr>
              <w:t>12#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5.06%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89.08</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3028.72</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11#</w:t>
            </w:r>
            <w:r>
              <w:rPr>
                <w:rFonts w:ascii="Arial" w:hAnsi="Arial" w:cs="Arial"/>
                <w:sz w:val="18"/>
                <w:szCs w:val="18"/>
              </w:rPr>
              <w:t>、</w:t>
            </w:r>
            <w:r>
              <w:rPr>
                <w:rFonts w:cs="Arial" w:ascii="Arial" w:hAnsi="Arial"/>
                <w:sz w:val="18"/>
                <w:szCs w:val="18"/>
              </w:rPr>
              <w:t>15#</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4.42%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16</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1425.6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2.08%</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89.54</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19</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1701.26</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13#</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2.47%</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89.55</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三室两厅一卫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80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7164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10.39%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603</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53468.28</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78.32%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64.21</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4</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256.84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0.52%</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64.57</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2</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129.14</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0.26%</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B2</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一室两厅一卫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65.43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1#</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0.13%</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451.41</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0.91%</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C1</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南北</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ascii="Arial" w:hAnsi="Arial" w:cs="Arial"/>
                <w:sz w:val="18"/>
                <w:szCs w:val="18"/>
              </w:rPr>
              <w:t>两室两厅一卫</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sz w:val="18"/>
                <w:szCs w:val="18"/>
              </w:rPr>
            </w:pPr>
            <w:r>
              <w:rPr>
                <w:rFonts w:cs="Arial" w:ascii="Arial" w:hAnsi="Arial"/>
                <w:sz w:val="18"/>
                <w:szCs w:val="18"/>
              </w:rPr>
              <w:t>4#</w:t>
            </w:r>
            <w:r>
              <w:rPr>
                <w:rFonts w:ascii="Arial" w:hAnsi="Arial" w:cs="Arial"/>
                <w:sz w:val="18"/>
                <w:szCs w:val="18"/>
              </w:rPr>
              <w:t>、</w:t>
            </w:r>
            <w:r>
              <w:rPr>
                <w:rFonts w:cs="Arial" w:ascii="Arial" w:hAnsi="Arial"/>
                <w:sz w:val="18"/>
                <w:szCs w:val="18"/>
              </w:rPr>
              <w:t>7#</w:t>
            </w:r>
            <w:r>
              <w:rPr>
                <w:rFonts w:ascii="Arial" w:hAnsi="Arial" w:cs="Arial"/>
                <w:sz w:val="18"/>
                <w:szCs w:val="18"/>
              </w:rPr>
              <w:t>、</w:t>
            </w:r>
            <w:r>
              <w:rPr>
                <w:rFonts w:cs="Arial" w:ascii="Arial" w:hAnsi="Arial"/>
                <w:sz w:val="18"/>
                <w:szCs w:val="18"/>
              </w:rPr>
              <w:t>10#</w:t>
            </w:r>
            <w:r>
              <w:rPr>
                <w:rFonts w:ascii="Arial" w:hAnsi="Arial" w:cs="Arial"/>
                <w:sz w:val="18"/>
                <w:szCs w:val="18"/>
              </w:rPr>
              <w:t>、</w:t>
            </w:r>
            <w:r>
              <w:rPr>
                <w:rFonts w:cs="Arial" w:ascii="Arial" w:hAnsi="Arial"/>
                <w:sz w:val="18"/>
                <w:szCs w:val="18"/>
              </w:rPr>
              <w:t>13#</w:t>
            </w:r>
            <w:r>
              <w:rPr>
                <w:rFonts w:ascii="Arial" w:hAnsi="Arial" w:cs="Arial"/>
                <w:sz w:val="18"/>
                <w:szCs w:val="18"/>
              </w:rPr>
              <w:t>、</w:t>
            </w:r>
            <w:r>
              <w:rPr>
                <w:rFonts w:cs="Arial" w:ascii="Arial" w:hAnsi="Arial"/>
                <w:sz w:val="18"/>
                <w:szCs w:val="18"/>
              </w:rPr>
              <w:t>16#</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sz w:val="18"/>
                <w:szCs w:val="18"/>
              </w:rPr>
            </w:pPr>
            <w:r>
              <w:rPr>
                <w:rFonts w:cs="Arial" w:ascii="Arial" w:hAnsi="Arial"/>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小计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7883</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12.99%</w:t>
            </w:r>
          </w:p>
        </w:tc>
      </w:tr>
      <w:tr>
        <w:trPr>
          <w:trHeight w:val="330" w:hRule="atLeast"/>
        </w:trPr>
        <w:tc>
          <w:tcPr>
            <w:tcW w:w="9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合计</w:t>
            </w:r>
          </w:p>
        </w:tc>
        <w:tc>
          <w:tcPr>
            <w:tcW w:w="124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6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9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770</w:t>
            </w:r>
          </w:p>
        </w:tc>
        <w:tc>
          <w:tcPr>
            <w:tcW w:w="115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68237.69</w:t>
            </w:r>
          </w:p>
        </w:tc>
        <w:tc>
          <w:tcPr>
            <w:tcW w:w="1261"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cs="Arial"/>
                <w:b/>
                <w:b/>
                <w:bCs/>
                <w:sz w:val="18"/>
                <w:szCs w:val="18"/>
              </w:rPr>
            </w:pPr>
            <w:r>
              <w:rPr>
                <w:rFonts w:ascii="Arial" w:hAnsi="Arial" w:cs="Arial"/>
                <w:b/>
                <w:bCs/>
                <w:sz w:val="18"/>
                <w:szCs w:val="18"/>
              </w:rPr>
              <w:t>——</w:t>
            </w:r>
          </w:p>
        </w:tc>
        <w:tc>
          <w:tcPr>
            <w:tcW w:w="1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rPr>
                <w:rFonts w:ascii="Arial" w:hAnsi="Arial" w:cs="Arial"/>
                <w:b/>
                <w:b/>
                <w:bCs/>
                <w:sz w:val="18"/>
                <w:szCs w:val="18"/>
              </w:rPr>
            </w:pPr>
            <w:r>
              <w:rPr>
                <w:rFonts w:cs="Arial" w:ascii="Arial" w:hAnsi="Arial"/>
                <w:b/>
                <w:bCs/>
                <w:sz w:val="18"/>
                <w:szCs w:val="18"/>
              </w:rPr>
              <w:t>100%</w:t>
            </w:r>
          </w:p>
        </w:tc>
      </w:tr>
    </w:tbl>
    <w:p>
      <w:pPr>
        <w:pStyle w:val="Normal"/>
        <w:overflowPunct w:val="false"/>
        <w:spacing w:lineRule="auto" w:line="480"/>
        <w:jc w:val="both"/>
        <w:rPr>
          <w:rFonts w:ascii="Arial" w:hAnsi="Arial" w:cs="Arial"/>
          <w:kern w:val="2"/>
          <w:sz w:val="18"/>
          <w:szCs w:val="18"/>
        </w:rPr>
      </w:pPr>
      <w:r>
        <w:rPr>
          <w:rFonts w:cs="Arial" w:ascii="Arial" w:hAnsi="Arial"/>
          <w:kern w:val="2"/>
          <w:sz w:val="18"/>
          <w:szCs w:val="18"/>
        </w:rPr>
      </w:r>
    </w:p>
    <w:p>
      <w:pPr>
        <w:pStyle w:val="Normal"/>
        <w:tabs>
          <w:tab w:val="clear" w:pos="425"/>
          <w:tab w:val="left" w:pos="3544" w:leader="none"/>
        </w:tabs>
        <w:overflowPunct w:val="false"/>
        <w:spacing w:lineRule="auto" w:line="480"/>
        <w:ind w:firstLine="420"/>
        <w:jc w:val="both"/>
        <w:rPr>
          <w:rFonts w:ascii="Arial" w:hAnsi="Arial" w:cs="Arial"/>
          <w:kern w:val="2"/>
          <w:sz w:val="21"/>
          <w:szCs w:val="21"/>
        </w:rPr>
      </w:pPr>
      <w:r>
        <w:rPr>
          <w:rFonts w:ascii="Arial" w:hAnsi="Arial" w:cs="Arial"/>
          <w:kern w:val="2"/>
          <w:sz w:val="21"/>
          <w:szCs w:val="21"/>
        </w:rPr>
        <w:t>根据估价人员现场勘查，估价对象交付装饰装修标准如下：</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685"/>
        <w:gridCol w:w="2318"/>
        <w:gridCol w:w="6295"/>
      </w:tblGrid>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序号</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部 件</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装修标准</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1</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外墙</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墙砖</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2</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单元门</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玻璃门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3</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户门</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防盗门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4</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室内门</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木门、木玻门、铝合金门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5</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外窗</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断桥铝窗</w:t>
            </w:r>
          </w:p>
        </w:tc>
      </w:tr>
      <w:tr>
        <w:trPr>
          <w:trHeight w:val="303"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6</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客厅、卧室</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顶棚：涂料；墙面：涂料；地面：地砖；木质踢脚、木质门框、过门石</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7</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厨房</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顶棚：铝扣板；墙面：墙砖；地面：地砖；整体橱柜、不锈钢洗菜池</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8</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卫生间</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顶棚：铝扣板；墙面：墙砖；地面：地砖；陶瓷洗手池、座便器</w:t>
            </w:r>
          </w:p>
        </w:tc>
      </w:tr>
      <w:tr>
        <w:trPr>
          <w:trHeight w:val="285"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9</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阳台</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顶棚：涂料；墙面：涂料；地面：地砖；瓷砖踢脚、铁护栏</w:t>
            </w:r>
          </w:p>
        </w:tc>
      </w:tr>
      <w:tr>
        <w:trPr>
          <w:trHeight w:val="291" w:hRule="atLeast"/>
        </w:trPr>
        <w:tc>
          <w:tcPr>
            <w:tcW w:w="6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t>10</w:t>
            </w:r>
          </w:p>
        </w:tc>
        <w:tc>
          <w:tcPr>
            <w:tcW w:w="231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设备</w:t>
            </w:r>
          </w:p>
        </w:tc>
        <w:tc>
          <w:tcPr>
            <w:tcW w:w="62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抽油烟机、灶台、淋浴器</w:t>
            </w:r>
          </w:p>
        </w:tc>
      </w:tr>
    </w:tbl>
    <w:p>
      <w:pPr>
        <w:pStyle w:val="Normal"/>
        <w:overflowPunct w:val="false"/>
        <w:snapToGrid w:val="false"/>
        <w:ind w:firstLine="360"/>
        <w:jc w:val="both"/>
        <w:rPr>
          <w:rFonts w:ascii="Arial" w:hAnsi="Arial" w:cs="Arial"/>
          <w:kern w:val="2"/>
          <w:sz w:val="18"/>
          <w:szCs w:val="18"/>
        </w:rPr>
      </w:pPr>
      <w:r>
        <w:rPr>
          <w:rFonts w:cs="Arial" w:ascii="Arial" w:hAnsi="Arial"/>
          <w:kern w:val="2"/>
          <w:sz w:val="18"/>
          <w:szCs w:val="18"/>
        </w:rPr>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估价人员实地查勘，于价值时点，估价对象已完工，未发现重大质量缺损情况，综合各项因素认为实物状况较好。</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3.</w:t>
      </w:r>
      <w:r>
        <w:rPr>
          <w:rFonts w:ascii="Arial" w:hAnsi="Arial" w:cs="Arial"/>
          <w:sz w:val="21"/>
          <w:szCs w:val="21"/>
        </w:rPr>
        <w:t>对价格影响的分析</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估价对象作为住宅使用，通用性相对较好，能完全满足大部分求租者的需求，因此不会影响其租金价格水平。</w:t>
      </w:r>
    </w:p>
    <w:p>
      <w:pPr>
        <w:pStyle w:val="2"/>
        <w:numPr>
          <w:ilvl w:val="0"/>
          <w:numId w:val="0"/>
        </w:numPr>
        <w:spacing w:lineRule="auto" w:line="480"/>
        <w:ind w:left="360" w:hanging="360"/>
        <w:jc w:val="both"/>
        <w:rPr>
          <w:rFonts w:eastAsia="宋体"/>
          <w:kern w:val="2"/>
          <w:sz w:val="21"/>
          <w:szCs w:val="21"/>
        </w:rPr>
      </w:pPr>
      <w:bookmarkStart w:id="42" w:name="_Toc525655436"/>
      <w:r>
        <w:rPr>
          <w:rFonts w:eastAsia="宋体"/>
          <w:kern w:val="2"/>
          <w:sz w:val="21"/>
          <w:szCs w:val="21"/>
        </w:rPr>
        <w:t>（三）权益状况分析</w:t>
      </w:r>
      <w:bookmarkEnd w:id="42"/>
    </w:p>
    <w:p>
      <w:pPr>
        <w:pStyle w:val="Normal"/>
        <w:spacing w:lineRule="auto" w:line="480"/>
        <w:ind w:firstLine="420"/>
        <w:jc w:val="both"/>
        <w:rPr>
          <w:rFonts w:ascii="Arial" w:hAnsi="Arial" w:cs="Arial"/>
          <w:kern w:val="2"/>
          <w:sz w:val="21"/>
          <w:szCs w:val="21"/>
        </w:rPr>
      </w:pPr>
      <w:r>
        <w:rPr>
          <w:rFonts w:ascii="Arial" w:hAnsi="Arial" w:cs="Arial"/>
          <w:sz w:val="21"/>
          <w:szCs w:val="21"/>
        </w:rPr>
        <w:t>根据估价委托人提供的资料及评估专业人员实地查勘，于价值时点，</w:t>
      </w:r>
      <w:commentRangeStart w:id="11"/>
      <w:r>
        <w:rPr>
          <w:rFonts w:ascii="Arial" w:hAnsi="Arial" w:cs="Arial"/>
          <w:sz w:val="21"/>
          <w:szCs w:val="21"/>
        </w:rPr>
        <w:t>未发现估价对象存在</w:t>
      </w:r>
      <w:r>
        <w:rPr>
          <w:rFonts w:ascii="Arial" w:hAnsi="Arial" w:cs="Arial"/>
          <w:kern w:val="2"/>
          <w:sz w:val="21"/>
          <w:szCs w:val="21"/>
        </w:rPr>
        <w:t>抵押、地役、查封等他项权利</w:t>
      </w:r>
      <w:r>
        <w:rPr>
          <w:rFonts w:ascii="Arial" w:hAnsi="Arial" w:cs="Arial"/>
          <w:sz w:val="21"/>
          <w:szCs w:val="21"/>
        </w:rPr>
        <w:t>。</w:t>
      </w:r>
      <w:r>
        <w:rPr>
          <w:rFonts w:ascii="Arial" w:hAnsi="Arial" w:cs="Arial"/>
          <w:sz w:val="21"/>
          <w:szCs w:val="21"/>
        </w:rPr>
      </w:r>
      <w:commentRangeEnd w:id="11"/>
      <w:r>
        <w:commentReference w:id="11"/>
      </w:r>
      <w:r>
        <w:rPr>
          <w:rFonts w:ascii="Arial" w:hAnsi="Arial" w:cs="Arial"/>
          <w:kern w:val="2"/>
          <w:sz w:val="21"/>
          <w:szCs w:val="21"/>
        </w:rPr>
        <w:t>根据估价目的，本次估价未考虑抵押、地役、查封等他项权利影响，故设定估价对象于价值时点不存在抵押、地役、查封等他项权利限制。</w:t>
      </w:r>
    </w:p>
    <w:p>
      <w:pPr>
        <w:pStyle w:val="Normal"/>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spacing w:lineRule="auto" w:line="480"/>
        <w:ind w:left="358" w:hanging="358"/>
        <w:jc w:val="both"/>
        <w:rPr>
          <w:rFonts w:eastAsia="宋体"/>
          <w:kern w:val="2"/>
          <w:sz w:val="21"/>
          <w:szCs w:val="21"/>
        </w:rPr>
      </w:pPr>
      <w:bookmarkStart w:id="43" w:name="_Toc525655437"/>
      <w:r>
        <w:rPr>
          <w:rFonts w:eastAsia="宋体"/>
          <w:kern w:val="2"/>
          <w:sz w:val="21"/>
          <w:szCs w:val="21"/>
        </w:rPr>
        <w:t>二、市场背景描述与分析</w:t>
      </w:r>
      <w:bookmarkEnd w:id="43"/>
    </w:p>
    <w:p>
      <w:pPr>
        <w:pStyle w:val="Normal"/>
        <w:overflowPunct w:val="false"/>
        <w:spacing w:lineRule="auto" w:line="480"/>
        <w:ind w:right="205" w:hanging="0"/>
        <w:jc w:val="both"/>
        <w:rPr>
          <w:rFonts w:ascii="Arial" w:hAnsi="Arial" w:cs="Arial"/>
          <w:b/>
          <w:b/>
          <w:bCs/>
          <w:sz w:val="21"/>
          <w:szCs w:val="21"/>
        </w:rPr>
      </w:pPr>
      <w:r>
        <w:rPr>
          <w:rFonts w:ascii="Arial" w:hAnsi="Arial" w:cs="Arial"/>
          <w:b/>
          <w:bCs/>
          <w:sz w:val="21"/>
          <w:szCs w:val="21"/>
        </w:rPr>
        <w:t>（一）</w:t>
      </w:r>
      <w:r>
        <w:rPr>
          <w:rFonts w:cs="Arial" w:ascii="Arial" w:hAnsi="Arial"/>
          <w:b/>
          <w:bCs/>
          <w:sz w:val="21"/>
          <w:szCs w:val="21"/>
        </w:rPr>
        <w:t>2023</w:t>
      </w:r>
      <w:r>
        <w:rPr>
          <w:rFonts w:ascii="Arial" w:hAnsi="Arial" w:cs="Arial"/>
          <w:b/>
          <w:bCs/>
          <w:sz w:val="21"/>
          <w:szCs w:val="21"/>
        </w:rPr>
        <w:t>年</w:t>
      </w:r>
      <w:r>
        <w:rPr>
          <w:rFonts w:cs="Arial" w:ascii="Arial" w:hAnsi="Arial"/>
          <w:b/>
          <w:bCs/>
          <w:sz w:val="21"/>
          <w:szCs w:val="21"/>
        </w:rPr>
        <w:t>3</w:t>
      </w:r>
      <w:r>
        <w:rPr>
          <w:rFonts w:ascii="Arial" w:hAnsi="Arial" w:cs="Arial"/>
          <w:b/>
          <w:bCs/>
          <w:sz w:val="21"/>
          <w:szCs w:val="21"/>
        </w:rPr>
        <w:t>季度类似房地产市场状况</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1.</w:t>
      </w:r>
      <w:r>
        <w:rPr>
          <w:rFonts w:ascii="Arial" w:hAnsi="Arial" w:cs="Arial"/>
          <w:sz w:val="21"/>
          <w:szCs w:val="21"/>
        </w:rPr>
        <w:t>宏观环境</w:t>
      </w:r>
    </w:p>
    <w:p>
      <w:pPr>
        <w:pStyle w:val="Normal"/>
        <w:spacing w:lineRule="auto" w:line="480"/>
        <w:ind w:firstLine="525"/>
        <w:jc w:val="both"/>
        <w:rPr>
          <w:rFonts w:ascii="Arial" w:hAnsi="Arial" w:cs="Arial"/>
          <w:sz w:val="21"/>
          <w:szCs w:val="21"/>
        </w:rPr>
      </w:pPr>
      <w:r>
        <w:rPr>
          <w:rFonts w:ascii="Arial" w:hAnsi="Arial" w:cs="Arial"/>
          <w:sz w:val="21"/>
          <w:szCs w:val="21"/>
        </w:rPr>
        <w:t>北京市位于北纬</w:t>
      </w:r>
      <w:r>
        <w:rPr>
          <w:rFonts w:cs="Arial" w:ascii="Arial" w:hAnsi="Arial"/>
          <w:sz w:val="21"/>
          <w:szCs w:val="21"/>
        </w:rPr>
        <w:t>39</w:t>
      </w:r>
      <w:r>
        <w:rPr>
          <w:rFonts w:ascii="Arial" w:hAnsi="Arial" w:cs="Arial"/>
          <w:sz w:val="21"/>
          <w:szCs w:val="21"/>
        </w:rPr>
        <w:t>度</w:t>
      </w:r>
      <w:r>
        <w:rPr>
          <w:rFonts w:cs="Arial" w:ascii="Arial" w:hAnsi="Arial"/>
          <w:sz w:val="21"/>
          <w:szCs w:val="21"/>
        </w:rPr>
        <w:t>56</w:t>
      </w:r>
      <w:r>
        <w:rPr>
          <w:rFonts w:ascii="Arial" w:hAnsi="Arial" w:cs="Arial"/>
          <w:sz w:val="21"/>
          <w:szCs w:val="21"/>
        </w:rPr>
        <w:t>分，东经</w:t>
      </w:r>
      <w:r>
        <w:rPr>
          <w:rFonts w:cs="Arial" w:ascii="Arial" w:hAnsi="Arial"/>
          <w:sz w:val="21"/>
          <w:szCs w:val="21"/>
        </w:rPr>
        <w:t>116</w:t>
      </w:r>
      <w:r>
        <w:rPr>
          <w:rFonts w:ascii="Arial" w:hAnsi="Arial" w:cs="Arial"/>
          <w:sz w:val="21"/>
          <w:szCs w:val="21"/>
        </w:rPr>
        <w:t>度</w:t>
      </w:r>
      <w:r>
        <w:rPr>
          <w:rFonts w:cs="Arial" w:ascii="Arial" w:hAnsi="Arial"/>
          <w:sz w:val="21"/>
          <w:szCs w:val="21"/>
        </w:rPr>
        <w:t>20</w:t>
      </w:r>
      <w:r>
        <w:rPr>
          <w:rFonts w:ascii="Arial" w:hAnsi="Arial" w:cs="Arial"/>
          <w:sz w:val="21"/>
          <w:szCs w:val="21"/>
        </w:rPr>
        <w:t>分，地处华北大平原的北部，北京市土地面积</w:t>
      </w:r>
      <w:r>
        <w:rPr>
          <w:rFonts w:cs="Arial" w:ascii="Arial" w:hAnsi="Arial"/>
          <w:sz w:val="21"/>
          <w:szCs w:val="21"/>
        </w:rPr>
        <w:t>16410.54</w:t>
      </w:r>
      <w:r>
        <w:rPr>
          <w:rFonts w:ascii="Arial" w:hAnsi="Arial" w:cs="Arial"/>
          <w:sz w:val="21"/>
          <w:szCs w:val="21"/>
        </w:rPr>
        <w:t>平方公里。北京地势西北高耸，东南低缓。西部、北部和东北部是连绵不断的群山，东南是一片缓缓向渤海倾斜的平原。北京市东部与天津市毗邻，其余均与河北省交界。北京市目前为</w:t>
      </w:r>
      <w:r>
        <w:rPr>
          <w:rFonts w:cs="Arial" w:ascii="Arial" w:hAnsi="Arial"/>
          <w:sz w:val="21"/>
          <w:szCs w:val="21"/>
        </w:rPr>
        <w:t>16</w:t>
      </w:r>
      <w:r>
        <w:rPr>
          <w:rFonts w:ascii="Arial" w:hAnsi="Arial" w:cs="Arial"/>
          <w:sz w:val="21"/>
          <w:szCs w:val="21"/>
        </w:rPr>
        <w:t>区格局，即东城、西城、海淀、朝阳、丰台、顺义、昌平、通州、门头沟、石景山、房山、大兴、怀柔、平谷、密云、延庆。</w:t>
      </w:r>
    </w:p>
    <w:p>
      <w:pPr>
        <w:pStyle w:val="Normal"/>
        <w:spacing w:lineRule="auto" w:line="480"/>
        <w:ind w:firstLine="525"/>
        <w:jc w:val="both"/>
        <w:rPr>
          <w:rFonts w:ascii="Arial" w:hAnsi="Arial" w:cs="Arial"/>
          <w:sz w:val="21"/>
          <w:szCs w:val="21"/>
        </w:rPr>
      </w:pPr>
      <w:r>
        <w:rPr>
          <w:rFonts w:ascii="Arial" w:hAnsi="Arial" w:cs="Arial"/>
          <w:sz w:val="21"/>
          <w:szCs w:val="21"/>
        </w:rPr>
        <w:t>截至</w:t>
      </w:r>
      <w:r>
        <w:rPr>
          <w:rFonts w:cs="Arial" w:ascii="Arial" w:hAnsi="Arial"/>
          <w:sz w:val="21"/>
          <w:szCs w:val="21"/>
        </w:rPr>
        <w:t>2022</w:t>
      </w:r>
      <w:r>
        <w:rPr>
          <w:rFonts w:ascii="Arial" w:hAnsi="Arial" w:cs="Arial"/>
          <w:sz w:val="21"/>
          <w:szCs w:val="21"/>
        </w:rPr>
        <w:t>年年末，北京市常住人口为</w:t>
      </w:r>
      <w:r>
        <w:rPr>
          <w:rFonts w:cs="Arial" w:ascii="Arial" w:hAnsi="Arial"/>
          <w:sz w:val="21"/>
          <w:szCs w:val="21"/>
        </w:rPr>
        <w:t>2184.3</w:t>
      </w:r>
      <w:r>
        <w:rPr>
          <w:rFonts w:ascii="Arial" w:hAnsi="Arial" w:cs="Arial"/>
          <w:sz w:val="21"/>
          <w:szCs w:val="21"/>
        </w:rPr>
        <w:t>万人，从年龄构成看，</w:t>
      </w:r>
      <w:r>
        <w:rPr>
          <w:rFonts w:cs="Arial" w:ascii="Arial" w:hAnsi="Arial"/>
          <w:sz w:val="21"/>
          <w:szCs w:val="21"/>
        </w:rPr>
        <w:t>0-14</w:t>
      </w:r>
      <w:r>
        <w:rPr>
          <w:rFonts w:ascii="Arial" w:hAnsi="Arial" w:cs="Arial"/>
          <w:sz w:val="21"/>
          <w:szCs w:val="21"/>
        </w:rPr>
        <w:t>岁常住人口</w:t>
      </w:r>
      <w:r>
        <w:rPr>
          <w:rFonts w:cs="Arial" w:ascii="Arial" w:hAnsi="Arial"/>
          <w:sz w:val="21"/>
          <w:szCs w:val="21"/>
        </w:rPr>
        <w:t>264</w:t>
      </w:r>
      <w:r>
        <w:rPr>
          <w:rFonts w:ascii="Arial" w:hAnsi="Arial" w:cs="Arial"/>
          <w:sz w:val="21"/>
          <w:szCs w:val="21"/>
        </w:rPr>
        <w:t>万人，占全市常住人口的比重为</w:t>
      </w:r>
      <w:r>
        <w:rPr>
          <w:rFonts w:cs="Arial" w:ascii="Arial" w:hAnsi="Arial"/>
          <w:sz w:val="21"/>
          <w:szCs w:val="21"/>
        </w:rPr>
        <w:t>12.1%</w:t>
      </w:r>
      <w:r>
        <w:rPr>
          <w:rFonts w:ascii="Arial" w:hAnsi="Arial" w:cs="Arial"/>
          <w:sz w:val="21"/>
          <w:szCs w:val="21"/>
        </w:rPr>
        <w:t>；</w:t>
      </w:r>
      <w:r>
        <w:rPr>
          <w:rFonts w:cs="Arial" w:ascii="Arial" w:hAnsi="Arial"/>
          <w:sz w:val="21"/>
          <w:szCs w:val="21"/>
        </w:rPr>
        <w:t>15-59</w:t>
      </w:r>
      <w:r>
        <w:rPr>
          <w:rFonts w:ascii="Arial" w:hAnsi="Arial" w:cs="Arial"/>
          <w:sz w:val="21"/>
          <w:szCs w:val="21"/>
        </w:rPr>
        <w:t>岁常住人口</w:t>
      </w:r>
      <w:r>
        <w:rPr>
          <w:rFonts w:cs="Arial" w:ascii="Arial" w:hAnsi="Arial"/>
          <w:sz w:val="21"/>
          <w:szCs w:val="21"/>
        </w:rPr>
        <w:t>1455.2</w:t>
      </w:r>
      <w:r>
        <w:rPr>
          <w:rFonts w:ascii="Arial" w:hAnsi="Arial" w:cs="Arial"/>
          <w:sz w:val="21"/>
          <w:szCs w:val="21"/>
        </w:rPr>
        <w:t>万人，占</w:t>
      </w:r>
      <w:r>
        <w:rPr>
          <w:rFonts w:cs="Arial" w:ascii="Arial" w:hAnsi="Arial"/>
          <w:sz w:val="21"/>
          <w:szCs w:val="21"/>
        </w:rPr>
        <w:t>66.6%</w:t>
      </w:r>
      <w:r>
        <w:rPr>
          <w:rFonts w:ascii="Arial" w:hAnsi="Arial" w:cs="Arial"/>
          <w:sz w:val="21"/>
          <w:szCs w:val="21"/>
        </w:rPr>
        <w:t>；</w:t>
      </w:r>
      <w:r>
        <w:rPr>
          <w:rFonts w:cs="Arial" w:ascii="Arial" w:hAnsi="Arial"/>
          <w:sz w:val="21"/>
          <w:szCs w:val="21"/>
        </w:rPr>
        <w:t>60</w:t>
      </w:r>
      <w:r>
        <w:rPr>
          <w:rFonts w:ascii="Arial" w:hAnsi="Arial" w:cs="Arial"/>
          <w:sz w:val="21"/>
          <w:szCs w:val="21"/>
        </w:rPr>
        <w:t>岁及以上常住人口</w:t>
      </w:r>
      <w:r>
        <w:rPr>
          <w:rFonts w:cs="Arial" w:ascii="Arial" w:hAnsi="Arial"/>
          <w:sz w:val="21"/>
          <w:szCs w:val="21"/>
        </w:rPr>
        <w:t>465.1</w:t>
      </w:r>
      <w:r>
        <w:rPr>
          <w:rFonts w:ascii="Arial" w:hAnsi="Arial" w:cs="Arial"/>
          <w:sz w:val="21"/>
          <w:szCs w:val="21"/>
        </w:rPr>
        <w:t>万人，占</w:t>
      </w:r>
      <w:r>
        <w:rPr>
          <w:rFonts w:cs="Arial" w:ascii="Arial" w:hAnsi="Arial"/>
          <w:sz w:val="21"/>
          <w:szCs w:val="21"/>
        </w:rPr>
        <w:t>21.3%</w:t>
      </w:r>
      <w:r>
        <w:rPr>
          <w:rFonts w:ascii="Arial" w:hAnsi="Arial" w:cs="Arial"/>
          <w:sz w:val="21"/>
          <w:szCs w:val="21"/>
        </w:rPr>
        <w:t>。</w:t>
      </w:r>
    </w:p>
    <w:p>
      <w:pPr>
        <w:pStyle w:val="Normal"/>
        <w:overflowPunct w:val="false"/>
        <w:jc w:val="center"/>
        <w:rPr>
          <w:rFonts w:ascii="Arial" w:hAnsi="Arial" w:eastAsia="方正黑体简体" w:cs="Arial"/>
          <w:bCs/>
        </w:rPr>
      </w:pPr>
      <w:r>
        <w:rPr>
          <w:rFonts w:eastAsia="方正黑体简体" w:cs="Arial" w:ascii="Arial" w:hAnsi="Arial"/>
          <w:bCs/>
        </w:rPr>
        <w:t>2018-2022</w:t>
      </w:r>
      <w:r>
        <w:rPr>
          <w:rFonts w:ascii="Arial" w:hAnsi="Arial" w:cs="Arial" w:eastAsia="方正黑体简体"/>
          <w:bCs/>
        </w:rPr>
        <w:t>年常住人口增量及增长速度</w:t>
      </w:r>
    </w:p>
    <w:p>
      <w:pPr>
        <w:pStyle w:val="Normal"/>
        <w:spacing w:lineRule="auto" w:line="480"/>
        <w:jc w:val="both"/>
        <w:rPr>
          <w:rFonts w:ascii="Arial" w:hAnsi="Arial" w:cs="Arial"/>
          <w:sz w:val="21"/>
          <w:szCs w:val="21"/>
        </w:rPr>
      </w:pPr>
      <w:r>
        <w:rPr/>
        <w:drawing>
          <wp:inline distT="0" distB="0" distL="0" distR="0">
            <wp:extent cx="5886450" cy="2530475"/>
            <wp:effectExtent l="0" t="0" r="0" b="0"/>
            <wp:docPr id="7"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Start w:id="44" w:name="OLE_LINK33"/>
      <w:bookmarkStart w:id="45" w:name="OLE_LINK34"/>
      <w:bookmarkEnd w:id="44"/>
      <w:bookmarkEnd w:id="45"/>
    </w:p>
    <w:p>
      <w:pPr>
        <w:pStyle w:val="Normal"/>
        <w:spacing w:lineRule="auto" w:line="480"/>
        <w:ind w:firstLine="525"/>
        <w:jc w:val="both"/>
        <w:rPr>
          <w:rFonts w:ascii="Arial" w:hAnsi="Arial" w:cs="Arial"/>
          <w:sz w:val="21"/>
          <w:szCs w:val="21"/>
        </w:rPr>
      </w:pPr>
      <w:r>
        <w:rPr>
          <w:rFonts w:ascii="Arial" w:hAnsi="Arial" w:cs="Arial"/>
          <w:sz w:val="21"/>
          <w:szCs w:val="21"/>
        </w:rPr>
        <w:t>根据北京市统计局地区生产总值统一核算结果，</w:t>
      </w:r>
      <w:r>
        <w:rPr>
          <w:rFonts w:cs="Arial" w:ascii="Arial" w:hAnsi="Arial"/>
          <w:sz w:val="21"/>
          <w:szCs w:val="21"/>
        </w:rPr>
        <w:t>2023</w:t>
      </w:r>
      <w:r>
        <w:rPr>
          <w:rFonts w:ascii="Arial" w:hAnsi="Arial" w:cs="Arial"/>
          <w:sz w:val="21"/>
          <w:szCs w:val="21"/>
        </w:rPr>
        <w:t>年前三季度，北京市实现地区生产总值</w:t>
      </w:r>
      <w:r>
        <w:rPr>
          <w:rFonts w:cs="Arial" w:ascii="Arial" w:hAnsi="Arial"/>
          <w:sz w:val="21"/>
          <w:szCs w:val="21"/>
        </w:rPr>
        <w:t>31723.1</w:t>
      </w:r>
      <w:r>
        <w:rPr>
          <w:rFonts w:ascii="Arial" w:hAnsi="Arial" w:cs="Arial"/>
          <w:sz w:val="21"/>
          <w:szCs w:val="21"/>
        </w:rPr>
        <w:t>亿元，按不变价格计算，同比增长</w:t>
      </w:r>
      <w:r>
        <w:rPr>
          <w:rFonts w:cs="Arial" w:ascii="Arial" w:hAnsi="Arial"/>
          <w:sz w:val="21"/>
          <w:szCs w:val="21"/>
        </w:rPr>
        <w:t>5.1%</w:t>
      </w:r>
      <w:r>
        <w:rPr>
          <w:rFonts w:ascii="Arial" w:hAnsi="Arial" w:cs="Arial"/>
          <w:sz w:val="21"/>
          <w:szCs w:val="21"/>
        </w:rPr>
        <w:t>，比上半年回落</w:t>
      </w:r>
      <w:r>
        <w:rPr>
          <w:rFonts w:cs="Arial" w:ascii="Arial" w:hAnsi="Arial"/>
          <w:sz w:val="21"/>
          <w:szCs w:val="21"/>
        </w:rPr>
        <w:t>0.4</w:t>
      </w:r>
      <w:r>
        <w:rPr>
          <w:rFonts w:ascii="Arial" w:hAnsi="Arial" w:cs="Arial"/>
          <w:sz w:val="21"/>
          <w:szCs w:val="21"/>
        </w:rPr>
        <w:t>个百分点。分产业看，第一产业实现增加值</w:t>
      </w:r>
      <w:r>
        <w:rPr>
          <w:rFonts w:cs="Arial" w:ascii="Arial" w:hAnsi="Arial"/>
          <w:sz w:val="21"/>
          <w:szCs w:val="21"/>
        </w:rPr>
        <w:t>71.4</w:t>
      </w:r>
      <w:r>
        <w:rPr>
          <w:rFonts w:ascii="Arial" w:hAnsi="Arial" w:cs="Arial"/>
          <w:sz w:val="21"/>
          <w:szCs w:val="21"/>
        </w:rPr>
        <w:t>亿元，下降</w:t>
      </w:r>
      <w:r>
        <w:rPr>
          <w:rFonts w:cs="Arial" w:ascii="Arial" w:hAnsi="Arial"/>
          <w:sz w:val="21"/>
          <w:szCs w:val="21"/>
        </w:rPr>
        <w:t>4.2%</w:t>
      </w:r>
      <w:r>
        <w:rPr>
          <w:rFonts w:ascii="Arial" w:hAnsi="Arial" w:cs="Arial"/>
          <w:sz w:val="21"/>
          <w:szCs w:val="21"/>
        </w:rPr>
        <w:t>；第二产业实现增加值</w:t>
      </w:r>
      <w:r>
        <w:rPr>
          <w:rFonts w:cs="Arial" w:ascii="Arial" w:hAnsi="Arial"/>
          <w:sz w:val="21"/>
          <w:szCs w:val="21"/>
        </w:rPr>
        <w:t>4529.1</w:t>
      </w:r>
      <w:r>
        <w:rPr>
          <w:rFonts w:ascii="Arial" w:hAnsi="Arial" w:cs="Arial"/>
          <w:sz w:val="21"/>
          <w:szCs w:val="21"/>
        </w:rPr>
        <w:t>亿元，下降</w:t>
      </w:r>
      <w:r>
        <w:rPr>
          <w:rFonts w:cs="Arial" w:ascii="Arial" w:hAnsi="Arial"/>
          <w:sz w:val="21"/>
          <w:szCs w:val="21"/>
        </w:rPr>
        <w:t>0.1%</w:t>
      </w:r>
      <w:r>
        <w:rPr>
          <w:rFonts w:ascii="Arial" w:hAnsi="Arial" w:cs="Arial"/>
          <w:sz w:val="21"/>
          <w:szCs w:val="21"/>
        </w:rPr>
        <w:t>；第三产业实现增加值</w:t>
      </w:r>
      <w:r>
        <w:rPr>
          <w:rFonts w:cs="Arial" w:ascii="Arial" w:hAnsi="Arial"/>
          <w:sz w:val="21"/>
          <w:szCs w:val="21"/>
        </w:rPr>
        <w:t>27122.7</w:t>
      </w:r>
      <w:r>
        <w:rPr>
          <w:rFonts w:ascii="Arial" w:hAnsi="Arial" w:cs="Arial"/>
          <w:sz w:val="21"/>
          <w:szCs w:val="21"/>
        </w:rPr>
        <w:t>亿元，增长</w:t>
      </w:r>
      <w:r>
        <w:rPr>
          <w:rFonts w:cs="Arial" w:ascii="Arial" w:hAnsi="Arial"/>
          <w:sz w:val="21"/>
          <w:szCs w:val="21"/>
        </w:rPr>
        <w:t>6.1%</w:t>
      </w:r>
      <w:r>
        <w:rPr>
          <w:rFonts w:ascii="Arial" w:hAnsi="Arial" w:cs="Arial"/>
          <w:sz w:val="21"/>
          <w:szCs w:val="21"/>
        </w:rPr>
        <w:t>。</w:t>
      </w:r>
    </w:p>
    <w:p>
      <w:pPr>
        <w:pStyle w:val="Normal"/>
        <w:spacing w:lineRule="auto" w:line="480"/>
        <w:ind w:firstLine="525"/>
        <w:jc w:val="both"/>
        <w:rPr>
          <w:rFonts w:ascii="Arial" w:hAnsi="Arial" w:cs="Arial"/>
          <w:sz w:val="21"/>
          <w:szCs w:val="21"/>
        </w:rPr>
      </w:pPr>
      <w:r>
        <w:rPr>
          <w:rFonts w:ascii="Arial" w:hAnsi="Arial" w:cs="Arial"/>
          <w:sz w:val="21"/>
          <w:szCs w:val="21"/>
        </w:rPr>
        <w:t>前三季度，北京市固定资产投资（不含农户）同比增长</w:t>
      </w:r>
      <w:r>
        <w:rPr>
          <w:rFonts w:cs="Arial" w:ascii="Arial" w:hAnsi="Arial"/>
          <w:sz w:val="21"/>
          <w:szCs w:val="21"/>
        </w:rPr>
        <w:t>5.9%</w:t>
      </w:r>
      <w:r>
        <w:rPr>
          <w:rFonts w:ascii="Arial" w:hAnsi="Arial" w:cs="Arial"/>
          <w:sz w:val="21"/>
          <w:szCs w:val="21"/>
        </w:rPr>
        <w:t>。其中，基础设施投资下降</w:t>
      </w:r>
      <w:r>
        <w:rPr>
          <w:rFonts w:cs="Arial" w:ascii="Arial" w:hAnsi="Arial"/>
          <w:sz w:val="21"/>
          <w:szCs w:val="21"/>
        </w:rPr>
        <w:t>0.1%</w:t>
      </w:r>
      <w:r>
        <w:rPr>
          <w:rFonts w:ascii="Arial" w:hAnsi="Arial" w:cs="Arial"/>
          <w:sz w:val="21"/>
          <w:szCs w:val="21"/>
        </w:rPr>
        <w:t>，房地产开发投资增长</w:t>
      </w:r>
      <w:r>
        <w:rPr>
          <w:rFonts w:cs="Arial" w:ascii="Arial" w:hAnsi="Arial"/>
          <w:sz w:val="21"/>
          <w:szCs w:val="21"/>
        </w:rPr>
        <w:t>2.6%</w:t>
      </w:r>
      <w:r>
        <w:rPr>
          <w:rFonts w:ascii="Arial" w:hAnsi="Arial" w:cs="Arial"/>
          <w:sz w:val="21"/>
          <w:szCs w:val="21"/>
        </w:rPr>
        <w:t>，反映企业扩大生产能力的设备购置投资增长</w:t>
      </w:r>
      <w:r>
        <w:rPr>
          <w:rFonts w:cs="Arial" w:ascii="Arial" w:hAnsi="Arial"/>
          <w:sz w:val="21"/>
          <w:szCs w:val="21"/>
        </w:rPr>
        <w:t>26.5%</w:t>
      </w:r>
      <w:r>
        <w:rPr>
          <w:rFonts w:ascii="Arial" w:hAnsi="Arial" w:cs="Arial"/>
          <w:sz w:val="21"/>
          <w:szCs w:val="21"/>
        </w:rPr>
        <w:t>。分产业看，第一产业投资下降</w:t>
      </w:r>
      <w:r>
        <w:rPr>
          <w:rFonts w:cs="Arial" w:ascii="Arial" w:hAnsi="Arial"/>
          <w:sz w:val="21"/>
          <w:szCs w:val="21"/>
        </w:rPr>
        <w:t>51.7%</w:t>
      </w:r>
      <w:r>
        <w:rPr>
          <w:rFonts w:ascii="Arial" w:hAnsi="Arial" w:cs="Arial"/>
          <w:sz w:val="21"/>
          <w:szCs w:val="21"/>
        </w:rPr>
        <w:t>，第二产业投资下降</w:t>
      </w:r>
      <w:r>
        <w:rPr>
          <w:rFonts w:cs="Arial" w:ascii="Arial" w:hAnsi="Arial"/>
          <w:sz w:val="21"/>
          <w:szCs w:val="21"/>
        </w:rPr>
        <w:t>12.0%</w:t>
      </w:r>
      <w:r>
        <w:rPr>
          <w:rFonts w:ascii="Arial" w:hAnsi="Arial" w:cs="Arial"/>
          <w:sz w:val="21"/>
          <w:szCs w:val="21"/>
        </w:rPr>
        <w:t>，第三产业投资增长</w:t>
      </w:r>
      <w:r>
        <w:rPr>
          <w:rFonts w:cs="Arial" w:ascii="Arial" w:hAnsi="Arial"/>
          <w:sz w:val="21"/>
          <w:szCs w:val="21"/>
        </w:rPr>
        <w:t>8.4%</w:t>
      </w:r>
      <w:r>
        <w:rPr>
          <w:rFonts w:ascii="Arial" w:hAnsi="Arial" w:cs="Arial"/>
          <w:sz w:val="21"/>
          <w:szCs w:val="21"/>
        </w:rPr>
        <w:t>。其中，科学研究和技术服务业，信息传输、软件和信息技术服务业投资分别增长</w:t>
      </w:r>
      <w:r>
        <w:rPr>
          <w:rFonts w:cs="Arial" w:ascii="Arial" w:hAnsi="Arial"/>
          <w:sz w:val="21"/>
          <w:szCs w:val="21"/>
        </w:rPr>
        <w:t>49.7%</w:t>
      </w:r>
      <w:r>
        <w:rPr>
          <w:rFonts w:ascii="Arial" w:hAnsi="Arial" w:cs="Arial"/>
          <w:sz w:val="21"/>
          <w:szCs w:val="21"/>
        </w:rPr>
        <w:t>和</w:t>
      </w:r>
      <w:r>
        <w:rPr>
          <w:rFonts w:cs="Arial" w:ascii="Arial" w:hAnsi="Arial"/>
          <w:sz w:val="21"/>
          <w:szCs w:val="21"/>
        </w:rPr>
        <w:t>47.2%</w:t>
      </w:r>
      <w:r>
        <w:rPr>
          <w:rFonts w:ascii="Arial" w:hAnsi="Arial" w:cs="Arial"/>
          <w:sz w:val="21"/>
          <w:szCs w:val="21"/>
        </w:rPr>
        <w:t>，租赁和商务服务业，交通运输、仓储和邮政业投资分别增长</w:t>
      </w:r>
      <w:r>
        <w:rPr>
          <w:rFonts w:cs="Arial" w:ascii="Arial" w:hAnsi="Arial"/>
          <w:sz w:val="21"/>
          <w:szCs w:val="21"/>
        </w:rPr>
        <w:t>20.2%</w:t>
      </w:r>
      <w:r>
        <w:rPr>
          <w:rFonts w:ascii="Arial" w:hAnsi="Arial" w:cs="Arial"/>
          <w:sz w:val="21"/>
          <w:szCs w:val="21"/>
        </w:rPr>
        <w:t>和</w:t>
      </w:r>
      <w:r>
        <w:rPr>
          <w:rFonts w:cs="Arial" w:ascii="Arial" w:hAnsi="Arial"/>
          <w:sz w:val="21"/>
          <w:szCs w:val="21"/>
        </w:rPr>
        <w:t>14.1%</w:t>
      </w:r>
      <w:r>
        <w:rPr>
          <w:rFonts w:ascii="Arial" w:hAnsi="Arial" w:cs="Arial"/>
          <w:sz w:val="21"/>
          <w:szCs w:val="21"/>
        </w:rPr>
        <w:t>。高技术产业投资增长</w:t>
      </w:r>
      <w:r>
        <w:rPr>
          <w:rFonts w:cs="Arial" w:ascii="Arial" w:hAnsi="Arial"/>
          <w:sz w:val="21"/>
          <w:szCs w:val="21"/>
        </w:rPr>
        <w:t>18.2%</w:t>
      </w:r>
      <w:r>
        <w:rPr>
          <w:rFonts w:ascii="Arial" w:hAnsi="Arial" w:cs="Arial"/>
          <w:sz w:val="21"/>
          <w:szCs w:val="21"/>
        </w:rPr>
        <w:t>，其中高技术服务业投资增长</w:t>
      </w:r>
      <w:r>
        <w:rPr>
          <w:rFonts w:cs="Arial" w:ascii="Arial" w:hAnsi="Arial"/>
          <w:sz w:val="21"/>
          <w:szCs w:val="21"/>
        </w:rPr>
        <w:t>50.6%</w:t>
      </w:r>
      <w:r>
        <w:rPr>
          <w:rFonts w:ascii="Arial" w:hAnsi="Arial" w:cs="Arial"/>
          <w:sz w:val="21"/>
          <w:szCs w:val="21"/>
        </w:rPr>
        <w:t>。</w:t>
      </w:r>
    </w:p>
    <w:p>
      <w:pPr>
        <w:pStyle w:val="Normal"/>
        <w:spacing w:lineRule="auto" w:line="480"/>
        <w:ind w:firstLine="525"/>
        <w:jc w:val="both"/>
        <w:rPr>
          <w:rFonts w:ascii="Arial" w:hAnsi="Arial" w:cs="Arial"/>
          <w:sz w:val="21"/>
          <w:szCs w:val="21"/>
        </w:rPr>
      </w:pPr>
      <w:r>
        <w:rPr>
          <w:rFonts w:cs="Arial" w:ascii="Arial" w:hAnsi="Arial"/>
          <w:sz w:val="21"/>
          <w:szCs w:val="21"/>
        </w:rPr>
        <w:t>1-9</w:t>
      </w:r>
      <w:r>
        <w:rPr>
          <w:rFonts w:ascii="Arial" w:hAnsi="Arial" w:cs="Arial"/>
          <w:sz w:val="21"/>
          <w:szCs w:val="21"/>
        </w:rPr>
        <w:t>月，北京市房地产开发企业房屋新开工面积为</w:t>
      </w:r>
      <w:r>
        <w:rPr>
          <w:rFonts w:cs="Arial" w:ascii="Arial" w:hAnsi="Arial"/>
          <w:sz w:val="21"/>
          <w:szCs w:val="21"/>
        </w:rPr>
        <w:t xml:space="preserve">893.3 </w:t>
      </w:r>
      <w:r>
        <w:rPr>
          <w:rFonts w:ascii="Arial" w:hAnsi="Arial" w:cs="Arial"/>
          <w:sz w:val="21"/>
          <w:szCs w:val="21"/>
        </w:rPr>
        <w:t>万平方米，同比下降</w:t>
      </w:r>
      <w:r>
        <w:rPr>
          <w:rFonts w:cs="Arial" w:ascii="Arial" w:hAnsi="Arial"/>
          <w:sz w:val="21"/>
          <w:szCs w:val="21"/>
        </w:rPr>
        <w:t>28.1%</w:t>
      </w:r>
      <w:r>
        <w:rPr>
          <w:rFonts w:ascii="Arial" w:hAnsi="Arial" w:cs="Arial"/>
          <w:sz w:val="21"/>
          <w:szCs w:val="21"/>
        </w:rPr>
        <w:t>。其中，住宅新开工面积为</w:t>
      </w:r>
      <w:r>
        <w:rPr>
          <w:rFonts w:cs="Arial" w:ascii="Arial" w:hAnsi="Arial"/>
          <w:sz w:val="21"/>
          <w:szCs w:val="21"/>
        </w:rPr>
        <w:t>507.6</w:t>
      </w:r>
      <w:r>
        <w:rPr>
          <w:rFonts w:ascii="Arial" w:hAnsi="Arial" w:cs="Arial"/>
          <w:sz w:val="21"/>
          <w:szCs w:val="21"/>
        </w:rPr>
        <w:t>万平方米，下降</w:t>
      </w:r>
      <w:r>
        <w:rPr>
          <w:rFonts w:cs="Arial" w:ascii="Arial" w:hAnsi="Arial"/>
          <w:sz w:val="21"/>
          <w:szCs w:val="21"/>
        </w:rPr>
        <w:t>24.9%</w:t>
      </w:r>
      <w:r>
        <w:rPr>
          <w:rFonts w:ascii="Arial" w:hAnsi="Arial" w:cs="Arial"/>
          <w:sz w:val="21"/>
          <w:szCs w:val="21"/>
        </w:rPr>
        <w:t>；办公楼为</w:t>
      </w:r>
      <w:r>
        <w:rPr>
          <w:rFonts w:cs="Arial" w:ascii="Arial" w:hAnsi="Arial"/>
          <w:sz w:val="21"/>
          <w:szCs w:val="21"/>
        </w:rPr>
        <w:t>35.8</w:t>
      </w:r>
      <w:r>
        <w:rPr>
          <w:rFonts w:ascii="Arial" w:hAnsi="Arial" w:cs="Arial"/>
          <w:sz w:val="21"/>
          <w:szCs w:val="21"/>
        </w:rPr>
        <w:t>万平方米，下降</w:t>
      </w:r>
      <w:r>
        <w:rPr>
          <w:rFonts w:cs="Arial" w:ascii="Arial" w:hAnsi="Arial"/>
          <w:sz w:val="21"/>
          <w:szCs w:val="21"/>
        </w:rPr>
        <w:t>39.9%</w:t>
      </w:r>
      <w:r>
        <w:rPr>
          <w:rFonts w:ascii="Arial" w:hAnsi="Arial" w:cs="Arial"/>
          <w:sz w:val="21"/>
          <w:szCs w:val="21"/>
        </w:rPr>
        <w:t>；商业营业用房为</w:t>
      </w:r>
      <w:r>
        <w:rPr>
          <w:rFonts w:cs="Arial" w:ascii="Arial" w:hAnsi="Arial"/>
          <w:sz w:val="21"/>
          <w:szCs w:val="21"/>
        </w:rPr>
        <w:t>32.7</w:t>
      </w:r>
      <w:r>
        <w:rPr>
          <w:rFonts w:ascii="Arial" w:hAnsi="Arial" w:cs="Arial"/>
          <w:sz w:val="21"/>
          <w:szCs w:val="21"/>
        </w:rPr>
        <w:t>万平方米，下降</w:t>
      </w:r>
      <w:r>
        <w:rPr>
          <w:rFonts w:cs="Arial" w:ascii="Arial" w:hAnsi="Arial"/>
          <w:sz w:val="21"/>
          <w:szCs w:val="21"/>
        </w:rPr>
        <w:t>31.8%</w:t>
      </w:r>
      <w:r>
        <w:rPr>
          <w:rFonts w:ascii="Arial" w:hAnsi="Arial" w:cs="Arial"/>
          <w:sz w:val="21"/>
          <w:szCs w:val="21"/>
        </w:rPr>
        <w:t>。房屋竣工面积</w:t>
      </w:r>
      <w:r>
        <w:rPr>
          <w:rFonts w:cs="Arial" w:ascii="Arial" w:hAnsi="Arial"/>
          <w:sz w:val="21"/>
          <w:szCs w:val="21"/>
        </w:rPr>
        <w:t>908.7</w:t>
      </w:r>
      <w:r>
        <w:rPr>
          <w:rFonts w:ascii="Arial" w:hAnsi="Arial" w:cs="Arial"/>
          <w:sz w:val="21"/>
          <w:szCs w:val="21"/>
        </w:rPr>
        <w:t>万平方米，同比增长</w:t>
      </w:r>
      <w:r>
        <w:rPr>
          <w:rFonts w:cs="Arial" w:ascii="Arial" w:hAnsi="Arial"/>
          <w:sz w:val="21"/>
          <w:szCs w:val="21"/>
        </w:rPr>
        <w:t>8.8%</w:t>
      </w:r>
      <w:r>
        <w:rPr>
          <w:rFonts w:ascii="Arial" w:hAnsi="Arial" w:cs="Arial"/>
          <w:sz w:val="21"/>
          <w:szCs w:val="21"/>
        </w:rPr>
        <w:t>。其中，住宅竣工面积为</w:t>
      </w:r>
      <w:r>
        <w:rPr>
          <w:rFonts w:cs="Arial" w:ascii="Arial" w:hAnsi="Arial"/>
          <w:sz w:val="21"/>
          <w:szCs w:val="21"/>
        </w:rPr>
        <w:t>476.9</w:t>
      </w:r>
      <w:r>
        <w:rPr>
          <w:rFonts w:ascii="Arial" w:hAnsi="Arial" w:cs="Arial"/>
          <w:sz w:val="21"/>
          <w:szCs w:val="21"/>
        </w:rPr>
        <w:t>万平方米，增长</w:t>
      </w:r>
      <w:r>
        <w:rPr>
          <w:rFonts w:cs="Arial" w:ascii="Arial" w:hAnsi="Arial"/>
          <w:sz w:val="21"/>
          <w:szCs w:val="21"/>
        </w:rPr>
        <w:t>2.3%</w:t>
      </w:r>
      <w:r>
        <w:rPr>
          <w:rFonts w:ascii="Arial" w:hAnsi="Arial" w:cs="Arial"/>
          <w:sz w:val="21"/>
          <w:szCs w:val="21"/>
        </w:rPr>
        <w:t>；办公楼为</w:t>
      </w:r>
      <w:r>
        <w:rPr>
          <w:rFonts w:cs="Arial" w:ascii="Arial" w:hAnsi="Arial"/>
          <w:sz w:val="21"/>
          <w:szCs w:val="21"/>
        </w:rPr>
        <w:t>85.1</w:t>
      </w:r>
      <w:r>
        <w:rPr>
          <w:rFonts w:ascii="Arial" w:hAnsi="Arial" w:cs="Arial"/>
          <w:sz w:val="21"/>
          <w:szCs w:val="21"/>
        </w:rPr>
        <w:t>万平方米，下降</w:t>
      </w:r>
      <w:r>
        <w:rPr>
          <w:rFonts w:cs="Arial" w:ascii="Arial" w:hAnsi="Arial"/>
          <w:sz w:val="21"/>
          <w:szCs w:val="21"/>
        </w:rPr>
        <w:t>29.8%</w:t>
      </w:r>
      <w:r>
        <w:rPr>
          <w:rFonts w:ascii="Arial" w:hAnsi="Arial" w:cs="Arial"/>
          <w:sz w:val="21"/>
          <w:szCs w:val="21"/>
        </w:rPr>
        <w:t>；商业营业用房为</w:t>
      </w:r>
      <w:r>
        <w:rPr>
          <w:rFonts w:cs="Arial" w:ascii="Arial" w:hAnsi="Arial"/>
          <w:sz w:val="21"/>
          <w:szCs w:val="21"/>
        </w:rPr>
        <w:t>34.5</w:t>
      </w:r>
      <w:r>
        <w:rPr>
          <w:rFonts w:ascii="Arial" w:hAnsi="Arial" w:cs="Arial"/>
          <w:sz w:val="21"/>
          <w:szCs w:val="21"/>
        </w:rPr>
        <w:t>万平方米，增长</w:t>
      </w:r>
      <w:r>
        <w:rPr>
          <w:rFonts w:cs="Arial" w:ascii="Arial" w:hAnsi="Arial"/>
          <w:sz w:val="21"/>
          <w:szCs w:val="21"/>
        </w:rPr>
        <w:t>22.6%</w:t>
      </w:r>
      <w:r>
        <w:rPr>
          <w:rFonts w:ascii="Arial" w:hAnsi="Arial" w:cs="Arial"/>
          <w:sz w:val="21"/>
          <w:szCs w:val="21"/>
        </w:rPr>
        <w:t>。新建商品房销售面积为</w:t>
      </w:r>
      <w:r>
        <w:rPr>
          <w:rFonts w:cs="Arial" w:ascii="Arial" w:hAnsi="Arial"/>
          <w:sz w:val="21"/>
          <w:szCs w:val="21"/>
        </w:rPr>
        <w:t>785.1</w:t>
      </w:r>
      <w:r>
        <w:rPr>
          <w:rFonts w:ascii="Arial" w:hAnsi="Arial" w:cs="Arial"/>
          <w:sz w:val="21"/>
          <w:szCs w:val="21"/>
        </w:rPr>
        <w:t>万平方米，同比增长</w:t>
      </w:r>
      <w:r>
        <w:rPr>
          <w:rFonts w:cs="Arial" w:ascii="Arial" w:hAnsi="Arial"/>
          <w:sz w:val="21"/>
          <w:szCs w:val="21"/>
        </w:rPr>
        <w:t>6.4%</w:t>
      </w:r>
      <w:r>
        <w:rPr>
          <w:rFonts w:ascii="Arial" w:hAnsi="Arial" w:cs="Arial"/>
          <w:sz w:val="21"/>
          <w:szCs w:val="21"/>
        </w:rPr>
        <w:t>。其中，住宅销售面积为</w:t>
      </w:r>
      <w:r>
        <w:rPr>
          <w:rFonts w:cs="Arial" w:ascii="Arial" w:hAnsi="Arial"/>
          <w:sz w:val="21"/>
          <w:szCs w:val="21"/>
        </w:rPr>
        <w:t>573.8</w:t>
      </w:r>
      <w:r>
        <w:rPr>
          <w:rFonts w:ascii="Arial" w:hAnsi="Arial" w:cs="Arial"/>
          <w:sz w:val="21"/>
          <w:szCs w:val="21"/>
        </w:rPr>
        <w:t>万平方米，增长</w:t>
      </w:r>
      <w:r>
        <w:rPr>
          <w:rFonts w:cs="Arial" w:ascii="Arial" w:hAnsi="Arial"/>
          <w:sz w:val="21"/>
          <w:szCs w:val="21"/>
        </w:rPr>
        <w:t>6.2%</w:t>
      </w:r>
      <w:r>
        <w:rPr>
          <w:rFonts w:ascii="Arial" w:hAnsi="Arial" w:cs="Arial"/>
          <w:sz w:val="21"/>
          <w:szCs w:val="21"/>
        </w:rPr>
        <w:t>；办公楼为</w:t>
      </w:r>
      <w:r>
        <w:rPr>
          <w:rFonts w:cs="Arial" w:ascii="Arial" w:hAnsi="Arial"/>
          <w:sz w:val="21"/>
          <w:szCs w:val="21"/>
        </w:rPr>
        <w:t>52.8</w:t>
      </w:r>
      <w:r>
        <w:rPr>
          <w:rFonts w:ascii="Arial" w:hAnsi="Arial" w:cs="Arial"/>
          <w:sz w:val="21"/>
          <w:szCs w:val="21"/>
        </w:rPr>
        <w:t>万平方米，增长</w:t>
      </w:r>
      <w:r>
        <w:rPr>
          <w:rFonts w:cs="Arial" w:ascii="Arial" w:hAnsi="Arial"/>
          <w:sz w:val="21"/>
          <w:szCs w:val="21"/>
        </w:rPr>
        <w:t>15.9%</w:t>
      </w:r>
      <w:r>
        <w:rPr>
          <w:rFonts w:ascii="Arial" w:hAnsi="Arial" w:cs="Arial"/>
          <w:sz w:val="21"/>
          <w:szCs w:val="21"/>
        </w:rPr>
        <w:t>；商业营业用房为</w:t>
      </w:r>
      <w:r>
        <w:rPr>
          <w:rFonts w:cs="Arial" w:ascii="Arial" w:hAnsi="Arial"/>
          <w:sz w:val="21"/>
          <w:szCs w:val="21"/>
        </w:rPr>
        <w:t>40.2</w:t>
      </w:r>
      <w:r>
        <w:rPr>
          <w:rFonts w:ascii="Arial" w:hAnsi="Arial" w:cs="Arial"/>
          <w:sz w:val="21"/>
          <w:szCs w:val="21"/>
        </w:rPr>
        <w:t>万平方米，下降</w:t>
      </w:r>
      <w:r>
        <w:rPr>
          <w:rFonts w:cs="Arial" w:ascii="Arial" w:hAnsi="Arial"/>
          <w:sz w:val="21"/>
          <w:szCs w:val="21"/>
        </w:rPr>
        <w:t>4.5%</w:t>
      </w:r>
      <w:r>
        <w:rPr>
          <w:rFonts w:ascii="Arial" w:hAnsi="Arial" w:cs="Arial"/>
          <w:sz w:val="21"/>
          <w:szCs w:val="21"/>
        </w:rPr>
        <w:t>。</w:t>
      </w:r>
      <w:bookmarkStart w:id="46" w:name="OLE_LINK39"/>
      <w:bookmarkEnd w:id="46"/>
    </w:p>
    <w:p>
      <w:pPr>
        <w:pStyle w:val="Normal"/>
        <w:spacing w:lineRule="auto" w:line="480"/>
        <w:ind w:firstLine="525"/>
        <w:jc w:val="both"/>
        <w:rPr>
          <w:rFonts w:ascii="Arial" w:hAnsi="Arial" w:cs="Arial"/>
          <w:sz w:val="21"/>
          <w:szCs w:val="21"/>
        </w:rPr>
      </w:pPr>
      <w:r>
        <w:rPr>
          <w:rFonts w:ascii="Arial" w:hAnsi="Arial" w:cs="Arial"/>
          <w:sz w:val="21"/>
          <w:szCs w:val="21"/>
        </w:rPr>
        <w:t>总的来看，前三季度北京市生产需求稳步恢复，就业物价保持稳定，居民收入继续增加，总体经济延续恢复态势，发展质量继续提高。</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2.</w:t>
      </w:r>
      <w:r>
        <w:rPr>
          <w:rFonts w:ascii="Arial" w:hAnsi="Arial" w:cs="Arial"/>
          <w:sz w:val="21"/>
          <w:szCs w:val="21"/>
        </w:rPr>
        <w:t>土地市场</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1</w:t>
      </w:r>
      <w:r>
        <w:rPr>
          <w:rFonts w:ascii="Arial" w:hAnsi="Arial" w:cs="Arial"/>
          <w:sz w:val="21"/>
          <w:szCs w:val="21"/>
        </w:rPr>
        <w:t>）土地供求情况</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2023</w:t>
      </w:r>
      <w:r>
        <w:rPr>
          <w:rFonts w:ascii="Arial" w:hAnsi="Arial" w:cs="Arial"/>
          <w:sz w:val="21"/>
          <w:szCs w:val="21"/>
        </w:rPr>
        <w:t>年三季度北京商品住宅用地共推出</w:t>
      </w:r>
      <w:r>
        <w:rPr>
          <w:rFonts w:cs="Arial" w:ascii="Arial" w:hAnsi="Arial"/>
          <w:sz w:val="21"/>
          <w:szCs w:val="21"/>
        </w:rPr>
        <w:t>14</w:t>
      </w:r>
      <w:r>
        <w:rPr>
          <w:rFonts w:ascii="Arial" w:hAnsi="Arial" w:cs="Arial"/>
          <w:sz w:val="21"/>
          <w:szCs w:val="21"/>
        </w:rPr>
        <w:t>宗，累计供应规划建面</w:t>
      </w:r>
      <w:r>
        <w:rPr>
          <w:rFonts w:cs="Arial" w:ascii="Arial" w:hAnsi="Arial"/>
          <w:sz w:val="21"/>
          <w:szCs w:val="21"/>
        </w:rPr>
        <w:t>152.52</w:t>
      </w:r>
      <w:r>
        <w:rPr>
          <w:rFonts w:ascii="Arial" w:hAnsi="Arial" w:cs="Arial"/>
          <w:sz w:val="21"/>
          <w:szCs w:val="21"/>
        </w:rPr>
        <w:t>万㎡，同比增长</w:t>
      </w:r>
      <w:r>
        <w:rPr>
          <w:rFonts w:cs="Arial" w:ascii="Arial" w:hAnsi="Arial"/>
          <w:sz w:val="21"/>
          <w:szCs w:val="21"/>
        </w:rPr>
        <w:t>3%</w:t>
      </w:r>
      <w:r>
        <w:rPr>
          <w:rFonts w:ascii="Arial" w:hAnsi="Arial" w:cs="Arial"/>
          <w:sz w:val="21"/>
          <w:szCs w:val="21"/>
        </w:rPr>
        <w:t>。三季度，北京累计成交</w:t>
      </w:r>
      <w:r>
        <w:rPr>
          <w:rFonts w:cs="Arial" w:ascii="Arial" w:hAnsi="Arial"/>
          <w:sz w:val="21"/>
          <w:szCs w:val="21"/>
        </w:rPr>
        <w:t>12</w:t>
      </w:r>
      <w:r>
        <w:rPr>
          <w:rFonts w:ascii="Arial" w:hAnsi="Arial" w:cs="Arial"/>
          <w:sz w:val="21"/>
          <w:szCs w:val="21"/>
        </w:rPr>
        <w:t>宗商品住宅用地，成交规划建面</w:t>
      </w:r>
      <w:r>
        <w:rPr>
          <w:rFonts w:cs="Arial" w:ascii="Arial" w:hAnsi="Arial"/>
          <w:sz w:val="21"/>
          <w:szCs w:val="21"/>
        </w:rPr>
        <w:t>140.97</w:t>
      </w:r>
      <w:r>
        <w:rPr>
          <w:rFonts w:ascii="Arial" w:hAnsi="Arial" w:cs="Arial"/>
          <w:sz w:val="21"/>
          <w:szCs w:val="21"/>
        </w:rPr>
        <w:t>万㎡，同比下降</w:t>
      </w:r>
      <w:r>
        <w:rPr>
          <w:rFonts w:cs="Arial" w:ascii="Arial" w:hAnsi="Arial"/>
          <w:sz w:val="21"/>
          <w:szCs w:val="21"/>
        </w:rPr>
        <w:t>4%</w:t>
      </w:r>
      <w:r>
        <w:rPr>
          <w:rFonts w:ascii="Arial" w:hAnsi="Arial" w:cs="Arial"/>
          <w:sz w:val="21"/>
          <w:szCs w:val="21"/>
        </w:rPr>
        <w:t>。整体来看，</w:t>
      </w:r>
      <w:r>
        <w:rPr>
          <w:rFonts w:cs="Arial" w:ascii="Arial" w:hAnsi="Arial"/>
          <w:sz w:val="21"/>
          <w:szCs w:val="21"/>
        </w:rPr>
        <w:t>2023</w:t>
      </w:r>
      <w:r>
        <w:rPr>
          <w:rFonts w:ascii="Arial" w:hAnsi="Arial" w:cs="Arial"/>
          <w:sz w:val="21"/>
          <w:szCs w:val="21"/>
        </w:rPr>
        <w:t>年北京第二批次宅地延续缓慢入市节奏，三季度仅成交</w:t>
      </w:r>
      <w:r>
        <w:rPr>
          <w:rFonts w:cs="Arial" w:ascii="Arial" w:hAnsi="Arial"/>
          <w:sz w:val="21"/>
          <w:szCs w:val="21"/>
        </w:rPr>
        <w:t>12</w:t>
      </w:r>
      <w:r>
        <w:rPr>
          <w:rFonts w:ascii="Arial" w:hAnsi="Arial" w:cs="Arial"/>
          <w:sz w:val="21"/>
          <w:szCs w:val="21"/>
        </w:rPr>
        <w:t>宗宅地；截止到</w:t>
      </w:r>
      <w:r>
        <w:rPr>
          <w:rFonts w:cs="Arial" w:ascii="Arial" w:hAnsi="Arial"/>
          <w:sz w:val="21"/>
          <w:szCs w:val="21"/>
        </w:rPr>
        <w:t>9</w:t>
      </w:r>
      <w:r>
        <w:rPr>
          <w:rFonts w:ascii="Arial" w:hAnsi="Arial" w:cs="Arial"/>
          <w:sz w:val="21"/>
          <w:szCs w:val="21"/>
        </w:rPr>
        <w:t>月底，北京第二轮次拟供应宅地共计成交</w:t>
      </w:r>
      <w:r>
        <w:rPr>
          <w:rFonts w:cs="Arial" w:ascii="Arial" w:hAnsi="Arial"/>
          <w:sz w:val="21"/>
          <w:szCs w:val="21"/>
        </w:rPr>
        <w:t>14</w:t>
      </w:r>
      <w:r>
        <w:rPr>
          <w:rFonts w:ascii="Arial" w:hAnsi="Arial" w:cs="Arial"/>
          <w:sz w:val="21"/>
          <w:szCs w:val="21"/>
        </w:rPr>
        <w:t>宗，另外房山长阳镇</w:t>
      </w:r>
      <w:r>
        <w:rPr>
          <w:rFonts w:cs="Arial" w:ascii="Arial" w:hAnsi="Arial"/>
          <w:sz w:val="21"/>
          <w:szCs w:val="21"/>
        </w:rPr>
        <w:t>FS00-0101-0002</w:t>
      </w:r>
      <w:r>
        <w:rPr>
          <w:rFonts w:ascii="Arial" w:hAnsi="Arial" w:cs="Arial"/>
          <w:sz w:val="21"/>
          <w:szCs w:val="21"/>
        </w:rPr>
        <w:t>、</w:t>
      </w:r>
      <w:r>
        <w:rPr>
          <w:rFonts w:cs="Arial" w:ascii="Arial" w:hAnsi="Arial"/>
          <w:sz w:val="21"/>
          <w:szCs w:val="21"/>
        </w:rPr>
        <w:t>0003</w:t>
      </w:r>
      <w:r>
        <w:rPr>
          <w:rFonts w:ascii="Arial" w:hAnsi="Arial" w:cs="Arial"/>
          <w:sz w:val="21"/>
          <w:szCs w:val="21"/>
        </w:rPr>
        <w:t>地块暂停出让。</w:t>
      </w:r>
    </w:p>
    <w:p>
      <w:pPr>
        <w:pStyle w:val="Normal"/>
        <w:overflowPunct w:val="false"/>
        <w:spacing w:lineRule="auto" w:line="480"/>
        <w:jc w:val="center"/>
        <w:rPr>
          <w:rFonts w:ascii="Arial" w:hAnsi="Arial" w:cs="Arial"/>
        </w:rPr>
      </w:pPr>
      <w:r>
        <w:rPr/>
        <w:drawing>
          <wp:inline distT="0" distB="0" distL="0" distR="0">
            <wp:extent cx="5904865" cy="3401060"/>
            <wp:effectExtent l="0" t="0" r="0" b="0"/>
            <wp:docPr id="8" name="图片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2" descr=""/>
                    <pic:cNvPicPr>
                      <a:picLocks noChangeAspect="1" noChangeArrowheads="1"/>
                    </pic:cNvPicPr>
                  </pic:nvPicPr>
                  <pic:blipFill>
                    <a:blip r:embed="rId16"/>
                    <a:stretch>
                      <a:fillRect/>
                    </a:stretch>
                  </pic:blipFill>
                  <pic:spPr bwMode="auto">
                    <a:xfrm>
                      <a:off x="0" y="0"/>
                      <a:ext cx="5904865" cy="3401060"/>
                    </a:xfrm>
                    <a:prstGeom prst="rect">
                      <a:avLst/>
                    </a:prstGeom>
                  </pic:spPr>
                </pic:pic>
              </a:graphicData>
            </a:graphic>
          </wp:inline>
        </w:drawing>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szCs w:val="21"/>
        </w:rPr>
        <w:t>2</w:t>
      </w:r>
      <w:r>
        <w:rPr>
          <w:rFonts w:ascii="Arial" w:hAnsi="Arial" w:cs="Arial"/>
          <w:sz w:val="21"/>
          <w:szCs w:val="21"/>
        </w:rPr>
        <w:t>）土地成交情况</w:t>
      </w:r>
    </w:p>
    <w:p>
      <w:pPr>
        <w:pStyle w:val="Normal"/>
        <w:overflowPunct w:val="false"/>
        <w:spacing w:lineRule="auto" w:line="480"/>
        <w:ind w:firstLine="420"/>
        <w:jc w:val="both"/>
        <w:rPr>
          <w:rFonts w:ascii="Arial" w:hAnsi="Arial" w:cs="Arial"/>
          <w:sz w:val="21"/>
          <w:szCs w:val="21"/>
        </w:rPr>
      </w:pPr>
      <w:r>
        <w:rPr>
          <w:rFonts w:cs="Arial" w:ascii="Arial" w:hAnsi="Arial"/>
          <w:sz w:val="21"/>
          <w:szCs w:val="21"/>
        </w:rPr>
        <w:t>2023</w:t>
      </w:r>
      <w:r>
        <w:rPr>
          <w:rFonts w:ascii="Arial" w:hAnsi="Arial" w:cs="Arial"/>
          <w:sz w:val="21"/>
          <w:szCs w:val="21"/>
        </w:rPr>
        <w:t>年三季度，北京市中心城区仅朝阳和石景山各成交</w:t>
      </w:r>
      <w:r>
        <w:rPr>
          <w:rFonts w:cs="Arial" w:ascii="Arial" w:hAnsi="Arial"/>
          <w:sz w:val="21"/>
          <w:szCs w:val="21"/>
        </w:rPr>
        <w:t>1</w:t>
      </w:r>
      <w:r>
        <w:rPr>
          <w:rFonts w:ascii="Arial" w:hAnsi="Arial" w:cs="Arial"/>
          <w:sz w:val="21"/>
          <w:szCs w:val="21"/>
        </w:rPr>
        <w:t>宗宅地，累计成交规划建面</w:t>
      </w:r>
      <w:r>
        <w:rPr>
          <w:rFonts w:cs="Arial" w:ascii="Arial" w:hAnsi="Arial"/>
          <w:sz w:val="21"/>
          <w:szCs w:val="21"/>
        </w:rPr>
        <w:t>24.68</w:t>
      </w:r>
      <w:r>
        <w:rPr>
          <w:rFonts w:ascii="Arial" w:hAnsi="Arial" w:cs="Arial"/>
          <w:sz w:val="21"/>
          <w:szCs w:val="21"/>
        </w:rPr>
        <w:t>万㎡，占比</w:t>
      </w:r>
      <w:r>
        <w:rPr>
          <w:rFonts w:cs="Arial" w:ascii="Arial" w:hAnsi="Arial"/>
          <w:sz w:val="21"/>
          <w:szCs w:val="21"/>
        </w:rPr>
        <w:t>18%</w:t>
      </w:r>
      <w:r>
        <w:rPr>
          <w:rFonts w:ascii="Arial" w:hAnsi="Arial" w:cs="Arial"/>
          <w:sz w:val="21"/>
          <w:szCs w:val="21"/>
        </w:rPr>
        <w:t>，较上年同期下降</w:t>
      </w:r>
      <w:r>
        <w:rPr>
          <w:rFonts w:cs="Arial" w:ascii="Arial" w:hAnsi="Arial"/>
          <w:sz w:val="21"/>
          <w:szCs w:val="21"/>
        </w:rPr>
        <w:t>29</w:t>
      </w:r>
      <w:r>
        <w:rPr>
          <w:rFonts w:ascii="Arial" w:hAnsi="Arial" w:cs="Arial"/>
          <w:sz w:val="21"/>
          <w:szCs w:val="21"/>
        </w:rPr>
        <w:t>个百分点。近郊依然为宅地供求的主要区域，累计成交</w:t>
      </w:r>
      <w:r>
        <w:rPr>
          <w:rFonts w:cs="Arial" w:ascii="Arial" w:hAnsi="Arial"/>
          <w:sz w:val="21"/>
          <w:szCs w:val="21"/>
        </w:rPr>
        <w:t>112.21</w:t>
      </w:r>
      <w:r>
        <w:rPr>
          <w:rFonts w:ascii="Arial" w:hAnsi="Arial" w:cs="Arial"/>
          <w:sz w:val="21"/>
          <w:szCs w:val="21"/>
        </w:rPr>
        <w:t>万㎡，占比为</w:t>
      </w:r>
      <w:r>
        <w:rPr>
          <w:rFonts w:cs="Arial" w:ascii="Arial" w:hAnsi="Arial"/>
          <w:sz w:val="21"/>
          <w:szCs w:val="21"/>
        </w:rPr>
        <w:t>80%</w:t>
      </w:r>
      <w:r>
        <w:rPr>
          <w:rFonts w:ascii="Arial" w:hAnsi="Arial" w:cs="Arial"/>
          <w:sz w:val="21"/>
          <w:szCs w:val="21"/>
        </w:rPr>
        <w:t>，较去年同期提升</w:t>
      </w:r>
      <w:r>
        <w:rPr>
          <w:rFonts w:cs="Arial" w:ascii="Arial" w:hAnsi="Arial"/>
          <w:sz w:val="21"/>
          <w:szCs w:val="21"/>
        </w:rPr>
        <w:t>26</w:t>
      </w:r>
      <w:r>
        <w:rPr>
          <w:rFonts w:ascii="Arial" w:hAnsi="Arial" w:cs="Arial"/>
          <w:sz w:val="21"/>
          <w:szCs w:val="21"/>
        </w:rPr>
        <w:t>个百分点；其中昌平、大兴为主力成交区域，成交规模分别为</w:t>
      </w:r>
      <w:r>
        <w:rPr>
          <w:rFonts w:cs="Arial" w:ascii="Arial" w:hAnsi="Arial"/>
          <w:sz w:val="21"/>
          <w:szCs w:val="21"/>
        </w:rPr>
        <w:t>48.02</w:t>
      </w:r>
      <w:r>
        <w:rPr>
          <w:rFonts w:ascii="Arial" w:hAnsi="Arial" w:cs="Arial"/>
          <w:sz w:val="21"/>
          <w:szCs w:val="21"/>
        </w:rPr>
        <w:t>万㎡和</w:t>
      </w:r>
      <w:r>
        <w:rPr>
          <w:rFonts w:cs="Arial" w:ascii="Arial" w:hAnsi="Arial"/>
          <w:sz w:val="21"/>
          <w:szCs w:val="21"/>
        </w:rPr>
        <w:t>35.08</w:t>
      </w:r>
      <w:r>
        <w:rPr>
          <w:rFonts w:ascii="Arial" w:hAnsi="Arial" w:cs="Arial"/>
          <w:sz w:val="21"/>
          <w:szCs w:val="21"/>
        </w:rPr>
        <w:t>万㎡，成交规模占比分别为</w:t>
      </w:r>
      <w:r>
        <w:rPr>
          <w:rFonts w:cs="Arial" w:ascii="Arial" w:hAnsi="Arial"/>
          <w:sz w:val="21"/>
          <w:szCs w:val="21"/>
        </w:rPr>
        <w:t>34%</w:t>
      </w:r>
      <w:r>
        <w:rPr>
          <w:rFonts w:ascii="Arial" w:hAnsi="Arial" w:cs="Arial"/>
          <w:sz w:val="21"/>
          <w:szCs w:val="21"/>
        </w:rPr>
        <w:t>和</w:t>
      </w:r>
      <w:r>
        <w:rPr>
          <w:rFonts w:cs="Arial" w:ascii="Arial" w:hAnsi="Arial"/>
          <w:sz w:val="21"/>
          <w:szCs w:val="21"/>
        </w:rPr>
        <w:t>25%</w:t>
      </w:r>
      <w:r>
        <w:rPr>
          <w:rFonts w:ascii="Arial" w:hAnsi="Arial" w:cs="Arial"/>
          <w:sz w:val="21"/>
          <w:szCs w:val="21"/>
        </w:rPr>
        <w:t>。</w:t>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从不同区域来看，近郊区成交规模显著增长，其中昌平、大兴成交规模同比分别增长</w:t>
      </w:r>
      <w:r>
        <w:rPr>
          <w:rFonts w:cs="Arial" w:ascii="Arial" w:hAnsi="Arial"/>
          <w:sz w:val="21"/>
          <w:szCs w:val="21"/>
        </w:rPr>
        <w:t>429%</w:t>
      </w:r>
      <w:r>
        <w:rPr>
          <w:rFonts w:ascii="Arial" w:hAnsi="Arial" w:cs="Arial"/>
          <w:sz w:val="21"/>
          <w:szCs w:val="21"/>
        </w:rPr>
        <w:t>和</w:t>
      </w:r>
      <w:r>
        <w:rPr>
          <w:rFonts w:cs="Arial" w:ascii="Arial" w:hAnsi="Arial"/>
          <w:sz w:val="21"/>
          <w:szCs w:val="21"/>
        </w:rPr>
        <w:t>211%</w:t>
      </w:r>
      <w:r>
        <w:rPr>
          <w:rFonts w:ascii="Arial" w:hAnsi="Arial" w:cs="Arial"/>
          <w:sz w:val="21"/>
          <w:szCs w:val="21"/>
        </w:rPr>
        <w:t>，顺义、房山同比下滑；中心城区成交规模下降</w:t>
      </w:r>
      <w:r>
        <w:rPr>
          <w:rFonts w:cs="Arial" w:ascii="Arial" w:hAnsi="Arial"/>
          <w:sz w:val="21"/>
          <w:szCs w:val="21"/>
        </w:rPr>
        <w:t>64%</w:t>
      </w:r>
      <w:r>
        <w:rPr>
          <w:rFonts w:ascii="Arial" w:hAnsi="Arial" w:cs="Arial"/>
          <w:sz w:val="21"/>
          <w:szCs w:val="21"/>
        </w:rPr>
        <w:t>，石景山、朝阳同比增长，丰台、海淀本季度无宅地成交；远郊区仅延庆成交</w:t>
      </w:r>
      <w:r>
        <w:rPr>
          <w:rFonts w:cs="Arial" w:ascii="Arial" w:hAnsi="Arial"/>
          <w:sz w:val="21"/>
          <w:szCs w:val="21"/>
        </w:rPr>
        <w:t>1</w:t>
      </w:r>
      <w:r>
        <w:rPr>
          <w:rFonts w:ascii="Arial" w:hAnsi="Arial" w:cs="Arial"/>
          <w:sz w:val="21"/>
          <w:szCs w:val="21"/>
        </w:rPr>
        <w:t>宗宅地，同比降幅为</w:t>
      </w:r>
      <w:r>
        <w:rPr>
          <w:rFonts w:cs="Arial" w:ascii="Arial" w:hAnsi="Arial"/>
          <w:sz w:val="21"/>
          <w:szCs w:val="21"/>
        </w:rPr>
        <w:t>71%</w:t>
      </w:r>
      <w:r>
        <w:rPr>
          <w:rFonts w:ascii="Arial" w:hAnsi="Arial" w:cs="Arial"/>
          <w:sz w:val="21"/>
          <w:szCs w:val="21"/>
        </w:rPr>
        <w:t>。</w:t>
      </w:r>
    </w:p>
    <w:p>
      <w:pPr>
        <w:pStyle w:val="Normal"/>
        <w:overflowPunct w:val="false"/>
        <w:spacing w:lineRule="auto" w:line="480"/>
        <w:jc w:val="both"/>
        <w:rPr>
          <w:rFonts w:ascii="Arial" w:hAnsi="Arial" w:cs="Arial"/>
          <w:sz w:val="21"/>
          <w:szCs w:val="21"/>
        </w:rPr>
      </w:pPr>
      <w:r>
        <w:rPr/>
        <w:drawing>
          <wp:inline distT="0" distB="0" distL="0" distR="0">
            <wp:extent cx="5899785" cy="1876425"/>
            <wp:effectExtent l="0" t="0" r="0" b="0"/>
            <wp:docPr id="9" name="图片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descr=""/>
                    <pic:cNvPicPr>
                      <a:picLocks noChangeAspect="1" noChangeArrowheads="1"/>
                    </pic:cNvPicPr>
                  </pic:nvPicPr>
                  <pic:blipFill>
                    <a:blip r:embed="rId17"/>
                    <a:stretch>
                      <a:fillRect/>
                    </a:stretch>
                  </pic:blipFill>
                  <pic:spPr bwMode="auto">
                    <a:xfrm>
                      <a:off x="0" y="0"/>
                      <a:ext cx="5899785" cy="1876425"/>
                    </a:xfrm>
                    <a:prstGeom prst="rect">
                      <a:avLst/>
                    </a:prstGeom>
                  </pic:spPr>
                </pic:pic>
              </a:graphicData>
            </a:graphic>
          </wp:inline>
        </w:drawing>
      </w:r>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w:t>
      </w:r>
      <w:r>
        <w:rPr>
          <w:rFonts w:cs="Arial" w:ascii="Arial" w:hAnsi="Arial"/>
          <w:sz w:val="21"/>
        </w:rPr>
        <w:t>3</w:t>
      </w:r>
      <w:r>
        <w:rPr>
          <w:rFonts w:ascii="Arial" w:hAnsi="Arial" w:cs="Arial"/>
          <w:sz w:val="21"/>
          <w:szCs w:val="21"/>
        </w:rPr>
        <w:t>）土地成交价格</w:t>
      </w:r>
    </w:p>
    <w:p>
      <w:pPr>
        <w:pStyle w:val="Normal"/>
        <w:overflowPunct w:val="false"/>
        <w:spacing w:lineRule="auto" w:line="480"/>
        <w:ind w:firstLine="420"/>
        <w:jc w:val="both"/>
        <w:rPr>
          <w:rFonts w:ascii="Arial" w:hAnsi="Arial" w:cs="Arial"/>
          <w:sz w:val="21"/>
          <w:szCs w:val="28"/>
        </w:rPr>
      </w:pPr>
      <w:r>
        <w:rPr>
          <w:rFonts w:cs="Arial" w:ascii="Arial" w:hAnsi="Arial"/>
          <w:sz w:val="21"/>
          <w:szCs w:val="28"/>
        </w:rPr>
        <w:t>2023</w:t>
      </w:r>
      <w:r>
        <w:rPr>
          <w:rFonts w:ascii="Arial" w:hAnsi="Arial" w:cs="Arial"/>
          <w:sz w:val="21"/>
          <w:szCs w:val="28"/>
        </w:rPr>
        <w:t>年三季度，北京宅地整体成交楼面均价</w:t>
      </w:r>
      <w:r>
        <w:rPr>
          <w:rFonts w:cs="Arial" w:ascii="Arial" w:hAnsi="Arial"/>
          <w:sz w:val="21"/>
          <w:szCs w:val="28"/>
        </w:rPr>
        <w:t>27153</w:t>
      </w:r>
      <w:r>
        <w:rPr>
          <w:rFonts w:ascii="Arial" w:hAnsi="Arial" w:cs="Arial"/>
          <w:sz w:val="21"/>
          <w:szCs w:val="28"/>
        </w:rPr>
        <w:t>元</w:t>
      </w:r>
      <w:r>
        <w:rPr>
          <w:rFonts w:cs="Arial" w:ascii="Arial" w:hAnsi="Arial"/>
          <w:sz w:val="21"/>
          <w:szCs w:val="28"/>
        </w:rPr>
        <w:t>/</w:t>
      </w:r>
      <w:r>
        <w:rPr>
          <w:rFonts w:ascii="Arial" w:hAnsi="Arial" w:cs="Arial"/>
          <w:sz w:val="21"/>
          <w:szCs w:val="28"/>
        </w:rPr>
        <w:t>㎡，受去年同期丰台、海淀等地块高楼面价基数影响，同比结构下降</w:t>
      </w:r>
      <w:r>
        <w:rPr>
          <w:rFonts w:cs="Arial" w:ascii="Arial" w:hAnsi="Arial"/>
          <w:sz w:val="21"/>
          <w:szCs w:val="28"/>
        </w:rPr>
        <w:t>20%</w:t>
      </w:r>
      <w:r>
        <w:rPr>
          <w:rFonts w:ascii="Arial" w:hAnsi="Arial" w:cs="Arial"/>
          <w:sz w:val="21"/>
          <w:szCs w:val="28"/>
        </w:rPr>
        <w:t>。溢价率方面，受朝阳十八里店、大兴三合庄、大兴西红门、大兴新城以及昌平沙河高教地块高溢价带动，北京三季度宅地成交溢价率</w:t>
      </w:r>
      <w:r>
        <w:rPr>
          <w:rFonts w:cs="Arial" w:ascii="Arial" w:hAnsi="Arial"/>
          <w:sz w:val="21"/>
          <w:szCs w:val="28"/>
        </w:rPr>
        <w:t>8.0%</w:t>
      </w:r>
      <w:r>
        <w:rPr>
          <w:rFonts w:ascii="Arial" w:hAnsi="Arial" w:cs="Arial"/>
          <w:sz w:val="21"/>
          <w:szCs w:val="28"/>
        </w:rPr>
        <w:t>，同比提高</w:t>
      </w:r>
      <w:r>
        <w:rPr>
          <w:rFonts w:cs="Arial" w:ascii="Arial" w:hAnsi="Arial"/>
          <w:sz w:val="21"/>
          <w:szCs w:val="28"/>
        </w:rPr>
        <w:t>1.9</w:t>
      </w:r>
      <w:r>
        <w:rPr>
          <w:rFonts w:ascii="Arial" w:hAnsi="Arial" w:cs="Arial"/>
          <w:sz w:val="21"/>
          <w:szCs w:val="28"/>
        </w:rPr>
        <w:t>个百分点。但整体来看市场热度依然分化明显，成交的</w:t>
      </w:r>
      <w:r>
        <w:rPr>
          <w:rFonts w:cs="Arial" w:ascii="Arial" w:hAnsi="Arial"/>
          <w:sz w:val="21"/>
          <w:szCs w:val="28"/>
        </w:rPr>
        <w:t>12</w:t>
      </w:r>
      <w:r>
        <w:rPr>
          <w:rFonts w:ascii="Arial" w:hAnsi="Arial" w:cs="Arial"/>
          <w:sz w:val="21"/>
          <w:szCs w:val="28"/>
        </w:rPr>
        <w:t>宗地块中，</w:t>
      </w:r>
      <w:r>
        <w:rPr>
          <w:rFonts w:cs="Arial" w:ascii="Arial" w:hAnsi="Arial"/>
          <w:sz w:val="21"/>
          <w:szCs w:val="28"/>
        </w:rPr>
        <w:t>5</w:t>
      </w:r>
      <w:r>
        <w:rPr>
          <w:rFonts w:ascii="Arial" w:hAnsi="Arial" w:cs="Arial"/>
          <w:sz w:val="21"/>
          <w:szCs w:val="28"/>
        </w:rPr>
        <w:t>宗地块触及地价上限，溢价率</w:t>
      </w:r>
      <w:r>
        <w:rPr>
          <w:rFonts w:cs="Arial" w:ascii="Arial" w:hAnsi="Arial"/>
          <w:sz w:val="21"/>
          <w:szCs w:val="28"/>
        </w:rPr>
        <w:t>15%</w:t>
      </w:r>
      <w:r>
        <w:rPr>
          <w:rFonts w:ascii="Arial" w:hAnsi="Arial" w:cs="Arial"/>
          <w:sz w:val="21"/>
          <w:szCs w:val="28"/>
        </w:rPr>
        <w:t>，其中朝阳十八里店</w:t>
      </w:r>
      <w:r>
        <w:rPr>
          <w:rFonts w:cs="Arial" w:ascii="Arial" w:hAnsi="Arial"/>
          <w:sz w:val="21"/>
          <w:szCs w:val="28"/>
        </w:rPr>
        <w:t>678</w:t>
      </w:r>
      <w:r>
        <w:rPr>
          <w:rFonts w:ascii="Arial" w:hAnsi="Arial" w:cs="Arial"/>
          <w:sz w:val="21"/>
          <w:szCs w:val="28"/>
        </w:rPr>
        <w:t>地块，共吸引</w:t>
      </w:r>
      <w:r>
        <w:rPr>
          <w:rFonts w:cs="Arial" w:ascii="Arial" w:hAnsi="Arial"/>
          <w:sz w:val="21"/>
          <w:szCs w:val="28"/>
        </w:rPr>
        <w:t>34</w:t>
      </w:r>
      <w:r>
        <w:rPr>
          <w:rFonts w:ascii="Arial" w:hAnsi="Arial" w:cs="Arial"/>
          <w:sz w:val="21"/>
          <w:szCs w:val="28"/>
        </w:rPr>
        <w:t>家房企参与竞拍；而延庆、房山阎村、石景山新首钢国际人才社区等</w:t>
      </w:r>
      <w:r>
        <w:rPr>
          <w:rFonts w:cs="Arial" w:ascii="Arial" w:hAnsi="Arial"/>
          <w:sz w:val="21"/>
          <w:szCs w:val="28"/>
        </w:rPr>
        <w:t>4</w:t>
      </w:r>
      <w:r>
        <w:rPr>
          <w:rFonts w:ascii="Arial" w:hAnsi="Arial" w:cs="Arial"/>
          <w:sz w:val="21"/>
          <w:szCs w:val="28"/>
        </w:rPr>
        <w:t>宗地块均以底价成交。</w:t>
      </w:r>
    </w:p>
    <w:p>
      <w:pPr>
        <w:pStyle w:val="Normal"/>
        <w:overflowPunct w:val="false"/>
        <w:spacing w:lineRule="auto" w:line="480"/>
        <w:ind w:firstLine="420"/>
        <w:jc w:val="both"/>
        <w:rPr>
          <w:rFonts w:ascii="Arial" w:hAnsi="Arial" w:cs="Arial"/>
          <w:sz w:val="21"/>
          <w:szCs w:val="28"/>
        </w:rPr>
      </w:pPr>
      <w:r>
        <w:rPr>
          <w:rFonts w:ascii="Arial" w:hAnsi="Arial" w:cs="Arial"/>
          <w:sz w:val="21"/>
          <w:szCs w:val="28"/>
        </w:rPr>
        <w:t>分区域来看，中心城区楼面均价相对较高，朝阳成交楼面均价</w:t>
      </w:r>
      <w:r>
        <w:rPr>
          <w:rFonts w:cs="Arial" w:ascii="Arial" w:hAnsi="Arial"/>
          <w:sz w:val="21"/>
          <w:szCs w:val="28"/>
        </w:rPr>
        <w:t>5.2</w:t>
      </w:r>
      <w:r>
        <w:rPr>
          <w:rFonts w:ascii="Arial" w:hAnsi="Arial" w:cs="Arial"/>
          <w:sz w:val="21"/>
          <w:szCs w:val="28"/>
        </w:rPr>
        <w:t>万元</w:t>
      </w:r>
      <w:r>
        <w:rPr>
          <w:rFonts w:cs="Arial" w:ascii="Arial" w:hAnsi="Arial"/>
          <w:sz w:val="21"/>
          <w:szCs w:val="28"/>
        </w:rPr>
        <w:t>/</w:t>
      </w:r>
      <w:r>
        <w:rPr>
          <w:rFonts w:ascii="Arial" w:hAnsi="Arial" w:cs="Arial"/>
          <w:sz w:val="21"/>
          <w:szCs w:val="28"/>
        </w:rPr>
        <w:t>㎡以上；近郊区域成交楼面价多介于</w:t>
      </w:r>
      <w:r>
        <w:rPr>
          <w:rFonts w:cs="Arial" w:ascii="Arial" w:hAnsi="Arial"/>
          <w:sz w:val="21"/>
          <w:szCs w:val="28"/>
        </w:rPr>
        <w:t>1.5-3.5</w:t>
      </w:r>
      <w:r>
        <w:rPr>
          <w:rFonts w:ascii="Arial" w:hAnsi="Arial" w:cs="Arial"/>
          <w:sz w:val="21"/>
          <w:szCs w:val="28"/>
        </w:rPr>
        <w:t>万</w:t>
      </w:r>
      <w:r>
        <w:rPr>
          <w:rFonts w:cs="Arial" w:ascii="Arial" w:hAnsi="Arial"/>
          <w:sz w:val="21"/>
          <w:szCs w:val="28"/>
        </w:rPr>
        <w:t>/</w:t>
      </w:r>
      <w:r>
        <w:rPr>
          <w:rFonts w:ascii="Arial" w:hAnsi="Arial" w:cs="Arial"/>
          <w:sz w:val="21"/>
          <w:szCs w:val="28"/>
        </w:rPr>
        <w:t>㎡之间，其中大兴、通州地价相对较高，均超</w:t>
      </w:r>
      <w:r>
        <w:rPr>
          <w:rFonts w:cs="Arial" w:ascii="Arial" w:hAnsi="Arial"/>
          <w:sz w:val="21"/>
          <w:szCs w:val="28"/>
        </w:rPr>
        <w:t>3.4</w:t>
      </w:r>
      <w:r>
        <w:rPr>
          <w:rFonts w:ascii="Arial" w:hAnsi="Arial" w:cs="Arial"/>
          <w:sz w:val="21"/>
          <w:szCs w:val="28"/>
        </w:rPr>
        <w:t>万元</w:t>
      </w:r>
      <w:r>
        <w:rPr>
          <w:rFonts w:cs="Arial" w:ascii="Arial" w:hAnsi="Arial"/>
          <w:sz w:val="21"/>
          <w:szCs w:val="28"/>
        </w:rPr>
        <w:t>/</w:t>
      </w:r>
      <w:r>
        <w:rPr>
          <w:rFonts w:ascii="Arial" w:hAnsi="Arial" w:cs="Arial"/>
          <w:sz w:val="21"/>
          <w:szCs w:val="28"/>
        </w:rPr>
        <w:t>㎡，昌平、顺义成交楼面价超</w:t>
      </w:r>
      <w:r>
        <w:rPr>
          <w:rFonts w:cs="Arial" w:ascii="Arial" w:hAnsi="Arial"/>
          <w:sz w:val="21"/>
          <w:szCs w:val="28"/>
        </w:rPr>
        <w:t>2.1</w:t>
      </w:r>
      <w:r>
        <w:rPr>
          <w:rFonts w:ascii="Arial" w:hAnsi="Arial" w:cs="Arial"/>
          <w:sz w:val="21"/>
          <w:szCs w:val="28"/>
        </w:rPr>
        <w:t>万元</w:t>
      </w:r>
      <w:r>
        <w:rPr>
          <w:rFonts w:cs="Arial" w:ascii="Arial" w:hAnsi="Arial"/>
          <w:sz w:val="21"/>
          <w:szCs w:val="28"/>
        </w:rPr>
        <w:t>/</w:t>
      </w:r>
      <w:r>
        <w:rPr>
          <w:rFonts w:ascii="Arial" w:hAnsi="Arial" w:cs="Arial"/>
          <w:sz w:val="21"/>
          <w:szCs w:val="28"/>
        </w:rPr>
        <w:t>㎡。从同比变化来看，顺义、石景山、通州成交楼面价同比上涨，昌平、房山、大兴成交楼面价同比略下跌。</w:t>
      </w:r>
    </w:p>
    <w:p>
      <w:pPr>
        <w:pStyle w:val="Normal"/>
        <w:overflowPunct w:val="false"/>
        <w:spacing w:lineRule="auto" w:line="480"/>
        <w:ind w:firstLine="420"/>
        <w:jc w:val="both"/>
        <w:rPr>
          <w:rFonts w:ascii="Arial" w:hAnsi="Arial" w:cs="Arial"/>
          <w:sz w:val="21"/>
        </w:rPr>
      </w:pPr>
      <w:r>
        <w:rPr>
          <w:rFonts w:ascii="Arial" w:hAnsi="Arial" w:cs="Arial"/>
          <w:sz w:val="21"/>
          <w:szCs w:val="28"/>
        </w:rPr>
        <w:t>从各个区域宅地竞拍情况来看，朝阳、大兴地块竞争较为激烈，均触达地价上限；昌平、通州部分地块竞争也较激烈；而石景山、房山、延庆地块均以底价成交</w:t>
      </w:r>
      <w:r>
        <w:rPr>
          <w:rFonts w:ascii="Arial" w:hAnsi="Arial" w:cs="Arial"/>
          <w:sz w:val="21"/>
          <w:szCs w:val="21"/>
        </w:rPr>
        <w:t>。</w:t>
      </w:r>
    </w:p>
    <w:p>
      <w:pPr>
        <w:pStyle w:val="Normal"/>
        <w:spacing w:lineRule="auto" w:line="480"/>
        <w:jc w:val="center"/>
        <w:rPr>
          <w:rFonts w:ascii="Arial" w:hAnsi="Arial" w:cs="Arial"/>
          <w:sz w:val="21"/>
          <w:szCs w:val="21"/>
        </w:rPr>
      </w:pPr>
      <w:r>
        <w:rPr/>
        <w:drawing>
          <wp:inline distT="0" distB="0" distL="0" distR="0">
            <wp:extent cx="5904865" cy="1732915"/>
            <wp:effectExtent l="0" t="0" r="0" b="0"/>
            <wp:docPr id="10" name="图片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
                    <pic:cNvPicPr>
                      <a:picLocks noChangeAspect="1" noChangeArrowheads="1"/>
                    </pic:cNvPicPr>
                  </pic:nvPicPr>
                  <pic:blipFill>
                    <a:blip r:embed="rId18"/>
                    <a:stretch>
                      <a:fillRect/>
                    </a:stretch>
                  </pic:blipFill>
                  <pic:spPr bwMode="auto">
                    <a:xfrm>
                      <a:off x="0" y="0"/>
                      <a:ext cx="5904865" cy="1732915"/>
                    </a:xfrm>
                    <a:prstGeom prst="rect">
                      <a:avLst/>
                    </a:prstGeom>
                  </pic:spPr>
                </pic:pic>
              </a:graphicData>
            </a:graphic>
          </wp:inline>
        </w:drawing>
      </w:r>
    </w:p>
    <w:p>
      <w:pPr>
        <w:pStyle w:val="Normal"/>
        <w:overflowPunct w:val="false"/>
        <w:spacing w:lineRule="auto" w:line="480"/>
        <w:ind w:firstLine="420"/>
        <w:jc w:val="both"/>
        <w:rPr>
          <w:rFonts w:ascii="Arial" w:hAnsi="Arial" w:cs="Arial"/>
          <w:sz w:val="21"/>
          <w:szCs w:val="28"/>
        </w:rPr>
      </w:pPr>
      <w:r>
        <w:rPr>
          <w:rFonts w:ascii="Arial" w:hAnsi="Arial" w:cs="Arial"/>
          <w:sz w:val="21"/>
          <w:szCs w:val="28"/>
        </w:rPr>
        <w:t>（</w:t>
      </w:r>
      <w:r>
        <w:rPr>
          <w:rFonts w:cs="Arial" w:ascii="Arial" w:hAnsi="Arial"/>
          <w:sz w:val="21"/>
          <w:szCs w:val="28"/>
        </w:rPr>
        <w:t>4</w:t>
      </w:r>
      <w:r>
        <w:rPr>
          <w:rFonts w:ascii="Arial" w:hAnsi="Arial" w:cs="Arial"/>
          <w:sz w:val="21"/>
          <w:szCs w:val="28"/>
        </w:rPr>
        <w:t>）供应计划</w:t>
      </w:r>
    </w:p>
    <w:p>
      <w:pPr>
        <w:pStyle w:val="Normal"/>
        <w:overflowPunct w:val="false"/>
        <w:spacing w:lineRule="auto" w:line="480"/>
        <w:ind w:firstLine="420"/>
        <w:jc w:val="both"/>
        <w:rPr>
          <w:rFonts w:ascii="Arial" w:hAnsi="Arial" w:cs="Arial"/>
          <w:sz w:val="21"/>
          <w:szCs w:val="28"/>
        </w:rPr>
      </w:pPr>
      <w:r>
        <w:rPr>
          <w:rFonts w:cs="Arial" w:ascii="Arial" w:hAnsi="Arial"/>
          <w:sz w:val="21"/>
          <w:szCs w:val="28"/>
        </w:rPr>
        <w:t>2</w:t>
      </w:r>
      <w:r>
        <w:rPr>
          <w:rFonts w:ascii="Arial" w:hAnsi="Arial" w:cs="Arial"/>
          <w:sz w:val="21"/>
          <w:szCs w:val="28"/>
        </w:rPr>
        <w:t>月</w:t>
      </w:r>
      <w:r>
        <w:rPr>
          <w:rFonts w:cs="Arial" w:ascii="Arial" w:hAnsi="Arial"/>
          <w:sz w:val="21"/>
          <w:szCs w:val="28"/>
        </w:rPr>
        <w:t>22</w:t>
      </w:r>
      <w:r>
        <w:rPr>
          <w:rFonts w:ascii="Arial" w:hAnsi="Arial" w:cs="Arial"/>
          <w:sz w:val="21"/>
          <w:szCs w:val="28"/>
        </w:rPr>
        <w:t>日，北京规自委、北京发改委联合发布《北京市</w:t>
      </w:r>
      <w:r>
        <w:rPr>
          <w:rFonts w:cs="Arial" w:ascii="Arial" w:hAnsi="Arial"/>
          <w:sz w:val="21"/>
          <w:szCs w:val="28"/>
        </w:rPr>
        <w:t>2023</w:t>
      </w:r>
      <w:r>
        <w:rPr>
          <w:rFonts w:ascii="Arial" w:hAnsi="Arial" w:cs="Arial"/>
          <w:sz w:val="21"/>
          <w:szCs w:val="28"/>
        </w:rPr>
        <w:t>年度建设用地供应计划》。计划安排建设用地供应总量</w:t>
      </w:r>
      <w:r>
        <w:rPr>
          <w:rFonts w:cs="Arial" w:ascii="Arial" w:hAnsi="Arial"/>
          <w:sz w:val="21"/>
          <w:szCs w:val="28"/>
        </w:rPr>
        <w:t>3190-3630</w:t>
      </w:r>
      <w:r>
        <w:rPr>
          <w:rFonts w:ascii="Arial" w:hAnsi="Arial" w:cs="Arial"/>
          <w:sz w:val="21"/>
          <w:szCs w:val="28"/>
        </w:rPr>
        <w:t>公顷，与</w:t>
      </w:r>
      <w:r>
        <w:rPr>
          <w:rFonts w:cs="Arial" w:ascii="Arial" w:hAnsi="Arial"/>
          <w:sz w:val="21"/>
          <w:szCs w:val="28"/>
        </w:rPr>
        <w:t>2022</w:t>
      </w:r>
      <w:r>
        <w:rPr>
          <w:rFonts w:ascii="Arial" w:hAnsi="Arial" w:cs="Arial"/>
          <w:sz w:val="21"/>
          <w:szCs w:val="28"/>
        </w:rPr>
        <w:t>年基本持平。其中，住宅用地</w:t>
      </w:r>
      <w:r>
        <w:rPr>
          <w:rFonts w:cs="Arial" w:ascii="Arial" w:hAnsi="Arial"/>
          <w:sz w:val="21"/>
          <w:szCs w:val="28"/>
        </w:rPr>
        <w:t>1060</w:t>
      </w:r>
      <w:r>
        <w:rPr>
          <w:rFonts w:ascii="Arial" w:hAnsi="Arial" w:cs="Arial"/>
          <w:sz w:val="21"/>
          <w:szCs w:val="28"/>
        </w:rPr>
        <w:t>公顷（产权住宅用地</w:t>
      </w:r>
      <w:r>
        <w:rPr>
          <w:rFonts w:cs="Arial" w:ascii="Arial" w:hAnsi="Arial"/>
          <w:sz w:val="21"/>
          <w:szCs w:val="28"/>
        </w:rPr>
        <w:t>800</w:t>
      </w:r>
      <w:r>
        <w:rPr>
          <w:rFonts w:ascii="Arial" w:hAnsi="Arial" w:cs="Arial"/>
          <w:sz w:val="21"/>
          <w:szCs w:val="28"/>
        </w:rPr>
        <w:t>公顷，租赁住宅用地</w:t>
      </w:r>
      <w:r>
        <w:rPr>
          <w:rFonts w:cs="Arial" w:ascii="Arial" w:hAnsi="Arial"/>
          <w:sz w:val="21"/>
          <w:szCs w:val="28"/>
        </w:rPr>
        <w:t>260</w:t>
      </w:r>
      <w:r>
        <w:rPr>
          <w:rFonts w:ascii="Arial" w:hAnsi="Arial" w:cs="Arial"/>
          <w:sz w:val="21"/>
          <w:szCs w:val="28"/>
        </w:rPr>
        <w:t>公顷）。从各区供应计划来看，供地重点向城市副中心和多点地区倾斜，促进土地资源合理配置。中心城区、生态涵养区的供应比例均保持在</w:t>
      </w:r>
      <w:r>
        <w:rPr>
          <w:rFonts w:cs="Arial" w:ascii="Arial" w:hAnsi="Arial"/>
          <w:sz w:val="21"/>
          <w:szCs w:val="28"/>
        </w:rPr>
        <w:t>20%</w:t>
      </w:r>
      <w:r>
        <w:rPr>
          <w:rFonts w:ascii="Arial" w:hAnsi="Arial" w:cs="Arial"/>
          <w:sz w:val="21"/>
          <w:szCs w:val="28"/>
        </w:rPr>
        <w:t>左右，城市副中心和多点地区供应比率稳定在</w:t>
      </w:r>
      <w:r>
        <w:rPr>
          <w:rFonts w:cs="Arial" w:ascii="Arial" w:hAnsi="Arial"/>
          <w:sz w:val="21"/>
          <w:szCs w:val="28"/>
        </w:rPr>
        <w:t>60%</w:t>
      </w:r>
      <w:r>
        <w:rPr>
          <w:rFonts w:ascii="Arial" w:hAnsi="Arial" w:cs="Arial"/>
          <w:sz w:val="21"/>
          <w:szCs w:val="28"/>
        </w:rPr>
        <w:t>左右。</w:t>
      </w:r>
    </w:p>
    <w:p>
      <w:pPr>
        <w:pStyle w:val="Normal"/>
        <w:overflowPunct w:val="false"/>
        <w:spacing w:lineRule="auto" w:line="480"/>
        <w:ind w:firstLine="420"/>
        <w:jc w:val="both"/>
        <w:rPr>
          <w:rFonts w:ascii="Arial" w:hAnsi="Arial" w:cs="Arial"/>
          <w:sz w:val="21"/>
          <w:szCs w:val="28"/>
        </w:rPr>
      </w:pPr>
      <w:r>
        <w:rPr>
          <w:rFonts w:cs="Arial" w:ascii="Arial" w:hAnsi="Arial"/>
          <w:sz w:val="21"/>
          <w:szCs w:val="28"/>
        </w:rPr>
        <w:t>3.</w:t>
      </w:r>
      <w:r>
        <w:rPr>
          <w:rFonts w:ascii="Arial" w:hAnsi="Arial" w:cs="Arial"/>
          <w:sz w:val="21"/>
          <w:szCs w:val="28"/>
        </w:rPr>
        <w:t>商品房住宅市场</w:t>
      </w:r>
    </w:p>
    <w:p>
      <w:pPr>
        <w:pStyle w:val="Normal"/>
        <w:overflowPunct w:val="false"/>
        <w:spacing w:lineRule="auto" w:line="480"/>
        <w:ind w:firstLine="420"/>
        <w:jc w:val="both"/>
        <w:rPr>
          <w:rFonts w:ascii="Arial" w:hAnsi="Arial" w:cs="Arial"/>
          <w:sz w:val="21"/>
          <w:szCs w:val="28"/>
        </w:rPr>
      </w:pPr>
      <w:r>
        <w:rPr>
          <w:rFonts w:ascii="Arial" w:hAnsi="Arial" w:cs="Arial"/>
          <w:sz w:val="21"/>
          <w:szCs w:val="28"/>
        </w:rPr>
        <w:t>（</w:t>
      </w:r>
      <w:r>
        <w:rPr>
          <w:rFonts w:cs="Arial" w:ascii="Arial" w:hAnsi="Arial"/>
          <w:sz w:val="21"/>
          <w:szCs w:val="28"/>
        </w:rPr>
        <w:t>1</w:t>
      </w:r>
      <w:r>
        <w:rPr>
          <w:rFonts w:ascii="Arial" w:hAnsi="Arial" w:cs="Arial"/>
          <w:sz w:val="21"/>
          <w:szCs w:val="28"/>
        </w:rPr>
        <w:t>）商品住宅供给状况</w:t>
      </w:r>
    </w:p>
    <w:p>
      <w:pPr>
        <w:pStyle w:val="Normal"/>
        <w:overflowPunct w:val="false"/>
        <w:spacing w:lineRule="auto" w:line="480"/>
        <w:ind w:firstLine="420"/>
        <w:jc w:val="both"/>
        <w:rPr>
          <w:rFonts w:ascii="Arial" w:hAnsi="Arial" w:cs="Arial"/>
          <w:sz w:val="21"/>
          <w:szCs w:val="28"/>
        </w:rPr>
      </w:pPr>
      <w:r>
        <w:rPr>
          <w:rFonts w:cs="Arial" w:ascii="Arial" w:hAnsi="Arial"/>
          <w:sz w:val="21"/>
          <w:szCs w:val="28"/>
        </w:rPr>
        <w:t>2023</w:t>
      </w:r>
      <w:r>
        <w:rPr>
          <w:rFonts w:ascii="Arial" w:hAnsi="Arial" w:cs="Arial"/>
          <w:sz w:val="21"/>
          <w:szCs w:val="28"/>
        </w:rPr>
        <w:t>年三季度北京商品住宅（不含保障房）供应止跌回升，供应节奏有所加快，累计供应</w:t>
      </w:r>
      <w:r>
        <w:rPr>
          <w:rFonts w:cs="Arial" w:ascii="Arial" w:hAnsi="Arial"/>
          <w:sz w:val="21"/>
          <w:szCs w:val="28"/>
        </w:rPr>
        <w:t>134</w:t>
      </w:r>
      <w:r>
        <w:rPr>
          <w:rFonts w:ascii="Arial" w:hAnsi="Arial" w:cs="Arial"/>
          <w:sz w:val="21"/>
          <w:szCs w:val="28"/>
        </w:rPr>
        <w:t>万㎡，同比下降</w:t>
      </w:r>
      <w:r>
        <w:rPr>
          <w:rFonts w:cs="Arial" w:ascii="Arial" w:hAnsi="Arial"/>
          <w:sz w:val="21"/>
          <w:szCs w:val="28"/>
        </w:rPr>
        <w:t>31%</w:t>
      </w:r>
      <w:r>
        <w:rPr>
          <w:rFonts w:ascii="Arial" w:hAnsi="Arial" w:cs="Arial"/>
          <w:sz w:val="21"/>
          <w:szCs w:val="28"/>
        </w:rPr>
        <w:t>，整体供应规模仍相对较低。分月度来看，</w:t>
      </w:r>
      <w:r>
        <w:rPr>
          <w:rFonts w:cs="Arial" w:ascii="Arial" w:hAnsi="Arial"/>
          <w:sz w:val="21"/>
          <w:szCs w:val="28"/>
        </w:rPr>
        <w:t>7/8</w:t>
      </w:r>
      <w:r>
        <w:rPr>
          <w:rFonts w:ascii="Arial" w:hAnsi="Arial" w:cs="Arial"/>
          <w:sz w:val="21"/>
          <w:szCs w:val="28"/>
        </w:rPr>
        <w:t>月北京新房入市节奏放缓，供应规模持续低位；</w:t>
      </w:r>
      <w:r>
        <w:rPr>
          <w:rFonts w:cs="Arial" w:ascii="Arial" w:hAnsi="Arial"/>
          <w:sz w:val="21"/>
          <w:szCs w:val="28"/>
        </w:rPr>
        <w:t>9</w:t>
      </w:r>
      <w:r>
        <w:rPr>
          <w:rFonts w:ascii="Arial" w:hAnsi="Arial" w:cs="Arial"/>
          <w:sz w:val="21"/>
          <w:szCs w:val="28"/>
        </w:rPr>
        <w:t>月进入传统营销周期，叠加新政利好，新房供应节奏明显加快。整体来看，</w:t>
      </w:r>
      <w:r>
        <w:rPr>
          <w:rFonts w:cs="Arial" w:ascii="Arial" w:hAnsi="Arial"/>
          <w:sz w:val="21"/>
          <w:szCs w:val="28"/>
        </w:rPr>
        <w:t>2023</w:t>
      </w:r>
      <w:r>
        <w:rPr>
          <w:rFonts w:ascii="Arial" w:hAnsi="Arial" w:cs="Arial"/>
          <w:sz w:val="21"/>
          <w:szCs w:val="28"/>
        </w:rPr>
        <w:t>年前三季度，北京宅地供求缓慢，影响新房入市节奏，新房供应整体相对疲软。</w:t>
      </w:r>
    </w:p>
    <w:p>
      <w:pPr>
        <w:pStyle w:val="Normal"/>
        <w:overflowPunct w:val="false"/>
        <w:spacing w:lineRule="auto" w:line="480"/>
        <w:ind w:firstLine="420"/>
        <w:jc w:val="both"/>
        <w:rPr>
          <w:rFonts w:ascii="Arial" w:hAnsi="Arial" w:cs="Arial"/>
          <w:sz w:val="21"/>
        </w:rPr>
      </w:pPr>
      <w:r>
        <w:rPr>
          <w:rFonts w:ascii="Arial" w:hAnsi="Arial" w:cs="Arial"/>
          <w:sz w:val="21"/>
          <w:szCs w:val="28"/>
        </w:rPr>
        <w:t>供求关系方面，</w:t>
      </w:r>
      <w:r>
        <w:rPr>
          <w:rFonts w:cs="Arial" w:ascii="Arial" w:hAnsi="Arial"/>
          <w:sz w:val="21"/>
          <w:szCs w:val="28"/>
        </w:rPr>
        <w:t>2023</w:t>
      </w:r>
      <w:r>
        <w:rPr>
          <w:rFonts w:ascii="Arial" w:hAnsi="Arial" w:cs="Arial"/>
          <w:sz w:val="21"/>
          <w:szCs w:val="28"/>
        </w:rPr>
        <w:t>年三季度商品住宅市场销供比为</w:t>
      </w:r>
      <w:r>
        <w:rPr>
          <w:rFonts w:cs="Arial" w:ascii="Arial" w:hAnsi="Arial"/>
          <w:sz w:val="21"/>
          <w:szCs w:val="28"/>
        </w:rPr>
        <w:t>1.17</w:t>
      </w:r>
      <w:r>
        <w:rPr>
          <w:rFonts w:ascii="Arial" w:hAnsi="Arial" w:cs="Arial"/>
          <w:sz w:val="21"/>
          <w:szCs w:val="28"/>
        </w:rPr>
        <w:t>，整体处于供求弱平衡状态，已经连续四个季度呈现供不应求态势。预计随着</w:t>
      </w:r>
      <w:r>
        <w:rPr>
          <w:rFonts w:cs="Arial" w:ascii="Arial" w:hAnsi="Arial"/>
          <w:sz w:val="21"/>
          <w:szCs w:val="28"/>
        </w:rPr>
        <w:t>1/2</w:t>
      </w:r>
      <w:r>
        <w:rPr>
          <w:rFonts w:ascii="Arial" w:hAnsi="Arial" w:cs="Arial"/>
          <w:sz w:val="21"/>
          <w:szCs w:val="28"/>
        </w:rPr>
        <w:t>批次成交地块的逐步入市，四季度北京新房供应有望持续增长</w:t>
      </w:r>
      <w:r>
        <w:rPr>
          <w:rFonts w:ascii="Arial" w:hAnsi="Arial" w:cs="Arial"/>
          <w:sz w:val="21"/>
        </w:rPr>
        <w:t>。</w:t>
      </w:r>
    </w:p>
    <w:p>
      <w:pPr>
        <w:pStyle w:val="Normal"/>
        <w:overflowPunct w:val="false"/>
        <w:spacing w:lineRule="auto" w:line="480"/>
        <w:jc w:val="center"/>
        <w:rPr>
          <w:rFonts w:ascii="Arial" w:hAnsi="Arial" w:cs="Arial"/>
          <w:sz w:val="21"/>
        </w:rPr>
      </w:pPr>
      <w:r>
        <w:rPr/>
        <w:drawing>
          <wp:inline distT="0" distB="0" distL="0" distR="0">
            <wp:extent cx="5899785" cy="1804670"/>
            <wp:effectExtent l="0" t="0" r="0" b="0"/>
            <wp:docPr id="11" name="图片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
                    <pic:cNvPicPr>
                      <a:picLocks noChangeAspect="1" noChangeArrowheads="1"/>
                    </pic:cNvPicPr>
                  </pic:nvPicPr>
                  <pic:blipFill>
                    <a:blip r:embed="rId19"/>
                    <a:stretch>
                      <a:fillRect/>
                    </a:stretch>
                  </pic:blipFill>
                  <pic:spPr bwMode="auto">
                    <a:xfrm>
                      <a:off x="0" y="0"/>
                      <a:ext cx="5899785" cy="1804670"/>
                    </a:xfrm>
                    <a:prstGeom prst="rect">
                      <a:avLst/>
                    </a:prstGeom>
                  </pic:spPr>
                </pic:pic>
              </a:graphicData>
            </a:graphic>
          </wp:inline>
        </w:drawing>
      </w:r>
    </w:p>
    <w:p>
      <w:pPr>
        <w:pStyle w:val="Normal"/>
        <w:overflowPunct w:val="false"/>
        <w:spacing w:lineRule="auto" w:line="480"/>
        <w:ind w:firstLine="420"/>
        <w:jc w:val="both"/>
        <w:rPr>
          <w:rFonts w:ascii="Arial" w:hAnsi="Arial" w:cs="Arial"/>
          <w:sz w:val="21"/>
          <w:szCs w:val="28"/>
        </w:rPr>
      </w:pPr>
      <w:r>
        <w:rPr>
          <w:rFonts w:ascii="Arial" w:hAnsi="Arial" w:cs="Arial"/>
          <w:sz w:val="21"/>
          <w:szCs w:val="28"/>
        </w:rPr>
        <w:t>截至</w:t>
      </w:r>
      <w:r>
        <w:rPr>
          <w:rFonts w:cs="Arial" w:ascii="Arial" w:hAnsi="Arial"/>
          <w:sz w:val="21"/>
          <w:szCs w:val="28"/>
        </w:rPr>
        <w:t>9</w:t>
      </w:r>
      <w:r>
        <w:rPr>
          <w:rFonts w:ascii="Arial" w:hAnsi="Arial" w:cs="Arial"/>
          <w:sz w:val="21"/>
          <w:szCs w:val="28"/>
        </w:rPr>
        <w:t>月底，北京商品住宅（不含保障房）库存量为</w:t>
      </w:r>
      <w:r>
        <w:rPr>
          <w:rFonts w:cs="Arial" w:ascii="Arial" w:hAnsi="Arial"/>
          <w:sz w:val="21"/>
          <w:szCs w:val="28"/>
        </w:rPr>
        <w:t>1076</w:t>
      </w:r>
      <w:r>
        <w:rPr>
          <w:rFonts w:ascii="Arial" w:hAnsi="Arial" w:cs="Arial"/>
          <w:sz w:val="21"/>
          <w:szCs w:val="28"/>
        </w:rPr>
        <w:t>万㎡，较二季度末和去年同期分别下降</w:t>
      </w:r>
      <w:r>
        <w:rPr>
          <w:rFonts w:cs="Arial" w:ascii="Arial" w:hAnsi="Arial"/>
          <w:sz w:val="21"/>
          <w:szCs w:val="28"/>
        </w:rPr>
        <w:t>0.7%</w:t>
      </w:r>
      <w:r>
        <w:rPr>
          <w:rFonts w:ascii="Arial" w:hAnsi="Arial" w:cs="Arial"/>
          <w:sz w:val="21"/>
          <w:szCs w:val="28"/>
        </w:rPr>
        <w:t>和</w:t>
      </w:r>
      <w:r>
        <w:rPr>
          <w:rFonts w:cs="Arial" w:ascii="Arial" w:hAnsi="Arial"/>
          <w:sz w:val="21"/>
          <w:szCs w:val="28"/>
        </w:rPr>
        <w:t>15.7%</w:t>
      </w:r>
      <w:r>
        <w:rPr>
          <w:rFonts w:ascii="Arial" w:hAnsi="Arial" w:cs="Arial"/>
          <w:sz w:val="21"/>
          <w:szCs w:val="28"/>
        </w:rPr>
        <w:t>，库存规模进一步回落；出清周期方面，</w:t>
      </w:r>
      <w:r>
        <w:rPr>
          <w:rFonts w:cs="Arial" w:ascii="Arial" w:hAnsi="Arial"/>
          <w:sz w:val="21"/>
          <w:szCs w:val="28"/>
        </w:rPr>
        <w:t>2023</w:t>
      </w:r>
      <w:r>
        <w:rPr>
          <w:rFonts w:ascii="Arial" w:hAnsi="Arial" w:cs="Arial"/>
          <w:sz w:val="21"/>
          <w:szCs w:val="28"/>
        </w:rPr>
        <w:t>年</w:t>
      </w:r>
      <w:r>
        <w:rPr>
          <w:rFonts w:cs="Arial" w:ascii="Arial" w:hAnsi="Arial"/>
          <w:sz w:val="21"/>
          <w:szCs w:val="28"/>
        </w:rPr>
        <w:t>9</w:t>
      </w:r>
      <w:r>
        <w:rPr>
          <w:rFonts w:ascii="Arial" w:hAnsi="Arial" w:cs="Arial"/>
          <w:sz w:val="21"/>
          <w:szCs w:val="28"/>
        </w:rPr>
        <w:t>月，北京商品住宅（不含保障房）出清周期为</w:t>
      </w:r>
      <w:r>
        <w:rPr>
          <w:rFonts w:cs="Arial" w:ascii="Arial" w:hAnsi="Arial"/>
          <w:sz w:val="21"/>
          <w:szCs w:val="28"/>
        </w:rPr>
        <w:t>17.8</w:t>
      </w:r>
      <w:r>
        <w:rPr>
          <w:rFonts w:ascii="Arial" w:hAnsi="Arial" w:cs="Arial"/>
          <w:sz w:val="21"/>
          <w:szCs w:val="28"/>
        </w:rPr>
        <w:t>个月，较二季度末下降</w:t>
      </w:r>
      <w:r>
        <w:rPr>
          <w:rFonts w:cs="Arial" w:ascii="Arial" w:hAnsi="Arial"/>
          <w:sz w:val="21"/>
          <w:szCs w:val="28"/>
        </w:rPr>
        <w:t>0.3</w:t>
      </w:r>
      <w:r>
        <w:rPr>
          <w:rFonts w:ascii="Arial" w:hAnsi="Arial" w:cs="Arial"/>
          <w:sz w:val="21"/>
          <w:szCs w:val="28"/>
        </w:rPr>
        <w:t>个月，但仍需警惕结构性库存风险。</w:t>
      </w:r>
    </w:p>
    <w:p>
      <w:pPr>
        <w:pStyle w:val="Normal"/>
        <w:overflowPunct w:val="false"/>
        <w:spacing w:lineRule="auto" w:line="480"/>
        <w:jc w:val="center"/>
        <w:rPr>
          <w:rFonts w:ascii="Arial" w:hAnsi="Arial" w:cs="Arial"/>
          <w:sz w:val="21"/>
          <w:szCs w:val="28"/>
        </w:rPr>
      </w:pPr>
      <w:r>
        <w:rPr/>
        <w:drawing>
          <wp:inline distT="0" distB="0" distL="0" distR="0">
            <wp:extent cx="5899785" cy="1948180"/>
            <wp:effectExtent l="0" t="0" r="0" b="0"/>
            <wp:docPr id="12" name="图片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
                    <pic:cNvPicPr>
                      <a:picLocks noChangeAspect="1" noChangeArrowheads="1"/>
                    </pic:cNvPicPr>
                  </pic:nvPicPr>
                  <pic:blipFill>
                    <a:blip r:embed="rId20"/>
                    <a:stretch>
                      <a:fillRect/>
                    </a:stretch>
                  </pic:blipFill>
                  <pic:spPr bwMode="auto">
                    <a:xfrm>
                      <a:off x="0" y="0"/>
                      <a:ext cx="5899785" cy="1948180"/>
                    </a:xfrm>
                    <a:prstGeom prst="rect">
                      <a:avLst/>
                    </a:prstGeom>
                  </pic:spPr>
                </pic:pic>
              </a:graphicData>
            </a:graphic>
          </wp:inline>
        </w:drawing>
      </w:r>
    </w:p>
    <w:p>
      <w:pPr>
        <w:pStyle w:val="Normal"/>
        <w:overflowPunct w:val="false"/>
        <w:spacing w:lineRule="auto" w:line="480"/>
        <w:ind w:firstLine="420"/>
        <w:jc w:val="both"/>
        <w:rPr>
          <w:rFonts w:ascii="Arial" w:hAnsi="Arial" w:cs="Arial"/>
          <w:bCs/>
          <w:sz w:val="21"/>
          <w:szCs w:val="28"/>
        </w:rPr>
      </w:pPr>
      <w:r>
        <w:rPr>
          <w:rFonts w:ascii="Arial" w:hAnsi="Arial" w:cs="Arial"/>
          <w:sz w:val="21"/>
          <w:szCs w:val="28"/>
        </w:rPr>
        <w:t>（</w:t>
      </w:r>
      <w:r>
        <w:rPr>
          <w:rFonts w:cs="Arial" w:ascii="Arial" w:hAnsi="Arial"/>
          <w:sz w:val="21"/>
          <w:szCs w:val="28"/>
        </w:rPr>
        <w:t>2</w:t>
      </w:r>
      <w:r>
        <w:rPr>
          <w:rFonts w:ascii="Arial" w:hAnsi="Arial" w:cs="Arial"/>
          <w:sz w:val="21"/>
          <w:szCs w:val="28"/>
        </w:rPr>
        <w:t>）商品</w:t>
      </w:r>
      <w:r>
        <w:rPr>
          <w:rFonts w:ascii="Arial" w:hAnsi="Arial" w:cs="Arial"/>
          <w:bCs/>
          <w:sz w:val="21"/>
          <w:szCs w:val="28"/>
        </w:rPr>
        <w:t>住宅成交情况</w:t>
      </w:r>
    </w:p>
    <w:p>
      <w:pPr>
        <w:pStyle w:val="Normal"/>
        <w:tabs>
          <w:tab w:val="clear" w:pos="425"/>
          <w:tab w:val="left" w:pos="426" w:leader="none"/>
        </w:tabs>
        <w:overflowPunct w:val="false"/>
        <w:spacing w:lineRule="auto" w:line="480"/>
        <w:ind w:firstLine="420"/>
        <w:jc w:val="both"/>
        <w:rPr>
          <w:rFonts w:ascii="Arial" w:hAnsi="Arial" w:cs="Arial"/>
          <w:sz w:val="21"/>
        </w:rPr>
      </w:pPr>
      <w:r>
        <w:rPr>
          <w:rFonts w:cs="Arial" w:ascii="Arial" w:hAnsi="Arial"/>
          <w:sz w:val="21"/>
        </w:rPr>
        <w:t>1</w:t>
      </w:r>
      <w:r>
        <w:rPr>
          <w:rFonts w:ascii="Arial" w:hAnsi="Arial" w:cs="Arial"/>
          <w:sz w:val="21"/>
        </w:rPr>
        <w:t>）成交量</w:t>
      </w:r>
    </w:p>
    <w:p>
      <w:pPr>
        <w:pStyle w:val="Normal"/>
        <w:tabs>
          <w:tab w:val="clear" w:pos="425"/>
          <w:tab w:val="left" w:pos="426" w:leader="none"/>
        </w:tabs>
        <w:overflowPunct w:val="false"/>
        <w:spacing w:lineRule="auto" w:line="480"/>
        <w:ind w:firstLine="420"/>
        <w:jc w:val="both"/>
        <w:rPr>
          <w:rFonts w:ascii="Arial" w:hAnsi="Arial" w:cs="Arial"/>
          <w:sz w:val="21"/>
        </w:rPr>
      </w:pPr>
      <w:r>
        <w:rPr>
          <w:rFonts w:cs="Arial" w:ascii="Arial" w:hAnsi="Arial"/>
          <w:sz w:val="21"/>
          <w:szCs w:val="28"/>
        </w:rPr>
        <w:t>2023</w:t>
      </w:r>
      <w:r>
        <w:rPr>
          <w:rFonts w:ascii="Arial" w:hAnsi="Arial" w:cs="Arial"/>
          <w:sz w:val="21"/>
          <w:szCs w:val="28"/>
        </w:rPr>
        <w:t>年三季度北京商品住宅成交规模同环比均回落，新政落地后，市场热度短期明显升高。受行业整体延续低迷影响，叠加供应相对疲软，三季度北京新房市场表现相对一般，累计成交规模为</w:t>
      </w:r>
      <w:r>
        <w:rPr>
          <w:rFonts w:cs="Arial" w:ascii="Arial" w:hAnsi="Arial"/>
          <w:sz w:val="21"/>
          <w:szCs w:val="28"/>
        </w:rPr>
        <w:t>158</w:t>
      </w:r>
      <w:r>
        <w:rPr>
          <w:rFonts w:ascii="Arial" w:hAnsi="Arial" w:cs="Arial"/>
          <w:sz w:val="21"/>
          <w:szCs w:val="28"/>
        </w:rPr>
        <w:t>万㎡，同比下降</w:t>
      </w:r>
      <w:r>
        <w:rPr>
          <w:rFonts w:cs="Arial" w:ascii="Arial" w:hAnsi="Arial"/>
          <w:sz w:val="21"/>
          <w:szCs w:val="28"/>
        </w:rPr>
        <w:t>5%</w:t>
      </w:r>
      <w:r>
        <w:rPr>
          <w:rFonts w:ascii="Arial" w:hAnsi="Arial" w:cs="Arial"/>
          <w:sz w:val="21"/>
          <w:szCs w:val="28"/>
        </w:rPr>
        <w:t>，环比下降</w:t>
      </w:r>
      <w:r>
        <w:rPr>
          <w:rFonts w:cs="Arial" w:ascii="Arial" w:hAnsi="Arial"/>
          <w:sz w:val="21"/>
          <w:szCs w:val="28"/>
        </w:rPr>
        <w:t>13%</w:t>
      </w:r>
      <w:r>
        <w:rPr>
          <w:rFonts w:ascii="Arial" w:hAnsi="Arial" w:cs="Arial"/>
          <w:sz w:val="21"/>
          <w:szCs w:val="28"/>
        </w:rPr>
        <w:t>；分月度来看，</w:t>
      </w:r>
      <w:r>
        <w:rPr>
          <w:rFonts w:cs="Arial" w:ascii="Arial" w:hAnsi="Arial"/>
          <w:sz w:val="21"/>
          <w:szCs w:val="28"/>
        </w:rPr>
        <w:t>7/8</w:t>
      </w:r>
      <w:r>
        <w:rPr>
          <w:rFonts w:ascii="Arial" w:hAnsi="Arial" w:cs="Arial"/>
          <w:sz w:val="21"/>
          <w:szCs w:val="28"/>
        </w:rPr>
        <w:t>月市场持续低温运行，成交规模持续下滑；</w:t>
      </w:r>
      <w:r>
        <w:rPr>
          <w:rFonts w:cs="Arial" w:ascii="Arial" w:hAnsi="Arial"/>
          <w:sz w:val="21"/>
          <w:szCs w:val="28"/>
        </w:rPr>
        <w:t>9</w:t>
      </w:r>
      <w:r>
        <w:rPr>
          <w:rFonts w:ascii="Arial" w:hAnsi="Arial" w:cs="Arial"/>
          <w:sz w:val="21"/>
          <w:szCs w:val="28"/>
        </w:rPr>
        <w:t>月初，“认房不认贷”新政超预期落地，市场短期反应热度较高，带动成交规模低位回升。但随着需求释放动能减弱，</w:t>
      </w:r>
      <w:r>
        <w:rPr>
          <w:rFonts w:cs="Arial" w:ascii="Arial" w:hAnsi="Arial"/>
          <w:sz w:val="21"/>
          <w:szCs w:val="28"/>
        </w:rPr>
        <w:t>9</w:t>
      </w:r>
      <w:r>
        <w:rPr>
          <w:rFonts w:ascii="Arial" w:hAnsi="Arial" w:cs="Arial"/>
          <w:sz w:val="21"/>
          <w:szCs w:val="28"/>
        </w:rPr>
        <w:t>月下旬北京新房市场热度回落，多数项目到访和认购量均明显下滑，市场逐渐趋于平稳</w:t>
      </w:r>
      <w:r>
        <w:rPr>
          <w:rFonts w:ascii="Arial" w:hAnsi="Arial" w:cs="Arial"/>
          <w:sz w:val="21"/>
        </w:rPr>
        <w:t>。</w:t>
      </w:r>
    </w:p>
    <w:p>
      <w:pPr>
        <w:pStyle w:val="Normal"/>
        <w:tabs>
          <w:tab w:val="clear" w:pos="425"/>
          <w:tab w:val="left" w:pos="426" w:leader="none"/>
        </w:tabs>
        <w:overflowPunct w:val="false"/>
        <w:spacing w:lineRule="auto" w:line="480"/>
        <w:jc w:val="center"/>
        <w:rPr>
          <w:rFonts w:ascii="Arial" w:hAnsi="Arial" w:cs="Arial"/>
          <w:sz w:val="21"/>
        </w:rPr>
      </w:pPr>
      <w:r>
        <w:rPr/>
        <w:drawing>
          <wp:inline distT="0" distB="0" distL="0" distR="0">
            <wp:extent cx="5904865" cy="1835785"/>
            <wp:effectExtent l="0" t="0" r="0" b="0"/>
            <wp:docPr id="13" name="图片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
                    <pic:cNvPicPr>
                      <a:picLocks noChangeAspect="1" noChangeArrowheads="1"/>
                    </pic:cNvPicPr>
                  </pic:nvPicPr>
                  <pic:blipFill>
                    <a:blip r:embed="rId21"/>
                    <a:stretch>
                      <a:fillRect/>
                    </a:stretch>
                  </pic:blipFill>
                  <pic:spPr bwMode="auto">
                    <a:xfrm>
                      <a:off x="0" y="0"/>
                      <a:ext cx="5904865" cy="1835785"/>
                    </a:xfrm>
                    <a:prstGeom prst="rect">
                      <a:avLst/>
                    </a:prstGeom>
                  </pic:spPr>
                </pic:pic>
              </a:graphicData>
            </a:graphic>
          </wp:inline>
        </w:drawing>
      </w:r>
    </w:p>
    <w:p>
      <w:pPr>
        <w:pStyle w:val="Normal"/>
        <w:overflowPunct w:val="false"/>
        <w:spacing w:lineRule="auto" w:line="480"/>
        <w:ind w:firstLine="420"/>
        <w:rPr>
          <w:rFonts w:ascii="Arial" w:hAnsi="Arial" w:cs="Arial"/>
          <w:sz w:val="21"/>
        </w:rPr>
      </w:pPr>
      <w:r>
        <w:rPr>
          <w:rFonts w:cs="Arial" w:ascii="Arial" w:hAnsi="Arial"/>
          <w:sz w:val="21"/>
        </w:rPr>
        <w:t>2</w:t>
      </w:r>
      <w:r>
        <w:rPr>
          <w:rFonts w:ascii="Arial" w:hAnsi="Arial" w:cs="Arial"/>
          <w:sz w:val="21"/>
        </w:rPr>
        <w:t>）成交价格</w:t>
      </w:r>
    </w:p>
    <w:p>
      <w:pPr>
        <w:pStyle w:val="Normal"/>
        <w:overflowPunct w:val="false"/>
        <w:spacing w:lineRule="auto" w:line="480"/>
        <w:ind w:firstLine="420"/>
        <w:rPr>
          <w:rFonts w:ascii="Arial" w:hAnsi="Arial" w:cs="Arial"/>
          <w:sz w:val="21"/>
          <w:szCs w:val="28"/>
        </w:rPr>
      </w:pPr>
      <w:r>
        <w:rPr>
          <w:rFonts w:cs="Arial" w:ascii="Arial" w:hAnsi="Arial"/>
          <w:sz w:val="21"/>
          <w:szCs w:val="28"/>
        </w:rPr>
        <w:t>A.</w:t>
      </w:r>
      <w:r>
        <w:rPr>
          <w:rFonts w:ascii="Arial" w:hAnsi="Arial" w:cs="Arial"/>
          <w:sz w:val="21"/>
          <w:szCs w:val="28"/>
        </w:rPr>
        <w:t>成交价格</w:t>
      </w:r>
    </w:p>
    <w:p>
      <w:pPr>
        <w:pStyle w:val="Normal"/>
        <w:tabs>
          <w:tab w:val="clear" w:pos="425"/>
          <w:tab w:val="left" w:pos="426" w:leader="none"/>
        </w:tabs>
        <w:overflowPunct w:val="false"/>
        <w:spacing w:lineRule="auto" w:line="480"/>
        <w:ind w:firstLine="420"/>
        <w:jc w:val="both"/>
        <w:rPr>
          <w:rFonts w:ascii="Arial" w:hAnsi="Arial" w:cs="Arial"/>
          <w:sz w:val="21"/>
          <w:szCs w:val="28"/>
        </w:rPr>
      </w:pPr>
      <w:r>
        <w:rPr>
          <w:rFonts w:cs="Arial" w:ascii="Arial" w:hAnsi="Arial"/>
          <w:sz w:val="21"/>
          <w:szCs w:val="28"/>
        </w:rPr>
        <w:t>2023</w:t>
      </w:r>
      <w:r>
        <w:rPr>
          <w:rFonts w:ascii="Arial" w:hAnsi="Arial" w:cs="Arial"/>
          <w:sz w:val="21"/>
          <w:szCs w:val="28"/>
        </w:rPr>
        <w:t>年三季度北京商品住宅成交价格同比涨幅持续低位，累计涨幅低于去年同期。伴随改善型项目持续入市、中高端产品成交增加，新建商品住宅价格结构性小幅上涨。整体来看，三季度北京新建商品住宅价格为</w:t>
      </w:r>
      <w:r>
        <w:rPr>
          <w:rFonts w:cs="Arial" w:ascii="Arial" w:hAnsi="Arial"/>
          <w:sz w:val="21"/>
          <w:szCs w:val="28"/>
        </w:rPr>
        <w:t>44837</w:t>
      </w:r>
      <w:r>
        <w:rPr>
          <w:rFonts w:ascii="Arial" w:hAnsi="Arial" w:cs="Arial"/>
          <w:sz w:val="21"/>
          <w:szCs w:val="28"/>
        </w:rPr>
        <w:t>元</w:t>
      </w:r>
      <w:r>
        <w:rPr>
          <w:rFonts w:cs="Arial" w:ascii="Arial" w:hAnsi="Arial"/>
          <w:sz w:val="21"/>
          <w:szCs w:val="28"/>
        </w:rPr>
        <w:t>/</w:t>
      </w:r>
      <w:r>
        <w:rPr>
          <w:rFonts w:ascii="Arial" w:hAnsi="Arial" w:cs="Arial"/>
          <w:sz w:val="21"/>
          <w:szCs w:val="28"/>
        </w:rPr>
        <w:t>㎡，同比上涨</w:t>
      </w:r>
      <w:r>
        <w:rPr>
          <w:rFonts w:cs="Arial" w:ascii="Arial" w:hAnsi="Arial"/>
          <w:sz w:val="21"/>
          <w:szCs w:val="28"/>
        </w:rPr>
        <w:t>0.4%</w:t>
      </w:r>
      <w:r>
        <w:rPr>
          <w:rFonts w:ascii="Arial" w:hAnsi="Arial" w:cs="Arial"/>
          <w:sz w:val="21"/>
          <w:szCs w:val="28"/>
        </w:rPr>
        <w:t>，涨幅处于</w:t>
      </w:r>
      <w:r>
        <w:rPr>
          <w:rFonts w:cs="Arial" w:ascii="Arial" w:hAnsi="Arial"/>
          <w:sz w:val="21"/>
          <w:szCs w:val="28"/>
        </w:rPr>
        <w:t>2021</w:t>
      </w:r>
      <w:r>
        <w:rPr>
          <w:rFonts w:ascii="Arial" w:hAnsi="Arial" w:cs="Arial"/>
          <w:sz w:val="21"/>
          <w:szCs w:val="28"/>
        </w:rPr>
        <w:t>年以来低位水平；累计来看，三季度商品住房价格累计上涨</w:t>
      </w:r>
      <w:r>
        <w:rPr>
          <w:rFonts w:cs="Arial" w:ascii="Arial" w:hAnsi="Arial"/>
          <w:sz w:val="21"/>
          <w:szCs w:val="28"/>
        </w:rPr>
        <w:t>0.20%</w:t>
      </w:r>
      <w:r>
        <w:rPr>
          <w:rFonts w:ascii="Arial" w:hAnsi="Arial" w:cs="Arial"/>
          <w:sz w:val="21"/>
          <w:szCs w:val="28"/>
        </w:rPr>
        <w:t>，涨幅继续收窄，较去年同期收窄</w:t>
      </w:r>
      <w:r>
        <w:rPr>
          <w:rFonts w:cs="Arial" w:ascii="Arial" w:hAnsi="Arial"/>
          <w:sz w:val="21"/>
          <w:szCs w:val="28"/>
        </w:rPr>
        <w:t>0.21</w:t>
      </w:r>
      <w:r>
        <w:rPr>
          <w:rFonts w:ascii="Arial" w:hAnsi="Arial" w:cs="Arial"/>
          <w:sz w:val="21"/>
          <w:szCs w:val="28"/>
        </w:rPr>
        <w:t>个百分点。</w:t>
      </w:r>
    </w:p>
    <w:p>
      <w:pPr>
        <w:pStyle w:val="Normal"/>
        <w:overflowPunct w:val="false"/>
        <w:spacing w:lineRule="auto" w:line="480"/>
        <w:jc w:val="center"/>
        <w:rPr>
          <w:rFonts w:ascii="Arial" w:hAnsi="Arial" w:cs="Arial"/>
          <w:sz w:val="21"/>
          <w:szCs w:val="28"/>
        </w:rPr>
      </w:pPr>
      <w:r>
        <w:rPr/>
        <w:drawing>
          <wp:inline distT="0" distB="0" distL="0" distR="0">
            <wp:extent cx="5904865" cy="1931035"/>
            <wp:effectExtent l="0" t="0" r="0" b="0"/>
            <wp:docPr id="14" name="图片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
                    <pic:cNvPicPr>
                      <a:picLocks noChangeAspect="1" noChangeArrowheads="1"/>
                    </pic:cNvPicPr>
                  </pic:nvPicPr>
                  <pic:blipFill>
                    <a:blip r:embed="rId22"/>
                    <a:stretch>
                      <a:fillRect/>
                    </a:stretch>
                  </pic:blipFill>
                  <pic:spPr bwMode="auto">
                    <a:xfrm>
                      <a:off x="0" y="0"/>
                      <a:ext cx="5904865" cy="1931035"/>
                    </a:xfrm>
                    <a:prstGeom prst="rect">
                      <a:avLst/>
                    </a:prstGeom>
                  </pic:spPr>
                </pic:pic>
              </a:graphicData>
            </a:graphic>
          </wp:inline>
        </w:drawing>
      </w:r>
    </w:p>
    <w:p>
      <w:pPr>
        <w:pStyle w:val="Normal"/>
        <w:overflowPunct w:val="false"/>
        <w:spacing w:lineRule="auto" w:line="480"/>
        <w:ind w:firstLine="420"/>
        <w:rPr>
          <w:rFonts w:ascii="Arial" w:hAnsi="Arial" w:cs="Arial"/>
          <w:sz w:val="21"/>
          <w:szCs w:val="28"/>
        </w:rPr>
      </w:pPr>
      <w:r>
        <w:rPr>
          <w:rFonts w:cs="Arial" w:ascii="Arial" w:hAnsi="Arial"/>
          <w:sz w:val="21"/>
          <w:szCs w:val="28"/>
        </w:rPr>
        <w:t>B.</w:t>
      </w:r>
      <w:r>
        <w:rPr>
          <w:rFonts w:cs="Arial" w:ascii="Arial" w:hAnsi="Arial"/>
        </w:rPr>
        <w:t xml:space="preserve"> </w:t>
      </w:r>
      <w:r>
        <w:rPr>
          <w:rFonts w:ascii="Arial" w:hAnsi="Arial" w:cs="Arial"/>
          <w:sz w:val="21"/>
          <w:szCs w:val="28"/>
        </w:rPr>
        <w:t>成交结构</w:t>
      </w:r>
    </w:p>
    <w:p>
      <w:pPr>
        <w:pStyle w:val="Normal"/>
        <w:tabs>
          <w:tab w:val="clear" w:pos="425"/>
          <w:tab w:val="left" w:pos="426" w:leader="none"/>
        </w:tabs>
        <w:overflowPunct w:val="false"/>
        <w:spacing w:lineRule="auto" w:line="480"/>
        <w:ind w:firstLine="420"/>
        <w:jc w:val="both"/>
        <w:rPr>
          <w:rFonts w:ascii="Arial" w:hAnsi="Arial" w:cs="Arial"/>
          <w:sz w:val="21"/>
          <w:szCs w:val="28"/>
        </w:rPr>
      </w:pPr>
      <w:r>
        <w:rPr>
          <w:rFonts w:cs="Arial" w:ascii="Arial" w:hAnsi="Arial"/>
          <w:sz w:val="21"/>
          <w:szCs w:val="28"/>
        </w:rPr>
        <w:t>2023</w:t>
      </w:r>
      <w:r>
        <w:rPr>
          <w:rFonts w:ascii="Arial" w:hAnsi="Arial" w:cs="Arial"/>
          <w:sz w:val="21"/>
          <w:szCs w:val="28"/>
        </w:rPr>
        <w:t>年三季度，</w:t>
      </w:r>
      <w:r>
        <w:rPr>
          <w:rFonts w:cs="Arial" w:ascii="Arial" w:hAnsi="Arial"/>
          <w:sz w:val="21"/>
          <w:szCs w:val="28"/>
        </w:rPr>
        <w:t>90-200</w:t>
      </w:r>
      <w:r>
        <w:rPr>
          <w:rFonts w:ascii="Arial" w:hAnsi="Arial" w:cs="Arial"/>
          <w:sz w:val="21"/>
          <w:szCs w:val="28"/>
        </w:rPr>
        <w:t>平米面积段的刚改和改善型产品为市场成交主力，成交套数占比达</w:t>
      </w:r>
      <w:r>
        <w:rPr>
          <w:rFonts w:cs="Arial" w:ascii="Arial" w:hAnsi="Arial"/>
          <w:sz w:val="21"/>
          <w:szCs w:val="28"/>
        </w:rPr>
        <w:t>58.3%</w:t>
      </w:r>
      <w:r>
        <w:rPr>
          <w:rFonts w:ascii="Arial" w:hAnsi="Arial" w:cs="Arial"/>
          <w:sz w:val="21"/>
          <w:szCs w:val="28"/>
        </w:rPr>
        <w:t>，占比提升</w:t>
      </w:r>
      <w:r>
        <w:rPr>
          <w:rFonts w:cs="Arial" w:ascii="Arial" w:hAnsi="Arial"/>
          <w:sz w:val="21"/>
          <w:szCs w:val="28"/>
        </w:rPr>
        <w:t>7.1</w:t>
      </w:r>
      <w:r>
        <w:rPr>
          <w:rFonts w:ascii="Arial" w:hAnsi="Arial" w:cs="Arial"/>
          <w:sz w:val="21"/>
          <w:szCs w:val="28"/>
        </w:rPr>
        <w:t>个百分点，增幅显著；成交总价段主要集中在</w:t>
      </w:r>
      <w:r>
        <w:rPr>
          <w:rFonts w:cs="Arial" w:ascii="Arial" w:hAnsi="Arial"/>
          <w:sz w:val="21"/>
          <w:szCs w:val="28"/>
        </w:rPr>
        <w:t>800</w:t>
      </w:r>
      <w:r>
        <w:rPr>
          <w:rFonts w:ascii="Arial" w:hAnsi="Arial" w:cs="Arial"/>
          <w:sz w:val="21"/>
          <w:szCs w:val="28"/>
        </w:rPr>
        <w:t>万以下的中低</w:t>
      </w:r>
      <w:r>
        <w:rPr>
          <w:rFonts w:cs="Arial" w:ascii="Arial" w:hAnsi="Arial"/>
          <w:sz w:val="21"/>
          <w:szCs w:val="28"/>
        </w:rPr>
        <w:t>/</w:t>
      </w:r>
      <w:r>
        <w:rPr>
          <w:rFonts w:ascii="Arial" w:hAnsi="Arial" w:cs="Arial"/>
          <w:sz w:val="21"/>
          <w:szCs w:val="28"/>
        </w:rPr>
        <w:t>中高价位，其中</w:t>
      </w:r>
      <w:r>
        <w:rPr>
          <w:rFonts w:cs="Arial" w:ascii="Arial" w:hAnsi="Arial"/>
          <w:sz w:val="21"/>
          <w:szCs w:val="28"/>
        </w:rPr>
        <w:t>500</w:t>
      </w:r>
      <w:r>
        <w:rPr>
          <w:rFonts w:ascii="Arial" w:hAnsi="Arial" w:cs="Arial"/>
          <w:sz w:val="21"/>
          <w:szCs w:val="28"/>
        </w:rPr>
        <w:t>万元以下中低价位产品同比减少</w:t>
      </w:r>
      <w:r>
        <w:rPr>
          <w:rFonts w:cs="Arial" w:ascii="Arial" w:hAnsi="Arial"/>
          <w:sz w:val="21"/>
          <w:szCs w:val="28"/>
        </w:rPr>
        <w:t>5.0</w:t>
      </w:r>
      <w:r>
        <w:rPr>
          <w:rFonts w:ascii="Arial" w:hAnsi="Arial" w:cs="Arial"/>
          <w:sz w:val="21"/>
          <w:szCs w:val="28"/>
        </w:rPr>
        <w:t>个百分点，但仍为成交主力，成交套数占比达</w:t>
      </w:r>
      <w:r>
        <w:rPr>
          <w:rFonts w:cs="Arial" w:ascii="Arial" w:hAnsi="Arial"/>
          <w:sz w:val="21"/>
          <w:szCs w:val="28"/>
        </w:rPr>
        <w:t>46.6%</w:t>
      </w:r>
      <w:r>
        <w:rPr>
          <w:rFonts w:ascii="Arial" w:hAnsi="Arial" w:cs="Arial"/>
          <w:sz w:val="21"/>
          <w:szCs w:val="28"/>
        </w:rPr>
        <w:t>；</w:t>
      </w:r>
      <w:r>
        <w:rPr>
          <w:rFonts w:cs="Arial" w:ascii="Arial" w:hAnsi="Arial"/>
          <w:sz w:val="21"/>
          <w:szCs w:val="28"/>
        </w:rPr>
        <w:t>500-1000</w:t>
      </w:r>
      <w:r>
        <w:rPr>
          <w:rFonts w:ascii="Arial" w:hAnsi="Arial" w:cs="Arial"/>
          <w:sz w:val="21"/>
          <w:szCs w:val="28"/>
        </w:rPr>
        <w:t>万元的中高价段成交占比增加</w:t>
      </w:r>
      <w:r>
        <w:rPr>
          <w:rFonts w:cs="Arial" w:ascii="Arial" w:hAnsi="Arial"/>
          <w:sz w:val="21"/>
          <w:szCs w:val="28"/>
        </w:rPr>
        <w:t>5.5</w:t>
      </w:r>
      <w:r>
        <w:rPr>
          <w:rFonts w:ascii="Arial" w:hAnsi="Arial" w:cs="Arial"/>
          <w:sz w:val="21"/>
          <w:szCs w:val="28"/>
        </w:rPr>
        <w:t>个百分点至</w:t>
      </w:r>
      <w:r>
        <w:rPr>
          <w:rFonts w:cs="Arial" w:ascii="Arial" w:hAnsi="Arial"/>
          <w:sz w:val="21"/>
          <w:szCs w:val="28"/>
        </w:rPr>
        <w:t>36.1%</w:t>
      </w:r>
      <w:r>
        <w:rPr>
          <w:rFonts w:ascii="Arial" w:hAnsi="Arial" w:cs="Arial"/>
          <w:sz w:val="21"/>
          <w:szCs w:val="28"/>
        </w:rPr>
        <w:t>。</w:t>
      </w:r>
    </w:p>
    <w:p>
      <w:pPr>
        <w:pStyle w:val="Normal"/>
        <w:tabs>
          <w:tab w:val="clear" w:pos="425"/>
          <w:tab w:val="left" w:pos="426" w:leader="none"/>
        </w:tabs>
        <w:overflowPunct w:val="false"/>
        <w:spacing w:lineRule="auto" w:line="480"/>
        <w:ind w:firstLine="420"/>
        <w:jc w:val="both"/>
        <w:rPr>
          <w:rFonts w:ascii="Arial" w:hAnsi="Arial" w:cs="Arial"/>
          <w:sz w:val="21"/>
          <w:szCs w:val="28"/>
        </w:rPr>
      </w:pPr>
      <w:r>
        <w:rPr>
          <w:rFonts w:ascii="Arial" w:hAnsi="Arial" w:cs="Arial"/>
          <w:sz w:val="21"/>
          <w:szCs w:val="28"/>
        </w:rPr>
        <w:t>改善型需求逐步释放，在中高端产品供应提供带动下，新房成交逐步由中低面积段向中高面积段转移，成交总价段逐步由中低价位向中高价位产品转移，而高面积段和高价格段产品同比变化幅度较小。</w:t>
      </w:r>
    </w:p>
    <w:p>
      <w:pPr>
        <w:pStyle w:val="Normal"/>
        <w:tabs>
          <w:tab w:val="clear" w:pos="425"/>
          <w:tab w:val="left" w:pos="426" w:leader="none"/>
        </w:tabs>
        <w:overflowPunct w:val="false"/>
        <w:spacing w:lineRule="auto" w:line="480"/>
        <w:jc w:val="center"/>
        <w:rPr>
          <w:rFonts w:ascii="Arial" w:hAnsi="Arial" w:cs="Arial"/>
          <w:sz w:val="21"/>
        </w:rPr>
      </w:pPr>
      <w:r>
        <w:rPr/>
        <w:drawing>
          <wp:inline distT="0" distB="0" distL="0" distR="0">
            <wp:extent cx="5904865" cy="1891030"/>
            <wp:effectExtent l="0" t="0" r="0" b="0"/>
            <wp:docPr id="15" name="图片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
                    <pic:cNvPicPr>
                      <a:picLocks noChangeAspect="1" noChangeArrowheads="1"/>
                    </pic:cNvPicPr>
                  </pic:nvPicPr>
                  <pic:blipFill>
                    <a:blip r:embed="rId23"/>
                    <a:stretch>
                      <a:fillRect/>
                    </a:stretch>
                  </pic:blipFill>
                  <pic:spPr bwMode="auto">
                    <a:xfrm>
                      <a:off x="0" y="0"/>
                      <a:ext cx="5904865" cy="1891030"/>
                    </a:xfrm>
                    <a:prstGeom prst="rect">
                      <a:avLst/>
                    </a:prstGeom>
                  </pic:spPr>
                </pic:pic>
              </a:graphicData>
            </a:graphic>
          </wp:inline>
        </w:drawing>
      </w:r>
    </w:p>
    <w:p>
      <w:pPr>
        <w:pStyle w:val="Normal"/>
        <w:overflowPunct w:val="false"/>
        <w:spacing w:lineRule="auto" w:line="480"/>
        <w:ind w:firstLine="420"/>
        <w:rPr>
          <w:rFonts w:ascii="Arial" w:hAnsi="Arial" w:cs="Arial"/>
          <w:sz w:val="21"/>
        </w:rPr>
      </w:pPr>
      <w:r>
        <w:rPr>
          <w:rFonts w:cs="Arial" w:ascii="Arial" w:hAnsi="Arial"/>
          <w:sz w:val="21"/>
        </w:rPr>
        <w:t>3</w:t>
      </w:r>
      <w:r>
        <w:rPr>
          <w:rFonts w:ascii="Arial" w:hAnsi="Arial" w:cs="Arial"/>
          <w:sz w:val="21"/>
        </w:rPr>
        <w:t>）区域成交</w:t>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从区域成交规模来看，近郊六区为北京商品住宅（不含保障房）成交主力区域。</w:t>
      </w:r>
      <w:r>
        <w:rPr>
          <w:rFonts w:cs="Arial" w:ascii="Arial" w:hAnsi="Arial"/>
          <w:bCs/>
          <w:sz w:val="21"/>
          <w:szCs w:val="28"/>
        </w:rPr>
        <w:t>2023</w:t>
      </w:r>
      <w:r>
        <w:rPr>
          <w:rFonts w:ascii="Arial" w:hAnsi="Arial" w:cs="Arial"/>
          <w:bCs/>
          <w:sz w:val="21"/>
          <w:szCs w:val="28"/>
        </w:rPr>
        <w:t>年三季度近郊六区成交</w:t>
      </w:r>
      <w:r>
        <w:rPr>
          <w:rFonts w:cs="Arial" w:ascii="Arial" w:hAnsi="Arial"/>
          <w:bCs/>
          <w:sz w:val="21"/>
          <w:szCs w:val="28"/>
        </w:rPr>
        <w:t>81.918</w:t>
      </w:r>
      <w:r>
        <w:rPr>
          <w:rFonts w:ascii="Arial" w:hAnsi="Arial" w:cs="Arial"/>
          <w:bCs/>
          <w:sz w:val="21"/>
          <w:szCs w:val="28"/>
        </w:rPr>
        <w:t>万㎡，占比达</w:t>
      </w:r>
      <w:r>
        <w:rPr>
          <w:rFonts w:cs="Arial" w:ascii="Arial" w:hAnsi="Arial"/>
          <w:bCs/>
          <w:sz w:val="21"/>
          <w:szCs w:val="28"/>
        </w:rPr>
        <w:t>52.0%</w:t>
      </w:r>
      <w:r>
        <w:rPr>
          <w:rFonts w:ascii="Arial" w:hAnsi="Arial" w:cs="Arial"/>
          <w:bCs/>
          <w:sz w:val="21"/>
          <w:szCs w:val="28"/>
        </w:rPr>
        <w:t>，其中，顺义、昌平区域累计成交均超</w:t>
      </w:r>
      <w:r>
        <w:rPr>
          <w:rFonts w:cs="Arial" w:ascii="Arial" w:hAnsi="Arial"/>
          <w:bCs/>
          <w:sz w:val="21"/>
          <w:szCs w:val="28"/>
        </w:rPr>
        <w:t>20</w:t>
      </w:r>
      <w:r>
        <w:rPr>
          <w:rFonts w:ascii="Arial" w:hAnsi="Arial" w:cs="Arial"/>
          <w:bCs/>
          <w:sz w:val="21"/>
          <w:szCs w:val="28"/>
        </w:rPr>
        <w:t>万㎡，分居北京各区销售规模前两位；中心城区中丰台、朝阳表现较好，成交规模超</w:t>
      </w:r>
      <w:r>
        <w:rPr>
          <w:rFonts w:cs="Arial" w:ascii="Arial" w:hAnsi="Arial"/>
          <w:bCs/>
          <w:sz w:val="21"/>
          <w:szCs w:val="28"/>
        </w:rPr>
        <w:t>17</w:t>
      </w:r>
      <w:r>
        <w:rPr>
          <w:rFonts w:ascii="Arial" w:hAnsi="Arial" w:cs="Arial"/>
          <w:bCs/>
          <w:sz w:val="21"/>
          <w:szCs w:val="28"/>
        </w:rPr>
        <w:t>万㎡。</w:t>
      </w:r>
    </w:p>
    <w:p>
      <w:pPr>
        <w:pStyle w:val="Normal"/>
        <w:overflowPunct w:val="false"/>
        <w:spacing w:lineRule="auto" w:line="480"/>
        <w:ind w:firstLine="420"/>
        <w:jc w:val="both"/>
        <w:rPr>
          <w:rFonts w:ascii="Arial" w:hAnsi="Arial" w:cs="Arial"/>
          <w:sz w:val="21"/>
        </w:rPr>
      </w:pPr>
      <w:r>
        <w:rPr>
          <w:rFonts w:ascii="Arial" w:hAnsi="Arial" w:cs="Arial"/>
          <w:bCs/>
          <w:sz w:val="21"/>
          <w:szCs w:val="28"/>
        </w:rPr>
        <w:t>从区域成交变化来看，中心成交规模同比增长，其中在中信国安府成交带动下，西城区成交规模同比增长</w:t>
      </w:r>
      <w:r>
        <w:rPr>
          <w:rFonts w:cs="Arial" w:ascii="Arial" w:hAnsi="Arial"/>
          <w:bCs/>
          <w:sz w:val="21"/>
          <w:szCs w:val="28"/>
        </w:rPr>
        <w:t>35</w:t>
      </w:r>
      <w:r>
        <w:rPr>
          <w:rFonts w:ascii="Arial" w:hAnsi="Arial" w:cs="Arial"/>
          <w:bCs/>
          <w:sz w:val="21"/>
          <w:szCs w:val="28"/>
        </w:rPr>
        <w:t>倍，朝阳、丰台同比增幅均超</w:t>
      </w:r>
      <w:r>
        <w:rPr>
          <w:rFonts w:cs="Arial" w:ascii="Arial" w:hAnsi="Arial"/>
          <w:bCs/>
          <w:sz w:val="21"/>
          <w:szCs w:val="28"/>
        </w:rPr>
        <w:t>10%</w:t>
      </w:r>
      <w:r>
        <w:rPr>
          <w:rFonts w:ascii="Arial" w:hAnsi="Arial" w:cs="Arial"/>
          <w:bCs/>
          <w:sz w:val="21"/>
          <w:szCs w:val="28"/>
        </w:rPr>
        <w:t>，而海淀、石景山成交规模同比降幅较大。近郊和远郊区域的成交规模同比均不同程度的回落，近郊区成交规模同比下降</w:t>
      </w:r>
      <w:r>
        <w:rPr>
          <w:rFonts w:cs="Arial" w:ascii="Arial" w:hAnsi="Arial"/>
          <w:bCs/>
          <w:sz w:val="21"/>
          <w:szCs w:val="28"/>
        </w:rPr>
        <w:t>25%</w:t>
      </w:r>
      <w:r>
        <w:rPr>
          <w:rFonts w:ascii="Arial" w:hAnsi="Arial" w:cs="Arial"/>
          <w:bCs/>
          <w:sz w:val="21"/>
          <w:szCs w:val="28"/>
        </w:rPr>
        <w:t>，其中大兴、门头沟同比降幅均超五成，顺义、昌平成交同比小幅增长；远郊区成交规模同比下降</w:t>
      </w:r>
      <w:r>
        <w:rPr>
          <w:rFonts w:cs="Arial" w:ascii="Arial" w:hAnsi="Arial"/>
          <w:bCs/>
          <w:sz w:val="21"/>
          <w:szCs w:val="28"/>
        </w:rPr>
        <w:t>28%</w:t>
      </w:r>
      <w:r>
        <w:rPr>
          <w:rFonts w:ascii="Arial" w:hAnsi="Arial" w:cs="Arial"/>
          <w:bCs/>
          <w:sz w:val="21"/>
          <w:szCs w:val="28"/>
        </w:rPr>
        <w:t>，降幅最大，其中密云、延庆降幅均超四成</w:t>
      </w:r>
      <w:r>
        <w:rPr>
          <w:rFonts w:ascii="Arial" w:hAnsi="Arial" w:cs="Arial"/>
          <w:sz w:val="21"/>
        </w:rPr>
        <w:t>。</w:t>
      </w:r>
    </w:p>
    <w:p>
      <w:pPr>
        <w:pStyle w:val="Normal"/>
        <w:overflowPunct w:val="false"/>
        <w:spacing w:lineRule="auto" w:line="480"/>
        <w:jc w:val="center"/>
        <w:rPr>
          <w:rFonts w:ascii="Arial" w:hAnsi="Arial" w:cs="Arial"/>
          <w:sz w:val="21"/>
        </w:rPr>
      </w:pPr>
      <w:r>
        <w:rPr/>
        <w:drawing>
          <wp:inline distT="0" distB="0" distL="0" distR="0">
            <wp:extent cx="5904865" cy="2217420"/>
            <wp:effectExtent l="0" t="0" r="0" b="0"/>
            <wp:docPr id="16" name="图片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
                    <pic:cNvPicPr>
                      <a:picLocks noChangeAspect="1" noChangeArrowheads="1"/>
                    </pic:cNvPicPr>
                  </pic:nvPicPr>
                  <pic:blipFill>
                    <a:blip r:embed="rId24"/>
                    <a:stretch>
                      <a:fillRect/>
                    </a:stretch>
                  </pic:blipFill>
                  <pic:spPr bwMode="auto">
                    <a:xfrm>
                      <a:off x="0" y="0"/>
                      <a:ext cx="5904865" cy="2217420"/>
                    </a:xfrm>
                    <a:prstGeom prst="rect">
                      <a:avLst/>
                    </a:prstGeom>
                  </pic:spPr>
                </pic:pic>
              </a:graphicData>
            </a:graphic>
          </wp:inline>
        </w:drawing>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从成交价格来看，</w:t>
      </w:r>
      <w:r>
        <w:rPr>
          <w:rFonts w:cs="Arial" w:ascii="Arial" w:hAnsi="Arial"/>
          <w:bCs/>
          <w:sz w:val="21"/>
          <w:szCs w:val="28"/>
        </w:rPr>
        <w:t>2023</w:t>
      </w:r>
      <w:r>
        <w:rPr>
          <w:rFonts w:ascii="Arial" w:hAnsi="Arial" w:cs="Arial"/>
          <w:bCs/>
          <w:sz w:val="21"/>
          <w:szCs w:val="28"/>
        </w:rPr>
        <w:t>年三季度中心城区商品住宅（不含保障房）成交均价最高，整体均价超</w:t>
      </w:r>
      <w:r>
        <w:rPr>
          <w:rFonts w:cs="Arial" w:ascii="Arial" w:hAnsi="Arial"/>
          <w:bCs/>
          <w:sz w:val="21"/>
          <w:szCs w:val="28"/>
        </w:rPr>
        <w:t>9</w:t>
      </w:r>
      <w:r>
        <w:rPr>
          <w:rFonts w:ascii="Arial" w:hAnsi="Arial" w:cs="Arial"/>
          <w:bCs/>
          <w:sz w:val="21"/>
          <w:szCs w:val="28"/>
        </w:rPr>
        <w:t>万</w:t>
      </w:r>
      <w:r>
        <w:rPr>
          <w:rFonts w:cs="Arial" w:ascii="Arial" w:hAnsi="Arial"/>
          <w:bCs/>
          <w:sz w:val="21"/>
          <w:szCs w:val="28"/>
        </w:rPr>
        <w:t>/</w:t>
      </w:r>
      <w:r>
        <w:rPr>
          <w:rFonts w:ascii="Arial" w:hAnsi="Arial" w:cs="Arial"/>
          <w:bCs/>
          <w:sz w:val="21"/>
          <w:szCs w:val="28"/>
        </w:rPr>
        <w:t>平，其中东、西城成交均价均超</w:t>
      </w:r>
      <w:r>
        <w:rPr>
          <w:rFonts w:cs="Arial" w:ascii="Arial" w:hAnsi="Arial"/>
          <w:bCs/>
          <w:sz w:val="21"/>
          <w:szCs w:val="28"/>
        </w:rPr>
        <w:t>11</w:t>
      </w:r>
      <w:r>
        <w:rPr>
          <w:rFonts w:ascii="Arial" w:hAnsi="Arial" w:cs="Arial"/>
          <w:bCs/>
          <w:sz w:val="21"/>
          <w:szCs w:val="28"/>
        </w:rPr>
        <w:t>万元</w:t>
      </w:r>
      <w:r>
        <w:rPr>
          <w:rFonts w:cs="Arial" w:ascii="Arial" w:hAnsi="Arial"/>
          <w:bCs/>
          <w:sz w:val="21"/>
          <w:szCs w:val="28"/>
        </w:rPr>
        <w:t>/</w:t>
      </w:r>
      <w:r>
        <w:rPr>
          <w:rFonts w:ascii="Arial" w:hAnsi="Arial" w:cs="Arial"/>
          <w:bCs/>
          <w:sz w:val="21"/>
          <w:szCs w:val="28"/>
        </w:rPr>
        <w:t>平，远郊区整体成交均价最低，整体均价不足</w:t>
      </w:r>
      <w:r>
        <w:rPr>
          <w:rFonts w:cs="Arial" w:ascii="Arial" w:hAnsi="Arial"/>
          <w:bCs/>
          <w:sz w:val="21"/>
          <w:szCs w:val="28"/>
        </w:rPr>
        <w:t>3</w:t>
      </w:r>
      <w:r>
        <w:rPr>
          <w:rFonts w:ascii="Arial" w:hAnsi="Arial" w:cs="Arial"/>
          <w:bCs/>
          <w:sz w:val="21"/>
          <w:szCs w:val="28"/>
        </w:rPr>
        <w:t>万</w:t>
      </w:r>
      <w:r>
        <w:rPr>
          <w:rFonts w:cs="Arial" w:ascii="Arial" w:hAnsi="Arial"/>
          <w:bCs/>
          <w:sz w:val="21"/>
          <w:szCs w:val="28"/>
        </w:rPr>
        <w:t>/</w:t>
      </w:r>
      <w:r>
        <w:rPr>
          <w:rFonts w:ascii="Arial" w:hAnsi="Arial" w:cs="Arial"/>
          <w:bCs/>
          <w:sz w:val="21"/>
          <w:szCs w:val="28"/>
        </w:rPr>
        <w:t>平，其中延庆成交均价最低，成交均价为</w:t>
      </w:r>
      <w:r>
        <w:rPr>
          <w:rFonts w:cs="Arial" w:ascii="Arial" w:hAnsi="Arial"/>
          <w:bCs/>
          <w:sz w:val="21"/>
          <w:szCs w:val="28"/>
        </w:rPr>
        <w:t>25792</w:t>
      </w:r>
      <w:r>
        <w:rPr>
          <w:rFonts w:ascii="Arial" w:hAnsi="Arial" w:cs="Arial"/>
          <w:bCs/>
          <w:sz w:val="21"/>
          <w:szCs w:val="28"/>
        </w:rPr>
        <w:t>元</w:t>
      </w:r>
      <w:r>
        <w:rPr>
          <w:rFonts w:cs="Arial" w:ascii="Arial" w:hAnsi="Arial"/>
          <w:bCs/>
          <w:sz w:val="21"/>
          <w:szCs w:val="28"/>
        </w:rPr>
        <w:t>/</w:t>
      </w:r>
      <w:r>
        <w:rPr>
          <w:rFonts w:ascii="Arial" w:hAnsi="Arial" w:cs="Arial"/>
          <w:bCs/>
          <w:sz w:val="21"/>
          <w:szCs w:val="28"/>
        </w:rPr>
        <w:t>平方米。</w:t>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从价格变化来看，</w:t>
      </w:r>
      <w:r>
        <w:rPr>
          <w:rFonts w:cs="Arial" w:ascii="Arial" w:hAnsi="Arial"/>
          <w:bCs/>
          <w:sz w:val="21"/>
          <w:szCs w:val="28"/>
        </w:rPr>
        <w:t>2023</w:t>
      </w:r>
      <w:r>
        <w:rPr>
          <w:rFonts w:ascii="Arial" w:hAnsi="Arial" w:cs="Arial"/>
          <w:bCs/>
          <w:sz w:val="21"/>
          <w:szCs w:val="28"/>
        </w:rPr>
        <w:t>年三季度，中心城区、近郊区、远郊区房价全面上涨，西城、门头沟成交价格同比结构性涨幅超两成；通州、密云、延庆成交均价同比涨幅超</w:t>
      </w:r>
      <w:r>
        <w:rPr>
          <w:rFonts w:cs="Arial" w:ascii="Arial" w:hAnsi="Arial"/>
          <w:bCs/>
          <w:sz w:val="21"/>
          <w:szCs w:val="28"/>
        </w:rPr>
        <w:t>10%</w:t>
      </w:r>
      <w:r>
        <w:rPr>
          <w:rFonts w:ascii="Arial" w:hAnsi="Arial" w:cs="Arial"/>
          <w:bCs/>
          <w:sz w:val="21"/>
          <w:szCs w:val="28"/>
        </w:rPr>
        <w:t>；而昌平、海淀、东城、怀柔、丰台房价均下跌。</w:t>
      </w:r>
    </w:p>
    <w:p>
      <w:pPr>
        <w:pStyle w:val="Normal"/>
        <w:overflowPunct w:val="false"/>
        <w:spacing w:lineRule="auto" w:line="480"/>
        <w:jc w:val="both"/>
        <w:rPr>
          <w:rFonts w:ascii="Arial" w:hAnsi="Arial" w:cs="Arial"/>
          <w:bCs/>
          <w:sz w:val="21"/>
          <w:szCs w:val="28"/>
        </w:rPr>
      </w:pPr>
      <w:r>
        <w:rPr/>
        <w:drawing>
          <wp:inline distT="0" distB="0" distL="0" distR="0">
            <wp:extent cx="5899785" cy="2099310"/>
            <wp:effectExtent l="0" t="0" r="0" b="0"/>
            <wp:docPr id="17" name="图片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descr=""/>
                    <pic:cNvPicPr>
                      <a:picLocks noChangeAspect="1" noChangeArrowheads="1"/>
                    </pic:cNvPicPr>
                  </pic:nvPicPr>
                  <pic:blipFill>
                    <a:blip r:embed="rId25"/>
                    <a:stretch>
                      <a:fillRect/>
                    </a:stretch>
                  </pic:blipFill>
                  <pic:spPr bwMode="auto">
                    <a:xfrm>
                      <a:off x="0" y="0"/>
                      <a:ext cx="5899785" cy="2099310"/>
                    </a:xfrm>
                    <a:prstGeom prst="rect">
                      <a:avLst/>
                    </a:prstGeom>
                  </pic:spPr>
                </pic:pic>
              </a:graphicData>
            </a:graphic>
          </wp:inline>
        </w:drawing>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w:t>
      </w:r>
      <w:r>
        <w:rPr>
          <w:rFonts w:cs="Arial" w:ascii="Arial" w:hAnsi="Arial"/>
          <w:bCs/>
          <w:sz w:val="21"/>
          <w:szCs w:val="28"/>
        </w:rPr>
        <w:t>3</w:t>
      </w:r>
      <w:r>
        <w:rPr>
          <w:rFonts w:ascii="Arial" w:hAnsi="Arial" w:cs="Arial"/>
          <w:bCs/>
          <w:sz w:val="21"/>
          <w:szCs w:val="28"/>
        </w:rPr>
        <w:t>）存量房住宅市场</w:t>
      </w:r>
    </w:p>
    <w:p>
      <w:pPr>
        <w:pStyle w:val="Normal"/>
        <w:overflowPunct w:val="false"/>
        <w:spacing w:lineRule="auto" w:line="480"/>
        <w:ind w:firstLine="420"/>
        <w:jc w:val="both"/>
        <w:rPr>
          <w:rFonts w:ascii="Arial" w:hAnsi="Arial" w:cs="Arial"/>
          <w:sz w:val="21"/>
        </w:rPr>
      </w:pPr>
      <w:r>
        <w:rPr>
          <w:rFonts w:cs="Arial" w:ascii="Arial" w:hAnsi="Arial"/>
          <w:sz w:val="21"/>
        </w:rPr>
        <w:t>1</w:t>
      </w:r>
      <w:r>
        <w:rPr>
          <w:rFonts w:ascii="Arial" w:hAnsi="Arial" w:cs="Arial"/>
          <w:sz w:val="21"/>
        </w:rPr>
        <w:t>）市场运行状况</w:t>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三季度北京存量房市场成交规模不及去年同期，但呈上升趋势。三季度北京存量房市场累计成交</w:t>
      </w:r>
      <w:r>
        <w:rPr>
          <w:rFonts w:cs="Arial" w:ascii="Arial" w:hAnsi="Arial"/>
          <w:bCs/>
          <w:sz w:val="21"/>
          <w:szCs w:val="28"/>
        </w:rPr>
        <w:t>3.39</w:t>
      </w:r>
      <w:r>
        <w:rPr>
          <w:rFonts w:ascii="Arial" w:hAnsi="Arial" w:cs="Arial"/>
          <w:bCs/>
          <w:sz w:val="21"/>
          <w:szCs w:val="28"/>
        </w:rPr>
        <w:t>万套，持续下滑，环比下降</w:t>
      </w:r>
      <w:r>
        <w:rPr>
          <w:rFonts w:cs="Arial" w:ascii="Arial" w:hAnsi="Arial"/>
          <w:bCs/>
          <w:sz w:val="21"/>
          <w:szCs w:val="28"/>
        </w:rPr>
        <w:t>12%</w:t>
      </w:r>
      <w:r>
        <w:rPr>
          <w:rFonts w:ascii="Arial" w:hAnsi="Arial" w:cs="Arial"/>
          <w:bCs/>
          <w:sz w:val="21"/>
          <w:szCs w:val="28"/>
        </w:rPr>
        <w:t>，同比下降</w:t>
      </w:r>
      <w:r>
        <w:rPr>
          <w:rFonts w:cs="Arial" w:ascii="Arial" w:hAnsi="Arial"/>
          <w:bCs/>
          <w:sz w:val="21"/>
          <w:szCs w:val="28"/>
        </w:rPr>
        <w:t>15%</w:t>
      </w:r>
      <w:r>
        <w:rPr>
          <w:rFonts w:ascii="Arial" w:hAnsi="Arial" w:cs="Arial"/>
          <w:bCs/>
          <w:sz w:val="21"/>
          <w:szCs w:val="28"/>
        </w:rPr>
        <w:t>。从月度趋势来看，存量房网签自</w:t>
      </w:r>
      <w:r>
        <w:rPr>
          <w:rFonts w:cs="Arial" w:ascii="Arial" w:hAnsi="Arial"/>
          <w:bCs/>
          <w:sz w:val="21"/>
          <w:szCs w:val="28"/>
        </w:rPr>
        <w:t>4</w:t>
      </w:r>
      <w:r>
        <w:rPr>
          <w:rFonts w:ascii="Arial" w:hAnsi="Arial" w:cs="Arial"/>
          <w:bCs/>
          <w:sz w:val="21"/>
          <w:szCs w:val="28"/>
        </w:rPr>
        <w:t>月份后成交量逐步下探，在</w:t>
      </w:r>
      <w:r>
        <w:rPr>
          <w:rFonts w:cs="Arial" w:ascii="Arial" w:hAnsi="Arial"/>
          <w:bCs/>
          <w:sz w:val="21"/>
          <w:szCs w:val="28"/>
        </w:rPr>
        <w:t>8</w:t>
      </w:r>
      <w:r>
        <w:rPr>
          <w:rFonts w:ascii="Arial" w:hAnsi="Arial" w:cs="Arial"/>
          <w:bCs/>
          <w:sz w:val="21"/>
          <w:szCs w:val="28"/>
        </w:rPr>
        <w:t>月止跌回升，环比增幅</w:t>
      </w:r>
      <w:r>
        <w:rPr>
          <w:rFonts w:cs="Arial" w:ascii="Arial" w:hAnsi="Arial"/>
          <w:bCs/>
          <w:sz w:val="21"/>
          <w:szCs w:val="28"/>
        </w:rPr>
        <w:t>4%</w:t>
      </w:r>
      <w:r>
        <w:rPr>
          <w:rFonts w:ascii="Arial" w:hAnsi="Arial" w:cs="Arial"/>
          <w:bCs/>
          <w:sz w:val="21"/>
          <w:szCs w:val="28"/>
        </w:rPr>
        <w:t>。</w:t>
      </w:r>
      <w:r>
        <w:rPr>
          <w:rFonts w:cs="Arial" w:ascii="Arial" w:hAnsi="Arial"/>
          <w:bCs/>
          <w:sz w:val="21"/>
          <w:szCs w:val="28"/>
        </w:rPr>
        <w:t>9</w:t>
      </w:r>
      <w:r>
        <w:rPr>
          <w:rFonts w:ascii="Arial" w:hAnsi="Arial" w:cs="Arial"/>
          <w:bCs/>
          <w:sz w:val="21"/>
          <w:szCs w:val="28"/>
        </w:rPr>
        <w:t>月，受“认房不认贷”政策影响，存量房整体市场逐步回温，存量房挂牌量增加，环比增幅高达</w:t>
      </w:r>
      <w:r>
        <w:rPr>
          <w:rFonts w:cs="Arial" w:ascii="Arial" w:hAnsi="Arial"/>
          <w:bCs/>
          <w:sz w:val="21"/>
          <w:szCs w:val="28"/>
        </w:rPr>
        <w:t>40%</w:t>
      </w:r>
      <w:r>
        <w:rPr>
          <w:rFonts w:ascii="Arial" w:hAnsi="Arial" w:cs="Arial"/>
          <w:bCs/>
          <w:sz w:val="21"/>
          <w:szCs w:val="28"/>
        </w:rPr>
        <w:t>，带动成交规模大幅回升，在积压需求逐渐释放后，预计未来市场活跃度或将有所回落。</w:t>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三季度北京存量房成交均价约为</w:t>
      </w:r>
      <w:r>
        <w:rPr>
          <w:rFonts w:cs="Arial" w:ascii="Arial" w:hAnsi="Arial"/>
          <w:bCs/>
          <w:sz w:val="21"/>
          <w:szCs w:val="28"/>
        </w:rPr>
        <w:t>61185</w:t>
      </w:r>
      <w:r>
        <w:rPr>
          <w:rFonts w:ascii="Arial" w:hAnsi="Arial" w:cs="Arial"/>
          <w:bCs/>
          <w:sz w:val="21"/>
          <w:szCs w:val="28"/>
        </w:rPr>
        <w:t>元</w:t>
      </w:r>
      <w:r>
        <w:rPr>
          <w:rFonts w:cs="Arial" w:ascii="Arial" w:hAnsi="Arial"/>
          <w:bCs/>
          <w:sz w:val="21"/>
          <w:szCs w:val="28"/>
        </w:rPr>
        <w:t>/</w:t>
      </w:r>
      <w:r>
        <w:rPr>
          <w:rFonts w:ascii="Arial" w:hAnsi="Arial" w:cs="Arial"/>
          <w:bCs/>
          <w:sz w:val="21"/>
          <w:szCs w:val="28"/>
        </w:rPr>
        <w:t>㎡，同比持平，环比跌</w:t>
      </w:r>
      <w:r>
        <w:rPr>
          <w:rFonts w:cs="Arial" w:ascii="Arial" w:hAnsi="Arial"/>
          <w:bCs/>
          <w:sz w:val="21"/>
          <w:szCs w:val="28"/>
        </w:rPr>
        <w:t>1%</w:t>
      </w:r>
      <w:r>
        <w:rPr>
          <w:rFonts w:ascii="Arial" w:hAnsi="Arial" w:cs="Arial"/>
          <w:bCs/>
          <w:sz w:val="21"/>
          <w:szCs w:val="28"/>
        </w:rPr>
        <w:t>。从月度趋势来看，受新政影响，北京存量房市场有回暖趋势，成交规模止跌，业主对后市预期提升，整体房价相对坚挺，月度呈现小幅波动态势。</w:t>
      </w:r>
    </w:p>
    <w:p>
      <w:pPr>
        <w:pStyle w:val="Normal"/>
        <w:tabs>
          <w:tab w:val="clear" w:pos="425"/>
          <w:tab w:val="left" w:pos="426" w:leader="none"/>
        </w:tabs>
        <w:overflowPunct w:val="false"/>
        <w:spacing w:lineRule="auto" w:line="480"/>
        <w:jc w:val="center"/>
        <w:rPr>
          <w:rFonts w:ascii="Arial" w:hAnsi="Arial" w:cs="Arial"/>
          <w:sz w:val="21"/>
        </w:rPr>
      </w:pPr>
      <w:r>
        <w:rPr/>
        <w:drawing>
          <wp:inline distT="0" distB="0" distL="0" distR="0">
            <wp:extent cx="5899785" cy="1677670"/>
            <wp:effectExtent l="0" t="0" r="0" b="0"/>
            <wp:docPr id="18" name="图片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
                    <pic:cNvPicPr>
                      <a:picLocks noChangeAspect="1" noChangeArrowheads="1"/>
                    </pic:cNvPicPr>
                  </pic:nvPicPr>
                  <pic:blipFill>
                    <a:blip r:embed="rId26"/>
                    <a:stretch>
                      <a:fillRect/>
                    </a:stretch>
                  </pic:blipFill>
                  <pic:spPr bwMode="auto">
                    <a:xfrm>
                      <a:off x="0" y="0"/>
                      <a:ext cx="5899785" cy="1677670"/>
                    </a:xfrm>
                    <a:prstGeom prst="rect">
                      <a:avLst/>
                    </a:prstGeom>
                  </pic:spPr>
                </pic:pic>
              </a:graphicData>
            </a:graphic>
          </wp:inline>
        </w:drawing>
      </w:r>
    </w:p>
    <w:p>
      <w:pPr>
        <w:pStyle w:val="Normal"/>
        <w:overflowPunct w:val="false"/>
        <w:spacing w:lineRule="auto" w:line="480"/>
        <w:ind w:firstLine="420"/>
        <w:jc w:val="both"/>
        <w:rPr>
          <w:rFonts w:ascii="Arial" w:hAnsi="Arial" w:cs="Arial"/>
          <w:sz w:val="21"/>
        </w:rPr>
      </w:pPr>
      <w:r>
        <w:rPr>
          <w:rFonts w:cs="Arial" w:ascii="Arial" w:hAnsi="Arial"/>
          <w:sz w:val="21"/>
        </w:rPr>
        <w:t>2</w:t>
      </w:r>
      <w:r>
        <w:rPr>
          <w:rFonts w:ascii="Arial" w:hAnsi="Arial" w:cs="Arial"/>
          <w:sz w:val="21"/>
        </w:rPr>
        <w:t>）各区县统计</w:t>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分区域来看，三季度朝阳存量房成交规模较大，成交规模达</w:t>
      </w:r>
      <w:r>
        <w:rPr>
          <w:rFonts w:cs="Arial" w:ascii="Arial" w:hAnsi="Arial"/>
          <w:bCs/>
          <w:sz w:val="21"/>
          <w:szCs w:val="28"/>
        </w:rPr>
        <w:t>71.55</w:t>
      </w:r>
      <w:r>
        <w:rPr>
          <w:rFonts w:ascii="Arial" w:hAnsi="Arial" w:cs="Arial"/>
          <w:bCs/>
          <w:sz w:val="21"/>
          <w:szCs w:val="28"/>
        </w:rPr>
        <w:t>万平，居各区第一位；海淀、丰台、昌平成交面积均超过</w:t>
      </w:r>
      <w:r>
        <w:rPr>
          <w:rFonts w:cs="Arial" w:ascii="Arial" w:hAnsi="Arial"/>
          <w:bCs/>
          <w:sz w:val="21"/>
          <w:szCs w:val="28"/>
        </w:rPr>
        <w:t>30</w:t>
      </w:r>
      <w:r>
        <w:rPr>
          <w:rFonts w:ascii="Arial" w:hAnsi="Arial" w:cs="Arial"/>
          <w:bCs/>
          <w:sz w:val="21"/>
          <w:szCs w:val="28"/>
        </w:rPr>
        <w:t>万平，成交规模居第二梯队；另外，远郊的密云、平谷、怀柔、延庆以及近郊的门头沟存量房市场活跃度相对较低，成交规模均不足</w:t>
      </w:r>
      <w:r>
        <w:rPr>
          <w:rFonts w:cs="Arial" w:ascii="Arial" w:hAnsi="Arial"/>
          <w:bCs/>
          <w:sz w:val="21"/>
          <w:szCs w:val="28"/>
        </w:rPr>
        <w:t>10</w:t>
      </w:r>
      <w:r>
        <w:rPr>
          <w:rFonts w:ascii="Arial" w:hAnsi="Arial" w:cs="Arial"/>
          <w:bCs/>
          <w:sz w:val="21"/>
          <w:szCs w:val="28"/>
        </w:rPr>
        <w:t>万平。从同比变化来看，三季度，除密云和怀柔，其他各区存量房成交规模同比均有所下降。其中，门头沟、东城、大兴、通州、房山同比跌幅均超</w:t>
      </w:r>
      <w:r>
        <w:rPr>
          <w:rFonts w:cs="Arial" w:ascii="Arial" w:hAnsi="Arial"/>
          <w:bCs/>
          <w:sz w:val="21"/>
          <w:szCs w:val="28"/>
        </w:rPr>
        <w:t>20%</w:t>
      </w:r>
      <w:r>
        <w:rPr>
          <w:rFonts w:ascii="Arial" w:hAnsi="Arial" w:cs="Arial"/>
          <w:bCs/>
          <w:sz w:val="21"/>
          <w:szCs w:val="28"/>
        </w:rPr>
        <w:t>。</w:t>
      </w:r>
    </w:p>
    <w:p>
      <w:pPr>
        <w:pStyle w:val="Normal"/>
        <w:overflowPunct w:val="false"/>
        <w:spacing w:lineRule="auto" w:line="480"/>
        <w:ind w:firstLine="420"/>
        <w:jc w:val="both"/>
        <w:rPr>
          <w:rFonts w:ascii="Arial" w:hAnsi="Arial" w:cs="Arial"/>
          <w:bCs/>
          <w:sz w:val="21"/>
          <w:szCs w:val="28"/>
        </w:rPr>
      </w:pPr>
      <w:r>
        <w:rPr>
          <w:rFonts w:ascii="Arial" w:hAnsi="Arial" w:cs="Arial"/>
          <w:bCs/>
          <w:sz w:val="21"/>
          <w:szCs w:val="28"/>
        </w:rPr>
        <w:t>成交价格方面，三季度西城区成交价格最高，达</w:t>
      </w:r>
      <w:r>
        <w:rPr>
          <w:rFonts w:cs="Arial" w:ascii="Arial" w:hAnsi="Arial"/>
          <w:bCs/>
          <w:sz w:val="21"/>
          <w:szCs w:val="28"/>
        </w:rPr>
        <w:t>122128</w:t>
      </w:r>
      <w:r>
        <w:rPr>
          <w:rFonts w:ascii="Arial" w:hAnsi="Arial" w:cs="Arial"/>
          <w:bCs/>
          <w:sz w:val="21"/>
          <w:szCs w:val="28"/>
        </w:rPr>
        <w:t>元</w:t>
      </w:r>
      <w:r>
        <w:rPr>
          <w:rFonts w:cs="Arial" w:ascii="Arial" w:hAnsi="Arial"/>
          <w:bCs/>
          <w:sz w:val="21"/>
          <w:szCs w:val="28"/>
        </w:rPr>
        <w:t>/</w:t>
      </w:r>
      <w:r>
        <w:rPr>
          <w:rFonts w:ascii="Arial" w:hAnsi="Arial" w:cs="Arial"/>
          <w:bCs/>
          <w:sz w:val="21"/>
          <w:szCs w:val="28"/>
        </w:rPr>
        <w:t>㎡；其次为东城区，为</w:t>
      </w:r>
      <w:r>
        <w:rPr>
          <w:rFonts w:cs="Arial" w:ascii="Arial" w:hAnsi="Arial"/>
          <w:bCs/>
          <w:sz w:val="21"/>
          <w:szCs w:val="28"/>
        </w:rPr>
        <w:t>111007</w:t>
      </w:r>
      <w:r>
        <w:rPr>
          <w:rFonts w:ascii="Arial" w:hAnsi="Arial" w:cs="Arial"/>
          <w:bCs/>
          <w:sz w:val="21"/>
          <w:szCs w:val="28"/>
        </w:rPr>
        <w:t>元</w:t>
      </w:r>
      <w:r>
        <w:rPr>
          <w:rFonts w:cs="Arial" w:ascii="Arial" w:hAnsi="Arial"/>
          <w:bCs/>
          <w:sz w:val="21"/>
          <w:szCs w:val="28"/>
        </w:rPr>
        <w:t>/</w:t>
      </w:r>
      <w:r>
        <w:rPr>
          <w:rFonts w:ascii="Arial" w:hAnsi="Arial" w:cs="Arial"/>
          <w:bCs/>
          <w:sz w:val="21"/>
          <w:szCs w:val="28"/>
        </w:rPr>
        <w:t>㎡。</w:t>
      </w:r>
    </w:p>
    <w:p>
      <w:pPr>
        <w:pStyle w:val="Normal"/>
        <w:tabs>
          <w:tab w:val="clear" w:pos="425"/>
          <w:tab w:val="left" w:pos="426" w:leader="none"/>
        </w:tabs>
        <w:overflowPunct w:val="false"/>
        <w:spacing w:lineRule="auto" w:line="480"/>
        <w:jc w:val="center"/>
        <w:rPr>
          <w:rFonts w:ascii="Arial" w:hAnsi="Arial" w:cs="Arial"/>
          <w:sz w:val="21"/>
        </w:rPr>
      </w:pPr>
      <w:r>
        <w:rPr/>
        <w:drawing>
          <wp:inline distT="0" distB="0" distL="0" distR="0">
            <wp:extent cx="5904865" cy="2113915"/>
            <wp:effectExtent l="0" t="0" r="0" b="0"/>
            <wp:docPr id="19" name="图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像3" descr=""/>
                    <pic:cNvPicPr>
                      <a:picLocks noChangeAspect="1" noChangeArrowheads="1"/>
                    </pic:cNvPicPr>
                  </pic:nvPicPr>
                  <pic:blipFill>
                    <a:blip r:embed="rId27"/>
                    <a:stretch>
                      <a:fillRect/>
                    </a:stretch>
                  </pic:blipFill>
                  <pic:spPr bwMode="auto">
                    <a:xfrm>
                      <a:off x="0" y="0"/>
                      <a:ext cx="5904865" cy="2113915"/>
                    </a:xfrm>
                    <a:prstGeom prst="rect">
                      <a:avLst/>
                    </a:prstGeom>
                  </pic:spPr>
                </pic:pic>
              </a:graphicData>
            </a:graphic>
          </wp:inline>
        </w:drawing>
      </w:r>
    </w:p>
    <w:p>
      <w:pPr>
        <w:pStyle w:val="Normal"/>
        <w:overflowPunct w:val="false"/>
        <w:spacing w:lineRule="auto" w:line="480"/>
        <w:ind w:firstLine="420"/>
        <w:jc w:val="both"/>
        <w:rPr>
          <w:rFonts w:ascii="Arial" w:hAnsi="Arial" w:cs="Arial"/>
          <w:sz w:val="21"/>
        </w:rPr>
      </w:pPr>
      <w:r>
        <w:rPr>
          <w:rFonts w:ascii="Arial" w:hAnsi="Arial" w:cs="Arial"/>
          <w:sz w:val="21"/>
        </w:rPr>
        <w:t>整体来看，三季度北京存量房市场成交规模持续下滑，但</w:t>
      </w:r>
      <w:r>
        <w:rPr>
          <w:rFonts w:cs="Arial" w:ascii="Arial" w:hAnsi="Arial"/>
          <w:sz w:val="21"/>
        </w:rPr>
        <w:t>9</w:t>
      </w:r>
      <w:r>
        <w:rPr>
          <w:rFonts w:ascii="Arial" w:hAnsi="Arial" w:cs="Arial"/>
          <w:sz w:val="21"/>
        </w:rPr>
        <w:t>月份有回暖趋势，挂牌量持续增加，主要是因为</w:t>
      </w:r>
      <w:r>
        <w:rPr>
          <w:rFonts w:cs="Arial" w:ascii="Arial" w:hAnsi="Arial"/>
          <w:sz w:val="21"/>
        </w:rPr>
        <w:t>9</w:t>
      </w:r>
      <w:r>
        <w:rPr>
          <w:rFonts w:ascii="Arial" w:hAnsi="Arial" w:cs="Arial"/>
          <w:sz w:val="21"/>
        </w:rPr>
        <w:t>月份，北京“认房不认贷”落地后，市场情绪升温，购房者入市积极性高涨，存量房成交步伐加快。</w:t>
      </w:r>
      <w:r>
        <w:rPr>
          <w:rFonts w:cs="Arial" w:ascii="Arial" w:hAnsi="Arial"/>
          <w:sz w:val="21"/>
        </w:rPr>
        <w:t>2023</w:t>
      </w:r>
      <w:r>
        <w:rPr>
          <w:rFonts w:ascii="Arial" w:hAnsi="Arial" w:cs="Arial"/>
          <w:sz w:val="21"/>
        </w:rPr>
        <w:t>年三季度，存量房市场热度率先升温，但新房市场依然处于低位徘徊水平，保持较低交易量，存量房市场成交占比回升。存量房与新房成交套数比值达</w:t>
      </w:r>
      <w:r>
        <w:rPr>
          <w:rFonts w:cs="Arial" w:ascii="Arial" w:hAnsi="Arial"/>
          <w:sz w:val="21"/>
        </w:rPr>
        <w:t>2.80</w:t>
      </w:r>
      <w:r>
        <w:rPr>
          <w:rFonts w:ascii="Arial" w:hAnsi="Arial" w:cs="Arial"/>
          <w:sz w:val="21"/>
        </w:rPr>
        <w:t>，去年同期此数值为</w:t>
      </w:r>
      <w:r>
        <w:rPr>
          <w:rFonts w:cs="Arial" w:ascii="Arial" w:hAnsi="Arial"/>
          <w:sz w:val="21"/>
        </w:rPr>
        <w:t>2.34</w:t>
      </w:r>
      <w:r>
        <w:rPr>
          <w:rFonts w:ascii="Arial" w:hAnsi="Arial" w:cs="Arial"/>
          <w:sz w:val="21"/>
        </w:rPr>
        <w:t>；存量房成交套数占比达</w:t>
      </w:r>
      <w:r>
        <w:rPr>
          <w:rFonts w:cs="Arial" w:ascii="Arial" w:hAnsi="Arial"/>
          <w:sz w:val="21"/>
        </w:rPr>
        <w:t>74%</w:t>
      </w:r>
      <w:r>
        <w:rPr>
          <w:rFonts w:ascii="Arial" w:hAnsi="Arial" w:cs="Arial"/>
          <w:sz w:val="21"/>
        </w:rPr>
        <w:t>，较二季度有所提升；新房成交占比为</w:t>
      </w:r>
      <w:r>
        <w:rPr>
          <w:rFonts w:cs="Arial" w:ascii="Arial" w:hAnsi="Arial"/>
          <w:sz w:val="21"/>
        </w:rPr>
        <w:t>26%</w:t>
      </w:r>
      <w:r>
        <w:rPr>
          <w:rFonts w:ascii="Arial" w:hAnsi="Arial" w:cs="Arial"/>
          <w:sz w:val="21"/>
        </w:rPr>
        <w:t>，较去年同期回落</w:t>
      </w:r>
      <w:r>
        <w:rPr>
          <w:rFonts w:cs="Arial" w:ascii="Arial" w:hAnsi="Arial"/>
          <w:sz w:val="21"/>
        </w:rPr>
        <w:t>4</w:t>
      </w:r>
      <w:r>
        <w:rPr>
          <w:rFonts w:ascii="Arial" w:hAnsi="Arial" w:cs="Arial"/>
          <w:sz w:val="21"/>
        </w:rPr>
        <w:t>个百分点。</w:t>
      </w:r>
    </w:p>
    <w:p>
      <w:pPr>
        <w:pStyle w:val="Normal"/>
        <w:overflowPunct w:val="false"/>
        <w:spacing w:lineRule="auto" w:line="480"/>
        <w:ind w:firstLine="420"/>
        <w:jc w:val="both"/>
        <w:rPr>
          <w:rFonts w:ascii="Arial" w:hAnsi="Arial" w:cs="Arial"/>
          <w:sz w:val="21"/>
          <w:szCs w:val="28"/>
        </w:rPr>
      </w:pPr>
      <w:r>
        <w:rPr>
          <w:rFonts w:cs="Arial" w:ascii="Arial" w:hAnsi="Arial"/>
          <w:sz w:val="21"/>
          <w:szCs w:val="28"/>
        </w:rPr>
        <w:t>4.</w:t>
      </w:r>
      <w:r>
        <w:rPr>
          <w:rFonts w:ascii="Arial" w:hAnsi="Arial" w:cs="Arial"/>
          <w:sz w:val="21"/>
          <w:szCs w:val="28"/>
        </w:rPr>
        <w:t>产业政策</w:t>
      </w:r>
    </w:p>
    <w:p>
      <w:pPr>
        <w:pStyle w:val="Normal"/>
        <w:overflowPunct w:val="false"/>
        <w:spacing w:lineRule="auto" w:line="480"/>
        <w:ind w:firstLine="420"/>
        <w:jc w:val="both"/>
        <w:rPr>
          <w:rFonts w:ascii="Arial" w:hAnsi="Arial" w:cs="Arial"/>
          <w:b/>
          <w:b/>
          <w:sz w:val="21"/>
        </w:rPr>
      </w:pPr>
      <w:r>
        <w:rPr>
          <w:rFonts w:ascii="Arial" w:hAnsi="Arial" w:cs="Arial"/>
          <w:b/>
          <w:sz w:val="21"/>
        </w:rPr>
        <w:t>全国：</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1</w:t>
      </w:r>
      <w:r>
        <w:rPr>
          <w:rFonts w:ascii="Arial" w:hAnsi="Arial" w:cs="Arial"/>
          <w:sz w:val="21"/>
        </w:rPr>
        <w:t>月</w:t>
      </w:r>
      <w:r>
        <w:rPr>
          <w:rFonts w:cs="Arial" w:ascii="Arial" w:hAnsi="Arial"/>
          <w:sz w:val="21"/>
        </w:rPr>
        <w:t>17</w:t>
      </w:r>
      <w:r>
        <w:rPr>
          <w:rFonts w:ascii="Arial" w:hAnsi="Arial" w:cs="Arial"/>
          <w:sz w:val="21"/>
        </w:rPr>
        <w:t>日，全国住房和城乡建设工作会议在北京以视频形式召开。会议强调，</w:t>
      </w:r>
      <w:r>
        <w:rPr>
          <w:rFonts w:cs="Arial" w:ascii="Arial" w:hAnsi="Arial"/>
          <w:sz w:val="21"/>
        </w:rPr>
        <w:t>2023</w:t>
      </w:r>
      <w:r>
        <w:rPr>
          <w:rFonts w:ascii="Arial" w:hAnsi="Arial" w:cs="Arial"/>
          <w:sz w:val="21"/>
        </w:rPr>
        <w:t>年是全面贯彻落实党的二十大精神的开局之年。全系统要在稳中开好局、在进上下功夫，推动住房和城乡建设事业高质量发展迈出新步伐，重点抓好十二个方面工作。一是以增信心、防风险、促转型为主线，促进房地产市场平稳健康发展。大力支持刚性和改善性住房需求，毫不动摇坚持房子是用来住的、不是用来炒的定位，因城施策、精准施策。推进保交楼保民生保稳定工作，化解企业资金链断裂风险，努力提升品质、建设好房子，整治房地产市场秩序，让人民群众放心购房、放心租房。二是以发展保障性租赁住房为重点，加快解决新市民、青年人等群体住房困难问题。大力增加保障性租赁住房供给，扎实推进棚户区改造。积极发挥住房公积金作用，推进住房公积金数字化发展。三是以实施城市更新行动为抓手，着力打造宜居、韧性、智慧城市。四是以深化城市管理改革为动力，提高城市科学化、精细化、智能化管理水平。加强城市管理统筹协调，发挥好综合执法的统筹协调、督导服务作用。强化住房和城乡建设领域综合执法，依法查处违法违规问题。五是以提升现代生活条件为目标，建设宜居宜业的美丽村镇。六是以建筑业工业化、数字化、绿色化为方向，不断提升建筑品质。七是以彰显地域特征、民族特色和时代风貌为核心，加强城乡历史文化保护传承。八是以协同推进降碳、减污、扩绿为路径，切实推动城乡建设绿色低碳发展。九是以健全风险防控机制为关键，坚决守住城乡建设领域安全底线。十是以制度创新和科技创新为引擎，激发住房和城乡建设事业高质量发展动力活力。十一是以加强国际交流合作为载体，持续为世界人居领域发展作贡献。十二是以自我革命精神为引领，全面加强党的建设。</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3</w:t>
      </w:r>
      <w:r>
        <w:rPr>
          <w:rFonts w:ascii="Arial" w:hAnsi="Arial" w:cs="Arial"/>
          <w:sz w:val="21"/>
        </w:rPr>
        <w:t>月</w:t>
      </w:r>
      <w:r>
        <w:rPr>
          <w:rFonts w:cs="Arial" w:ascii="Arial" w:hAnsi="Arial"/>
          <w:sz w:val="21"/>
        </w:rPr>
        <w:t>5</w:t>
      </w:r>
      <w:r>
        <w:rPr>
          <w:rFonts w:ascii="Arial" w:hAnsi="Arial" w:cs="Arial"/>
          <w:sz w:val="21"/>
        </w:rPr>
        <w:t>日全国两会召开。有关房地产业，两会政府报告从两个方面做出了部署。一是从供给端的安全角度，要有效防范化解优质头部房企风险，改善资产负债状况，防止无序扩张，促进房地产业平稳发展。二是从需求端的满足角度，报告提出，要加强住房保障体系建设，支持刚性和改善性住房需求，解决好新市民、青年人等住房问题。</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7</w:t>
      </w:r>
      <w:r>
        <w:rPr>
          <w:rFonts w:ascii="Arial" w:hAnsi="Arial" w:cs="Arial"/>
          <w:sz w:val="21"/>
        </w:rPr>
        <w:t>月</w:t>
      </w:r>
      <w:r>
        <w:rPr>
          <w:rFonts w:cs="Arial" w:ascii="Arial" w:hAnsi="Arial"/>
          <w:sz w:val="21"/>
        </w:rPr>
        <w:t>21</w:t>
      </w:r>
      <w:r>
        <w:rPr>
          <w:rFonts w:ascii="Arial" w:hAnsi="Arial" w:cs="Arial"/>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7</w:t>
      </w:r>
      <w:r>
        <w:rPr>
          <w:rFonts w:ascii="Arial" w:hAnsi="Arial" w:cs="Arial"/>
          <w:sz w:val="21"/>
        </w:rPr>
        <w:t>月</w:t>
      </w:r>
      <w:r>
        <w:rPr>
          <w:rFonts w:cs="Arial" w:ascii="Arial" w:hAnsi="Arial"/>
          <w:sz w:val="21"/>
        </w:rPr>
        <w:t>24</w:t>
      </w:r>
      <w:r>
        <w:rPr>
          <w:rFonts w:ascii="Arial" w:hAnsi="Arial" w:cs="Arial"/>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pPr>
        <w:pStyle w:val="Normal"/>
        <w:overflowPunct w:val="false"/>
        <w:spacing w:lineRule="auto" w:line="480"/>
        <w:ind w:firstLine="420"/>
        <w:jc w:val="both"/>
        <w:rPr>
          <w:rFonts w:ascii="Arial" w:hAnsi="Arial" w:cs="Arial"/>
          <w:b/>
          <w:b/>
          <w:sz w:val="21"/>
        </w:rPr>
      </w:pPr>
      <w:r>
        <w:rPr>
          <w:rFonts w:ascii="Arial" w:hAnsi="Arial" w:cs="Arial"/>
          <w:b/>
          <w:sz w:val="21"/>
        </w:rPr>
        <w:t>北京：</w:t>
      </w:r>
    </w:p>
    <w:p>
      <w:pPr>
        <w:pStyle w:val="Normal"/>
        <w:overflowPunct w:val="false"/>
        <w:spacing w:lineRule="auto" w:line="480"/>
        <w:ind w:firstLine="420"/>
        <w:jc w:val="both"/>
        <w:rPr>
          <w:rFonts w:ascii="Arial" w:hAnsi="Arial" w:cs="Arial"/>
          <w:sz w:val="21"/>
        </w:rPr>
      </w:pPr>
      <w:r>
        <w:rPr>
          <w:rFonts w:cs="Arial" w:ascii="Arial" w:hAnsi="Arial"/>
          <w:sz w:val="21"/>
        </w:rPr>
        <w:t>2022</w:t>
      </w:r>
      <w:r>
        <w:rPr>
          <w:rFonts w:ascii="Arial" w:hAnsi="Arial" w:cs="Arial"/>
          <w:sz w:val="21"/>
        </w:rPr>
        <w:t>年</w:t>
      </w:r>
      <w:r>
        <w:rPr>
          <w:rFonts w:cs="Arial" w:ascii="Arial" w:hAnsi="Arial"/>
          <w:sz w:val="21"/>
        </w:rPr>
        <w:t>9</w:t>
      </w:r>
      <w:r>
        <w:rPr>
          <w:rFonts w:ascii="Arial" w:hAnsi="Arial" w:cs="Arial"/>
          <w:sz w:val="21"/>
        </w:rPr>
        <w:t>月</w:t>
      </w:r>
      <w:r>
        <w:rPr>
          <w:rFonts w:cs="Arial" w:ascii="Arial" w:hAnsi="Arial"/>
          <w:sz w:val="21"/>
        </w:rPr>
        <w:t>23</w:t>
      </w:r>
      <w:r>
        <w:rPr>
          <w:rFonts w:ascii="Arial" w:hAnsi="Arial" w:cs="Arial"/>
          <w:sz w:val="21"/>
        </w:rPr>
        <w:t>日，北京市住建委和市规自委联合发布关于试行存量房交易“连环单”业务并行办理的通知，提高存量房屋交易效率，支持购房家庭合理住房需求。</w:t>
      </w:r>
    </w:p>
    <w:p>
      <w:pPr>
        <w:pStyle w:val="Normal"/>
        <w:overflowPunct w:val="false"/>
        <w:spacing w:lineRule="auto" w:line="480"/>
        <w:ind w:firstLine="420"/>
        <w:jc w:val="both"/>
        <w:rPr>
          <w:rFonts w:ascii="Arial" w:hAnsi="Arial" w:cs="Arial"/>
          <w:sz w:val="21"/>
        </w:rPr>
      </w:pPr>
      <w:r>
        <w:rPr>
          <w:rFonts w:cs="Arial" w:ascii="Arial" w:hAnsi="Arial"/>
          <w:sz w:val="21"/>
        </w:rPr>
        <w:t>2022</w:t>
      </w:r>
      <w:r>
        <w:rPr>
          <w:rFonts w:ascii="Arial" w:hAnsi="Arial" w:cs="Arial"/>
          <w:sz w:val="21"/>
        </w:rPr>
        <w:t>年</w:t>
      </w:r>
      <w:r>
        <w:rPr>
          <w:rFonts w:cs="Arial" w:ascii="Arial" w:hAnsi="Arial"/>
          <w:sz w:val="21"/>
        </w:rPr>
        <w:t>9</w:t>
      </w:r>
      <w:r>
        <w:rPr>
          <w:rFonts w:ascii="Arial" w:hAnsi="Arial" w:cs="Arial"/>
          <w:sz w:val="21"/>
        </w:rPr>
        <w:t>月</w:t>
      </w:r>
      <w:r>
        <w:rPr>
          <w:rFonts w:cs="Arial" w:ascii="Arial" w:hAnsi="Arial"/>
          <w:sz w:val="21"/>
        </w:rPr>
        <w:t>30</w:t>
      </w:r>
      <w:r>
        <w:rPr>
          <w:rFonts w:ascii="Arial" w:hAnsi="Arial" w:cs="Arial"/>
          <w:sz w:val="21"/>
        </w:rPr>
        <w:t>日，北京市人民政府印发《关于存量国有建设用地盘活利用的指导意见（试行）》，创新提出</w:t>
      </w:r>
      <w:r>
        <w:rPr>
          <w:rFonts w:cs="Arial" w:ascii="Arial" w:hAnsi="Arial"/>
          <w:sz w:val="21"/>
        </w:rPr>
        <w:t>8</w:t>
      </w:r>
      <w:r>
        <w:rPr>
          <w:rFonts w:ascii="Arial" w:hAnsi="Arial" w:cs="Arial"/>
          <w:sz w:val="21"/>
        </w:rPr>
        <w:t>项支持政策，明确在重点功能区及现状轨道站点周边，鼓励利用现状建筑改建保障性租赁住房。</w:t>
      </w:r>
    </w:p>
    <w:p>
      <w:pPr>
        <w:pStyle w:val="Normal"/>
        <w:overflowPunct w:val="false"/>
        <w:spacing w:lineRule="auto" w:line="480"/>
        <w:ind w:firstLine="420"/>
        <w:jc w:val="both"/>
        <w:rPr>
          <w:rFonts w:ascii="Arial" w:hAnsi="Arial" w:cs="Arial"/>
          <w:sz w:val="21"/>
        </w:rPr>
      </w:pPr>
      <w:r>
        <w:rPr>
          <w:rFonts w:cs="Arial" w:ascii="Arial" w:hAnsi="Arial"/>
          <w:sz w:val="21"/>
        </w:rPr>
        <w:t>2022</w:t>
      </w:r>
      <w:r>
        <w:rPr>
          <w:rFonts w:ascii="Arial" w:hAnsi="Arial" w:cs="Arial"/>
          <w:sz w:val="21"/>
        </w:rPr>
        <w:t>年</w:t>
      </w:r>
      <w:r>
        <w:rPr>
          <w:rFonts w:cs="Arial" w:ascii="Arial" w:hAnsi="Arial"/>
          <w:sz w:val="21"/>
        </w:rPr>
        <w:t>11</w:t>
      </w:r>
      <w:r>
        <w:rPr>
          <w:rFonts w:ascii="Arial" w:hAnsi="Arial" w:cs="Arial"/>
          <w:sz w:val="21"/>
        </w:rPr>
        <w:t>月</w:t>
      </w:r>
      <w:r>
        <w:rPr>
          <w:rFonts w:cs="Arial" w:ascii="Arial" w:hAnsi="Arial"/>
          <w:sz w:val="21"/>
        </w:rPr>
        <w:t>8</w:t>
      </w:r>
      <w:r>
        <w:rPr>
          <w:rFonts w:ascii="Arial" w:hAnsi="Arial" w:cs="Arial"/>
          <w:sz w:val="21"/>
        </w:rPr>
        <w:t>日，北京市住建委、经开区管委、通州区政府联合发布通知，亦庄经开区管理的台湖、马驹桥地区不再执行“双限”政策，仅执行北京其他区域的购房政策。</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1</w:t>
      </w:r>
      <w:r>
        <w:rPr>
          <w:rFonts w:ascii="Arial" w:hAnsi="Arial" w:cs="Arial"/>
          <w:sz w:val="21"/>
        </w:rPr>
        <w:t>月</w:t>
      </w:r>
      <w:r>
        <w:rPr>
          <w:rFonts w:cs="Arial" w:ascii="Arial" w:hAnsi="Arial"/>
          <w:sz w:val="21"/>
        </w:rPr>
        <w:t>1</w:t>
      </w:r>
      <w:r>
        <w:rPr>
          <w:rFonts w:ascii="Arial" w:hAnsi="Arial" w:cs="Arial"/>
          <w:sz w:val="21"/>
        </w:rPr>
        <w:t>日，北京住房公积金管理中心发布《关于进一步优化住房公积金提取业务的通知》，为支持职工合理住房需求，解决新市民、青年人等全体住房困难，北京进一步优化提取业务办理。</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4</w:t>
      </w:r>
      <w:r>
        <w:rPr>
          <w:rFonts w:ascii="Arial" w:hAnsi="Arial" w:cs="Arial"/>
          <w:sz w:val="21"/>
        </w:rPr>
        <w:t>月</w:t>
      </w:r>
      <w:r>
        <w:rPr>
          <w:rFonts w:cs="Arial" w:ascii="Arial" w:hAnsi="Arial"/>
          <w:sz w:val="21"/>
        </w:rPr>
        <w:t>10</w:t>
      </w:r>
      <w:r>
        <w:rPr>
          <w:rFonts w:ascii="Arial" w:hAnsi="Arial" w:cs="Arial"/>
          <w:sz w:val="21"/>
        </w:rPr>
        <w:t>日，北京市住建委官网发布《</w:t>
      </w:r>
      <w:r>
        <w:rPr>
          <w:rFonts w:cs="Arial" w:ascii="Arial" w:hAnsi="Arial"/>
          <w:sz w:val="21"/>
        </w:rPr>
        <w:t>2023</w:t>
      </w:r>
      <w:r>
        <w:rPr>
          <w:rFonts w:ascii="Arial" w:hAnsi="Arial" w:cs="Arial"/>
          <w:sz w:val="21"/>
        </w:rPr>
        <w:t>年市政府工作报告重点任务清单及实事事项一季度工作进展情况》，其中提到，多子女家庭和职住平衡家庭购房支持政策按照“一区一策”的方式由房山区试点。</w:t>
      </w:r>
      <w:r>
        <w:rPr>
          <w:rFonts w:cs="Arial" w:ascii="Arial" w:hAnsi="Arial"/>
          <w:sz w:val="21"/>
        </w:rPr>
        <w:t>4</w:t>
      </w:r>
      <w:r>
        <w:rPr>
          <w:rFonts w:ascii="Arial" w:hAnsi="Arial" w:cs="Arial"/>
          <w:sz w:val="21"/>
        </w:rPr>
        <w:t>月</w:t>
      </w:r>
      <w:r>
        <w:rPr>
          <w:rFonts w:cs="Arial" w:ascii="Arial" w:hAnsi="Arial"/>
          <w:sz w:val="21"/>
        </w:rPr>
        <w:t>20</w:t>
      </w:r>
      <w:r>
        <w:rPr>
          <w:rFonts w:ascii="Arial" w:hAnsi="Arial" w:cs="Arial"/>
          <w:sz w:val="21"/>
        </w:rPr>
        <w:t>日，房山区正式发布了《房山区实施“聚源计划”引才聚才支持办法》，推出“房山聚源计划”引才聚才十一条，涵盖资金奖励、引进落户、住房保障、子女教育、医疗健康等</w:t>
      </w:r>
      <w:r>
        <w:rPr>
          <w:rFonts w:cs="Arial" w:ascii="Arial" w:hAnsi="Arial"/>
          <w:sz w:val="21"/>
        </w:rPr>
        <w:t>11</w:t>
      </w:r>
      <w:r>
        <w:rPr>
          <w:rFonts w:ascii="Arial" w:hAnsi="Arial" w:cs="Arial"/>
          <w:sz w:val="21"/>
        </w:rPr>
        <w:t>个方面的利好举措。其中，针对战略人才和领军人才将最高一次性给予</w:t>
      </w:r>
      <w:r>
        <w:rPr>
          <w:rFonts w:cs="Arial" w:ascii="Arial" w:hAnsi="Arial"/>
          <w:sz w:val="21"/>
        </w:rPr>
        <w:t>100</w:t>
      </w:r>
      <w:r>
        <w:rPr>
          <w:rFonts w:ascii="Arial" w:hAnsi="Arial" w:cs="Arial"/>
          <w:sz w:val="21"/>
        </w:rPr>
        <w:t>万元和</w:t>
      </w:r>
      <w:r>
        <w:rPr>
          <w:rFonts w:cs="Arial" w:ascii="Arial" w:hAnsi="Arial"/>
          <w:sz w:val="21"/>
        </w:rPr>
        <w:t>50</w:t>
      </w:r>
      <w:r>
        <w:rPr>
          <w:rFonts w:ascii="Arial" w:hAnsi="Arial" w:cs="Arial"/>
          <w:sz w:val="21"/>
        </w:rPr>
        <w:t>万元资金奖励，提供最高</w:t>
      </w:r>
      <w:r>
        <w:rPr>
          <w:rFonts w:cs="Arial" w:ascii="Arial" w:hAnsi="Arial"/>
          <w:sz w:val="21"/>
        </w:rPr>
        <w:t>100</w:t>
      </w:r>
      <w:r>
        <w:rPr>
          <w:rFonts w:ascii="Arial" w:hAnsi="Arial" w:cs="Arial"/>
          <w:sz w:val="21"/>
        </w:rPr>
        <w:t>万元和</w:t>
      </w:r>
      <w:r>
        <w:rPr>
          <w:rFonts w:cs="Arial" w:ascii="Arial" w:hAnsi="Arial"/>
          <w:sz w:val="21"/>
        </w:rPr>
        <w:t>50</w:t>
      </w:r>
      <w:r>
        <w:rPr>
          <w:rFonts w:ascii="Arial" w:hAnsi="Arial" w:cs="Arial"/>
          <w:sz w:val="21"/>
        </w:rPr>
        <w:t>万元购房补贴或最高</w:t>
      </w:r>
      <w:r>
        <w:rPr>
          <w:rFonts w:cs="Arial" w:ascii="Arial" w:hAnsi="Arial"/>
          <w:sz w:val="21"/>
        </w:rPr>
        <w:t>100%</w:t>
      </w:r>
      <w:r>
        <w:rPr>
          <w:rFonts w:ascii="Arial" w:hAnsi="Arial" w:cs="Arial"/>
          <w:sz w:val="21"/>
        </w:rPr>
        <w:t>、</w:t>
      </w:r>
      <w:r>
        <w:rPr>
          <w:rFonts w:cs="Arial" w:ascii="Arial" w:hAnsi="Arial"/>
          <w:sz w:val="21"/>
        </w:rPr>
        <w:t>50%</w:t>
      </w:r>
      <w:r>
        <w:rPr>
          <w:rFonts w:ascii="Arial" w:hAnsi="Arial" w:cs="Arial"/>
          <w:sz w:val="21"/>
        </w:rPr>
        <w:t>租金补贴，优先推荐办理北京市户口，并提供子女教育、医疗健康、出入境便利及机场服务等。</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6</w:t>
      </w:r>
      <w:r>
        <w:rPr>
          <w:rFonts w:ascii="Arial" w:hAnsi="Arial" w:cs="Arial"/>
          <w:sz w:val="21"/>
        </w:rPr>
        <w:t>月</w:t>
      </w:r>
      <w:r>
        <w:rPr>
          <w:rFonts w:cs="Arial" w:ascii="Arial" w:hAnsi="Arial"/>
          <w:sz w:val="21"/>
        </w:rPr>
        <w:t>5</w:t>
      </w:r>
      <w:r>
        <w:rPr>
          <w:rFonts w:ascii="Arial" w:hAnsi="Arial" w:cs="Arial"/>
          <w:sz w:val="21"/>
        </w:rPr>
        <w:t>日，北京住房公积金管理中心发布《关于进一步优化租房提取业务的通知》表示，租住北京市商品住房，未提供租房发票的，经告知承诺后，每人每月提取额度由</w:t>
      </w:r>
      <w:r>
        <w:rPr>
          <w:rFonts w:cs="Arial" w:ascii="Arial" w:hAnsi="Arial"/>
          <w:sz w:val="21"/>
        </w:rPr>
        <w:t>1500</w:t>
      </w:r>
      <w:r>
        <w:rPr>
          <w:rFonts w:ascii="Arial" w:hAnsi="Arial" w:cs="Arial"/>
          <w:sz w:val="21"/>
        </w:rPr>
        <w:t>元调整为</w:t>
      </w:r>
      <w:r>
        <w:rPr>
          <w:rFonts w:cs="Arial" w:ascii="Arial" w:hAnsi="Arial"/>
          <w:sz w:val="21"/>
        </w:rPr>
        <w:t>2000</w:t>
      </w:r>
      <w:r>
        <w:rPr>
          <w:rFonts w:ascii="Arial" w:hAnsi="Arial" w:cs="Arial"/>
          <w:sz w:val="21"/>
        </w:rPr>
        <w:t>元。其中，存在多子女家庭、租住公共租赁住房或保障性租赁住房等情况的，可按照实际月租金提取，不受月缴存额限制。</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7</w:t>
      </w:r>
      <w:r>
        <w:rPr>
          <w:rFonts w:ascii="Arial" w:hAnsi="Arial" w:cs="Arial"/>
          <w:sz w:val="21"/>
        </w:rPr>
        <w:t>月</w:t>
      </w:r>
      <w:r>
        <w:rPr>
          <w:rFonts w:cs="Arial" w:ascii="Arial" w:hAnsi="Arial"/>
          <w:sz w:val="21"/>
        </w:rPr>
        <w:t>10</w:t>
      </w:r>
      <w:r>
        <w:rPr>
          <w:rFonts w:ascii="Arial" w:hAnsi="Arial" w:cs="Arial"/>
          <w:sz w:val="21"/>
        </w:rPr>
        <w:t>日，北京市住房城乡建设委发布《关于面向社会广泛征集我市保障性租赁住房意向实施项目的通知》，面向北京市全域广泛征集保租房意向实施项目，探索建立北京市首个保租房储备项目库。这次保租房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pPr>
        <w:pStyle w:val="Normal"/>
        <w:overflowPunct w:val="false"/>
        <w:spacing w:lineRule="auto" w:line="480"/>
        <w:ind w:firstLine="420"/>
        <w:jc w:val="both"/>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9</w:t>
      </w:r>
      <w:r>
        <w:rPr>
          <w:rFonts w:ascii="Arial" w:hAnsi="Arial" w:cs="Arial"/>
          <w:sz w:val="21"/>
        </w:rPr>
        <w:t>月</w:t>
      </w:r>
      <w:r>
        <w:rPr>
          <w:rFonts w:cs="Arial" w:ascii="Arial" w:hAnsi="Arial"/>
          <w:sz w:val="21"/>
        </w:rPr>
        <w:t>1</w:t>
      </w:r>
      <w:r>
        <w:rPr>
          <w:rFonts w:ascii="Arial" w:hAnsi="Arial" w:cs="Arial"/>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bookmarkStart w:id="47" w:name="OLE_LINK8"/>
      <w:bookmarkStart w:id="48" w:name="OLE_LINK9"/>
      <w:bookmarkEnd w:id="47"/>
      <w:bookmarkEnd w:id="48"/>
    </w:p>
    <w:p>
      <w:pPr>
        <w:pStyle w:val="Normal"/>
        <w:overflowPunct w:val="false"/>
        <w:spacing w:lineRule="auto" w:line="480"/>
        <w:ind w:firstLine="420"/>
        <w:jc w:val="both"/>
        <w:rPr>
          <w:rFonts w:ascii="Arial" w:hAnsi="Arial" w:cs="Arial"/>
          <w:sz w:val="21"/>
        </w:rPr>
      </w:pPr>
      <w:r>
        <w:rPr>
          <w:rFonts w:cs="Arial" w:ascii="Arial" w:hAnsi="Arial"/>
          <w:sz w:val="21"/>
        </w:rPr>
        <w:t>5.</w:t>
      </w:r>
      <w:r>
        <w:rPr>
          <w:rFonts w:ascii="Arial" w:hAnsi="Arial" w:cs="Arial"/>
          <w:sz w:val="21"/>
        </w:rPr>
        <w:t>未来市场预期</w:t>
      </w:r>
    </w:p>
    <w:p>
      <w:pPr>
        <w:pStyle w:val="Normal"/>
        <w:overflowPunct w:val="false"/>
        <w:spacing w:lineRule="auto" w:line="480"/>
        <w:ind w:firstLine="420"/>
        <w:jc w:val="both"/>
        <w:rPr>
          <w:rFonts w:ascii="Arial" w:hAnsi="Arial" w:cs="Arial"/>
          <w:sz w:val="21"/>
        </w:rPr>
      </w:pPr>
      <w:r>
        <w:rPr>
          <w:rFonts w:ascii="Arial" w:hAnsi="Arial" w:cs="Arial"/>
          <w:sz w:val="21"/>
        </w:rPr>
        <w:t>整体来看当前北京市场信心有一定改善，存量房市场率先回暖。随着推动“认房不认贷”、取消二手房指导价等政策逐步落地，“限购放松”预期落空，政策端仍然具备优化空间。随之而来，未来购房者对北京继续优化调控政策的预期较强，或造成观望情绪延续。</w:t>
      </w:r>
    </w:p>
    <w:p>
      <w:pPr>
        <w:pStyle w:val="Normal"/>
        <w:overflowPunct w:val="false"/>
        <w:spacing w:lineRule="auto" w:line="480"/>
        <w:ind w:right="205" w:hanging="0"/>
        <w:jc w:val="both"/>
        <w:rPr>
          <w:rFonts w:ascii="Arial" w:hAnsi="Arial" w:cs="Arial"/>
          <w:b/>
          <w:b/>
          <w:bCs/>
          <w:sz w:val="21"/>
          <w:szCs w:val="21"/>
        </w:rPr>
      </w:pPr>
      <w:r>
        <w:rPr>
          <w:rFonts w:ascii="Arial" w:hAnsi="Arial" w:cs="Arial"/>
          <w:b/>
          <w:bCs/>
          <w:sz w:val="21"/>
          <w:szCs w:val="21"/>
        </w:rPr>
        <w:t>（二）北京共有产权住房市场状况</w:t>
      </w:r>
    </w:p>
    <w:p>
      <w:pPr>
        <w:pStyle w:val="Normal"/>
        <w:overflowPunct w:val="false"/>
        <w:spacing w:lineRule="auto" w:line="480"/>
        <w:ind w:firstLine="420"/>
        <w:jc w:val="both"/>
        <w:rPr>
          <w:rFonts w:ascii="Arial" w:hAnsi="Arial" w:cs="Arial"/>
          <w:sz w:val="21"/>
        </w:rPr>
      </w:pPr>
      <w:r>
        <w:rPr>
          <w:rFonts w:cs="Arial" w:ascii="Arial" w:hAnsi="Arial"/>
          <w:sz w:val="21"/>
        </w:rPr>
        <w:t>1.</w:t>
      </w:r>
      <w:r>
        <w:rPr>
          <w:rFonts w:ascii="Arial" w:hAnsi="Arial" w:cs="Arial"/>
          <w:sz w:val="21"/>
        </w:rPr>
        <w:t>共有产权房供应最多的行政区是大兴区、顺义区</w:t>
      </w:r>
    </w:p>
    <w:p>
      <w:pPr>
        <w:pStyle w:val="Normal"/>
        <w:overflowPunct w:val="false"/>
        <w:spacing w:lineRule="auto" w:line="480"/>
        <w:ind w:firstLine="420"/>
        <w:jc w:val="both"/>
        <w:rPr>
          <w:rFonts w:ascii="Arial" w:hAnsi="Arial" w:cs="Arial"/>
          <w:sz w:val="21"/>
        </w:rPr>
      </w:pPr>
      <w:r>
        <w:rPr>
          <w:rFonts w:ascii="Arial" w:hAnsi="Arial" w:cs="Arial"/>
          <w:sz w:val="21"/>
        </w:rPr>
        <w:t>从</w:t>
      </w:r>
      <w:r>
        <w:rPr>
          <w:rFonts w:cs="Arial" w:ascii="Arial" w:hAnsi="Arial"/>
          <w:sz w:val="21"/>
        </w:rPr>
        <w:t>2017</w:t>
      </w:r>
      <w:r>
        <w:rPr>
          <w:rFonts w:ascii="Arial" w:hAnsi="Arial" w:cs="Arial"/>
          <w:sz w:val="21"/>
        </w:rPr>
        <w:t>年至</w:t>
      </w:r>
      <w:r>
        <w:rPr>
          <w:rFonts w:cs="Arial" w:ascii="Arial" w:hAnsi="Arial"/>
          <w:sz w:val="21"/>
        </w:rPr>
        <w:t>2021</w:t>
      </w:r>
      <w:r>
        <w:rPr>
          <w:rFonts w:ascii="Arial" w:hAnsi="Arial" w:cs="Arial"/>
          <w:sz w:val="21"/>
        </w:rPr>
        <w:t>年下半年，北京共有产权房申购网站公布的共有产权房项目数量，可申购套数累计达</w:t>
      </w:r>
      <w:r>
        <w:rPr>
          <w:rFonts w:cs="Arial" w:ascii="Arial" w:hAnsi="Arial"/>
          <w:sz w:val="21"/>
        </w:rPr>
        <w:t>8.75</w:t>
      </w:r>
      <w:r>
        <w:rPr>
          <w:rFonts w:ascii="Arial" w:hAnsi="Arial" w:cs="Arial"/>
          <w:sz w:val="21"/>
        </w:rPr>
        <w:t>万套。分区域来看，北京市提供共有产权房最多的行政区是大兴区、顺义区；第二梯队是房山区、通州区、海淀区、朝阳区、昌平区；共有产权房数量最少的四个区分别是密云区、门头沟区、石景山区和怀柔区。</w:t>
      </w:r>
    </w:p>
    <w:p>
      <w:pPr>
        <w:pStyle w:val="Normal"/>
        <w:overflowPunct w:val="false"/>
        <w:spacing w:lineRule="auto" w:line="480"/>
        <w:ind w:firstLine="420"/>
        <w:jc w:val="both"/>
        <w:rPr>
          <w:rFonts w:ascii="Arial" w:hAnsi="Arial" w:cs="Arial"/>
          <w:sz w:val="21"/>
        </w:rPr>
      </w:pPr>
      <w:r>
        <w:rPr>
          <w:rFonts w:cs="Arial" w:ascii="Arial" w:hAnsi="Arial"/>
          <w:sz w:val="21"/>
        </w:rPr>
        <w:t>2.</w:t>
      </w:r>
      <w:r>
        <w:rPr>
          <w:rFonts w:ascii="Arial" w:hAnsi="Arial" w:cs="Arial"/>
          <w:sz w:val="21"/>
        </w:rPr>
        <w:t>限竞房、共有产权房、普通商品住房</w:t>
      </w:r>
      <w:r>
        <w:rPr>
          <w:rFonts w:cs="Arial" w:ascii="Arial" w:hAnsi="Arial"/>
          <w:sz w:val="21"/>
        </w:rPr>
        <w:t>5</w:t>
      </w:r>
      <w:r>
        <w:rPr>
          <w:rFonts w:cs="宋体" w:ascii="宋体" w:hAnsi="宋体"/>
          <w:sz w:val="21"/>
        </w:rPr>
        <w:t>∶</w:t>
      </w:r>
      <w:r>
        <w:rPr>
          <w:rFonts w:cs="Arial" w:ascii="Arial" w:hAnsi="Arial"/>
          <w:sz w:val="21"/>
        </w:rPr>
        <w:t>3</w:t>
      </w:r>
      <w:r>
        <w:rPr>
          <w:rFonts w:cs="宋体" w:ascii="宋体" w:hAnsi="宋体"/>
          <w:sz w:val="21"/>
        </w:rPr>
        <w:t>∶</w:t>
      </w:r>
      <w:r>
        <w:rPr>
          <w:rFonts w:cs="Arial" w:ascii="Arial" w:hAnsi="Arial"/>
          <w:sz w:val="21"/>
        </w:rPr>
        <w:t>2</w:t>
      </w:r>
      <w:r>
        <w:rPr>
          <w:rFonts w:ascii="Arial" w:hAnsi="Arial" w:cs="Arial"/>
          <w:sz w:val="21"/>
        </w:rPr>
        <w:t>供应格局短期不变</w:t>
      </w:r>
    </w:p>
    <w:p>
      <w:pPr>
        <w:pStyle w:val="Normal"/>
        <w:overflowPunct w:val="false"/>
        <w:spacing w:lineRule="auto" w:line="480"/>
        <w:ind w:firstLine="420"/>
        <w:jc w:val="both"/>
        <w:rPr>
          <w:rFonts w:ascii="Arial" w:hAnsi="Arial" w:cs="Arial"/>
          <w:sz w:val="21"/>
        </w:rPr>
      </w:pPr>
      <w:r>
        <w:rPr>
          <w:rFonts w:cs="Arial" w:ascii="Arial" w:hAnsi="Arial"/>
          <w:sz w:val="21"/>
        </w:rPr>
        <w:t>2018</w:t>
      </w:r>
      <w:r>
        <w:rPr>
          <w:rFonts w:ascii="Arial" w:hAnsi="Arial" w:cs="Arial"/>
          <w:sz w:val="21"/>
        </w:rPr>
        <w:t>年共有产权房可申购套数最多，之后出现逐年下降情况。参考北京市年度建设用地供应计划，</w:t>
      </w:r>
      <w:r>
        <w:rPr>
          <w:rFonts w:cs="Arial" w:ascii="Arial" w:hAnsi="Arial"/>
          <w:sz w:val="21"/>
        </w:rPr>
        <w:t>2017</w:t>
      </w:r>
      <w:r>
        <w:rPr>
          <w:rFonts w:ascii="Arial" w:hAnsi="Arial" w:cs="Arial"/>
          <w:sz w:val="21"/>
        </w:rPr>
        <w:t>年、</w:t>
      </w:r>
      <w:r>
        <w:rPr>
          <w:rFonts w:cs="Arial" w:ascii="Arial" w:hAnsi="Arial"/>
          <w:sz w:val="21"/>
        </w:rPr>
        <w:t>2018</w:t>
      </w:r>
      <w:r>
        <w:rPr>
          <w:rFonts w:ascii="Arial" w:hAnsi="Arial" w:cs="Arial"/>
          <w:sz w:val="21"/>
        </w:rPr>
        <w:t>年是北京市提供共有产权房用地最多的两年（</w:t>
      </w:r>
      <w:r>
        <w:rPr>
          <w:rFonts w:cs="Arial" w:ascii="Arial" w:hAnsi="Arial"/>
          <w:sz w:val="21"/>
        </w:rPr>
        <w:t>2017</w:t>
      </w:r>
      <w:r>
        <w:rPr>
          <w:rFonts w:ascii="Arial" w:hAnsi="Arial" w:cs="Arial"/>
          <w:sz w:val="21"/>
        </w:rPr>
        <w:t>年</w:t>
      </w:r>
      <w:r>
        <w:rPr>
          <w:rFonts w:cs="Arial" w:ascii="Arial" w:hAnsi="Arial"/>
          <w:sz w:val="21"/>
        </w:rPr>
        <w:t>200</w:t>
      </w:r>
      <w:r>
        <w:rPr>
          <w:rFonts w:ascii="Arial" w:hAnsi="Arial" w:cs="Arial"/>
          <w:sz w:val="21"/>
        </w:rPr>
        <w:t>公顷计划为自住商品房用地，后续大部分转为共有产权房），从</w:t>
      </w:r>
      <w:r>
        <w:rPr>
          <w:rFonts w:cs="Arial" w:ascii="Arial" w:hAnsi="Arial"/>
          <w:sz w:val="21"/>
        </w:rPr>
        <w:t>2019</w:t>
      </w:r>
      <w:r>
        <w:rPr>
          <w:rFonts w:ascii="Arial" w:hAnsi="Arial" w:cs="Arial"/>
          <w:sz w:val="21"/>
        </w:rPr>
        <w:t>年开始，共有产权房用地数量开始减少。</w:t>
      </w:r>
    </w:p>
    <w:p>
      <w:pPr>
        <w:pStyle w:val="Normal"/>
        <w:overflowPunct w:val="false"/>
        <w:spacing w:lineRule="auto" w:line="480"/>
        <w:ind w:firstLine="420"/>
        <w:jc w:val="both"/>
        <w:rPr>
          <w:rFonts w:ascii="Arial" w:hAnsi="Arial" w:cs="Arial"/>
          <w:sz w:val="21"/>
        </w:rPr>
      </w:pPr>
      <w:r>
        <w:rPr>
          <w:rFonts w:ascii="Arial" w:hAnsi="Arial" w:cs="Arial"/>
          <w:sz w:val="21"/>
        </w:rPr>
        <w:t>根据</w:t>
      </w:r>
      <w:r>
        <w:rPr>
          <w:rFonts w:cs="Arial" w:ascii="Arial" w:hAnsi="Arial"/>
          <w:sz w:val="21"/>
        </w:rPr>
        <w:t>2021</w:t>
      </w:r>
      <w:r>
        <w:rPr>
          <w:rFonts w:ascii="Arial" w:hAnsi="Arial" w:cs="Arial"/>
          <w:sz w:val="21"/>
        </w:rPr>
        <w:t>年</w:t>
      </w:r>
      <w:r>
        <w:rPr>
          <w:rFonts w:cs="Arial" w:ascii="Arial" w:hAnsi="Arial"/>
          <w:sz w:val="21"/>
        </w:rPr>
        <w:t>1</w:t>
      </w:r>
      <w:r>
        <w:rPr>
          <w:rFonts w:ascii="Arial" w:hAnsi="Arial" w:cs="Arial"/>
          <w:sz w:val="21"/>
        </w:rPr>
        <w:t>月公布的北京市《北京市国民经济和社会发展第十四个五年规划和二</w:t>
      </w:r>
      <w:r>
        <w:rPr>
          <w:rFonts w:cs="Arial" w:ascii="Arial" w:hAnsi="Arial"/>
          <w:sz w:val="21"/>
        </w:rPr>
        <w:t>0</w:t>
      </w:r>
      <w:r>
        <w:rPr>
          <w:rFonts w:ascii="Arial" w:hAnsi="Arial" w:cs="Arial"/>
          <w:sz w:val="21"/>
        </w:rPr>
        <w:t>三五年远景目标纲要》，在未来五年，北京将新供应各类居住用地</w:t>
      </w:r>
      <w:r>
        <w:rPr>
          <w:rFonts w:cs="Arial" w:ascii="Arial" w:hAnsi="Arial"/>
          <w:sz w:val="21"/>
        </w:rPr>
        <w:t>5000</w:t>
      </w:r>
      <w:r>
        <w:rPr>
          <w:rFonts w:ascii="Arial" w:hAnsi="Arial" w:cs="Arial"/>
          <w:sz w:val="21"/>
        </w:rPr>
        <w:t>公顷，新增共有产权住房供地不低于供应总量的</w:t>
      </w:r>
      <w:r>
        <w:rPr>
          <w:rFonts w:cs="Arial" w:ascii="Arial" w:hAnsi="Arial"/>
          <w:sz w:val="21"/>
        </w:rPr>
        <w:t>15%</w:t>
      </w:r>
      <w:r>
        <w:rPr>
          <w:rFonts w:ascii="Arial" w:hAnsi="Arial" w:cs="Arial"/>
          <w:sz w:val="21"/>
        </w:rPr>
        <w:t>。</w:t>
      </w:r>
    </w:p>
    <w:p>
      <w:pPr>
        <w:pStyle w:val="Normal"/>
        <w:overflowPunct w:val="false"/>
        <w:spacing w:lineRule="auto" w:line="480"/>
        <w:ind w:firstLine="420"/>
        <w:jc w:val="both"/>
        <w:rPr>
          <w:rFonts w:ascii="Arial" w:hAnsi="Arial" w:cs="Arial"/>
          <w:sz w:val="21"/>
        </w:rPr>
      </w:pPr>
      <w:r>
        <w:rPr>
          <w:rFonts w:cs="Arial" w:ascii="Arial" w:hAnsi="Arial"/>
          <w:sz w:val="21"/>
        </w:rPr>
        <w:t>3.</w:t>
      </w:r>
      <w:r>
        <w:rPr>
          <w:rFonts w:ascii="Arial" w:hAnsi="Arial" w:cs="Arial"/>
          <w:sz w:val="21"/>
        </w:rPr>
        <w:t>共有产权房区位逐年优化，近郊区为主阵地</w:t>
      </w:r>
    </w:p>
    <w:p>
      <w:pPr>
        <w:pStyle w:val="Normal"/>
        <w:overflowPunct w:val="false"/>
        <w:spacing w:lineRule="auto" w:line="480"/>
        <w:ind w:firstLine="420"/>
        <w:jc w:val="both"/>
        <w:rPr>
          <w:rFonts w:ascii="Arial" w:hAnsi="Arial" w:cs="Arial"/>
          <w:sz w:val="21"/>
        </w:rPr>
      </w:pPr>
      <w:r>
        <w:rPr>
          <w:rFonts w:ascii="Arial" w:hAnsi="Arial" w:cs="Arial"/>
          <w:sz w:val="21"/>
        </w:rPr>
        <w:t>根据区域分布来看，北京市共有产权房项目主要集中在近郊区域，临近城区的昌平区、顺义区、大兴区、房山区、通州区、门头沟区，集中了约</w:t>
      </w:r>
      <w:r>
        <w:rPr>
          <w:rFonts w:cs="Arial" w:ascii="Arial" w:hAnsi="Arial"/>
          <w:sz w:val="21"/>
        </w:rPr>
        <w:t>60%</w:t>
      </w:r>
      <w:r>
        <w:rPr>
          <w:rFonts w:ascii="Arial" w:hAnsi="Arial" w:cs="Arial"/>
          <w:sz w:val="21"/>
        </w:rPr>
        <w:t>的房源。</w:t>
      </w:r>
    </w:p>
    <w:p>
      <w:pPr>
        <w:pStyle w:val="Normal"/>
        <w:overflowPunct w:val="false"/>
        <w:spacing w:lineRule="auto" w:line="480"/>
        <w:ind w:firstLine="420"/>
        <w:jc w:val="both"/>
        <w:rPr>
          <w:rFonts w:ascii="Arial" w:hAnsi="Arial" w:cs="Arial"/>
          <w:sz w:val="21"/>
        </w:rPr>
      </w:pPr>
      <w:r>
        <w:rPr>
          <w:rFonts w:ascii="Arial" w:hAnsi="Arial" w:cs="Arial"/>
          <w:sz w:val="21"/>
        </w:rPr>
        <w:t>从历年变化来看，</w:t>
      </w:r>
      <w:r>
        <w:rPr>
          <w:rFonts w:cs="Arial" w:ascii="Arial" w:hAnsi="Arial"/>
          <w:sz w:val="21"/>
        </w:rPr>
        <w:t>2017</w:t>
      </w:r>
      <w:r>
        <w:rPr>
          <w:rFonts w:ascii="Arial" w:hAnsi="Arial" w:cs="Arial"/>
          <w:sz w:val="21"/>
        </w:rPr>
        <w:t>年，可申购的共有产权房主要在远郊区；</w:t>
      </w:r>
      <w:r>
        <w:rPr>
          <w:rFonts w:cs="Arial" w:ascii="Arial" w:hAnsi="Arial"/>
          <w:sz w:val="21"/>
        </w:rPr>
        <w:t>2019</w:t>
      </w:r>
      <w:r>
        <w:rPr>
          <w:rFonts w:ascii="Arial" w:hAnsi="Arial" w:cs="Arial"/>
          <w:sz w:val="21"/>
        </w:rPr>
        <w:t>年，开始向近郊地区发展，承担起为中心城区疏解人口的任务；</w:t>
      </w:r>
      <w:r>
        <w:rPr>
          <w:rFonts w:cs="Arial" w:ascii="Arial" w:hAnsi="Arial"/>
          <w:sz w:val="21"/>
        </w:rPr>
        <w:t>2020</w:t>
      </w:r>
      <w:r>
        <w:rPr>
          <w:rFonts w:ascii="Arial" w:hAnsi="Arial" w:cs="Arial"/>
          <w:sz w:val="21"/>
        </w:rPr>
        <w:t>年，城区的共有产权房供应量出现明显提高，更侧重落实重点地区的职住平衡；</w:t>
      </w:r>
      <w:r>
        <w:rPr>
          <w:rFonts w:cs="Arial" w:ascii="Arial" w:hAnsi="Arial"/>
          <w:sz w:val="21"/>
        </w:rPr>
        <w:t>2021</w:t>
      </w:r>
      <w:r>
        <w:rPr>
          <w:rFonts w:ascii="Arial" w:hAnsi="Arial" w:cs="Arial"/>
          <w:sz w:val="21"/>
        </w:rPr>
        <w:t>年，远郊区县已没有共有产权房项目供应。</w:t>
      </w:r>
    </w:p>
    <w:p>
      <w:pPr>
        <w:pStyle w:val="Normal"/>
        <w:overflowPunct w:val="false"/>
        <w:spacing w:lineRule="auto" w:line="480"/>
        <w:ind w:firstLine="420"/>
        <w:jc w:val="both"/>
        <w:rPr>
          <w:rFonts w:ascii="Arial" w:hAnsi="Arial" w:cs="Arial"/>
          <w:sz w:val="21"/>
        </w:rPr>
      </w:pPr>
      <w:r>
        <w:rPr>
          <w:rFonts w:ascii="Arial" w:hAnsi="Arial" w:cs="Arial"/>
          <w:sz w:val="21"/>
        </w:rPr>
        <w:t>可申购的共有产权房项目更接近北京市新的城市建设核心地区。例如，在西三旗的金隅尚林家园，临近上地、后厂村等互联网科技产业园区；在将台乡的澜悦景苑，临近望京地区、中关村</w:t>
      </w:r>
      <w:r>
        <w:rPr>
          <w:rFonts w:cs="Arial" w:ascii="Arial" w:hAnsi="Arial"/>
          <w:sz w:val="21"/>
        </w:rPr>
        <w:t>-</w:t>
      </w:r>
      <w:r>
        <w:rPr>
          <w:rFonts w:ascii="Arial" w:hAnsi="Arial" w:cs="Arial"/>
          <w:sz w:val="21"/>
        </w:rPr>
        <w:t>酒仙桥园科技园区；东坝的瑞晖嘉苑较为临近规划中的金盏国际商务区；丰台区的金璟阳光苑，临近丽泽商务区；长阳的碧岸澜庭项目，则享受到了长阳商圈成熟的教育、商业配套。</w:t>
      </w:r>
    </w:p>
    <w:p>
      <w:pPr>
        <w:pStyle w:val="Normal"/>
        <w:overflowPunct w:val="false"/>
        <w:spacing w:lineRule="auto" w:line="480"/>
        <w:ind w:firstLine="420"/>
        <w:jc w:val="both"/>
        <w:rPr>
          <w:rFonts w:ascii="Arial" w:hAnsi="Arial" w:cs="Arial"/>
          <w:sz w:val="21"/>
        </w:rPr>
      </w:pPr>
      <w:r>
        <w:rPr>
          <w:rFonts w:ascii="Arial" w:hAnsi="Arial" w:cs="Arial"/>
          <w:sz w:val="21"/>
        </w:rPr>
        <w:t>近期的共有产权住房项目布局逐步优化，依据城市总体规划，结合首都城市功能分布、区域产业布局进行选址，促进了局部地区的职住均衡。随着后续租赁业务的启动，这些重点功能区域附近的就业人口，有机会享受更好的城市配套设施、教育机会和更短的通勤距离。</w:t>
      </w:r>
    </w:p>
    <w:p>
      <w:pPr>
        <w:pStyle w:val="Normal"/>
        <w:overflowPunct w:val="false"/>
        <w:spacing w:lineRule="auto" w:line="480"/>
        <w:ind w:firstLine="420"/>
        <w:jc w:val="both"/>
        <w:rPr>
          <w:rFonts w:ascii="Arial" w:hAnsi="Arial" w:cs="Arial"/>
          <w:sz w:val="21"/>
        </w:rPr>
      </w:pPr>
      <w:r>
        <w:rPr>
          <w:rFonts w:cs="Arial" w:ascii="Arial" w:hAnsi="Arial"/>
          <w:sz w:val="21"/>
        </w:rPr>
        <w:t>4.2022</w:t>
      </w:r>
      <w:r>
        <w:rPr>
          <w:rFonts w:ascii="Arial" w:hAnsi="Arial" w:cs="Arial"/>
          <w:sz w:val="21"/>
        </w:rPr>
        <w:t>年内公开配售项目</w:t>
      </w:r>
    </w:p>
    <w:p>
      <w:pPr>
        <w:pStyle w:val="Normal"/>
        <w:spacing w:lineRule="auto" w:line="480"/>
        <w:ind w:firstLine="424"/>
        <w:jc w:val="both"/>
        <w:rPr>
          <w:rFonts w:ascii="Arial" w:hAnsi="Arial" w:cs="Arial"/>
          <w:sz w:val="21"/>
        </w:rPr>
      </w:pPr>
      <w:r>
        <w:rPr>
          <w:rFonts w:ascii="Arial" w:hAnsi="Arial" w:cs="Arial"/>
          <w:sz w:val="21"/>
        </w:rPr>
        <w:t>顺义颐盛嘉园项目位于北京市顺义新城核心区，具体位置为顺义区仁和镇二三产业园，紧邻外环路，北至林河南大街，南至仁和园四街，西至仁和园三街，东至仁和园二街及平沿路。</w:t>
      </w:r>
      <w:r>
        <w:rPr>
          <w:rFonts w:ascii="Arial" w:hAnsi="Arial" w:cs="Arial"/>
          <w:bCs/>
          <w:sz w:val="21"/>
          <w:szCs w:val="21"/>
        </w:rPr>
        <w:t>共有产权房房源共计</w:t>
      </w:r>
      <w:r>
        <w:rPr>
          <w:rFonts w:cs="Arial" w:ascii="Arial" w:hAnsi="Arial"/>
          <w:bCs/>
          <w:sz w:val="21"/>
          <w:szCs w:val="21"/>
        </w:rPr>
        <w:t>1501</w:t>
      </w:r>
      <w:r>
        <w:rPr>
          <w:rFonts w:ascii="Arial" w:hAnsi="Arial" w:cs="Arial"/>
          <w:bCs/>
          <w:sz w:val="21"/>
          <w:szCs w:val="21"/>
        </w:rPr>
        <w:t>套，其中，约</w:t>
      </w:r>
      <w:r>
        <w:rPr>
          <w:rFonts w:cs="Arial" w:ascii="Arial" w:hAnsi="Arial"/>
          <w:bCs/>
          <w:sz w:val="21"/>
          <w:szCs w:val="21"/>
        </w:rPr>
        <w:t>66</w:t>
      </w:r>
      <w:r>
        <w:rPr>
          <w:rFonts w:ascii="Arial" w:hAnsi="Arial" w:cs="Arial"/>
          <w:bCs/>
          <w:sz w:val="21"/>
          <w:szCs w:val="21"/>
        </w:rPr>
        <w:t>㎡一居</w:t>
      </w:r>
      <w:r>
        <w:rPr>
          <w:rFonts w:cs="Arial" w:ascii="Arial" w:hAnsi="Arial"/>
          <w:bCs/>
          <w:sz w:val="21"/>
          <w:szCs w:val="21"/>
        </w:rPr>
        <w:t>391</w:t>
      </w:r>
      <w:r>
        <w:rPr>
          <w:rFonts w:ascii="Arial" w:hAnsi="Arial" w:cs="Arial"/>
          <w:bCs/>
          <w:sz w:val="21"/>
          <w:szCs w:val="21"/>
        </w:rPr>
        <w:t>套、约</w:t>
      </w:r>
      <w:r>
        <w:rPr>
          <w:rFonts w:cs="Arial" w:ascii="Arial" w:hAnsi="Arial"/>
          <w:bCs/>
          <w:sz w:val="21"/>
          <w:szCs w:val="21"/>
        </w:rPr>
        <w:t>92</w:t>
      </w:r>
      <w:r>
        <w:rPr>
          <w:rFonts w:ascii="Arial" w:hAnsi="Arial" w:cs="Arial"/>
          <w:bCs/>
          <w:sz w:val="21"/>
          <w:szCs w:val="21"/>
        </w:rPr>
        <w:t>㎡两居</w:t>
      </w:r>
      <w:r>
        <w:rPr>
          <w:rFonts w:cs="Arial" w:ascii="Arial" w:hAnsi="Arial"/>
          <w:bCs/>
          <w:sz w:val="21"/>
          <w:szCs w:val="21"/>
        </w:rPr>
        <w:t>927</w:t>
      </w:r>
      <w:r>
        <w:rPr>
          <w:rFonts w:ascii="Arial" w:hAnsi="Arial" w:cs="Arial"/>
          <w:bCs/>
          <w:sz w:val="21"/>
          <w:szCs w:val="21"/>
        </w:rPr>
        <w:t>套、约</w:t>
      </w:r>
      <w:r>
        <w:rPr>
          <w:rFonts w:cs="Arial" w:ascii="Arial" w:hAnsi="Arial"/>
          <w:bCs/>
          <w:sz w:val="21"/>
          <w:szCs w:val="21"/>
        </w:rPr>
        <w:t>117</w:t>
      </w:r>
      <w:r>
        <w:rPr>
          <w:rFonts w:ascii="Arial" w:hAnsi="Arial" w:cs="Arial"/>
          <w:bCs/>
          <w:sz w:val="21"/>
          <w:szCs w:val="21"/>
        </w:rPr>
        <w:t>㎡三居</w:t>
      </w:r>
      <w:r>
        <w:rPr>
          <w:rFonts w:cs="Arial" w:ascii="Arial" w:hAnsi="Arial"/>
          <w:bCs/>
          <w:sz w:val="21"/>
          <w:szCs w:val="21"/>
        </w:rPr>
        <w:t>183</w:t>
      </w:r>
      <w:r>
        <w:rPr>
          <w:rFonts w:ascii="Arial" w:hAnsi="Arial" w:cs="Arial"/>
          <w:bCs/>
          <w:sz w:val="21"/>
          <w:szCs w:val="21"/>
        </w:rPr>
        <w:t>套。销售均价</w:t>
      </w:r>
      <w:r>
        <w:rPr>
          <w:rFonts w:cs="Arial" w:ascii="Arial" w:hAnsi="Arial"/>
          <w:bCs/>
          <w:sz w:val="21"/>
          <w:szCs w:val="21"/>
        </w:rPr>
        <w:t>22900</w:t>
      </w:r>
      <w:r>
        <w:rPr>
          <w:rFonts w:ascii="Arial" w:hAnsi="Arial" w:cs="Arial"/>
          <w:bCs/>
          <w:sz w:val="21"/>
          <w:szCs w:val="21"/>
        </w:rPr>
        <w:t>元</w:t>
      </w:r>
      <w:r>
        <w:rPr>
          <w:rFonts w:cs="Arial" w:ascii="Arial" w:hAnsi="Arial"/>
          <w:bCs/>
          <w:sz w:val="21"/>
          <w:szCs w:val="21"/>
        </w:rPr>
        <w:t>/</w:t>
      </w:r>
      <w:r>
        <w:rPr>
          <w:rFonts w:ascii="Arial" w:hAnsi="Arial" w:cs="Arial"/>
          <w:bCs/>
          <w:sz w:val="21"/>
          <w:szCs w:val="21"/>
        </w:rPr>
        <w:t>㎡（含全装修费用）。购房人产权份额比例为</w:t>
      </w:r>
      <w:r>
        <w:rPr>
          <w:rFonts w:cs="Arial" w:ascii="Arial" w:hAnsi="Arial"/>
          <w:bCs/>
          <w:sz w:val="21"/>
          <w:szCs w:val="21"/>
        </w:rPr>
        <w:t>80%</w:t>
      </w:r>
      <w:r>
        <w:rPr>
          <w:rFonts w:ascii="Arial" w:hAnsi="Arial" w:cs="Arial"/>
          <w:bCs/>
          <w:sz w:val="21"/>
          <w:szCs w:val="21"/>
        </w:rPr>
        <w:t>，北京市燕顺保障性住房投资有限公司（政府产权份额代持机构）持有剩余</w:t>
      </w:r>
      <w:r>
        <w:rPr>
          <w:rFonts w:cs="Arial" w:ascii="Arial" w:hAnsi="Arial"/>
          <w:bCs/>
          <w:sz w:val="21"/>
          <w:szCs w:val="21"/>
        </w:rPr>
        <w:t>20%</w:t>
      </w:r>
      <w:r>
        <w:rPr>
          <w:rFonts w:ascii="Arial" w:hAnsi="Arial" w:cs="Arial"/>
          <w:bCs/>
          <w:sz w:val="21"/>
          <w:szCs w:val="21"/>
        </w:rPr>
        <w:t>份额。</w:t>
      </w:r>
    </w:p>
    <w:p>
      <w:pPr>
        <w:pStyle w:val="Normal"/>
        <w:spacing w:lineRule="auto" w:line="480"/>
        <w:ind w:firstLine="424"/>
        <w:jc w:val="both"/>
        <w:rPr>
          <w:rFonts w:ascii="Arial" w:hAnsi="Arial" w:cs="Arial"/>
          <w:bCs/>
          <w:sz w:val="21"/>
          <w:szCs w:val="21"/>
        </w:rPr>
      </w:pPr>
      <w:r>
        <w:rPr>
          <w:rFonts w:ascii="Arial" w:hAnsi="Arial" w:cs="Arial"/>
          <w:sz w:val="21"/>
        </w:rPr>
        <w:t>门头沟西山印嘉园</w:t>
      </w:r>
      <w:r>
        <w:rPr>
          <w:rFonts w:ascii="Arial" w:hAnsi="Arial" w:cs="Arial"/>
          <w:bCs/>
          <w:sz w:val="21"/>
          <w:szCs w:val="21"/>
        </w:rPr>
        <w:t>项目位于门头沟区龙泉镇。项目四至：东至规划龙门南街，西至惠泽家园，南至规划门头沟北街，北至规划石港路、平洞西街。共有产权房房源共计</w:t>
      </w:r>
      <w:r>
        <w:rPr>
          <w:rFonts w:cs="Arial" w:ascii="Arial" w:hAnsi="Arial"/>
          <w:bCs/>
          <w:sz w:val="21"/>
          <w:szCs w:val="21"/>
        </w:rPr>
        <w:t>1757</w:t>
      </w:r>
      <w:r>
        <w:rPr>
          <w:rFonts w:ascii="Arial" w:hAnsi="Arial" w:cs="Arial"/>
          <w:bCs/>
          <w:sz w:val="21"/>
          <w:szCs w:val="21"/>
        </w:rPr>
        <w:t>套，其中，约</w:t>
      </w:r>
      <w:r>
        <w:rPr>
          <w:rFonts w:cs="Arial" w:ascii="Arial" w:hAnsi="Arial"/>
          <w:bCs/>
          <w:sz w:val="21"/>
          <w:szCs w:val="21"/>
        </w:rPr>
        <w:t>58</w:t>
      </w:r>
      <w:r>
        <w:rPr>
          <w:rFonts w:ascii="Arial" w:hAnsi="Arial" w:cs="Arial"/>
          <w:bCs/>
          <w:sz w:val="21"/>
          <w:szCs w:val="21"/>
        </w:rPr>
        <w:t>㎡一居</w:t>
      </w:r>
      <w:r>
        <w:rPr>
          <w:rFonts w:cs="Arial" w:ascii="Arial" w:hAnsi="Arial"/>
          <w:bCs/>
          <w:sz w:val="21"/>
          <w:szCs w:val="21"/>
        </w:rPr>
        <w:t>18</w:t>
      </w:r>
      <w:r>
        <w:rPr>
          <w:rFonts w:ascii="Arial" w:hAnsi="Arial" w:cs="Arial"/>
          <w:bCs/>
          <w:sz w:val="21"/>
          <w:szCs w:val="21"/>
        </w:rPr>
        <w:t>套、约</w:t>
      </w:r>
      <w:r>
        <w:rPr>
          <w:rFonts w:cs="Arial" w:ascii="Arial" w:hAnsi="Arial"/>
          <w:bCs/>
          <w:sz w:val="21"/>
          <w:szCs w:val="21"/>
        </w:rPr>
        <w:t>72</w:t>
      </w:r>
      <w:r>
        <w:rPr>
          <w:rFonts w:ascii="Arial" w:hAnsi="Arial" w:cs="Arial"/>
          <w:bCs/>
          <w:sz w:val="21"/>
          <w:szCs w:val="21"/>
        </w:rPr>
        <w:t>㎡两居</w:t>
      </w:r>
      <w:r>
        <w:rPr>
          <w:rFonts w:cs="Arial" w:ascii="Arial" w:hAnsi="Arial"/>
          <w:bCs/>
          <w:sz w:val="21"/>
          <w:szCs w:val="21"/>
        </w:rPr>
        <w:t>6</w:t>
      </w:r>
      <w:r>
        <w:rPr>
          <w:rFonts w:ascii="Arial" w:hAnsi="Arial" w:cs="Arial"/>
          <w:bCs/>
          <w:sz w:val="21"/>
          <w:szCs w:val="21"/>
        </w:rPr>
        <w:t>套、约</w:t>
      </w:r>
      <w:r>
        <w:rPr>
          <w:rFonts w:cs="Arial" w:ascii="Arial" w:hAnsi="Arial"/>
          <w:bCs/>
          <w:sz w:val="21"/>
          <w:szCs w:val="21"/>
        </w:rPr>
        <w:t>80</w:t>
      </w:r>
      <w:r>
        <w:rPr>
          <w:rFonts w:ascii="Arial" w:hAnsi="Arial" w:cs="Arial"/>
          <w:bCs/>
          <w:sz w:val="21"/>
          <w:szCs w:val="21"/>
        </w:rPr>
        <w:t>㎡两居</w:t>
      </w:r>
      <w:r>
        <w:rPr>
          <w:rFonts w:cs="Arial" w:ascii="Arial" w:hAnsi="Arial"/>
          <w:bCs/>
          <w:sz w:val="21"/>
          <w:szCs w:val="21"/>
        </w:rPr>
        <w:t>623</w:t>
      </w:r>
      <w:r>
        <w:rPr>
          <w:rFonts w:ascii="Arial" w:hAnsi="Arial" w:cs="Arial"/>
          <w:bCs/>
          <w:sz w:val="21"/>
          <w:szCs w:val="21"/>
        </w:rPr>
        <w:t>套、约</w:t>
      </w:r>
      <w:r>
        <w:rPr>
          <w:rFonts w:cs="Arial" w:ascii="Arial" w:hAnsi="Arial"/>
          <w:bCs/>
          <w:sz w:val="21"/>
          <w:szCs w:val="21"/>
        </w:rPr>
        <w:t>89</w:t>
      </w:r>
      <w:r>
        <w:rPr>
          <w:rFonts w:ascii="Arial" w:hAnsi="Arial" w:cs="Arial"/>
          <w:bCs/>
          <w:sz w:val="21"/>
          <w:szCs w:val="21"/>
        </w:rPr>
        <w:t>㎡三居</w:t>
      </w:r>
      <w:r>
        <w:rPr>
          <w:rFonts w:cs="Arial" w:ascii="Arial" w:hAnsi="Arial"/>
          <w:bCs/>
          <w:sz w:val="21"/>
          <w:szCs w:val="21"/>
        </w:rPr>
        <w:t>983</w:t>
      </w:r>
      <w:r>
        <w:rPr>
          <w:rFonts w:ascii="Arial" w:hAnsi="Arial" w:cs="Arial"/>
          <w:bCs/>
          <w:sz w:val="21"/>
          <w:szCs w:val="21"/>
        </w:rPr>
        <w:t>套、约</w:t>
      </w:r>
      <w:r>
        <w:rPr>
          <w:rFonts w:cs="Arial" w:ascii="Arial" w:hAnsi="Arial"/>
          <w:bCs/>
          <w:sz w:val="21"/>
          <w:szCs w:val="21"/>
        </w:rPr>
        <w:t>115</w:t>
      </w:r>
      <w:r>
        <w:rPr>
          <w:rFonts w:ascii="Arial" w:hAnsi="Arial" w:cs="Arial"/>
          <w:bCs/>
          <w:sz w:val="21"/>
          <w:szCs w:val="21"/>
        </w:rPr>
        <w:t>㎡三居</w:t>
      </w:r>
      <w:r>
        <w:rPr>
          <w:rFonts w:cs="Arial" w:ascii="Arial" w:hAnsi="Arial"/>
          <w:bCs/>
          <w:sz w:val="21"/>
          <w:szCs w:val="21"/>
        </w:rPr>
        <w:t>127</w:t>
      </w:r>
      <w:r>
        <w:rPr>
          <w:rFonts w:ascii="Arial" w:hAnsi="Arial" w:cs="Arial"/>
          <w:bCs/>
          <w:sz w:val="21"/>
          <w:szCs w:val="21"/>
        </w:rPr>
        <w:t>套。销售均价</w:t>
      </w:r>
      <w:r>
        <w:rPr>
          <w:rFonts w:cs="Arial" w:ascii="Arial" w:hAnsi="Arial"/>
          <w:bCs/>
          <w:sz w:val="21"/>
          <w:szCs w:val="21"/>
        </w:rPr>
        <w:t>29500</w:t>
      </w:r>
      <w:r>
        <w:rPr>
          <w:rFonts w:ascii="Arial" w:hAnsi="Arial" w:cs="Arial"/>
          <w:bCs/>
          <w:sz w:val="21"/>
          <w:szCs w:val="21"/>
        </w:rPr>
        <w:t>元</w:t>
      </w:r>
      <w:r>
        <w:rPr>
          <w:rFonts w:cs="Arial" w:ascii="Arial" w:hAnsi="Arial"/>
          <w:bCs/>
          <w:sz w:val="21"/>
          <w:szCs w:val="21"/>
        </w:rPr>
        <w:t>/</w:t>
      </w:r>
      <w:r>
        <w:rPr>
          <w:rFonts w:ascii="Arial" w:hAnsi="Arial" w:cs="Arial"/>
          <w:bCs/>
          <w:sz w:val="21"/>
          <w:szCs w:val="21"/>
        </w:rPr>
        <w:t>㎡（含全装修费用）。购房人产权份额比例为</w:t>
      </w:r>
      <w:r>
        <w:rPr>
          <w:rFonts w:cs="Arial" w:ascii="Arial" w:hAnsi="Arial"/>
          <w:bCs/>
          <w:sz w:val="21"/>
          <w:szCs w:val="21"/>
        </w:rPr>
        <w:t>85%</w:t>
      </w:r>
      <w:r>
        <w:rPr>
          <w:rFonts w:ascii="Arial" w:hAnsi="Arial" w:cs="Arial"/>
          <w:bCs/>
          <w:sz w:val="21"/>
          <w:szCs w:val="21"/>
        </w:rPr>
        <w:t>，北京市门头沟区保障房建设投资管理公司（政府产权份额代持机构）持有剩余</w:t>
      </w:r>
      <w:r>
        <w:rPr>
          <w:rFonts w:cs="Arial" w:ascii="Arial" w:hAnsi="Arial"/>
          <w:bCs/>
          <w:sz w:val="21"/>
          <w:szCs w:val="21"/>
        </w:rPr>
        <w:t>15%</w:t>
      </w:r>
      <w:r>
        <w:rPr>
          <w:rFonts w:ascii="Arial" w:hAnsi="Arial" w:cs="Arial"/>
          <w:bCs/>
          <w:sz w:val="21"/>
          <w:szCs w:val="21"/>
        </w:rPr>
        <w:t>份额。</w:t>
      </w:r>
    </w:p>
    <w:p>
      <w:pPr>
        <w:pStyle w:val="Normal"/>
        <w:spacing w:lineRule="auto" w:line="480"/>
        <w:ind w:firstLine="424"/>
        <w:jc w:val="both"/>
        <w:rPr>
          <w:rFonts w:ascii="Arial" w:hAnsi="Arial" w:cs="Arial"/>
          <w:bCs/>
          <w:sz w:val="21"/>
          <w:szCs w:val="21"/>
        </w:rPr>
      </w:pPr>
      <w:r>
        <w:rPr>
          <w:rFonts w:ascii="Arial" w:hAnsi="Arial" w:cs="Arial"/>
          <w:bCs/>
          <w:sz w:val="21"/>
          <w:szCs w:val="21"/>
        </w:rPr>
        <w:t>顺义区后沙峪镇</w:t>
      </w:r>
      <w:r>
        <w:rPr>
          <w:rFonts w:cs="Arial" w:ascii="Arial" w:hAnsi="Arial"/>
          <w:bCs/>
          <w:sz w:val="21"/>
          <w:szCs w:val="21"/>
        </w:rPr>
        <w:t>SY00-0019-6001</w:t>
      </w:r>
      <w:r>
        <w:rPr>
          <w:rFonts w:ascii="Arial" w:hAnsi="Arial" w:cs="Arial"/>
          <w:bCs/>
          <w:sz w:val="21"/>
          <w:szCs w:val="21"/>
        </w:rPr>
        <w:t>、</w:t>
      </w:r>
      <w:r>
        <w:rPr>
          <w:rFonts w:cs="Arial" w:ascii="Arial" w:hAnsi="Arial"/>
          <w:bCs/>
          <w:sz w:val="21"/>
          <w:szCs w:val="21"/>
        </w:rPr>
        <w:t>6003</w:t>
      </w:r>
      <w:r>
        <w:rPr>
          <w:rFonts w:ascii="Arial" w:hAnsi="Arial" w:cs="Arial"/>
          <w:bCs/>
          <w:sz w:val="21"/>
          <w:szCs w:val="21"/>
        </w:rPr>
        <w:t>地块</w:t>
      </w:r>
      <w:r>
        <w:rPr>
          <w:rFonts w:cs="Arial" w:ascii="Arial" w:hAnsi="Arial"/>
          <w:bCs/>
          <w:sz w:val="21"/>
          <w:szCs w:val="21"/>
        </w:rPr>
        <w:t>(</w:t>
      </w:r>
      <w:r>
        <w:rPr>
          <w:rFonts w:ascii="Arial" w:hAnsi="Arial" w:cs="Arial"/>
          <w:bCs/>
          <w:sz w:val="21"/>
          <w:szCs w:val="21"/>
        </w:rPr>
        <w:t>博裕雅苑项目</w:t>
      </w:r>
      <w:r>
        <w:rPr>
          <w:rFonts w:cs="Arial" w:ascii="Arial" w:hAnsi="Arial"/>
          <w:bCs/>
          <w:sz w:val="21"/>
          <w:szCs w:val="21"/>
        </w:rPr>
        <w:t>)</w:t>
      </w:r>
      <w:r>
        <w:rPr>
          <w:rFonts w:ascii="Arial" w:hAnsi="Arial" w:cs="Arial"/>
          <w:bCs/>
          <w:sz w:val="21"/>
          <w:szCs w:val="21"/>
        </w:rPr>
        <w:t>共有产权住房项目位于顺义区后沙峪镇，项目四至为：北至安富街；西至天北路，地块中间马头庄路；东至裕丰北路</w:t>
      </w:r>
      <w:r>
        <w:rPr>
          <w:rFonts w:cs="Arial" w:ascii="Arial" w:hAnsi="Arial"/>
          <w:bCs/>
          <w:sz w:val="21"/>
          <w:szCs w:val="21"/>
        </w:rPr>
        <w:t>(</w:t>
      </w:r>
      <w:r>
        <w:rPr>
          <w:rFonts w:ascii="Arial" w:hAnsi="Arial" w:cs="Arial"/>
          <w:bCs/>
          <w:sz w:val="21"/>
          <w:szCs w:val="21"/>
        </w:rPr>
        <w:t>为规划道路</w:t>
      </w:r>
      <w:r>
        <w:rPr>
          <w:rFonts w:cs="Arial" w:ascii="Arial" w:hAnsi="Arial"/>
          <w:bCs/>
          <w:sz w:val="21"/>
          <w:szCs w:val="21"/>
        </w:rPr>
        <w:t>)</w:t>
      </w:r>
      <w:r>
        <w:rPr>
          <w:rFonts w:ascii="Arial" w:hAnsi="Arial" w:cs="Arial"/>
          <w:bCs/>
          <w:sz w:val="21"/>
          <w:szCs w:val="21"/>
        </w:rPr>
        <w:t>、南至双峪北街</w:t>
      </w:r>
      <w:r>
        <w:rPr>
          <w:rFonts w:cs="Arial" w:ascii="Arial" w:hAnsi="Arial"/>
          <w:bCs/>
          <w:sz w:val="21"/>
          <w:szCs w:val="21"/>
        </w:rPr>
        <w:t>(</w:t>
      </w:r>
      <w:r>
        <w:rPr>
          <w:rFonts w:ascii="Arial" w:hAnsi="Arial" w:cs="Arial"/>
          <w:bCs/>
          <w:sz w:val="21"/>
          <w:szCs w:val="21"/>
        </w:rPr>
        <w:t>为规划道路</w:t>
      </w:r>
      <w:r>
        <w:rPr>
          <w:rFonts w:cs="Arial" w:ascii="Arial" w:hAnsi="Arial"/>
          <w:bCs/>
          <w:sz w:val="21"/>
          <w:szCs w:val="21"/>
        </w:rPr>
        <w:t>)</w:t>
      </w:r>
      <w:r>
        <w:rPr>
          <w:rFonts w:ascii="Arial" w:hAnsi="Arial" w:cs="Arial"/>
          <w:bCs/>
          <w:sz w:val="21"/>
          <w:szCs w:val="21"/>
        </w:rPr>
        <w:t>。共有产权房房源共计</w:t>
      </w:r>
      <w:r>
        <w:rPr>
          <w:rFonts w:cs="Arial" w:ascii="Arial" w:hAnsi="Arial"/>
          <w:bCs/>
          <w:sz w:val="21"/>
          <w:szCs w:val="21"/>
        </w:rPr>
        <w:t>2952</w:t>
      </w:r>
      <w:r>
        <w:rPr>
          <w:rFonts w:ascii="Arial" w:hAnsi="Arial" w:cs="Arial"/>
          <w:bCs/>
          <w:sz w:val="21"/>
          <w:szCs w:val="21"/>
        </w:rPr>
        <w:t>套，其中，约</w:t>
      </w:r>
      <w:r>
        <w:rPr>
          <w:rFonts w:cs="Arial" w:ascii="Arial" w:hAnsi="Arial"/>
          <w:bCs/>
          <w:sz w:val="21"/>
          <w:szCs w:val="21"/>
        </w:rPr>
        <w:t>50</w:t>
      </w:r>
      <w:r>
        <w:rPr>
          <w:rFonts w:ascii="Arial" w:hAnsi="Arial" w:cs="Arial"/>
          <w:bCs/>
          <w:sz w:val="21"/>
          <w:szCs w:val="21"/>
        </w:rPr>
        <w:t>㎡一居</w:t>
      </w:r>
      <w:r>
        <w:rPr>
          <w:rFonts w:cs="Arial" w:ascii="Arial" w:hAnsi="Arial"/>
          <w:bCs/>
          <w:sz w:val="21"/>
          <w:szCs w:val="21"/>
        </w:rPr>
        <w:t>16</w:t>
      </w:r>
      <w:r>
        <w:rPr>
          <w:rFonts w:ascii="Arial" w:hAnsi="Arial" w:cs="Arial"/>
          <w:bCs/>
          <w:sz w:val="21"/>
          <w:szCs w:val="21"/>
        </w:rPr>
        <w:t>套、约</w:t>
      </w:r>
      <w:r>
        <w:rPr>
          <w:rFonts w:cs="Arial" w:ascii="Arial" w:hAnsi="Arial"/>
          <w:bCs/>
          <w:sz w:val="21"/>
          <w:szCs w:val="21"/>
        </w:rPr>
        <w:t>80</w:t>
      </w:r>
      <w:r>
        <w:rPr>
          <w:rFonts w:ascii="Arial" w:hAnsi="Arial" w:cs="Arial"/>
          <w:bCs/>
          <w:sz w:val="21"/>
          <w:szCs w:val="21"/>
        </w:rPr>
        <w:t>㎡两居</w:t>
      </w:r>
      <w:r>
        <w:rPr>
          <w:rFonts w:cs="Arial" w:ascii="Arial" w:hAnsi="Arial"/>
          <w:bCs/>
          <w:sz w:val="21"/>
          <w:szCs w:val="21"/>
        </w:rPr>
        <w:t>2667</w:t>
      </w:r>
      <w:r>
        <w:rPr>
          <w:rFonts w:ascii="Arial" w:hAnsi="Arial" w:cs="Arial"/>
          <w:bCs/>
          <w:sz w:val="21"/>
          <w:szCs w:val="21"/>
        </w:rPr>
        <w:t>套、约</w:t>
      </w:r>
      <w:r>
        <w:rPr>
          <w:rFonts w:cs="Arial" w:ascii="Arial" w:hAnsi="Arial"/>
          <w:bCs/>
          <w:sz w:val="21"/>
          <w:szCs w:val="21"/>
        </w:rPr>
        <w:t>100</w:t>
      </w:r>
      <w:r>
        <w:rPr>
          <w:rFonts w:ascii="Arial" w:hAnsi="Arial" w:cs="Arial"/>
          <w:bCs/>
          <w:sz w:val="21"/>
          <w:szCs w:val="21"/>
        </w:rPr>
        <w:t>㎡三居</w:t>
      </w:r>
      <w:r>
        <w:rPr>
          <w:rFonts w:cs="Arial" w:ascii="Arial" w:hAnsi="Arial"/>
          <w:bCs/>
          <w:sz w:val="21"/>
          <w:szCs w:val="21"/>
        </w:rPr>
        <w:t>269</w:t>
      </w:r>
      <w:r>
        <w:rPr>
          <w:rFonts w:ascii="Arial" w:hAnsi="Arial" w:cs="Arial"/>
          <w:bCs/>
          <w:sz w:val="21"/>
          <w:szCs w:val="21"/>
        </w:rPr>
        <w:t>套。销售均价</w:t>
      </w:r>
      <w:r>
        <w:rPr>
          <w:rFonts w:cs="Arial" w:ascii="Arial" w:hAnsi="Arial"/>
          <w:bCs/>
          <w:sz w:val="21"/>
          <w:szCs w:val="21"/>
        </w:rPr>
        <w:t>23000</w:t>
      </w:r>
      <w:r>
        <w:rPr>
          <w:rFonts w:ascii="Arial" w:hAnsi="Arial" w:cs="Arial"/>
          <w:bCs/>
          <w:sz w:val="21"/>
          <w:szCs w:val="21"/>
        </w:rPr>
        <w:t>元</w:t>
      </w:r>
      <w:r>
        <w:rPr>
          <w:rFonts w:cs="Arial" w:ascii="Arial" w:hAnsi="Arial"/>
          <w:bCs/>
          <w:sz w:val="21"/>
          <w:szCs w:val="21"/>
        </w:rPr>
        <w:t>/</w:t>
      </w:r>
      <w:r>
        <w:rPr>
          <w:rFonts w:ascii="Arial" w:hAnsi="Arial" w:cs="Arial"/>
          <w:bCs/>
          <w:sz w:val="21"/>
          <w:szCs w:val="21"/>
        </w:rPr>
        <w:t>㎡（含全装修费用）。购房人产权份额比例为</w:t>
      </w:r>
      <w:r>
        <w:rPr>
          <w:rFonts w:cs="Arial" w:ascii="Arial" w:hAnsi="Arial"/>
          <w:bCs/>
          <w:sz w:val="21"/>
          <w:szCs w:val="21"/>
        </w:rPr>
        <w:t>55%</w:t>
      </w:r>
      <w:r>
        <w:rPr>
          <w:rFonts w:ascii="Arial" w:hAnsi="Arial" w:cs="Arial"/>
          <w:bCs/>
          <w:sz w:val="21"/>
          <w:szCs w:val="21"/>
        </w:rPr>
        <w:t>，北京市顺义区燕顺保障性住房投资有限公司</w:t>
      </w:r>
      <w:r>
        <w:rPr>
          <w:rFonts w:cs="Arial" w:ascii="Arial" w:hAnsi="Arial"/>
          <w:bCs/>
          <w:sz w:val="21"/>
          <w:szCs w:val="21"/>
        </w:rPr>
        <w:t>(</w:t>
      </w:r>
      <w:r>
        <w:rPr>
          <w:rFonts w:ascii="Arial" w:hAnsi="Arial" w:cs="Arial"/>
          <w:bCs/>
          <w:sz w:val="21"/>
          <w:szCs w:val="21"/>
        </w:rPr>
        <w:t>政府产权份额代持机构</w:t>
      </w:r>
      <w:r>
        <w:rPr>
          <w:rFonts w:cs="Arial" w:ascii="Arial" w:hAnsi="Arial"/>
          <w:bCs/>
          <w:sz w:val="21"/>
          <w:szCs w:val="21"/>
        </w:rPr>
        <w:t>)</w:t>
      </w:r>
      <w:r>
        <w:rPr>
          <w:rFonts w:ascii="Arial" w:hAnsi="Arial" w:cs="Arial"/>
          <w:bCs/>
          <w:sz w:val="21"/>
          <w:szCs w:val="21"/>
        </w:rPr>
        <w:t>持有</w:t>
      </w:r>
      <w:r>
        <w:rPr>
          <w:rFonts w:cs="Arial" w:ascii="Arial" w:hAnsi="Arial"/>
          <w:bCs/>
          <w:sz w:val="21"/>
          <w:szCs w:val="21"/>
        </w:rPr>
        <w:t>45%</w:t>
      </w:r>
      <w:r>
        <w:rPr>
          <w:rFonts w:ascii="Arial" w:hAnsi="Arial" w:cs="Arial"/>
          <w:bCs/>
          <w:sz w:val="21"/>
          <w:szCs w:val="21"/>
        </w:rPr>
        <w:t>份额。</w:t>
      </w:r>
    </w:p>
    <w:p>
      <w:pPr>
        <w:pStyle w:val="Normal"/>
        <w:spacing w:lineRule="auto" w:line="480"/>
        <w:ind w:firstLine="424"/>
        <w:jc w:val="both"/>
        <w:rPr>
          <w:rFonts w:ascii="Arial" w:hAnsi="Arial" w:cs="Arial"/>
          <w:bCs/>
          <w:sz w:val="21"/>
          <w:szCs w:val="21"/>
        </w:rPr>
      </w:pPr>
      <w:r>
        <w:rPr>
          <w:rFonts w:ascii="Arial" w:hAnsi="Arial" w:cs="Arial"/>
          <w:bCs/>
          <w:sz w:val="21"/>
          <w:szCs w:val="21"/>
        </w:rPr>
        <w:t>丰台区晟泽嘉园共有产权住房项目位于北京市丰台区卢沟桥乡周庄子村，东临规划七里庄中街、南临规划七里庄路、西临规划丰台站北路、北临丰华苑西街</w:t>
      </w:r>
      <w:r>
        <w:rPr>
          <w:rFonts w:cs="Arial" w:ascii="Arial" w:hAnsi="Arial"/>
          <w:bCs/>
          <w:sz w:val="21"/>
          <w:szCs w:val="21"/>
        </w:rPr>
        <w:t>8</w:t>
      </w:r>
      <w:r>
        <w:rPr>
          <w:rFonts w:ascii="Arial" w:hAnsi="Arial" w:cs="Arial"/>
          <w:bCs/>
          <w:sz w:val="21"/>
          <w:szCs w:val="21"/>
        </w:rPr>
        <w:t>号院。共有产权房套数共</w:t>
      </w:r>
      <w:r>
        <w:rPr>
          <w:rFonts w:cs="Arial" w:ascii="Arial" w:hAnsi="Arial"/>
          <w:bCs/>
          <w:sz w:val="21"/>
          <w:szCs w:val="21"/>
        </w:rPr>
        <w:t>319</w:t>
      </w:r>
      <w:r>
        <w:rPr>
          <w:rFonts w:ascii="Arial" w:hAnsi="Arial" w:cs="Arial"/>
          <w:bCs/>
          <w:sz w:val="21"/>
          <w:szCs w:val="21"/>
        </w:rPr>
        <w:t>套，其中，二居室</w:t>
      </w:r>
      <w:r>
        <w:rPr>
          <w:rFonts w:cs="Arial" w:ascii="Arial" w:hAnsi="Arial"/>
          <w:bCs/>
          <w:sz w:val="21"/>
          <w:szCs w:val="21"/>
        </w:rPr>
        <w:t>111</w:t>
      </w:r>
      <w:r>
        <w:rPr>
          <w:rFonts w:ascii="Arial" w:hAnsi="Arial" w:cs="Arial"/>
          <w:bCs/>
          <w:sz w:val="21"/>
          <w:szCs w:val="21"/>
        </w:rPr>
        <w:t>套，建筑面积约</w:t>
      </w:r>
      <w:r>
        <w:rPr>
          <w:rFonts w:cs="Arial" w:ascii="Arial" w:hAnsi="Arial"/>
          <w:bCs/>
          <w:sz w:val="21"/>
          <w:szCs w:val="21"/>
        </w:rPr>
        <w:t>78-80</w:t>
      </w:r>
      <w:r>
        <w:rPr>
          <w:rFonts w:ascii="Arial" w:hAnsi="Arial" w:cs="Arial"/>
          <w:bCs/>
          <w:sz w:val="21"/>
          <w:szCs w:val="21"/>
        </w:rPr>
        <w:t>平方米；三居室</w:t>
      </w:r>
      <w:r>
        <w:rPr>
          <w:rFonts w:cs="Arial" w:ascii="Arial" w:hAnsi="Arial"/>
          <w:bCs/>
          <w:sz w:val="21"/>
          <w:szCs w:val="21"/>
        </w:rPr>
        <w:t>208</w:t>
      </w:r>
      <w:r>
        <w:rPr>
          <w:rFonts w:ascii="Arial" w:hAnsi="Arial" w:cs="Arial"/>
          <w:bCs/>
          <w:sz w:val="21"/>
          <w:szCs w:val="21"/>
        </w:rPr>
        <w:t>套，建筑面积约</w:t>
      </w:r>
      <w:r>
        <w:rPr>
          <w:rFonts w:cs="Arial" w:ascii="Arial" w:hAnsi="Arial"/>
          <w:bCs/>
          <w:sz w:val="21"/>
          <w:szCs w:val="21"/>
        </w:rPr>
        <w:t>88-89</w:t>
      </w:r>
      <w:r>
        <w:rPr>
          <w:rFonts w:ascii="Arial" w:hAnsi="Arial" w:cs="Arial"/>
          <w:bCs/>
          <w:sz w:val="21"/>
          <w:szCs w:val="21"/>
        </w:rPr>
        <w:t>平方米。销售价格为</w:t>
      </w:r>
      <w:r>
        <w:rPr>
          <w:rFonts w:cs="Arial" w:ascii="Arial" w:hAnsi="Arial"/>
          <w:bCs/>
          <w:sz w:val="21"/>
          <w:szCs w:val="21"/>
        </w:rPr>
        <w:t>43000</w:t>
      </w:r>
      <w:r>
        <w:rPr>
          <w:rFonts w:ascii="Arial" w:hAnsi="Arial" w:cs="Arial"/>
          <w:bCs/>
          <w:sz w:val="21"/>
          <w:szCs w:val="21"/>
        </w:rPr>
        <w:t>元</w:t>
      </w:r>
      <w:r>
        <w:rPr>
          <w:rFonts w:cs="Arial" w:ascii="Arial" w:hAnsi="Arial"/>
          <w:bCs/>
          <w:sz w:val="21"/>
          <w:szCs w:val="21"/>
        </w:rPr>
        <w:t>/</w:t>
      </w:r>
      <w:r>
        <w:rPr>
          <w:rFonts w:ascii="Arial" w:hAnsi="Arial" w:cs="Arial"/>
          <w:bCs/>
          <w:sz w:val="21"/>
          <w:szCs w:val="21"/>
        </w:rPr>
        <w:t>平方米，全装修交房。购房人产权份额比例为</w:t>
      </w:r>
      <w:r>
        <w:rPr>
          <w:rFonts w:cs="Arial" w:ascii="Arial" w:hAnsi="Arial"/>
          <w:bCs/>
          <w:sz w:val="21"/>
          <w:szCs w:val="21"/>
        </w:rPr>
        <w:t>70%</w:t>
      </w:r>
      <w:r>
        <w:rPr>
          <w:rFonts w:ascii="Arial" w:hAnsi="Arial" w:cs="Arial"/>
          <w:bCs/>
          <w:sz w:val="21"/>
          <w:szCs w:val="21"/>
        </w:rPr>
        <w:t>，北京市丰台区保障性住房发展有限公司（政府产权份额代持机构）持有剩余</w:t>
      </w:r>
      <w:r>
        <w:rPr>
          <w:rFonts w:cs="Arial" w:ascii="Arial" w:hAnsi="Arial"/>
          <w:bCs/>
          <w:sz w:val="21"/>
          <w:szCs w:val="21"/>
        </w:rPr>
        <w:t>30%</w:t>
      </w:r>
      <w:r>
        <w:rPr>
          <w:rFonts w:ascii="Arial" w:hAnsi="Arial" w:cs="Arial"/>
          <w:bCs/>
          <w:sz w:val="21"/>
          <w:szCs w:val="21"/>
        </w:rPr>
        <w:t>份额。</w:t>
      </w:r>
    </w:p>
    <w:p>
      <w:pPr>
        <w:pStyle w:val="Normal"/>
        <w:spacing w:lineRule="auto" w:line="480"/>
        <w:ind w:firstLine="424"/>
        <w:jc w:val="both"/>
        <w:rPr>
          <w:rFonts w:ascii="Arial" w:hAnsi="Arial" w:cs="Arial"/>
          <w:bCs/>
          <w:sz w:val="21"/>
          <w:szCs w:val="21"/>
        </w:rPr>
      </w:pPr>
      <w:r>
        <w:rPr>
          <w:rFonts w:ascii="Arial" w:hAnsi="Arial" w:cs="Arial"/>
          <w:bCs/>
          <w:sz w:val="21"/>
          <w:szCs w:val="21"/>
        </w:rPr>
        <w:t>昌平区未来慧园项目位于昌平区北七家镇未来科学城南区</w:t>
      </w:r>
      <w:r>
        <w:rPr>
          <w:rFonts w:cs="Arial" w:ascii="Arial" w:hAnsi="Arial"/>
          <w:bCs/>
          <w:sz w:val="21"/>
          <w:szCs w:val="21"/>
        </w:rPr>
        <w:t>C-16</w:t>
      </w:r>
      <w:r>
        <w:rPr>
          <w:rFonts w:ascii="Arial" w:hAnsi="Arial" w:cs="Arial"/>
          <w:bCs/>
          <w:sz w:val="21"/>
          <w:szCs w:val="21"/>
        </w:rPr>
        <w:t>地块</w:t>
      </w:r>
      <w:r>
        <w:rPr>
          <w:rFonts w:cs="Arial" w:ascii="Arial" w:hAnsi="Arial"/>
          <w:bCs/>
          <w:sz w:val="21"/>
          <w:szCs w:val="21"/>
        </w:rPr>
        <w:t>R2</w:t>
      </w:r>
      <w:r>
        <w:rPr>
          <w:rFonts w:ascii="Arial" w:hAnsi="Arial" w:cs="Arial"/>
          <w:bCs/>
          <w:sz w:val="21"/>
          <w:szCs w:val="21"/>
        </w:rPr>
        <w:t>二类居住用地，项目四至：东至鲁疃东路，南至英才南二街，西至鲁疃路，北至英才南一街。共有产权房套数共</w:t>
      </w:r>
      <w:r>
        <w:rPr>
          <w:rFonts w:cs="Arial" w:ascii="Arial" w:hAnsi="Arial"/>
          <w:bCs/>
          <w:sz w:val="21"/>
          <w:szCs w:val="21"/>
        </w:rPr>
        <w:t>1061</w:t>
      </w:r>
      <w:r>
        <w:rPr>
          <w:rFonts w:ascii="Arial" w:hAnsi="Arial" w:cs="Arial"/>
          <w:bCs/>
          <w:sz w:val="21"/>
          <w:szCs w:val="21"/>
        </w:rPr>
        <w:t>套，其中二居室</w:t>
      </w:r>
      <w:r>
        <w:rPr>
          <w:rFonts w:cs="Arial" w:ascii="Arial" w:hAnsi="Arial"/>
          <w:bCs/>
          <w:sz w:val="21"/>
          <w:szCs w:val="21"/>
        </w:rPr>
        <w:t>809</w:t>
      </w:r>
      <w:r>
        <w:rPr>
          <w:rFonts w:ascii="Arial" w:hAnsi="Arial" w:cs="Arial"/>
          <w:bCs/>
          <w:sz w:val="21"/>
          <w:szCs w:val="21"/>
        </w:rPr>
        <w:t>套，建筑面积约</w:t>
      </w:r>
      <w:r>
        <w:rPr>
          <w:rFonts w:cs="Arial" w:ascii="Arial" w:hAnsi="Arial"/>
          <w:bCs/>
          <w:sz w:val="21"/>
          <w:szCs w:val="21"/>
        </w:rPr>
        <w:t>88</w:t>
      </w:r>
      <w:r>
        <w:rPr>
          <w:rFonts w:ascii="Arial" w:hAnsi="Arial" w:cs="Arial"/>
          <w:bCs/>
          <w:sz w:val="21"/>
          <w:szCs w:val="21"/>
        </w:rPr>
        <w:t>平方米；三居室</w:t>
      </w:r>
      <w:r>
        <w:rPr>
          <w:rFonts w:cs="Arial" w:ascii="Arial" w:hAnsi="Arial"/>
          <w:bCs/>
          <w:sz w:val="21"/>
          <w:szCs w:val="21"/>
        </w:rPr>
        <w:t>252</w:t>
      </w:r>
      <w:r>
        <w:rPr>
          <w:rFonts w:ascii="Arial" w:hAnsi="Arial" w:cs="Arial"/>
          <w:bCs/>
          <w:sz w:val="21"/>
          <w:szCs w:val="21"/>
        </w:rPr>
        <w:t>套，建筑面积约</w:t>
      </w:r>
      <w:r>
        <w:rPr>
          <w:rFonts w:cs="Arial" w:ascii="Arial" w:hAnsi="Arial"/>
          <w:bCs/>
          <w:sz w:val="21"/>
          <w:szCs w:val="21"/>
        </w:rPr>
        <w:t>119</w:t>
      </w:r>
      <w:r>
        <w:rPr>
          <w:rFonts w:ascii="Arial" w:hAnsi="Arial" w:cs="Arial"/>
          <w:bCs/>
          <w:sz w:val="21"/>
          <w:szCs w:val="21"/>
        </w:rPr>
        <w:t>平方米销售价格为</w:t>
      </w:r>
      <w:r>
        <w:rPr>
          <w:rFonts w:cs="Arial" w:ascii="Arial" w:hAnsi="Arial"/>
          <w:bCs/>
          <w:sz w:val="21"/>
          <w:szCs w:val="21"/>
        </w:rPr>
        <w:t>32000</w:t>
      </w:r>
      <w:r>
        <w:rPr>
          <w:rFonts w:ascii="Arial" w:hAnsi="Arial" w:cs="Arial"/>
          <w:bCs/>
          <w:sz w:val="21"/>
          <w:szCs w:val="21"/>
        </w:rPr>
        <w:t>元</w:t>
      </w:r>
      <w:r>
        <w:rPr>
          <w:rFonts w:cs="Arial" w:ascii="Arial" w:hAnsi="Arial"/>
          <w:bCs/>
          <w:sz w:val="21"/>
          <w:szCs w:val="21"/>
        </w:rPr>
        <w:t>/</w:t>
      </w:r>
      <w:r>
        <w:rPr>
          <w:rFonts w:ascii="Arial" w:hAnsi="Arial" w:cs="Arial"/>
          <w:bCs/>
          <w:sz w:val="21"/>
          <w:szCs w:val="21"/>
        </w:rPr>
        <w:t>平方米，全装修交房。购房人产权份额比例为</w:t>
      </w:r>
      <w:r>
        <w:rPr>
          <w:rFonts w:cs="Arial" w:ascii="Arial" w:hAnsi="Arial"/>
          <w:bCs/>
          <w:sz w:val="21"/>
          <w:szCs w:val="21"/>
        </w:rPr>
        <w:t>70%</w:t>
      </w:r>
      <w:r>
        <w:rPr>
          <w:rFonts w:ascii="Arial" w:hAnsi="Arial" w:cs="Arial"/>
          <w:bCs/>
          <w:sz w:val="21"/>
          <w:szCs w:val="21"/>
        </w:rPr>
        <w:t>，北京市昌平保障房建设投资管理有限公司</w:t>
      </w:r>
      <w:r>
        <w:rPr>
          <w:rFonts w:cs="Arial" w:ascii="Arial" w:hAnsi="Arial"/>
          <w:bCs/>
          <w:sz w:val="21"/>
          <w:szCs w:val="21"/>
        </w:rPr>
        <w:t>(</w:t>
      </w:r>
      <w:r>
        <w:rPr>
          <w:rFonts w:ascii="Arial" w:hAnsi="Arial" w:cs="Arial"/>
          <w:bCs/>
          <w:sz w:val="21"/>
          <w:szCs w:val="21"/>
        </w:rPr>
        <w:t>政府产权份额代持机构</w:t>
      </w:r>
      <w:r>
        <w:rPr>
          <w:rFonts w:cs="Arial" w:ascii="Arial" w:hAnsi="Arial"/>
          <w:bCs/>
          <w:sz w:val="21"/>
          <w:szCs w:val="21"/>
        </w:rPr>
        <w:t>)</w:t>
      </w:r>
      <w:r>
        <w:rPr>
          <w:rFonts w:ascii="Arial" w:hAnsi="Arial" w:cs="Arial"/>
          <w:bCs/>
          <w:sz w:val="21"/>
          <w:szCs w:val="21"/>
        </w:rPr>
        <w:t>持有剩余</w:t>
      </w:r>
      <w:r>
        <w:rPr>
          <w:rFonts w:cs="Arial" w:ascii="Arial" w:hAnsi="Arial"/>
          <w:bCs/>
          <w:sz w:val="21"/>
          <w:szCs w:val="21"/>
        </w:rPr>
        <w:t>30%</w:t>
      </w:r>
      <w:r>
        <w:rPr>
          <w:rFonts w:ascii="Arial" w:hAnsi="Arial" w:cs="Arial"/>
          <w:bCs/>
          <w:sz w:val="21"/>
          <w:szCs w:val="21"/>
        </w:rPr>
        <w:t>份额。</w:t>
      </w:r>
    </w:p>
    <w:p>
      <w:pPr>
        <w:pStyle w:val="Normal"/>
        <w:spacing w:lineRule="auto" w:line="480"/>
        <w:ind w:firstLine="424"/>
        <w:jc w:val="both"/>
        <w:rPr>
          <w:rFonts w:ascii="Arial" w:hAnsi="Arial" w:cs="Arial"/>
          <w:bCs/>
          <w:sz w:val="21"/>
          <w:szCs w:val="21"/>
        </w:rPr>
      </w:pPr>
      <w:r>
        <w:rPr>
          <w:rFonts w:ascii="Arial" w:hAnsi="Arial" w:cs="Arial"/>
          <w:bCs/>
          <w:sz w:val="21"/>
          <w:szCs w:val="21"/>
        </w:rPr>
        <w:t>平谷区晟贤悦府项目位于平谷区马昌营镇东北部，项目四至为：东至沥青厂用地范围的东边线，南至高压线防护绿地的南边线，西至马昌营镇经三路，北至顺平路。共有产权房套数共</w:t>
      </w:r>
      <w:r>
        <w:rPr>
          <w:rFonts w:cs="Arial" w:ascii="Arial" w:hAnsi="Arial"/>
          <w:bCs/>
          <w:sz w:val="21"/>
          <w:szCs w:val="21"/>
        </w:rPr>
        <w:t>852</w:t>
      </w:r>
      <w:r>
        <w:rPr>
          <w:rFonts w:ascii="Arial" w:hAnsi="Arial" w:cs="Arial"/>
          <w:bCs/>
          <w:sz w:val="21"/>
          <w:szCs w:val="21"/>
        </w:rPr>
        <w:t>套，其中</w:t>
      </w:r>
      <w:r>
        <w:rPr>
          <w:rFonts w:cs="Arial" w:ascii="Arial" w:hAnsi="Arial"/>
          <w:bCs/>
          <w:sz w:val="21"/>
          <w:szCs w:val="21"/>
        </w:rPr>
        <w:t>82</w:t>
      </w:r>
      <w:r>
        <w:rPr>
          <w:rFonts w:ascii="Arial" w:hAnsi="Arial" w:cs="Arial"/>
          <w:bCs/>
          <w:sz w:val="21"/>
          <w:szCs w:val="21"/>
        </w:rPr>
        <w:t>㎡二居共</w:t>
      </w:r>
      <w:r>
        <w:rPr>
          <w:rFonts w:cs="Arial" w:ascii="Arial" w:hAnsi="Arial"/>
          <w:bCs/>
          <w:sz w:val="21"/>
          <w:szCs w:val="21"/>
        </w:rPr>
        <w:t>190</w:t>
      </w:r>
      <w:r>
        <w:rPr>
          <w:rFonts w:ascii="Arial" w:hAnsi="Arial" w:cs="Arial"/>
          <w:bCs/>
          <w:sz w:val="21"/>
          <w:szCs w:val="21"/>
        </w:rPr>
        <w:t>套、</w:t>
      </w:r>
      <w:r>
        <w:rPr>
          <w:rFonts w:cs="Arial" w:ascii="Arial" w:hAnsi="Arial"/>
          <w:bCs/>
          <w:sz w:val="21"/>
          <w:szCs w:val="21"/>
        </w:rPr>
        <w:t>84</w:t>
      </w:r>
      <w:r>
        <w:rPr>
          <w:rFonts w:ascii="Arial" w:hAnsi="Arial" w:cs="Arial"/>
          <w:bCs/>
          <w:sz w:val="21"/>
          <w:szCs w:val="21"/>
        </w:rPr>
        <w:t>㎡二居共</w:t>
      </w:r>
      <w:r>
        <w:rPr>
          <w:rFonts w:cs="Arial" w:ascii="Arial" w:hAnsi="Arial"/>
          <w:bCs/>
          <w:sz w:val="21"/>
          <w:szCs w:val="21"/>
        </w:rPr>
        <w:t>379</w:t>
      </w:r>
      <w:r>
        <w:rPr>
          <w:rFonts w:ascii="Arial" w:hAnsi="Arial" w:cs="Arial"/>
          <w:bCs/>
          <w:sz w:val="21"/>
          <w:szCs w:val="21"/>
        </w:rPr>
        <w:t>套、</w:t>
      </w:r>
      <w:r>
        <w:rPr>
          <w:rFonts w:cs="Arial" w:ascii="Arial" w:hAnsi="Arial"/>
          <w:bCs/>
          <w:sz w:val="21"/>
          <w:szCs w:val="21"/>
        </w:rPr>
        <w:t>88</w:t>
      </w:r>
      <w:r>
        <w:rPr>
          <w:rFonts w:ascii="Arial" w:hAnsi="Arial" w:cs="Arial"/>
          <w:bCs/>
          <w:sz w:val="21"/>
          <w:szCs w:val="21"/>
        </w:rPr>
        <w:t>㎡三居共</w:t>
      </w:r>
      <w:r>
        <w:rPr>
          <w:rFonts w:cs="Arial" w:ascii="Arial" w:hAnsi="Arial"/>
          <w:bCs/>
          <w:sz w:val="21"/>
          <w:szCs w:val="21"/>
        </w:rPr>
        <w:t>192</w:t>
      </w:r>
      <w:r>
        <w:rPr>
          <w:rFonts w:ascii="Arial" w:hAnsi="Arial" w:cs="Arial"/>
          <w:bCs/>
          <w:sz w:val="21"/>
          <w:szCs w:val="21"/>
        </w:rPr>
        <w:t>套、</w:t>
      </w:r>
      <w:r>
        <w:rPr>
          <w:rFonts w:cs="Arial" w:ascii="Arial" w:hAnsi="Arial"/>
          <w:bCs/>
          <w:sz w:val="21"/>
          <w:szCs w:val="21"/>
        </w:rPr>
        <w:t>110</w:t>
      </w:r>
      <w:r>
        <w:rPr>
          <w:rFonts w:ascii="Arial" w:hAnsi="Arial" w:cs="Arial"/>
          <w:bCs/>
          <w:sz w:val="21"/>
          <w:szCs w:val="21"/>
        </w:rPr>
        <w:t>㎡三居共</w:t>
      </w:r>
      <w:r>
        <w:rPr>
          <w:rFonts w:cs="Arial" w:ascii="Arial" w:hAnsi="Arial"/>
          <w:bCs/>
          <w:sz w:val="21"/>
          <w:szCs w:val="21"/>
        </w:rPr>
        <w:t>88</w:t>
      </w:r>
      <w:r>
        <w:rPr>
          <w:rFonts w:ascii="Arial" w:hAnsi="Arial" w:cs="Arial"/>
          <w:bCs/>
          <w:sz w:val="21"/>
          <w:szCs w:val="21"/>
        </w:rPr>
        <w:t>套、</w:t>
      </w:r>
      <w:r>
        <w:rPr>
          <w:rFonts w:cs="Arial" w:ascii="Arial" w:hAnsi="Arial"/>
          <w:bCs/>
          <w:sz w:val="21"/>
          <w:szCs w:val="21"/>
        </w:rPr>
        <w:t>122</w:t>
      </w:r>
      <w:r>
        <w:rPr>
          <w:rFonts w:ascii="Arial" w:hAnsi="Arial" w:cs="Arial"/>
          <w:bCs/>
          <w:sz w:val="21"/>
          <w:szCs w:val="21"/>
        </w:rPr>
        <w:t>㎡三居共</w:t>
      </w:r>
      <w:r>
        <w:rPr>
          <w:rFonts w:cs="Arial" w:ascii="Arial" w:hAnsi="Arial"/>
          <w:bCs/>
          <w:sz w:val="21"/>
          <w:szCs w:val="21"/>
        </w:rPr>
        <w:t>2</w:t>
      </w:r>
      <w:r>
        <w:rPr>
          <w:rFonts w:ascii="Arial" w:hAnsi="Arial" w:cs="Arial"/>
          <w:bCs/>
          <w:sz w:val="21"/>
          <w:szCs w:val="21"/>
        </w:rPr>
        <w:t>套、</w:t>
      </w:r>
      <w:r>
        <w:rPr>
          <w:rFonts w:cs="Arial" w:ascii="Arial" w:hAnsi="Arial"/>
          <w:bCs/>
          <w:sz w:val="21"/>
          <w:szCs w:val="21"/>
        </w:rPr>
        <w:t>127</w:t>
      </w:r>
      <w:r>
        <w:rPr>
          <w:rFonts w:ascii="Arial" w:hAnsi="Arial" w:cs="Arial"/>
          <w:bCs/>
          <w:sz w:val="21"/>
          <w:szCs w:val="21"/>
        </w:rPr>
        <w:t>㎡三居共</w:t>
      </w:r>
      <w:r>
        <w:rPr>
          <w:rFonts w:cs="Arial" w:ascii="Arial" w:hAnsi="Arial"/>
          <w:bCs/>
          <w:sz w:val="21"/>
          <w:szCs w:val="21"/>
        </w:rPr>
        <w:t>1</w:t>
      </w:r>
      <w:r>
        <w:rPr>
          <w:rFonts w:ascii="Arial" w:hAnsi="Arial" w:cs="Arial"/>
          <w:bCs/>
          <w:sz w:val="21"/>
          <w:szCs w:val="21"/>
        </w:rPr>
        <w:t>套。销售价格为</w:t>
      </w:r>
      <w:r>
        <w:rPr>
          <w:rFonts w:cs="Arial" w:ascii="Arial" w:hAnsi="Arial"/>
          <w:bCs/>
          <w:sz w:val="21"/>
          <w:szCs w:val="21"/>
        </w:rPr>
        <w:t>16500</w:t>
      </w:r>
      <w:r>
        <w:rPr>
          <w:rFonts w:ascii="Arial" w:hAnsi="Arial" w:cs="Arial"/>
          <w:bCs/>
          <w:sz w:val="21"/>
          <w:szCs w:val="21"/>
        </w:rPr>
        <w:t>元</w:t>
      </w:r>
      <w:r>
        <w:rPr>
          <w:rFonts w:cs="Arial" w:ascii="Arial" w:hAnsi="Arial"/>
          <w:bCs/>
          <w:sz w:val="21"/>
          <w:szCs w:val="21"/>
        </w:rPr>
        <w:t>/</w:t>
      </w:r>
      <w:r>
        <w:rPr>
          <w:rFonts w:ascii="Arial" w:hAnsi="Arial" w:cs="Arial"/>
          <w:bCs/>
          <w:sz w:val="21"/>
          <w:szCs w:val="21"/>
        </w:rPr>
        <w:t>平方米，全装修交房。购房人产权份额比例为</w:t>
      </w:r>
      <w:r>
        <w:rPr>
          <w:rFonts w:cs="Arial" w:ascii="Arial" w:hAnsi="Arial"/>
          <w:bCs/>
          <w:sz w:val="21"/>
          <w:szCs w:val="21"/>
        </w:rPr>
        <w:t>70%</w:t>
      </w:r>
      <w:r>
        <w:rPr>
          <w:rFonts w:ascii="Arial" w:hAnsi="Arial" w:cs="Arial"/>
          <w:bCs/>
          <w:sz w:val="21"/>
          <w:szCs w:val="21"/>
        </w:rPr>
        <w:t>，北京市燕谷保障性住房建设投资有限公司</w:t>
      </w:r>
      <w:r>
        <w:rPr>
          <w:rFonts w:cs="Arial" w:ascii="Arial" w:hAnsi="Arial"/>
          <w:bCs/>
          <w:sz w:val="21"/>
          <w:szCs w:val="21"/>
        </w:rPr>
        <w:t>(</w:t>
      </w:r>
      <w:r>
        <w:rPr>
          <w:rFonts w:ascii="Arial" w:hAnsi="Arial" w:cs="Arial"/>
          <w:bCs/>
          <w:sz w:val="21"/>
          <w:szCs w:val="21"/>
        </w:rPr>
        <w:t>政府产权份额代持机构</w:t>
      </w:r>
      <w:r>
        <w:rPr>
          <w:rFonts w:cs="Arial" w:ascii="Arial" w:hAnsi="Arial"/>
          <w:bCs/>
          <w:sz w:val="21"/>
          <w:szCs w:val="21"/>
        </w:rPr>
        <w:t>)</w:t>
      </w:r>
      <w:r>
        <w:rPr>
          <w:rFonts w:ascii="Arial" w:hAnsi="Arial" w:cs="Arial"/>
          <w:bCs/>
          <w:sz w:val="21"/>
          <w:szCs w:val="21"/>
        </w:rPr>
        <w:t>持有剩余</w:t>
      </w:r>
      <w:r>
        <w:rPr>
          <w:rFonts w:cs="Arial" w:ascii="Arial" w:hAnsi="Arial"/>
          <w:bCs/>
          <w:sz w:val="21"/>
          <w:szCs w:val="21"/>
        </w:rPr>
        <w:t>30%</w:t>
      </w:r>
      <w:r>
        <w:rPr>
          <w:rFonts w:ascii="Arial" w:hAnsi="Arial" w:cs="Arial"/>
          <w:bCs/>
          <w:sz w:val="21"/>
          <w:szCs w:val="21"/>
        </w:rPr>
        <w:t>份额。</w:t>
      </w:r>
    </w:p>
    <w:p>
      <w:pPr>
        <w:pStyle w:val="Normal"/>
        <w:overflowPunct w:val="false"/>
        <w:spacing w:lineRule="auto" w:line="480"/>
        <w:ind w:right="204" w:firstLine="420"/>
        <w:jc w:val="both"/>
        <w:rPr>
          <w:rFonts w:ascii="Arial" w:hAnsi="Arial" w:cs="Arial"/>
          <w:sz w:val="21"/>
        </w:rPr>
      </w:pPr>
      <w:r>
        <w:rPr>
          <w:rFonts w:ascii="Arial" w:hAnsi="Arial" w:cs="Arial"/>
          <w:bCs/>
          <w:sz w:val="21"/>
          <w:szCs w:val="21"/>
        </w:rPr>
        <w:t>大兴区兴海星光里共有产权住房项目位于集体建设用地区级统筹大兴区瀛海镇</w:t>
      </w:r>
      <w:r>
        <w:rPr>
          <w:rFonts w:cs="Arial" w:ascii="Arial" w:hAnsi="Arial"/>
          <w:bCs/>
          <w:sz w:val="21"/>
          <w:szCs w:val="21"/>
        </w:rPr>
        <w:t>YZ00-0803-2012A</w:t>
      </w:r>
      <w:r>
        <w:rPr>
          <w:rFonts w:ascii="Arial" w:hAnsi="Arial" w:cs="Arial"/>
          <w:bCs/>
          <w:sz w:val="21"/>
          <w:szCs w:val="21"/>
        </w:rPr>
        <w:t>、</w:t>
      </w:r>
      <w:r>
        <w:rPr>
          <w:rFonts w:cs="Arial" w:ascii="Arial" w:hAnsi="Arial"/>
          <w:bCs/>
          <w:sz w:val="21"/>
          <w:szCs w:val="21"/>
        </w:rPr>
        <w:t>2012B</w:t>
      </w:r>
      <w:r>
        <w:rPr>
          <w:rFonts w:ascii="Arial" w:hAnsi="Arial" w:cs="Arial"/>
          <w:bCs/>
          <w:sz w:val="21"/>
          <w:szCs w:val="21"/>
        </w:rPr>
        <w:t>地块，四至为：东至规划瀛隆街，南至规划瀛宏路，西至规划瀛义街，北至规划瀛志路。共有产权房套数共</w:t>
      </w:r>
      <w:r>
        <w:rPr>
          <w:rFonts w:cs="Arial" w:ascii="Arial" w:hAnsi="Arial"/>
          <w:bCs/>
          <w:sz w:val="21"/>
          <w:szCs w:val="21"/>
        </w:rPr>
        <w:t>1095</w:t>
      </w:r>
      <w:r>
        <w:rPr>
          <w:rFonts w:ascii="Arial" w:hAnsi="Arial" w:cs="Arial"/>
          <w:bCs/>
          <w:sz w:val="21"/>
          <w:szCs w:val="21"/>
        </w:rPr>
        <w:t>套，其中，一居室</w:t>
      </w:r>
      <w:r>
        <w:rPr>
          <w:rFonts w:cs="Arial" w:ascii="Arial" w:hAnsi="Arial"/>
          <w:bCs/>
          <w:sz w:val="21"/>
          <w:szCs w:val="21"/>
        </w:rPr>
        <w:t>6</w:t>
      </w:r>
      <w:r>
        <w:rPr>
          <w:rFonts w:ascii="Arial" w:hAnsi="Arial" w:cs="Arial"/>
          <w:bCs/>
          <w:sz w:val="21"/>
          <w:szCs w:val="21"/>
        </w:rPr>
        <w:t>套，建筑面积约</w:t>
      </w:r>
      <w:r>
        <w:rPr>
          <w:rFonts w:cs="Arial" w:ascii="Arial" w:hAnsi="Arial"/>
          <w:bCs/>
          <w:sz w:val="21"/>
          <w:szCs w:val="21"/>
        </w:rPr>
        <w:t>64</w:t>
      </w:r>
      <w:r>
        <w:rPr>
          <w:rFonts w:ascii="Arial" w:hAnsi="Arial" w:cs="Arial"/>
          <w:bCs/>
          <w:sz w:val="21"/>
          <w:szCs w:val="21"/>
        </w:rPr>
        <w:t>平方米；二居室</w:t>
      </w:r>
      <w:r>
        <w:rPr>
          <w:rFonts w:cs="Arial" w:ascii="Arial" w:hAnsi="Arial"/>
          <w:bCs/>
          <w:sz w:val="21"/>
          <w:szCs w:val="21"/>
        </w:rPr>
        <w:t>290</w:t>
      </w:r>
      <w:r>
        <w:rPr>
          <w:rFonts w:ascii="Arial" w:hAnsi="Arial" w:cs="Arial"/>
          <w:bCs/>
          <w:sz w:val="21"/>
          <w:szCs w:val="21"/>
        </w:rPr>
        <w:t>套，建筑面积约</w:t>
      </w:r>
      <w:r>
        <w:rPr>
          <w:rFonts w:cs="Arial" w:ascii="Arial" w:hAnsi="Arial"/>
          <w:bCs/>
          <w:sz w:val="21"/>
          <w:szCs w:val="21"/>
        </w:rPr>
        <w:t>70-78</w:t>
      </w:r>
      <w:r>
        <w:rPr>
          <w:rFonts w:ascii="Arial" w:hAnsi="Arial" w:cs="Arial"/>
          <w:bCs/>
          <w:sz w:val="21"/>
          <w:szCs w:val="21"/>
        </w:rPr>
        <w:t>平方米；三居室</w:t>
      </w:r>
      <w:r>
        <w:rPr>
          <w:rFonts w:cs="Arial" w:ascii="Arial" w:hAnsi="Arial"/>
          <w:bCs/>
          <w:sz w:val="21"/>
          <w:szCs w:val="21"/>
        </w:rPr>
        <w:t>647</w:t>
      </w:r>
      <w:r>
        <w:rPr>
          <w:rFonts w:ascii="Arial" w:hAnsi="Arial" w:cs="Arial"/>
          <w:bCs/>
          <w:sz w:val="21"/>
          <w:szCs w:val="21"/>
        </w:rPr>
        <w:t>套，建筑面积约</w:t>
      </w:r>
      <w:r>
        <w:rPr>
          <w:rFonts w:cs="Arial" w:ascii="Arial" w:hAnsi="Arial"/>
          <w:bCs/>
          <w:sz w:val="21"/>
          <w:szCs w:val="21"/>
        </w:rPr>
        <w:t>89-113</w:t>
      </w:r>
      <w:r>
        <w:rPr>
          <w:rFonts w:ascii="Arial" w:hAnsi="Arial" w:cs="Arial"/>
          <w:bCs/>
          <w:sz w:val="21"/>
          <w:szCs w:val="21"/>
        </w:rPr>
        <w:t>平方米；四居室</w:t>
      </w:r>
      <w:r>
        <w:rPr>
          <w:rFonts w:cs="Arial" w:ascii="Arial" w:hAnsi="Arial"/>
          <w:bCs/>
          <w:sz w:val="21"/>
          <w:szCs w:val="21"/>
        </w:rPr>
        <w:t>152</w:t>
      </w:r>
      <w:r>
        <w:rPr>
          <w:rFonts w:ascii="Arial" w:hAnsi="Arial" w:cs="Arial"/>
          <w:bCs/>
          <w:sz w:val="21"/>
          <w:szCs w:val="21"/>
        </w:rPr>
        <w:t>套，建筑面积约</w:t>
      </w:r>
      <w:r>
        <w:rPr>
          <w:rFonts w:cs="Arial" w:ascii="Arial" w:hAnsi="Arial"/>
          <w:bCs/>
          <w:sz w:val="21"/>
          <w:szCs w:val="21"/>
        </w:rPr>
        <w:t>119</w:t>
      </w:r>
      <w:r>
        <w:rPr>
          <w:rFonts w:ascii="Arial" w:hAnsi="Arial" w:cs="Arial"/>
          <w:bCs/>
          <w:sz w:val="21"/>
          <w:szCs w:val="21"/>
        </w:rPr>
        <w:t>平方米。销售价格为</w:t>
      </w:r>
      <w:r>
        <w:rPr>
          <w:rFonts w:cs="Arial" w:ascii="Arial" w:hAnsi="Arial"/>
          <w:bCs/>
          <w:sz w:val="21"/>
          <w:szCs w:val="21"/>
        </w:rPr>
        <w:t>29000</w:t>
      </w:r>
      <w:r>
        <w:rPr>
          <w:rFonts w:ascii="Arial" w:hAnsi="Arial" w:cs="Arial"/>
          <w:bCs/>
          <w:sz w:val="21"/>
          <w:szCs w:val="21"/>
        </w:rPr>
        <w:t>元</w:t>
      </w:r>
      <w:r>
        <w:rPr>
          <w:rFonts w:cs="Arial" w:ascii="Arial" w:hAnsi="Arial"/>
          <w:bCs/>
          <w:sz w:val="21"/>
          <w:szCs w:val="21"/>
        </w:rPr>
        <w:t>/</w:t>
      </w:r>
      <w:r>
        <w:rPr>
          <w:rFonts w:ascii="Arial" w:hAnsi="Arial" w:cs="Arial"/>
          <w:bCs/>
          <w:sz w:val="21"/>
          <w:szCs w:val="21"/>
        </w:rPr>
        <w:t>平方米，全装修交房。购房人产权份额比例为</w:t>
      </w:r>
      <w:r>
        <w:rPr>
          <w:rFonts w:cs="Arial" w:ascii="Arial" w:hAnsi="Arial"/>
          <w:bCs/>
          <w:sz w:val="21"/>
          <w:szCs w:val="21"/>
        </w:rPr>
        <w:t>70%</w:t>
      </w:r>
      <w:r>
        <w:rPr>
          <w:rFonts w:ascii="Arial" w:hAnsi="Arial" w:cs="Arial"/>
          <w:bCs/>
          <w:sz w:val="21"/>
          <w:szCs w:val="21"/>
        </w:rPr>
        <w:t>，北京市大兴区保障性住房建设投资管理有限公司（政府产权份额代持机构）持有剩余</w:t>
      </w:r>
      <w:r>
        <w:rPr>
          <w:rFonts w:cs="Arial" w:ascii="Arial" w:hAnsi="Arial"/>
          <w:bCs/>
          <w:sz w:val="21"/>
          <w:szCs w:val="21"/>
        </w:rPr>
        <w:t>30%</w:t>
      </w:r>
      <w:r>
        <w:rPr>
          <w:rFonts w:ascii="Arial" w:hAnsi="Arial" w:cs="Arial"/>
          <w:bCs/>
          <w:sz w:val="21"/>
          <w:szCs w:val="21"/>
        </w:rPr>
        <w:t>份额。</w:t>
      </w:r>
    </w:p>
    <w:p>
      <w:pPr>
        <w:pStyle w:val="Normal"/>
        <w:overflowPunct w:val="false"/>
        <w:spacing w:lineRule="auto" w:line="480"/>
        <w:ind w:right="205" w:hanging="0"/>
        <w:jc w:val="both"/>
        <w:rPr>
          <w:rFonts w:ascii="Arial" w:hAnsi="Arial" w:cs="Arial"/>
          <w:b/>
          <w:b/>
          <w:bCs/>
          <w:sz w:val="21"/>
          <w:szCs w:val="21"/>
        </w:rPr>
      </w:pPr>
      <w:r>
        <w:rPr>
          <w:rFonts w:ascii="Arial" w:hAnsi="Arial" w:cs="Arial"/>
          <w:b/>
          <w:bCs/>
          <w:sz w:val="21"/>
          <w:szCs w:val="21"/>
        </w:rPr>
        <w:t>（三）市场租金趋势分析</w:t>
      </w:r>
    </w:p>
    <w:p>
      <w:pPr>
        <w:pStyle w:val="Normal"/>
        <w:overflowPunct w:val="false"/>
        <w:spacing w:lineRule="auto" w:line="480"/>
        <w:ind w:firstLine="420"/>
        <w:jc w:val="both"/>
        <w:rPr>
          <w:rFonts w:ascii="Arial" w:hAnsi="Arial" w:cs="Arial"/>
          <w:sz w:val="21"/>
        </w:rPr>
      </w:pPr>
      <w:r>
        <w:rPr>
          <w:rFonts w:cs="Arial" w:ascii="Arial" w:hAnsi="Arial"/>
          <w:sz w:val="21"/>
          <w:szCs w:val="21"/>
        </w:rPr>
        <w:t>2023</w:t>
      </w:r>
      <w:r>
        <w:rPr>
          <w:rFonts w:ascii="Arial" w:hAnsi="Arial" w:cs="Arial"/>
          <w:sz w:val="21"/>
        </w:rPr>
        <w:t>年</w:t>
      </w:r>
      <w:r>
        <w:rPr>
          <w:rFonts w:cs="Arial" w:ascii="Arial" w:hAnsi="Arial"/>
          <w:sz w:val="21"/>
        </w:rPr>
        <w:t>10</w:t>
      </w:r>
      <w:r>
        <w:rPr>
          <w:rFonts w:ascii="Arial" w:hAnsi="Arial" w:cs="Arial"/>
          <w:sz w:val="21"/>
        </w:rPr>
        <w:t>月北京市二手房租金为</w:t>
      </w:r>
      <w:r>
        <w:rPr>
          <w:rFonts w:cs="Arial" w:ascii="Arial" w:hAnsi="Arial"/>
          <w:sz w:val="21"/>
        </w:rPr>
        <w:t>101</w:t>
      </w:r>
      <w:r>
        <w:rPr>
          <w:rFonts w:ascii="Arial" w:hAnsi="Arial" w:cs="Arial"/>
          <w:sz w:val="21"/>
        </w:rPr>
        <w:t>元</w:t>
      </w:r>
      <w:r>
        <w:rPr>
          <w:rFonts w:cs="Arial" w:ascii="Arial" w:hAnsi="Arial"/>
          <w:sz w:val="21"/>
        </w:rPr>
        <w:t>/</w:t>
      </w:r>
      <w:r>
        <w:rPr>
          <w:rFonts w:ascii="Arial" w:hAnsi="Arial" w:cs="Arial"/>
          <w:sz w:val="21"/>
        </w:rPr>
        <w:t>㎡，环比下降</w:t>
      </w:r>
      <w:r>
        <w:rPr>
          <w:rFonts w:cs="Arial" w:ascii="Arial" w:hAnsi="Arial"/>
          <w:sz w:val="21"/>
        </w:rPr>
        <w:t>1%</w:t>
      </w:r>
      <w:r>
        <w:rPr>
          <w:rFonts w:ascii="Arial" w:hAnsi="Arial" w:cs="Arial"/>
          <w:sz w:val="21"/>
        </w:rPr>
        <w:t>；套均租金为</w:t>
      </w:r>
      <w:r>
        <w:rPr>
          <w:rFonts w:cs="Arial" w:ascii="Arial" w:hAnsi="Arial"/>
          <w:sz w:val="21"/>
        </w:rPr>
        <w:t>8693</w:t>
      </w:r>
      <w:r>
        <w:rPr>
          <w:rFonts w:ascii="Arial" w:hAnsi="Arial" w:cs="Arial"/>
          <w:sz w:val="21"/>
        </w:rPr>
        <w:t>元</w:t>
      </w:r>
      <w:r>
        <w:rPr>
          <w:rFonts w:cs="Arial" w:ascii="Arial" w:hAnsi="Arial"/>
          <w:sz w:val="21"/>
        </w:rPr>
        <w:t>/</w:t>
      </w:r>
      <w:r>
        <w:rPr>
          <w:rFonts w:ascii="Arial" w:hAnsi="Arial" w:cs="Arial"/>
          <w:sz w:val="21"/>
        </w:rPr>
        <w:t>套，环比下降</w:t>
      </w:r>
      <w:r>
        <w:rPr>
          <w:rFonts w:cs="Arial" w:ascii="Arial" w:hAnsi="Arial"/>
          <w:sz w:val="21"/>
        </w:rPr>
        <w:t>1%</w:t>
      </w:r>
      <w:r>
        <w:rPr>
          <w:rFonts w:ascii="Arial" w:hAnsi="Arial" w:cs="Arial"/>
          <w:sz w:val="21"/>
        </w:rPr>
        <w:t>。</w:t>
      </w:r>
    </w:p>
    <w:p>
      <w:pPr>
        <w:pStyle w:val="Normal"/>
        <w:overflowPunct w:val="false"/>
        <w:spacing w:lineRule="auto" w:line="480"/>
        <w:ind w:firstLine="420"/>
        <w:jc w:val="center"/>
        <w:rPr>
          <w:rFonts w:ascii="Arial" w:hAnsi="Arial" w:cs="Arial"/>
          <w:sz w:val="21"/>
        </w:rPr>
      </w:pPr>
      <w:r>
        <mc:AlternateContent>
          <mc:Choice Requires="wps">
            <w:drawing>
              <wp:anchor behindDoc="0" distT="0" distB="0" distL="0" distR="0" simplePos="0" locked="0" layoutInCell="1" allowOverlap="1" relativeHeight="2" wp14:anchorId="574D611E">
                <wp:simplePos x="0" y="0"/>
                <wp:positionH relativeFrom="column">
                  <wp:posOffset>0</wp:posOffset>
                </wp:positionH>
                <wp:positionV relativeFrom="paragraph">
                  <wp:posOffset>31115</wp:posOffset>
                </wp:positionV>
                <wp:extent cx="636270" cy="255270"/>
                <wp:effectExtent l="0" t="0" r="0" b="0"/>
                <wp:wrapNone/>
                <wp:docPr id="20" name="New shape"/>
                <a:graphic xmlns:a="http://schemas.openxmlformats.org/drawingml/2006/main">
                  <a:graphicData uri="http://schemas.microsoft.com/office/word/2010/wordprocessingShape">
                    <wps:wsp>
                      <wps:cNvSpPr/>
                      <wps:spPr>
                        <a:xfrm>
                          <a:off x="0" y="0"/>
                          <a:ext cx="635760" cy="254520"/>
                        </a:xfrm>
                        <a:prstGeom prst="rect">
                          <a:avLst/>
                        </a:prstGeom>
                        <a:noFill/>
                        <a:ln>
                          <a:noFill/>
                        </a:ln>
                      </wps:spPr>
                      <wps:style>
                        <a:lnRef idx="0">
                          <a:schemeClr val="accent1">
                            <a:shade val="50000"/>
                          </a:schemeClr>
                        </a:lnRef>
                        <a:fillRef idx="1">
                          <a:schemeClr val="accent1"/>
                        </a:fillRef>
                        <a:effectRef idx="0">
                          <a:schemeClr val="accent1"/>
                        </a:effectRef>
                        <a:fontRef idx="minor"/>
                      </wps:style>
                      <wps:txbx>
                        <w:txbxContent>
                          <w:p>
                            <w:pPr>
                              <w:pStyle w:val="Style22"/>
                              <w:jc w:val="center"/>
                              <w:rPr/>
                            </w:pPr>
                            <w:r>
                              <w:rPr>
                                <w:rFonts w:ascii="楷体" w:hAnsi="楷体" w:cs="DengXian" w:eastAsia="楷体" w:cstheme="minorBidi"/>
                                <w:color w:val="000000"/>
                                <w:kern w:val="2"/>
                                <w:sz w:val="18"/>
                                <w:szCs w:val="18"/>
                              </w:rPr>
                              <w:t>元</w:t>
                            </w:r>
                            <w:r>
                              <w:rPr>
                                <w:rFonts w:eastAsia="楷体" w:cs="DengXian" w:ascii="楷体" w:hAnsi="楷体" w:cstheme="minorBidi"/>
                                <w:color w:val="000000"/>
                                <w:kern w:val="2"/>
                                <w:sz w:val="18"/>
                                <w:szCs w:val="18"/>
                              </w:rPr>
                              <w:t>/</w:t>
                            </w:r>
                            <w:r>
                              <w:rPr>
                                <w:rFonts w:ascii="楷体" w:hAnsi="楷体" w:cs="DengXian" w:eastAsia="楷体" w:cstheme="minorBidi"/>
                                <w:color w:val="000000"/>
                                <w:kern w:val="2"/>
                                <w:sz w:val="18"/>
                                <w:szCs w:val="18"/>
                              </w:rPr>
                              <w:t>㎡</w:t>
                            </w:r>
                            <w:r>
                              <w:rPr>
                                <w:rFonts w:eastAsia="楷体" w:cs="DengXian" w:ascii="楷体" w:hAnsi="楷体" w:cstheme="minorBidi"/>
                                <w:color w:val="000000"/>
                                <w:kern w:val="2"/>
                                <w:sz w:val="18"/>
                                <w:szCs w:val="18"/>
                              </w:rPr>
                              <w:t>·</w:t>
                            </w:r>
                            <w:r>
                              <w:rPr>
                                <w:rFonts w:ascii="楷体" w:hAnsi="楷体" w:cs="DengXian" w:eastAsia="楷体" w:cstheme="minorBidi"/>
                                <w:color w:val="000000"/>
                                <w:kern w:val="2"/>
                                <w:sz w:val="18"/>
                                <w:szCs w:val="18"/>
                              </w:rPr>
                              <w:t>月</w:t>
                            </w:r>
                          </w:p>
                        </w:txbxContent>
                      </wps:txbx>
                      <wps:bodyPr lIns="0" rIns="0" tIns="0" bIns="0" anchor="ctr">
                        <a:noAutofit/>
                      </wps:bodyPr>
                    </wps:wsp>
                  </a:graphicData>
                </a:graphic>
              </wp:anchor>
            </w:drawing>
          </mc:Choice>
          <mc:Fallback>
            <w:pict>
              <v:rect id="shape_0" ID="New shape" stroked="f" style="position:absolute;margin-left:0pt;margin-top:2.45pt;width:50pt;height:20pt" wp14:anchorId="574D611E">
                <w10:wrap type="square"/>
                <v:fill o:detectmouseclick="t" on="false"/>
                <v:stroke color="#3465a4" joinstyle="round" endcap="flat"/>
                <v:textbox>
                  <w:txbxContent>
                    <w:p>
                      <w:pPr>
                        <w:pStyle w:val="Style22"/>
                        <w:jc w:val="center"/>
                        <w:rPr/>
                      </w:pPr>
                      <w:r>
                        <w:rPr>
                          <w:rFonts w:ascii="楷体" w:hAnsi="楷体" w:cs="DengXian" w:eastAsia="楷体" w:cstheme="minorBidi"/>
                          <w:color w:val="000000"/>
                          <w:kern w:val="2"/>
                          <w:sz w:val="18"/>
                          <w:szCs w:val="18"/>
                        </w:rPr>
                        <w:t>元</w:t>
                      </w:r>
                      <w:r>
                        <w:rPr>
                          <w:rFonts w:eastAsia="楷体" w:cs="DengXian" w:ascii="楷体" w:hAnsi="楷体" w:cstheme="minorBidi"/>
                          <w:color w:val="000000"/>
                          <w:kern w:val="2"/>
                          <w:sz w:val="18"/>
                          <w:szCs w:val="18"/>
                        </w:rPr>
                        <w:t>/</w:t>
                      </w:r>
                      <w:r>
                        <w:rPr>
                          <w:rFonts w:ascii="楷体" w:hAnsi="楷体" w:cs="DengXian" w:eastAsia="楷体" w:cstheme="minorBidi"/>
                          <w:color w:val="000000"/>
                          <w:kern w:val="2"/>
                          <w:sz w:val="18"/>
                          <w:szCs w:val="18"/>
                        </w:rPr>
                        <w:t>㎡</w:t>
                      </w:r>
                      <w:r>
                        <w:rPr>
                          <w:rFonts w:eastAsia="楷体" w:cs="DengXian" w:ascii="楷体" w:hAnsi="楷体" w:cstheme="minorBidi"/>
                          <w:color w:val="000000"/>
                          <w:kern w:val="2"/>
                          <w:sz w:val="18"/>
                          <w:szCs w:val="18"/>
                        </w:rPr>
                        <w:t>·</w:t>
                      </w:r>
                      <w:r>
                        <w:rPr>
                          <w:rFonts w:ascii="楷体" w:hAnsi="楷体" w:cs="DengXian" w:eastAsia="楷体" w:cstheme="minorBidi"/>
                          <w:color w:val="000000"/>
                          <w:kern w:val="2"/>
                          <w:sz w:val="18"/>
                          <w:szCs w:val="18"/>
                        </w:rPr>
                        <w:t>月</w:t>
                      </w:r>
                    </w:p>
                  </w:txbxContent>
                </v:textbox>
              </v:rect>
            </w:pict>
          </mc:Fallback>
        </mc:AlternateContent>
      </w:r>
      <w:r>
        <w:rPr>
          <w:rFonts w:ascii="Arial" w:hAnsi="Arial" w:cs="Arial"/>
          <w:sz w:val="21"/>
        </w:rPr>
        <w:t>北京市二手房租金走势</w:t>
      </w:r>
    </w:p>
    <w:p>
      <w:pPr>
        <w:pStyle w:val="Normal"/>
        <w:overflowPunct w:val="false"/>
        <w:spacing w:lineRule="auto" w:line="480"/>
        <w:rPr>
          <w:rFonts w:ascii="Arial" w:hAnsi="Arial" w:cs="Arial"/>
          <w:sz w:val="21"/>
        </w:rPr>
      </w:pPr>
      <w:r>
        <w:rPr/>
        <w:drawing>
          <wp:inline distT="0" distB="0" distL="0" distR="0">
            <wp:extent cx="5904865" cy="2484120"/>
            <wp:effectExtent l="0" t="0" r="0" b="0"/>
            <wp:docPr id="2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Normal"/>
        <w:overflowPunct w:val="false"/>
        <w:spacing w:lineRule="auto" w:line="480"/>
        <w:ind w:firstLine="420"/>
        <w:rPr>
          <w:rFonts w:ascii="Arial" w:hAnsi="Arial" w:cs="Arial"/>
          <w:sz w:val="21"/>
        </w:rPr>
      </w:pPr>
      <w:r>
        <w:rPr>
          <w:rFonts w:ascii="Arial" w:hAnsi="Arial" w:cs="Arial"/>
          <w:sz w:val="21"/>
        </w:rPr>
        <w:t>从区域分布来看，</w:t>
      </w:r>
      <w:r>
        <w:rPr>
          <w:rFonts w:cs="Arial" w:ascii="Arial" w:hAnsi="Arial"/>
          <w:sz w:val="21"/>
        </w:rPr>
        <w:t>2023</w:t>
      </w:r>
      <w:r>
        <w:rPr>
          <w:rFonts w:ascii="Arial" w:hAnsi="Arial" w:cs="Arial"/>
          <w:sz w:val="21"/>
        </w:rPr>
        <w:t>年</w:t>
      </w:r>
      <w:r>
        <w:rPr>
          <w:rFonts w:cs="Arial" w:ascii="Arial" w:hAnsi="Arial"/>
          <w:sz w:val="21"/>
        </w:rPr>
        <w:t>10</w:t>
      </w:r>
      <w:r>
        <w:rPr>
          <w:rFonts w:ascii="Arial" w:hAnsi="Arial" w:cs="Arial"/>
          <w:sz w:val="21"/>
        </w:rPr>
        <w:t>月西城区位居全市租赁数据区县排行榜首位，成交平米租金价</w:t>
      </w:r>
      <w:r>
        <w:rPr>
          <w:rFonts w:cs="Arial" w:ascii="Arial" w:hAnsi="Arial"/>
          <w:sz w:val="21"/>
        </w:rPr>
        <w:t>159</w:t>
      </w:r>
      <w:r>
        <w:rPr>
          <w:rFonts w:ascii="Arial" w:hAnsi="Arial" w:cs="Arial"/>
          <w:sz w:val="21"/>
        </w:rPr>
        <w:t>元</w:t>
      </w:r>
      <w:r>
        <w:rPr>
          <w:rFonts w:cs="Arial" w:ascii="Arial" w:hAnsi="Arial"/>
          <w:sz w:val="21"/>
        </w:rPr>
        <w:t>/</w:t>
      </w:r>
      <w:r>
        <w:rPr>
          <w:rFonts w:ascii="Arial" w:hAnsi="Arial" w:cs="Arial"/>
          <w:sz w:val="21"/>
        </w:rPr>
        <w:t>㎡</w:t>
      </w:r>
      <w:r>
        <w:rPr>
          <w:rFonts w:cs="Arial" w:ascii="Arial" w:hAnsi="Arial"/>
          <w:sz w:val="21"/>
        </w:rPr>
        <w:t>·</w:t>
      </w:r>
      <w:r>
        <w:rPr>
          <w:rFonts w:ascii="Arial" w:hAnsi="Arial" w:cs="Arial"/>
          <w:sz w:val="21"/>
        </w:rPr>
        <w:t>月，东城区、海淀区分别成交</w:t>
      </w:r>
      <w:r>
        <w:rPr>
          <w:rFonts w:cs="Arial" w:ascii="Arial" w:hAnsi="Arial"/>
          <w:sz w:val="21"/>
        </w:rPr>
        <w:t>144</w:t>
      </w:r>
      <w:r>
        <w:rPr>
          <w:rFonts w:ascii="Arial" w:hAnsi="Arial" w:cs="Arial"/>
          <w:sz w:val="21"/>
        </w:rPr>
        <w:t>元</w:t>
      </w:r>
      <w:r>
        <w:rPr>
          <w:rFonts w:cs="Arial" w:ascii="Arial" w:hAnsi="Arial"/>
          <w:sz w:val="21"/>
        </w:rPr>
        <w:t>/</w:t>
      </w:r>
      <w:r>
        <w:rPr>
          <w:rFonts w:ascii="Arial" w:hAnsi="Arial" w:cs="Arial"/>
          <w:sz w:val="21"/>
        </w:rPr>
        <w:t>㎡</w:t>
      </w:r>
      <w:r>
        <w:rPr>
          <w:rFonts w:cs="Arial" w:ascii="Arial" w:hAnsi="Arial"/>
          <w:sz w:val="21"/>
        </w:rPr>
        <w:t>·</w:t>
      </w:r>
      <w:r>
        <w:rPr>
          <w:rFonts w:ascii="Arial" w:hAnsi="Arial" w:cs="Arial"/>
          <w:sz w:val="21"/>
        </w:rPr>
        <w:t>月、</w:t>
      </w:r>
      <w:r>
        <w:rPr>
          <w:rFonts w:cs="Arial" w:ascii="Arial" w:hAnsi="Arial"/>
          <w:sz w:val="21"/>
        </w:rPr>
        <w:t>128</w:t>
      </w:r>
      <w:r>
        <w:rPr>
          <w:rFonts w:ascii="Arial" w:hAnsi="Arial" w:cs="Arial"/>
          <w:sz w:val="21"/>
        </w:rPr>
        <w:t>元</w:t>
      </w:r>
      <w:r>
        <w:rPr>
          <w:rFonts w:cs="Arial" w:ascii="Arial" w:hAnsi="Arial"/>
          <w:sz w:val="21"/>
        </w:rPr>
        <w:t>/</w:t>
      </w:r>
      <w:r>
        <w:rPr>
          <w:rFonts w:ascii="Arial" w:hAnsi="Arial" w:cs="Arial"/>
          <w:sz w:val="21"/>
        </w:rPr>
        <w:t>㎡</w:t>
      </w:r>
      <w:r>
        <w:rPr>
          <w:rFonts w:cs="Arial" w:ascii="Arial" w:hAnsi="Arial"/>
          <w:sz w:val="21"/>
        </w:rPr>
        <w:t>·</w:t>
      </w:r>
      <w:r>
        <w:rPr>
          <w:rFonts w:ascii="Arial" w:hAnsi="Arial" w:cs="Arial"/>
          <w:sz w:val="21"/>
        </w:rPr>
        <w:t>月，分别位居二三位。</w:t>
      </w:r>
    </w:p>
    <w:p>
      <w:pPr>
        <w:pStyle w:val="Normal"/>
        <w:overflowPunct w:val="false"/>
        <w:spacing w:lineRule="auto" w:line="480"/>
        <w:jc w:val="center"/>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10</w:t>
      </w:r>
      <w:r>
        <w:rPr>
          <w:rFonts w:ascii="Arial" w:hAnsi="Arial" w:cs="Arial"/>
          <w:sz w:val="21"/>
        </w:rPr>
        <w:t>月北京市租赁数据区域排名</w:t>
      </w:r>
      <w:r>
        <w:rPr>
          <w:rFonts w:cs="Arial" w:ascii="Arial" w:hAnsi="Arial"/>
          <w:sz w:val="21"/>
        </w:rPr>
        <w:t>TOP10</w:t>
      </w:r>
    </w:p>
    <w:tbl>
      <w:tblPr>
        <w:tblW w:w="5000" w:type="pct"/>
        <w:jc w:val="left"/>
        <w:tblInd w:w="10" w:type="dxa"/>
        <w:tblCellMar>
          <w:top w:w="15" w:type="dxa"/>
          <w:left w:w="15" w:type="dxa"/>
          <w:bottom w:w="0" w:type="dxa"/>
          <w:right w:w="15" w:type="dxa"/>
        </w:tblCellMar>
        <w:tblLook w:firstRow="1" w:noVBand="1" w:lastRow="0" w:firstColumn="0" w:lastColumn="0" w:noHBand="1" w:val="0620"/>
      </w:tblPr>
      <w:tblGrid>
        <w:gridCol w:w="742"/>
        <w:gridCol w:w="2139"/>
        <w:gridCol w:w="2137"/>
        <w:gridCol w:w="2139"/>
        <w:gridCol w:w="2141"/>
      </w:tblGrid>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排名</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区域</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平米租金</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w:t>
            </w:r>
            <w:r>
              <w:rPr>
                <w:rFonts w:cs="Arial" w:ascii="Arial" w:hAnsi="Arial"/>
                <w:sz w:val="18"/>
                <w:szCs w:val="18"/>
              </w:rPr>
              <w:t>·</w:t>
            </w:r>
            <w:r>
              <w:rPr>
                <w:rFonts w:ascii="Arial" w:hAnsi="Arial" w:cs="Arial"/>
                <w:sz w:val="18"/>
                <w:szCs w:val="18"/>
              </w:rPr>
              <w:t>月</w:t>
            </w:r>
            <w:r>
              <w:rPr>
                <w:rFonts w:cs="Arial" w:ascii="Arial" w:hAnsi="Arial"/>
                <w:sz w:val="18"/>
                <w:szCs w:val="18"/>
              </w:rPr>
              <w:t>)</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套均租金</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套</w:t>
            </w:r>
            <w:r>
              <w:rPr>
                <w:rFonts w:cs="Arial" w:ascii="Arial" w:hAnsi="Arial"/>
                <w:sz w:val="18"/>
                <w:szCs w:val="18"/>
              </w:rPr>
              <w:t>·</w:t>
            </w:r>
            <w:r>
              <w:rPr>
                <w:rFonts w:ascii="Arial" w:hAnsi="Arial" w:cs="Arial"/>
                <w:sz w:val="18"/>
                <w:szCs w:val="18"/>
              </w:rPr>
              <w:t>月</w:t>
            </w:r>
            <w:r>
              <w:rPr>
                <w:rFonts w:cs="Arial" w:ascii="Arial" w:hAnsi="Arial"/>
                <w:sz w:val="18"/>
                <w:szCs w:val="18"/>
              </w:rPr>
              <w:t>)</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二手房均价</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w:t>
            </w:r>
            <w:r>
              <w:rPr>
                <w:rFonts w:cs="Arial" w:ascii="Arial" w:hAnsi="Arial"/>
                <w:sz w:val="18"/>
                <w:szCs w:val="18"/>
              </w:rPr>
              <w:t>)</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西城区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159</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12056</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137199</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东城区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144</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11073</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117105</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3</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海淀区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128</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11011</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104484</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朝阳区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119</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11108</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77190</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丰台区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83</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6750</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62170</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石景山区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83</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6203</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56306</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7</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昌平区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63</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6185</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46498</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8</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大兴区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62</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5523</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45096</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9</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通州区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57</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4767</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42427</w:t>
            </w:r>
          </w:p>
        </w:tc>
      </w:tr>
      <w:tr>
        <w:trPr>
          <w:trHeight w:val="397" w:hRule="atLeast"/>
        </w:trPr>
        <w:tc>
          <w:tcPr>
            <w:tcW w:w="7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10</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门头沟区</w:t>
            </w:r>
          </w:p>
        </w:tc>
        <w:tc>
          <w:tcPr>
            <w:tcW w:w="2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53</w:t>
            </w:r>
          </w:p>
        </w:tc>
        <w:tc>
          <w:tcPr>
            <w:tcW w:w="21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3701</w:t>
            </w:r>
          </w:p>
        </w:tc>
        <w:tc>
          <w:tcPr>
            <w:tcW w:w="214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35897</w:t>
            </w:r>
          </w:p>
        </w:tc>
      </w:tr>
    </w:tbl>
    <w:p>
      <w:pPr>
        <w:pStyle w:val="Normal"/>
        <w:overflowPunct w:val="false"/>
        <w:spacing w:lineRule="atLeast" w:line="240"/>
        <w:jc w:val="center"/>
        <w:rPr>
          <w:rFonts w:ascii="Arial" w:hAnsi="Arial" w:cs="Arial"/>
          <w:sz w:val="21"/>
        </w:rPr>
      </w:pPr>
      <w:r>
        <w:rPr>
          <w:rFonts w:cs="Arial" w:ascii="Arial" w:hAnsi="Arial"/>
          <w:sz w:val="21"/>
        </w:rPr>
      </w:r>
    </w:p>
    <w:p>
      <w:pPr>
        <w:pStyle w:val="Normal"/>
        <w:overflowPunct w:val="false"/>
        <w:spacing w:lineRule="auto" w:line="480"/>
        <w:ind w:firstLine="420"/>
        <w:rPr>
          <w:rFonts w:ascii="Arial" w:hAnsi="Arial" w:cs="Arial"/>
          <w:sz w:val="21"/>
        </w:rPr>
      </w:pPr>
      <w:r>
        <w:rPr>
          <w:rFonts w:ascii="Arial" w:hAnsi="Arial" w:cs="Arial"/>
          <w:sz w:val="21"/>
        </w:rPr>
        <w:t>从板块分布来看，金融街板块租赁成交最热，</w:t>
      </w:r>
      <w:r>
        <w:rPr>
          <w:rFonts w:cs="Arial" w:ascii="Arial" w:hAnsi="Arial"/>
          <w:sz w:val="21"/>
        </w:rPr>
        <w:t>2023</w:t>
      </w:r>
      <w:r>
        <w:rPr>
          <w:rFonts w:ascii="Arial" w:hAnsi="Arial" w:cs="Arial"/>
          <w:sz w:val="21"/>
        </w:rPr>
        <w:t>年</w:t>
      </w:r>
      <w:r>
        <w:rPr>
          <w:rFonts w:cs="Arial" w:ascii="Arial" w:hAnsi="Arial"/>
          <w:sz w:val="21"/>
        </w:rPr>
        <w:t>10</w:t>
      </w:r>
      <w:r>
        <w:rPr>
          <w:rFonts w:ascii="Arial" w:hAnsi="Arial" w:cs="Arial"/>
          <w:sz w:val="21"/>
        </w:rPr>
        <w:t>月成交平米租金价</w:t>
      </w:r>
      <w:r>
        <w:rPr>
          <w:rFonts w:cs="Arial" w:ascii="Arial" w:hAnsi="Arial"/>
          <w:sz w:val="21"/>
        </w:rPr>
        <w:t>210</w:t>
      </w:r>
      <w:r>
        <w:rPr>
          <w:rFonts w:ascii="Arial" w:hAnsi="Arial" w:cs="Arial"/>
          <w:sz w:val="21"/>
        </w:rPr>
        <w:t>元</w:t>
      </w:r>
      <w:r>
        <w:rPr>
          <w:rFonts w:cs="Arial" w:ascii="Arial" w:hAnsi="Arial"/>
          <w:sz w:val="21"/>
        </w:rPr>
        <w:t>/</w:t>
      </w:r>
      <w:r>
        <w:rPr>
          <w:rFonts w:ascii="Arial" w:hAnsi="Arial" w:cs="Arial"/>
          <w:sz w:val="21"/>
        </w:rPr>
        <w:t>㎡</w:t>
      </w:r>
      <w:r>
        <w:rPr>
          <w:rFonts w:cs="Arial" w:ascii="Arial" w:hAnsi="Arial"/>
          <w:sz w:val="21"/>
        </w:rPr>
        <w:t>·</w:t>
      </w:r>
      <w:r>
        <w:rPr>
          <w:rFonts w:ascii="Arial" w:hAnsi="Arial" w:cs="Arial"/>
          <w:sz w:val="21"/>
        </w:rPr>
        <w:t>月，新街口、什刹海；大栅栏、广内和东北二环内也是成交较热的板块区域。</w:t>
      </w:r>
    </w:p>
    <w:p>
      <w:pPr>
        <w:pStyle w:val="Normal"/>
        <w:overflowPunct w:val="false"/>
        <w:spacing w:lineRule="auto" w:line="480"/>
        <w:jc w:val="center"/>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10</w:t>
      </w:r>
      <w:r>
        <w:rPr>
          <w:rFonts w:ascii="Arial" w:hAnsi="Arial" w:cs="Arial"/>
          <w:sz w:val="21"/>
        </w:rPr>
        <w:t>月北京市租赁数据板块排名</w:t>
      </w:r>
      <w:r>
        <w:rPr>
          <w:rFonts w:cs="Arial" w:ascii="Arial" w:hAnsi="Arial"/>
          <w:sz w:val="21"/>
        </w:rPr>
        <w:t>TOP10</w:t>
      </w:r>
    </w:p>
    <w:tbl>
      <w:tblPr>
        <w:tblW w:w="5000" w:type="pct"/>
        <w:jc w:val="left"/>
        <w:tblInd w:w="10" w:type="dxa"/>
        <w:tblCellMar>
          <w:top w:w="15" w:type="dxa"/>
          <w:left w:w="15" w:type="dxa"/>
          <w:bottom w:w="0" w:type="dxa"/>
          <w:right w:w="15" w:type="dxa"/>
        </w:tblCellMar>
        <w:tblLook w:firstRow="1" w:noVBand="1" w:lastRow="0" w:firstColumn="0" w:lastColumn="0" w:noHBand="1" w:val="0620"/>
      </w:tblPr>
      <w:tblGrid>
        <w:gridCol w:w="927"/>
        <w:gridCol w:w="1674"/>
        <w:gridCol w:w="1674"/>
        <w:gridCol w:w="1671"/>
        <w:gridCol w:w="1673"/>
        <w:gridCol w:w="1678"/>
      </w:tblGrid>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排名</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板块</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区域</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平米租金</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w:t>
            </w:r>
            <w:r>
              <w:rPr>
                <w:rFonts w:cs="Arial" w:ascii="Arial" w:hAnsi="Arial"/>
                <w:sz w:val="18"/>
                <w:szCs w:val="18"/>
              </w:rPr>
              <w:t>·</w:t>
            </w:r>
            <w:r>
              <w:rPr>
                <w:rFonts w:ascii="Arial" w:hAnsi="Arial" w:cs="Arial"/>
                <w:sz w:val="18"/>
                <w:szCs w:val="18"/>
              </w:rPr>
              <w:t>月</w:t>
            </w:r>
            <w:r>
              <w:rPr>
                <w:rFonts w:cs="Arial" w:ascii="Arial" w:hAnsi="Arial"/>
                <w:sz w:val="18"/>
                <w:szCs w:val="18"/>
              </w:rPr>
              <w:t>)</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套均租金</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套</w:t>
            </w:r>
            <w:r>
              <w:rPr>
                <w:rFonts w:cs="Arial" w:ascii="Arial" w:hAnsi="Arial"/>
                <w:sz w:val="18"/>
                <w:szCs w:val="18"/>
              </w:rPr>
              <w:t>·</w:t>
            </w:r>
            <w:r>
              <w:rPr>
                <w:rFonts w:ascii="Arial" w:hAnsi="Arial" w:cs="Arial"/>
                <w:sz w:val="18"/>
                <w:szCs w:val="18"/>
              </w:rPr>
              <w:t>月</w:t>
            </w:r>
            <w:r>
              <w:rPr>
                <w:rFonts w:cs="Arial" w:ascii="Arial" w:hAnsi="Arial"/>
                <w:sz w:val="18"/>
                <w:szCs w:val="18"/>
              </w:rPr>
              <w:t>)</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二手房均价</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w:t>
            </w:r>
            <w:r>
              <w:rPr>
                <w:rFonts w:cs="Arial" w:ascii="Arial" w:hAnsi="Arial"/>
                <w:sz w:val="18"/>
                <w:szCs w:val="18"/>
              </w:rPr>
              <w:t>)</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金融街</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210</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21568</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168239</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新街口、什刹海</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179</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12751</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143832</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3</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大栅栏、广内</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174</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14305</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132529</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东北二环内</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172</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12938</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129376</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圆明园、颐和园</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168</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13595</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96516</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东直门外</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16025</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115150</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7</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展览路、月坛</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157</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9789</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140221</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8</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CBD</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152</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15687</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85710</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9</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万柳</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151</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18043</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133978</w:t>
            </w:r>
          </w:p>
        </w:tc>
      </w:tr>
      <w:tr>
        <w:trPr>
          <w:trHeight w:val="397" w:hRule="atLeast"/>
        </w:trPr>
        <w:tc>
          <w:tcPr>
            <w:tcW w:w="9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10</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太阳宫</w:t>
            </w:r>
          </w:p>
        </w:tc>
        <w:tc>
          <w:tcPr>
            <w:tcW w:w="1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w:t>
            </w:r>
          </w:p>
        </w:tc>
        <w:tc>
          <w:tcPr>
            <w:tcW w:w="167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150</w:t>
            </w:r>
          </w:p>
        </w:tc>
        <w:tc>
          <w:tcPr>
            <w:tcW w:w="167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16455</w:t>
            </w:r>
          </w:p>
        </w:tc>
        <w:tc>
          <w:tcPr>
            <w:tcW w:w="1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104018</w:t>
            </w:r>
          </w:p>
        </w:tc>
      </w:tr>
    </w:tbl>
    <w:p>
      <w:pPr>
        <w:pStyle w:val="Normal"/>
        <w:overflowPunct w:val="false"/>
        <w:spacing w:lineRule="auto" w:line="480"/>
        <w:ind w:firstLine="420"/>
        <w:rPr>
          <w:rFonts w:ascii="Arial" w:hAnsi="Arial" w:cs="Arial"/>
          <w:sz w:val="21"/>
        </w:rPr>
      </w:pPr>
      <w:r>
        <w:rPr>
          <w:rFonts w:cs="Arial" w:ascii="Arial" w:hAnsi="Arial"/>
          <w:sz w:val="21"/>
        </w:rPr>
      </w:r>
    </w:p>
    <w:p>
      <w:pPr>
        <w:pStyle w:val="Normal"/>
        <w:overflowPunct w:val="false"/>
        <w:spacing w:lineRule="auto" w:line="480"/>
        <w:ind w:firstLine="420"/>
        <w:rPr>
          <w:rFonts w:ascii="Arial" w:hAnsi="Arial" w:cs="Arial"/>
          <w:sz w:val="21"/>
        </w:rPr>
      </w:pPr>
      <w:r>
        <w:rPr>
          <w:rFonts w:ascii="Arial" w:hAnsi="Arial" w:cs="Arial"/>
          <w:sz w:val="21"/>
        </w:rPr>
        <w:t>从小区成交热度来看，</w:t>
      </w:r>
      <w:r>
        <w:rPr>
          <w:rFonts w:cs="Arial" w:ascii="Arial" w:hAnsi="Arial"/>
          <w:sz w:val="21"/>
        </w:rPr>
        <w:t>2023</w:t>
      </w:r>
      <w:r>
        <w:rPr>
          <w:rFonts w:ascii="Arial" w:hAnsi="Arial" w:cs="Arial"/>
          <w:sz w:val="21"/>
        </w:rPr>
        <w:t>年</w:t>
      </w:r>
      <w:r>
        <w:rPr>
          <w:rFonts w:cs="Arial" w:ascii="Arial" w:hAnsi="Arial"/>
          <w:sz w:val="21"/>
        </w:rPr>
        <w:t>10</w:t>
      </w:r>
      <w:r>
        <w:rPr>
          <w:rFonts w:ascii="Arial" w:hAnsi="Arial" w:cs="Arial"/>
          <w:sz w:val="21"/>
        </w:rPr>
        <w:t>月纳福胡同成交平米租金居首，成交</w:t>
      </w:r>
      <w:r>
        <w:rPr>
          <w:rFonts w:cs="Arial" w:ascii="Arial" w:hAnsi="Arial"/>
          <w:sz w:val="21"/>
        </w:rPr>
        <w:t>282</w:t>
      </w:r>
      <w:r>
        <w:rPr>
          <w:rFonts w:ascii="Arial" w:hAnsi="Arial" w:cs="Arial"/>
          <w:sz w:val="21"/>
        </w:rPr>
        <w:t>元</w:t>
      </w:r>
      <w:r>
        <w:rPr>
          <w:rFonts w:cs="Arial" w:ascii="Arial" w:hAnsi="Arial"/>
          <w:sz w:val="21"/>
        </w:rPr>
        <w:t>/</w:t>
      </w:r>
      <w:r>
        <w:rPr>
          <w:rFonts w:ascii="Arial" w:hAnsi="Arial" w:cs="Arial"/>
          <w:sz w:val="21"/>
        </w:rPr>
        <w:t>㎡</w:t>
      </w:r>
      <w:r>
        <w:rPr>
          <w:rFonts w:cs="Arial" w:ascii="Arial" w:hAnsi="Arial"/>
          <w:sz w:val="21"/>
        </w:rPr>
        <w:t>·</w:t>
      </w:r>
      <w:r>
        <w:rPr>
          <w:rFonts w:ascii="Arial" w:hAnsi="Arial" w:cs="Arial"/>
          <w:sz w:val="21"/>
        </w:rPr>
        <w:t>月，套均租金为</w:t>
      </w:r>
      <w:r>
        <w:rPr>
          <w:rFonts w:cs="Arial" w:ascii="Arial" w:hAnsi="Arial"/>
          <w:sz w:val="21"/>
        </w:rPr>
        <w:t>57333</w:t>
      </w:r>
      <w:r>
        <w:rPr>
          <w:rFonts w:ascii="Arial" w:hAnsi="Arial" w:cs="Arial"/>
          <w:sz w:val="21"/>
        </w:rPr>
        <w:t>元</w:t>
      </w:r>
      <w:r>
        <w:rPr>
          <w:rFonts w:cs="Arial" w:ascii="Arial" w:hAnsi="Arial"/>
          <w:sz w:val="21"/>
        </w:rPr>
        <w:t>/</w:t>
      </w:r>
      <w:r>
        <w:rPr>
          <w:rFonts w:ascii="Arial" w:hAnsi="Arial" w:cs="Arial"/>
          <w:sz w:val="21"/>
        </w:rPr>
        <w:t>套</w:t>
      </w:r>
      <w:r>
        <w:rPr>
          <w:rFonts w:cs="Arial" w:ascii="Arial" w:hAnsi="Arial"/>
          <w:sz w:val="21"/>
        </w:rPr>
        <w:t>·</w:t>
      </w:r>
      <w:r>
        <w:rPr>
          <w:rFonts w:ascii="Arial" w:hAnsi="Arial" w:cs="Arial"/>
          <w:sz w:val="21"/>
        </w:rPr>
        <w:t>月，二手房均价为</w:t>
      </w:r>
      <w:r>
        <w:rPr>
          <w:rFonts w:cs="Arial" w:ascii="Arial" w:hAnsi="Arial"/>
          <w:sz w:val="21"/>
        </w:rPr>
        <w:t>159795</w:t>
      </w:r>
      <w:r>
        <w:rPr>
          <w:rFonts w:ascii="Arial" w:hAnsi="Arial" w:cs="Arial"/>
          <w:sz w:val="21"/>
        </w:rPr>
        <w:t>元</w:t>
      </w:r>
      <w:r>
        <w:rPr>
          <w:rFonts w:cs="Arial" w:ascii="Arial" w:hAnsi="Arial"/>
          <w:sz w:val="21"/>
        </w:rPr>
        <w:t>/</w:t>
      </w:r>
      <w:r>
        <w:rPr>
          <w:rFonts w:ascii="Arial" w:hAnsi="Arial" w:cs="Arial"/>
          <w:sz w:val="21"/>
        </w:rPr>
        <w:t>㎡。南官房胡同次之，成交</w:t>
      </w:r>
      <w:r>
        <w:rPr>
          <w:rFonts w:cs="Arial" w:ascii="Arial" w:hAnsi="Arial"/>
          <w:sz w:val="21"/>
        </w:rPr>
        <w:t>276</w:t>
      </w:r>
      <w:r>
        <w:rPr>
          <w:rFonts w:ascii="Arial" w:hAnsi="Arial" w:cs="Arial"/>
          <w:sz w:val="21"/>
        </w:rPr>
        <w:t>元</w:t>
      </w:r>
      <w:r>
        <w:rPr>
          <w:rFonts w:cs="Arial" w:ascii="Arial" w:hAnsi="Arial"/>
          <w:sz w:val="21"/>
        </w:rPr>
        <w:t>/</w:t>
      </w:r>
      <w:r>
        <w:rPr>
          <w:rFonts w:ascii="Arial" w:hAnsi="Arial" w:cs="Arial"/>
          <w:sz w:val="21"/>
        </w:rPr>
        <w:t>㎡</w:t>
      </w:r>
      <w:r>
        <w:rPr>
          <w:rFonts w:cs="Arial" w:ascii="Arial" w:hAnsi="Arial"/>
          <w:sz w:val="21"/>
        </w:rPr>
        <w:t>·</w:t>
      </w:r>
      <w:r>
        <w:rPr>
          <w:rFonts w:ascii="Arial" w:hAnsi="Arial" w:cs="Arial"/>
          <w:sz w:val="21"/>
        </w:rPr>
        <w:t>月。</w:t>
      </w:r>
    </w:p>
    <w:p>
      <w:pPr>
        <w:pStyle w:val="Normal"/>
        <w:overflowPunct w:val="false"/>
        <w:spacing w:lineRule="auto" w:line="480"/>
        <w:jc w:val="center"/>
        <w:rPr>
          <w:rFonts w:ascii="Arial" w:hAnsi="Arial" w:cs="Arial"/>
          <w:sz w:val="21"/>
        </w:rPr>
      </w:pPr>
      <w:r>
        <w:rPr>
          <w:rFonts w:cs="Arial" w:ascii="Arial" w:hAnsi="Arial"/>
          <w:sz w:val="21"/>
        </w:rPr>
        <w:t>2023</w:t>
      </w:r>
      <w:r>
        <w:rPr>
          <w:rFonts w:ascii="Arial" w:hAnsi="Arial" w:cs="Arial"/>
          <w:sz w:val="21"/>
        </w:rPr>
        <w:t>年</w:t>
      </w:r>
      <w:r>
        <w:rPr>
          <w:rFonts w:cs="Arial" w:ascii="Arial" w:hAnsi="Arial"/>
          <w:sz w:val="21"/>
        </w:rPr>
        <w:t>10</w:t>
      </w:r>
      <w:r>
        <w:rPr>
          <w:rFonts w:ascii="Arial" w:hAnsi="Arial" w:cs="Arial"/>
          <w:sz w:val="21"/>
        </w:rPr>
        <w:t>月北京市租赁数据小区排名</w:t>
      </w:r>
      <w:r>
        <w:rPr>
          <w:rFonts w:cs="Arial" w:ascii="Arial" w:hAnsi="Arial"/>
          <w:sz w:val="21"/>
        </w:rPr>
        <w:t>TOP10</w:t>
      </w:r>
    </w:p>
    <w:tbl>
      <w:tblPr>
        <w:tblW w:w="5000" w:type="pct"/>
        <w:jc w:val="left"/>
        <w:tblInd w:w="10" w:type="dxa"/>
        <w:tblCellMar>
          <w:top w:w="15" w:type="dxa"/>
          <w:left w:w="15" w:type="dxa"/>
          <w:bottom w:w="0" w:type="dxa"/>
          <w:right w:w="15" w:type="dxa"/>
        </w:tblCellMar>
        <w:tblLook w:firstRow="1" w:noVBand="1" w:lastRow="0" w:firstColumn="0" w:lastColumn="0" w:noHBand="1" w:val="0620"/>
      </w:tblPr>
      <w:tblGrid>
        <w:gridCol w:w="932"/>
        <w:gridCol w:w="1483"/>
        <w:gridCol w:w="1305"/>
        <w:gridCol w:w="1393"/>
        <w:gridCol w:w="1394"/>
        <w:gridCol w:w="1394"/>
        <w:gridCol w:w="1396"/>
      </w:tblGrid>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排名</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小区名称</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区域</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板块</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平米租金</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w:t>
            </w:r>
            <w:r>
              <w:rPr>
                <w:rFonts w:cs="Arial" w:ascii="Arial" w:hAnsi="Arial"/>
                <w:sz w:val="18"/>
                <w:szCs w:val="18"/>
              </w:rPr>
              <w:t>·</w:t>
            </w:r>
            <w:r>
              <w:rPr>
                <w:rFonts w:ascii="Arial" w:hAnsi="Arial" w:cs="Arial"/>
                <w:sz w:val="18"/>
                <w:szCs w:val="18"/>
              </w:rPr>
              <w:t>月</w:t>
            </w:r>
            <w:r>
              <w:rPr>
                <w:rFonts w:cs="Arial" w:ascii="Arial" w:hAnsi="Arial"/>
                <w:sz w:val="18"/>
                <w:szCs w:val="18"/>
              </w:rPr>
              <w:t>)</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套均租金</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套</w:t>
            </w:r>
            <w:r>
              <w:rPr>
                <w:rFonts w:cs="Arial" w:ascii="Arial" w:hAnsi="Arial"/>
                <w:sz w:val="18"/>
                <w:szCs w:val="18"/>
              </w:rPr>
              <w:t>·</w:t>
            </w:r>
            <w:r>
              <w:rPr>
                <w:rFonts w:ascii="Arial" w:hAnsi="Arial" w:cs="Arial"/>
                <w:sz w:val="18"/>
                <w:szCs w:val="18"/>
              </w:rPr>
              <w:t>月</w:t>
            </w:r>
            <w:r>
              <w:rPr>
                <w:rFonts w:cs="Arial" w:ascii="Arial" w:hAnsi="Arial"/>
                <w:sz w:val="18"/>
                <w:szCs w:val="18"/>
              </w:rPr>
              <w:t>)</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二手房均价</w:t>
            </w:r>
            <w:r>
              <w:rPr>
                <w:rFonts w:cs="Arial" w:ascii="Arial" w:hAnsi="Arial"/>
                <w:sz w:val="18"/>
                <w:szCs w:val="18"/>
              </w:rPr>
              <w:br/>
              <w:t>(</w:t>
            </w:r>
            <w:r>
              <w:rPr>
                <w:rFonts w:ascii="Arial" w:hAnsi="Arial" w:cs="Arial"/>
                <w:sz w:val="18"/>
                <w:szCs w:val="18"/>
              </w:rPr>
              <w:t>元</w:t>
            </w:r>
            <w:r>
              <w:rPr>
                <w:rFonts w:cs="Arial" w:ascii="Arial" w:hAnsi="Arial"/>
                <w:sz w:val="18"/>
                <w:szCs w:val="18"/>
              </w:rPr>
              <w:t>/</w:t>
            </w:r>
            <w:r>
              <w:rPr>
                <w:rFonts w:ascii="Arial" w:hAnsi="Arial" w:cs="Arial"/>
                <w:sz w:val="18"/>
                <w:szCs w:val="18"/>
              </w:rPr>
              <w:t>㎡</w:t>
            </w:r>
            <w:r>
              <w:rPr>
                <w:rFonts w:cs="Arial" w:ascii="Arial" w:hAnsi="Arial"/>
                <w:sz w:val="18"/>
                <w:szCs w:val="18"/>
              </w:rPr>
              <w:t>)</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纳福胡同</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东北二环内</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282</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57333</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159795</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南官房胡同</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西城区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新街口、什刹海</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276</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43754</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141060</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3</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西海四合院</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西城区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新街口、什刹海</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265</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42429</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123084</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什刹海四合院</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西城区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新街口、什刹海</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261</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51370</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169130</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前门大栅栏胡同</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西城区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大栅栏、广内</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260</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29886</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138133</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东单四合院</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东北二环内</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260</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56692</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103306</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7</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大雅宝小区</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东北二环内</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258</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31143</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116333</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8</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钟楼四合院</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东北二环内</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257</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43990</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97335</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9</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府上嘉园</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东城区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德胜门外</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256</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35643</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132503</w:t>
            </w:r>
          </w:p>
        </w:tc>
      </w:tr>
      <w:tr>
        <w:trPr>
          <w:trHeight w:val="397" w:hRule="atLeast"/>
        </w:trPr>
        <w:tc>
          <w:tcPr>
            <w:tcW w:w="93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10</w:t>
            </w:r>
          </w:p>
        </w:tc>
        <w:tc>
          <w:tcPr>
            <w:tcW w:w="14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骏豪中央公园广场</w:t>
            </w:r>
          </w:p>
        </w:tc>
        <w:tc>
          <w:tcPr>
            <w:tcW w:w="130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朝阳区</w:t>
            </w:r>
          </w:p>
        </w:tc>
        <w:tc>
          <w:tcPr>
            <w:tcW w:w="139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ascii="Arial" w:hAnsi="Arial" w:cs="Arial"/>
                <w:sz w:val="18"/>
                <w:szCs w:val="18"/>
              </w:rPr>
              <w:t>朝阳公园</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256</w:t>
            </w:r>
          </w:p>
        </w:tc>
        <w:tc>
          <w:tcPr>
            <w:tcW w:w="139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67375</w:t>
            </w:r>
          </w:p>
        </w:tc>
        <w:tc>
          <w:tcPr>
            <w:tcW w:w="139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pacing w:lineRule="atLeast" w:line="240"/>
              <w:jc w:val="center"/>
              <w:rPr>
                <w:rFonts w:ascii="Arial" w:hAnsi="Arial" w:cs="Arial"/>
                <w:sz w:val="18"/>
                <w:szCs w:val="18"/>
              </w:rPr>
            </w:pPr>
            <w:r>
              <w:rPr>
                <w:rFonts w:cs="Arial" w:ascii="Arial" w:hAnsi="Arial"/>
                <w:sz w:val="18"/>
                <w:szCs w:val="18"/>
              </w:rPr>
              <w:t>156134</w:t>
            </w:r>
          </w:p>
        </w:tc>
      </w:tr>
    </w:tbl>
    <w:p>
      <w:pPr>
        <w:pStyle w:val="Normal"/>
        <w:overflowPunct w:val="false"/>
        <w:spacing w:lineRule="auto" w:line="480"/>
        <w:jc w:val="center"/>
        <w:rPr>
          <w:rFonts w:ascii="Arial" w:hAnsi="Arial" w:cs="Arial"/>
          <w:sz w:val="21"/>
        </w:rPr>
      </w:pPr>
      <w:r>
        <w:rPr>
          <w:rFonts w:cs="Arial" w:ascii="Arial" w:hAnsi="Arial"/>
          <w:sz w:val="21"/>
        </w:rPr>
      </w:r>
    </w:p>
    <w:p>
      <w:pPr>
        <w:pStyle w:val="Normal"/>
        <w:spacing w:lineRule="auto" w:line="480"/>
        <w:jc w:val="both"/>
        <w:rPr>
          <w:rFonts w:ascii="Arial" w:hAnsi="Arial" w:cs="Arial"/>
          <w:b/>
          <w:b/>
          <w:bCs/>
          <w:sz w:val="21"/>
          <w:szCs w:val="21"/>
        </w:rPr>
      </w:pPr>
      <w:r>
        <w:rPr>
          <w:rFonts w:ascii="Arial" w:hAnsi="Arial" w:cs="Arial"/>
          <w:b/>
          <w:bCs/>
          <w:sz w:val="21"/>
          <w:szCs w:val="21"/>
        </w:rPr>
        <w:t>（四）估价对象周边共有产权住房情况</w:t>
      </w:r>
    </w:p>
    <w:p>
      <w:pPr>
        <w:pStyle w:val="Normal"/>
        <w:overflowPunct w:val="false"/>
        <w:spacing w:lineRule="auto" w:line="480"/>
        <w:ind w:firstLine="420"/>
        <w:jc w:val="both"/>
        <w:rPr>
          <w:rFonts w:ascii="Arial" w:hAnsi="Arial" w:cs="Arial"/>
          <w:sz w:val="21"/>
        </w:rPr>
      </w:pPr>
      <w:r>
        <w:rPr>
          <w:rFonts w:ascii="Arial" w:hAnsi="Arial" w:cs="Arial"/>
          <w:sz w:val="21"/>
        </w:rPr>
        <w:t>估价对象位于北京市房山区。房山区地处北京市西南部，介于北纬</w:t>
      </w:r>
      <w:r>
        <w:rPr>
          <w:rFonts w:cs="Arial" w:ascii="Arial" w:hAnsi="Arial"/>
          <w:sz w:val="21"/>
        </w:rPr>
        <w:t>39°30'~39°55'</w:t>
      </w:r>
      <w:r>
        <w:rPr>
          <w:rFonts w:ascii="Arial" w:hAnsi="Arial" w:cs="Arial"/>
          <w:sz w:val="21"/>
        </w:rPr>
        <w:t>、东经</w:t>
      </w:r>
      <w:r>
        <w:rPr>
          <w:rFonts w:cs="Arial" w:ascii="Arial" w:hAnsi="Arial"/>
          <w:sz w:val="21"/>
        </w:rPr>
        <w:t>115°25'~116°15'</w:t>
      </w:r>
      <w:r>
        <w:rPr>
          <w:rFonts w:ascii="Arial" w:hAnsi="Arial" w:cs="Arial"/>
          <w:sz w:val="21"/>
        </w:rPr>
        <w:t>之间。北邻门头沟区，东北与丰台区毗连，东隔永定河与大兴区相望，南部和西部分别与河北省涿州市和涞水县、易县接壤。总面积</w:t>
      </w:r>
      <w:r>
        <w:rPr>
          <w:rFonts w:cs="Arial" w:ascii="Arial" w:hAnsi="Arial"/>
          <w:sz w:val="21"/>
        </w:rPr>
        <w:t>2019</w:t>
      </w:r>
      <w:r>
        <w:rPr>
          <w:rFonts w:ascii="Arial" w:hAnsi="Arial" w:cs="Arial"/>
          <w:sz w:val="21"/>
        </w:rPr>
        <w:t>平方公里。房山区地势西北高、东南低，西北部为山区，东南部为冲积平原、洼地、河漫滩。由西北向东南依次为中山、低山、丘陵、岗台地和冲积平原，地貌类型复杂多样，平原、丘陵、山区各占三分之一。房山区下辖</w:t>
      </w:r>
      <w:r>
        <w:rPr>
          <w:rFonts w:cs="Arial" w:ascii="Arial" w:hAnsi="Arial"/>
          <w:sz w:val="21"/>
        </w:rPr>
        <w:t>28</w:t>
      </w:r>
      <w:r>
        <w:rPr>
          <w:rFonts w:ascii="Arial" w:hAnsi="Arial" w:cs="Arial"/>
          <w:sz w:val="21"/>
        </w:rPr>
        <w:t>个乡镇</w:t>
      </w:r>
      <w:r>
        <w:rPr>
          <w:rFonts w:cs="Arial" w:ascii="Arial" w:hAnsi="Arial"/>
          <w:sz w:val="21"/>
        </w:rPr>
        <w:t>(</w:t>
      </w:r>
      <w:r>
        <w:rPr>
          <w:rFonts w:ascii="Arial" w:hAnsi="Arial" w:cs="Arial"/>
          <w:sz w:val="21"/>
        </w:rPr>
        <w:t>街道</w:t>
      </w:r>
      <w:r>
        <w:rPr>
          <w:rFonts w:cs="Arial" w:ascii="Arial" w:hAnsi="Arial"/>
          <w:sz w:val="21"/>
        </w:rPr>
        <w:t>)</w:t>
      </w:r>
      <w:r>
        <w:rPr>
          <w:rFonts w:ascii="Arial" w:hAnsi="Arial" w:cs="Arial"/>
          <w:sz w:val="21"/>
        </w:rPr>
        <w:t>、</w:t>
      </w:r>
      <w:r>
        <w:rPr>
          <w:rFonts w:cs="Arial" w:ascii="Arial" w:hAnsi="Arial"/>
          <w:sz w:val="21"/>
        </w:rPr>
        <w:t>459</w:t>
      </w:r>
      <w:r>
        <w:rPr>
          <w:rFonts w:ascii="Arial" w:hAnsi="Arial" w:cs="Arial"/>
          <w:sz w:val="21"/>
        </w:rPr>
        <w:t>个行政村、</w:t>
      </w:r>
      <w:r>
        <w:rPr>
          <w:rFonts w:cs="Arial" w:ascii="Arial" w:hAnsi="Arial"/>
          <w:sz w:val="21"/>
        </w:rPr>
        <w:t>210</w:t>
      </w:r>
      <w:r>
        <w:rPr>
          <w:rFonts w:ascii="Arial" w:hAnsi="Arial" w:cs="Arial"/>
          <w:sz w:val="21"/>
        </w:rPr>
        <w:t>个社区居委会。全区常住人口为</w:t>
      </w:r>
      <w:r>
        <w:rPr>
          <w:rFonts w:cs="Arial" w:ascii="Arial" w:hAnsi="Arial"/>
          <w:sz w:val="21"/>
        </w:rPr>
        <w:t>131.3</w:t>
      </w:r>
      <w:r>
        <w:rPr>
          <w:rFonts w:ascii="Arial" w:hAnsi="Arial" w:cs="Arial"/>
          <w:sz w:val="21"/>
        </w:rPr>
        <w:t>万人。</w:t>
      </w:r>
    </w:p>
    <w:p>
      <w:pPr>
        <w:pStyle w:val="Normal"/>
        <w:overflowPunct w:val="false"/>
        <w:spacing w:lineRule="auto" w:line="480"/>
        <w:ind w:firstLine="420"/>
        <w:jc w:val="both"/>
        <w:rPr>
          <w:rFonts w:ascii="Arial" w:hAnsi="Arial" w:cs="Arial"/>
          <w:sz w:val="21"/>
        </w:rPr>
      </w:pPr>
      <w:r>
        <w:rPr>
          <w:rFonts w:cs="Arial" w:ascii="Arial" w:hAnsi="Arial"/>
          <w:sz w:val="21"/>
        </w:rPr>
        <w:t>2022</w:t>
      </w:r>
      <w:r>
        <w:rPr>
          <w:rFonts w:ascii="Arial" w:hAnsi="Arial" w:cs="Arial"/>
          <w:sz w:val="21"/>
        </w:rPr>
        <w:t>年，全年地区生产总值增长</w:t>
      </w:r>
      <w:r>
        <w:rPr>
          <w:rFonts w:cs="Arial" w:ascii="Arial" w:hAnsi="Arial"/>
          <w:sz w:val="21"/>
        </w:rPr>
        <w:t>3%</w:t>
      </w:r>
      <w:r>
        <w:rPr>
          <w:rFonts w:ascii="Arial" w:hAnsi="Arial" w:cs="Arial"/>
          <w:sz w:val="21"/>
        </w:rPr>
        <w:t>以上；一般公共预算收入实现</w:t>
      </w:r>
      <w:r>
        <w:rPr>
          <w:rFonts w:cs="Arial" w:ascii="Arial" w:hAnsi="Arial"/>
          <w:sz w:val="21"/>
        </w:rPr>
        <w:t>92.6</w:t>
      </w:r>
      <w:r>
        <w:rPr>
          <w:rFonts w:ascii="Arial" w:hAnsi="Arial" w:cs="Arial"/>
          <w:sz w:val="21"/>
        </w:rPr>
        <w:t>亿元，增长</w:t>
      </w:r>
      <w:r>
        <w:rPr>
          <w:rFonts w:cs="Arial" w:ascii="Arial" w:hAnsi="Arial"/>
          <w:sz w:val="21"/>
        </w:rPr>
        <w:t>8.3%</w:t>
      </w:r>
      <w:r>
        <w:rPr>
          <w:rFonts w:ascii="Arial" w:hAnsi="Arial" w:cs="Arial"/>
          <w:sz w:val="21"/>
        </w:rPr>
        <w:t>；规上工业总产值完成</w:t>
      </w:r>
      <w:r>
        <w:rPr>
          <w:rFonts w:cs="Arial" w:ascii="Arial" w:hAnsi="Arial"/>
          <w:sz w:val="21"/>
        </w:rPr>
        <w:t>956.2</w:t>
      </w:r>
      <w:r>
        <w:rPr>
          <w:rFonts w:ascii="Arial" w:hAnsi="Arial" w:cs="Arial"/>
          <w:sz w:val="21"/>
        </w:rPr>
        <w:t>亿元，增长</w:t>
      </w:r>
      <w:r>
        <w:rPr>
          <w:rFonts w:cs="Arial" w:ascii="Arial" w:hAnsi="Arial"/>
          <w:sz w:val="21"/>
        </w:rPr>
        <w:t>6.9%</w:t>
      </w:r>
      <w:r>
        <w:rPr>
          <w:rFonts w:ascii="Arial" w:hAnsi="Arial" w:cs="Arial"/>
          <w:sz w:val="21"/>
        </w:rPr>
        <w:t>；固定资产投资、建安投资分别增长</w:t>
      </w:r>
      <w:r>
        <w:rPr>
          <w:rFonts w:cs="Arial" w:ascii="Arial" w:hAnsi="Arial"/>
          <w:sz w:val="21"/>
        </w:rPr>
        <w:t>5.7%</w:t>
      </w:r>
      <w:r>
        <w:rPr>
          <w:rFonts w:ascii="Arial" w:hAnsi="Arial" w:cs="Arial"/>
          <w:sz w:val="21"/>
        </w:rPr>
        <w:t>、</w:t>
      </w:r>
      <w:r>
        <w:rPr>
          <w:rFonts w:cs="Arial" w:ascii="Arial" w:hAnsi="Arial"/>
          <w:sz w:val="21"/>
        </w:rPr>
        <w:t>8.9%</w:t>
      </w:r>
      <w:r>
        <w:rPr>
          <w:rFonts w:ascii="Arial" w:hAnsi="Arial" w:cs="Arial"/>
          <w:sz w:val="21"/>
        </w:rPr>
        <w:t>；社会消费品零售总额实现</w:t>
      </w:r>
      <w:r>
        <w:rPr>
          <w:rFonts w:cs="Arial" w:ascii="Arial" w:hAnsi="Arial"/>
          <w:sz w:val="21"/>
        </w:rPr>
        <w:t>349.1</w:t>
      </w:r>
      <w:r>
        <w:rPr>
          <w:rFonts w:ascii="Arial" w:hAnsi="Arial" w:cs="Arial"/>
          <w:sz w:val="21"/>
        </w:rPr>
        <w:t>亿元；城镇登记失业率</w:t>
      </w:r>
      <w:r>
        <w:rPr>
          <w:rFonts w:cs="Arial" w:ascii="Arial" w:hAnsi="Arial"/>
          <w:sz w:val="21"/>
        </w:rPr>
        <w:t>3.38%</w:t>
      </w:r>
      <w:r>
        <w:rPr>
          <w:rFonts w:ascii="Arial" w:hAnsi="Arial" w:cs="Arial"/>
          <w:sz w:val="21"/>
        </w:rPr>
        <w:t>，居民人均可支配收入实现</w:t>
      </w:r>
      <w:r>
        <w:rPr>
          <w:rFonts w:cs="Arial" w:ascii="Arial" w:hAnsi="Arial"/>
          <w:sz w:val="21"/>
        </w:rPr>
        <w:t>4.93</w:t>
      </w:r>
      <w:r>
        <w:rPr>
          <w:rFonts w:ascii="Arial" w:hAnsi="Arial" w:cs="Arial"/>
          <w:sz w:val="21"/>
        </w:rPr>
        <w:t>万元，增长</w:t>
      </w:r>
      <w:r>
        <w:rPr>
          <w:rFonts w:cs="Arial" w:ascii="Arial" w:hAnsi="Arial"/>
          <w:sz w:val="21"/>
        </w:rPr>
        <w:t>3.6%</w:t>
      </w:r>
      <w:r>
        <w:rPr>
          <w:rFonts w:ascii="Arial" w:hAnsi="Arial" w:cs="Arial"/>
          <w:sz w:val="21"/>
        </w:rPr>
        <w:t>；</w:t>
      </w:r>
      <w:r>
        <w:rPr>
          <w:rFonts w:cs="Arial" w:ascii="Arial" w:hAnsi="Arial"/>
          <w:sz w:val="21"/>
        </w:rPr>
        <w:t>PM2.5</w:t>
      </w:r>
      <w:r>
        <w:rPr>
          <w:rFonts w:ascii="Arial" w:hAnsi="Arial" w:cs="Arial"/>
          <w:sz w:val="21"/>
        </w:rPr>
        <w:t>年均浓度</w:t>
      </w:r>
      <w:r>
        <w:rPr>
          <w:rFonts w:cs="Arial" w:ascii="Arial" w:hAnsi="Arial"/>
          <w:sz w:val="21"/>
        </w:rPr>
        <w:t>31</w:t>
      </w:r>
      <w:r>
        <w:rPr>
          <w:rFonts w:ascii="Arial" w:hAnsi="Arial" w:cs="Arial"/>
          <w:sz w:val="21"/>
        </w:rPr>
        <w:t>微克</w:t>
      </w:r>
      <w:r>
        <w:rPr>
          <w:rFonts w:cs="Arial" w:ascii="Arial" w:hAnsi="Arial"/>
          <w:sz w:val="21"/>
        </w:rPr>
        <w:t>/</w:t>
      </w:r>
      <w:r>
        <w:rPr>
          <w:rFonts w:ascii="Arial" w:hAnsi="Arial" w:cs="Arial"/>
          <w:sz w:val="21"/>
        </w:rPr>
        <w:t>立方米，同比下降</w:t>
      </w:r>
      <w:r>
        <w:rPr>
          <w:rFonts w:cs="Arial" w:ascii="Arial" w:hAnsi="Arial"/>
          <w:sz w:val="21"/>
        </w:rPr>
        <w:t>8.6%</w:t>
      </w:r>
      <w:r>
        <w:rPr>
          <w:rFonts w:ascii="Arial" w:hAnsi="Arial" w:cs="Arial"/>
          <w:sz w:val="21"/>
        </w:rPr>
        <w:t>。</w:t>
      </w:r>
    </w:p>
    <w:p>
      <w:pPr>
        <w:pStyle w:val="Normal"/>
        <w:overflowPunct w:val="false"/>
        <w:spacing w:lineRule="auto" w:line="480"/>
        <w:ind w:firstLine="420"/>
        <w:jc w:val="both"/>
        <w:rPr>
          <w:rFonts w:ascii="Arial" w:hAnsi="Arial" w:cs="Arial"/>
          <w:sz w:val="21"/>
        </w:rPr>
      </w:pPr>
      <w:r>
        <w:rPr>
          <w:rFonts w:ascii="Arial" w:hAnsi="Arial" w:cs="Arial"/>
          <w:sz w:val="21"/>
        </w:rPr>
        <w:t>自</w:t>
      </w:r>
      <w:r>
        <w:rPr>
          <w:rFonts w:cs="Arial" w:ascii="Arial" w:hAnsi="Arial"/>
          <w:sz w:val="21"/>
        </w:rPr>
        <w:t>2022</w:t>
      </w:r>
      <w:r>
        <w:rPr>
          <w:rFonts w:ascii="Arial" w:hAnsi="Arial" w:cs="Arial"/>
          <w:sz w:val="21"/>
        </w:rPr>
        <w:t>年至</w:t>
      </w:r>
      <w:r>
        <w:rPr>
          <w:rFonts w:cs="Arial" w:ascii="Arial" w:hAnsi="Arial"/>
          <w:sz w:val="21"/>
        </w:rPr>
        <w:t>2023</w:t>
      </w:r>
      <w:r>
        <w:rPr>
          <w:rFonts w:ascii="Arial" w:hAnsi="Arial" w:cs="Arial"/>
          <w:sz w:val="21"/>
        </w:rPr>
        <w:t>年</w:t>
      </w:r>
      <w:r>
        <w:rPr>
          <w:rFonts w:cs="Arial" w:ascii="Arial" w:hAnsi="Arial"/>
          <w:sz w:val="21"/>
        </w:rPr>
        <w:t>11</w:t>
      </w:r>
      <w:r>
        <w:rPr>
          <w:rFonts w:ascii="Arial" w:hAnsi="Arial" w:cs="Arial"/>
          <w:sz w:val="21"/>
        </w:rPr>
        <w:t>月，房山区共</w:t>
      </w:r>
      <w:r>
        <w:rPr>
          <w:rFonts w:cs="Arial" w:ascii="Arial" w:hAnsi="Arial"/>
          <w:sz w:val="21"/>
        </w:rPr>
        <w:t>4</w:t>
      </w:r>
      <w:r>
        <w:rPr>
          <w:rFonts w:ascii="Arial" w:hAnsi="Arial" w:cs="Arial"/>
          <w:sz w:val="21"/>
        </w:rPr>
        <w:t>个共有产权项目出售，具体如下：</w:t>
      </w:r>
    </w:p>
    <w:p>
      <w:pPr>
        <w:pStyle w:val="Normal"/>
        <w:spacing w:lineRule="auto" w:line="360"/>
        <w:jc w:val="center"/>
        <w:rPr>
          <w:rFonts w:ascii="Arial" w:hAnsi="Arial" w:cs="Arial"/>
          <w:sz w:val="21"/>
          <w:szCs w:val="21"/>
        </w:rPr>
      </w:pPr>
      <w:r>
        <w:rPr>
          <w:rFonts w:ascii="Arial" w:hAnsi="Arial" w:cs="Arial"/>
          <w:sz w:val="21"/>
          <w:szCs w:val="21"/>
        </w:rPr>
        <w:t>房山区共有产权住房项目销售均价和份额</w:t>
      </w:r>
    </w:p>
    <w:tbl>
      <w:tblPr>
        <w:tblW w:w="9299" w:type="dxa"/>
        <w:jc w:val="center"/>
        <w:tblInd w:w="0" w:type="dxa"/>
        <w:tblCellMar>
          <w:top w:w="0" w:type="dxa"/>
          <w:left w:w="108" w:type="dxa"/>
          <w:bottom w:w="0" w:type="dxa"/>
          <w:right w:w="108" w:type="dxa"/>
        </w:tblCellMar>
        <w:tblLook w:firstRow="1" w:noVBand="1" w:lastRow="0" w:firstColumn="1" w:lastColumn="0" w:noHBand="0" w:val="04a0"/>
      </w:tblPr>
      <w:tblGrid>
        <w:gridCol w:w="707"/>
        <w:gridCol w:w="2834"/>
        <w:gridCol w:w="1984"/>
        <w:gridCol w:w="1839"/>
        <w:gridCol w:w="1935"/>
      </w:tblGrid>
      <w:tr>
        <w:trPr>
          <w:trHeight w:val="705" w:hRule="atLeast"/>
        </w:trPr>
        <w:tc>
          <w:tcPr>
            <w:tcW w:w="7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序号</w:t>
            </w:r>
          </w:p>
        </w:tc>
        <w:tc>
          <w:tcPr>
            <w:tcW w:w="2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项目名称</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销售均价（元</w:t>
            </w:r>
            <w:r>
              <w:rPr>
                <w:rFonts w:eastAsia="华文细黑" w:cs="Arial" w:ascii="Arial" w:hAnsi="Arial"/>
                <w:sz w:val="18"/>
                <w:szCs w:val="18"/>
              </w:rPr>
              <w:t>/</w:t>
            </w:r>
            <w:r>
              <w:rPr>
                <w:rFonts w:ascii="Arial" w:hAnsi="Arial" w:cs="Arial" w:eastAsia="华文细黑"/>
                <w:sz w:val="18"/>
                <w:szCs w:val="18"/>
              </w:rPr>
              <w:t>㎡）</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购房人产权份额</w:t>
            </w:r>
          </w:p>
        </w:tc>
        <w:tc>
          <w:tcPr>
            <w:tcW w:w="1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政府产权份额</w:t>
            </w:r>
          </w:p>
        </w:tc>
      </w:tr>
      <w:tr>
        <w:trPr>
          <w:trHeight w:val="360" w:hRule="atLeast"/>
        </w:trPr>
        <w:tc>
          <w:tcPr>
            <w:tcW w:w="7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1</w:t>
            </w:r>
          </w:p>
        </w:tc>
        <w:tc>
          <w:tcPr>
            <w:tcW w:w="2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熙悦丽博家园</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27000</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80%</w:t>
            </w:r>
          </w:p>
        </w:tc>
        <w:tc>
          <w:tcPr>
            <w:tcW w:w="1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20%</w:t>
            </w:r>
          </w:p>
        </w:tc>
      </w:tr>
      <w:tr>
        <w:trPr>
          <w:trHeight w:val="345" w:hRule="atLeast"/>
        </w:trPr>
        <w:tc>
          <w:tcPr>
            <w:tcW w:w="7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2</w:t>
            </w:r>
          </w:p>
        </w:tc>
        <w:tc>
          <w:tcPr>
            <w:tcW w:w="2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碧岸澜庭项目（二期）</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28600</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85%</w:t>
            </w:r>
          </w:p>
        </w:tc>
        <w:tc>
          <w:tcPr>
            <w:tcW w:w="1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15%</w:t>
            </w:r>
          </w:p>
        </w:tc>
      </w:tr>
      <w:tr>
        <w:trPr>
          <w:trHeight w:val="345" w:hRule="atLeast"/>
        </w:trPr>
        <w:tc>
          <w:tcPr>
            <w:tcW w:w="7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3</w:t>
            </w:r>
          </w:p>
        </w:tc>
        <w:tc>
          <w:tcPr>
            <w:tcW w:w="2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慧园</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13500</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85%</w:t>
            </w:r>
          </w:p>
        </w:tc>
        <w:tc>
          <w:tcPr>
            <w:tcW w:w="1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15%</w:t>
            </w:r>
          </w:p>
        </w:tc>
      </w:tr>
      <w:tr>
        <w:trPr>
          <w:trHeight w:val="345" w:hRule="atLeast"/>
        </w:trPr>
        <w:tc>
          <w:tcPr>
            <w:tcW w:w="70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4</w:t>
            </w:r>
          </w:p>
        </w:tc>
        <w:tc>
          <w:tcPr>
            <w:tcW w:w="28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ascii="Arial" w:hAnsi="Arial" w:cs="Arial" w:eastAsia="华文细黑"/>
                <w:sz w:val="18"/>
                <w:szCs w:val="18"/>
              </w:rPr>
              <w:t>金林嘉苑</w:t>
            </w:r>
          </w:p>
        </w:tc>
        <w:tc>
          <w:tcPr>
            <w:tcW w:w="19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26000</w:t>
            </w:r>
          </w:p>
        </w:tc>
        <w:tc>
          <w:tcPr>
            <w:tcW w:w="18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75%</w:t>
            </w:r>
          </w:p>
        </w:tc>
        <w:tc>
          <w:tcPr>
            <w:tcW w:w="19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both"/>
              <w:rPr>
                <w:rFonts w:ascii="Arial" w:hAnsi="Arial" w:eastAsia="华文细黑" w:cs="Arial"/>
                <w:sz w:val="18"/>
                <w:szCs w:val="18"/>
              </w:rPr>
            </w:pPr>
            <w:r>
              <w:rPr>
                <w:rFonts w:eastAsia="华文细黑" w:cs="Arial" w:ascii="Arial" w:hAnsi="Arial"/>
                <w:sz w:val="18"/>
                <w:szCs w:val="18"/>
              </w:rPr>
              <w:t>25%</w:t>
            </w:r>
          </w:p>
        </w:tc>
      </w:tr>
    </w:tbl>
    <w:p>
      <w:pPr>
        <w:pStyle w:val="2"/>
        <w:numPr>
          <w:ilvl w:val="0"/>
          <w:numId w:val="0"/>
        </w:numPr>
        <w:spacing w:lineRule="auto" w:line="480"/>
        <w:ind w:left="306" w:hanging="306"/>
        <w:jc w:val="both"/>
        <w:rPr>
          <w:rFonts w:eastAsia="宋体"/>
          <w:b w:val="false"/>
          <w:b w:val="false"/>
          <w:bCs w:val="false"/>
          <w:kern w:val="2"/>
          <w:sz w:val="18"/>
          <w:szCs w:val="18"/>
        </w:rPr>
      </w:pPr>
      <w:r>
        <w:rPr>
          <w:rFonts w:eastAsia="宋体"/>
          <w:b w:val="false"/>
          <w:bCs w:val="false"/>
          <w:kern w:val="2"/>
          <w:sz w:val="18"/>
          <w:szCs w:val="18"/>
        </w:rPr>
      </w:r>
    </w:p>
    <w:p>
      <w:pPr>
        <w:pStyle w:val="2"/>
        <w:numPr>
          <w:ilvl w:val="0"/>
          <w:numId w:val="0"/>
        </w:numPr>
        <w:spacing w:lineRule="auto" w:line="480"/>
        <w:ind w:left="358" w:hanging="358"/>
        <w:jc w:val="both"/>
        <w:rPr>
          <w:rFonts w:eastAsia="宋体"/>
          <w:kern w:val="2"/>
          <w:sz w:val="21"/>
          <w:szCs w:val="21"/>
        </w:rPr>
      </w:pPr>
      <w:bookmarkStart w:id="49" w:name="_Toc525655438"/>
      <w:r>
        <w:rPr>
          <w:rFonts w:eastAsia="宋体"/>
          <w:kern w:val="2"/>
          <w:sz w:val="21"/>
          <w:szCs w:val="21"/>
        </w:rPr>
        <w:t>三、最高最佳利用分析</w:t>
      </w:r>
      <w:bookmarkEnd w:id="49"/>
    </w:p>
    <w:p>
      <w:pPr>
        <w:pStyle w:val="13"/>
        <w:spacing w:lineRule="auto" w:line="480"/>
        <w:ind w:right="140" w:firstLine="420"/>
        <w:jc w:val="both"/>
        <w:textAlignment w:val="bottom"/>
        <w:rPr>
          <w:rFonts w:ascii="Arial" w:hAnsi="Arial" w:cs="Arial"/>
          <w:sz w:val="21"/>
          <w:szCs w:val="21"/>
        </w:rPr>
      </w:pPr>
      <w:r>
        <w:rPr>
          <w:rFonts w:ascii="Arial" w:hAnsi="Arial" w:cs="Arial"/>
          <w:sz w:val="21"/>
          <w:szCs w:val="21"/>
        </w:rPr>
        <w:t>所谓最高最佳使用是指房地产估价要以房地产的最高最佳使用为前提。最高最佳使用是估价对象的一种最可能的使用</w:t>
      </w:r>
      <w:r>
        <w:rPr>
          <w:rFonts w:cs="Arial" w:ascii="Arial" w:hAnsi="Arial"/>
          <w:sz w:val="21"/>
          <w:szCs w:val="21"/>
        </w:rPr>
        <w:t>,</w:t>
      </w:r>
      <w:r>
        <w:rPr>
          <w:rFonts w:ascii="Arial" w:hAnsi="Arial" w:cs="Arial"/>
          <w:sz w:val="21"/>
          <w:szCs w:val="21"/>
        </w:rPr>
        <w:t>这种最可能的使用是法律上允许、技术上可能、经济上可行，经过充分合理的论证，并能给估价对象带来最高价值的使用。它主要体现在以下几个方面</w:t>
      </w:r>
      <w:r>
        <w:rPr>
          <w:rFonts w:cs="Arial" w:ascii="Arial" w:hAnsi="Arial"/>
          <w:sz w:val="21"/>
          <w:szCs w:val="21"/>
        </w:rPr>
        <w:t>:</w:t>
      </w:r>
      <w:r>
        <w:rPr>
          <w:rFonts w:ascii="Arial" w:hAnsi="Arial" w:cs="Arial"/>
          <w:sz w:val="21"/>
          <w:szCs w:val="21"/>
        </w:rPr>
        <w:t>：</w:t>
      </w:r>
    </w:p>
    <w:p>
      <w:pPr>
        <w:pStyle w:val="13"/>
        <w:spacing w:lineRule="auto" w:line="480"/>
        <w:ind w:right="140" w:hanging="0"/>
        <w:jc w:val="both"/>
        <w:textAlignment w:val="bottom"/>
        <w:rPr>
          <w:rFonts w:ascii="Arial" w:hAnsi="Arial" w:cs="Arial"/>
          <w:b/>
          <w:b/>
          <w:sz w:val="21"/>
          <w:szCs w:val="21"/>
        </w:rPr>
      </w:pPr>
      <w:r>
        <w:rPr>
          <w:rFonts w:ascii="Arial" w:hAnsi="Arial" w:cs="Arial"/>
          <w:b/>
          <w:sz w:val="21"/>
          <w:szCs w:val="21"/>
        </w:rPr>
        <w:t>（一）法律上允许</w:t>
      </w:r>
    </w:p>
    <w:p>
      <w:pPr>
        <w:pStyle w:val="13"/>
        <w:spacing w:lineRule="auto" w:line="480"/>
        <w:ind w:right="140" w:firstLine="420"/>
        <w:jc w:val="both"/>
        <w:textAlignment w:val="bottom"/>
        <w:rPr>
          <w:rFonts w:ascii="Arial" w:hAnsi="Arial" w:cs="Arial"/>
          <w:sz w:val="21"/>
          <w:szCs w:val="21"/>
        </w:rPr>
      </w:pPr>
      <w:r>
        <w:rPr>
          <w:rFonts w:ascii="Arial" w:hAnsi="Arial" w:cs="Arial"/>
          <w:sz w:val="21"/>
          <w:szCs w:val="21"/>
        </w:rPr>
        <w:t>法律上允许即不受现时使用状况的限制，而依照法律规章、规划发展方向，按照其可能的最优用途进行估价。</w:t>
      </w:r>
    </w:p>
    <w:p>
      <w:pPr>
        <w:pStyle w:val="13"/>
        <w:spacing w:lineRule="auto" w:line="480"/>
        <w:ind w:right="140" w:firstLine="420"/>
        <w:jc w:val="both"/>
        <w:textAlignment w:val="bottom"/>
        <w:rPr>
          <w:rFonts w:ascii="Arial" w:hAnsi="Arial" w:cs="Arial"/>
          <w:sz w:val="21"/>
          <w:szCs w:val="21"/>
        </w:rPr>
      </w:pPr>
      <w:r>
        <w:rPr>
          <w:rFonts w:ascii="Arial" w:hAnsi="Arial" w:cs="Arial"/>
          <w:sz w:val="21"/>
          <w:szCs w:val="21"/>
        </w:rPr>
        <w:t>估价对象土地规划用途为</w:t>
      </w:r>
      <w:r>
        <w:rPr>
          <w:rFonts w:ascii="Arial" w:hAnsi="Arial" w:cs="Arial"/>
          <w:kern w:val="2"/>
          <w:sz w:val="21"/>
          <w:szCs w:val="21"/>
        </w:rPr>
        <w:t>城镇住宅用地</w:t>
      </w:r>
      <w:r>
        <w:rPr>
          <w:rFonts w:ascii="Arial" w:hAnsi="Arial" w:cs="Arial"/>
          <w:sz w:val="21"/>
          <w:szCs w:val="21"/>
        </w:rPr>
        <w:t>，房屋规划用途为住宅（共有产权住房），实际拟用作共有产权住房，法律上允许。</w:t>
      </w:r>
    </w:p>
    <w:p>
      <w:pPr>
        <w:pStyle w:val="13"/>
        <w:spacing w:lineRule="auto" w:line="480"/>
        <w:ind w:right="142" w:hanging="0"/>
        <w:jc w:val="both"/>
        <w:textAlignment w:val="bottom"/>
        <w:rPr>
          <w:rFonts w:ascii="Arial" w:hAnsi="Arial" w:cs="Arial"/>
          <w:b/>
          <w:b/>
          <w:sz w:val="21"/>
          <w:szCs w:val="21"/>
        </w:rPr>
      </w:pPr>
      <w:r>
        <w:rPr>
          <w:rFonts w:ascii="Arial" w:hAnsi="Arial" w:cs="Arial"/>
          <w:b/>
          <w:sz w:val="21"/>
          <w:szCs w:val="21"/>
        </w:rPr>
        <w:t>（二）技术上可能</w:t>
      </w:r>
    </w:p>
    <w:p>
      <w:pPr>
        <w:pStyle w:val="13"/>
        <w:spacing w:lineRule="auto" w:line="480"/>
        <w:ind w:right="142" w:firstLine="420"/>
        <w:jc w:val="both"/>
        <w:textAlignment w:val="bottom"/>
        <w:rPr>
          <w:rFonts w:ascii="Arial" w:hAnsi="Arial" w:cs="Arial"/>
          <w:sz w:val="21"/>
          <w:szCs w:val="21"/>
        </w:rPr>
      </w:pPr>
      <w:r>
        <w:rPr>
          <w:rFonts w:ascii="Arial" w:hAnsi="Arial" w:cs="Arial"/>
          <w:sz w:val="21"/>
          <w:szCs w:val="21"/>
        </w:rPr>
        <w:t>技术上可能即不能把技术上无法做到的使用当作最高最佳使用，要按照房屋建筑工程方面的技术要求进行估价。</w:t>
      </w:r>
    </w:p>
    <w:p>
      <w:pPr>
        <w:pStyle w:val="13"/>
        <w:spacing w:lineRule="auto" w:line="480"/>
        <w:ind w:right="142" w:firstLine="420"/>
        <w:jc w:val="both"/>
        <w:textAlignment w:val="bottom"/>
        <w:rPr>
          <w:rFonts w:ascii="Arial" w:hAnsi="Arial" w:cs="Arial"/>
          <w:sz w:val="21"/>
          <w:szCs w:val="21"/>
        </w:rPr>
      </w:pPr>
      <w:r>
        <w:rPr>
          <w:rFonts w:ascii="Arial" w:hAnsi="Arial" w:cs="Arial"/>
          <w:sz w:val="21"/>
          <w:szCs w:val="21"/>
        </w:rPr>
        <w:t>估价对象为钢混结构的多层建筑物。估价对象建筑结构、功能、造型、立面效果、建筑材料和设备选用、施工技术等方面，在目前的施工技术上均能满足要求。</w:t>
      </w:r>
    </w:p>
    <w:p>
      <w:pPr>
        <w:pStyle w:val="13"/>
        <w:spacing w:lineRule="auto" w:line="480"/>
        <w:ind w:right="142" w:hanging="0"/>
        <w:jc w:val="both"/>
        <w:textAlignment w:val="bottom"/>
        <w:rPr>
          <w:rFonts w:ascii="Arial" w:hAnsi="Arial" w:cs="Arial"/>
          <w:b/>
          <w:b/>
          <w:sz w:val="21"/>
          <w:szCs w:val="21"/>
        </w:rPr>
      </w:pPr>
      <w:r>
        <w:rPr>
          <w:rFonts w:ascii="Arial" w:hAnsi="Arial" w:cs="Arial"/>
          <w:b/>
          <w:sz w:val="21"/>
          <w:szCs w:val="21"/>
        </w:rPr>
        <w:t>（三）经济上可行</w:t>
      </w:r>
    </w:p>
    <w:p>
      <w:pPr>
        <w:pStyle w:val="13"/>
        <w:spacing w:lineRule="auto" w:line="480"/>
        <w:ind w:right="142" w:firstLine="420"/>
        <w:jc w:val="both"/>
        <w:textAlignment w:val="bottom"/>
        <w:rPr>
          <w:rFonts w:ascii="Arial" w:hAnsi="Arial" w:cs="Arial"/>
          <w:sz w:val="21"/>
          <w:szCs w:val="21"/>
        </w:rPr>
      </w:pPr>
      <w:r>
        <w:rPr>
          <w:rFonts w:ascii="Arial" w:hAnsi="Arial" w:cs="Arial"/>
          <w:sz w:val="21"/>
          <w:szCs w:val="21"/>
        </w:rPr>
        <w:t>经济上可行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pPr>
        <w:pStyle w:val="13"/>
        <w:spacing w:lineRule="auto" w:line="480"/>
        <w:ind w:right="140" w:hanging="0"/>
        <w:jc w:val="both"/>
        <w:textAlignment w:val="bottom"/>
        <w:rPr>
          <w:rFonts w:ascii="Arial" w:hAnsi="Arial" w:cs="Arial"/>
          <w:b/>
          <w:b/>
          <w:sz w:val="21"/>
          <w:szCs w:val="21"/>
        </w:rPr>
      </w:pPr>
      <w:r>
        <w:rPr>
          <w:rFonts w:ascii="Arial" w:hAnsi="Arial" w:cs="Arial"/>
          <w:b/>
          <w:sz w:val="21"/>
          <w:szCs w:val="21"/>
        </w:rPr>
        <w:t>（四）价值最大化</w:t>
      </w:r>
    </w:p>
    <w:p>
      <w:pPr>
        <w:pStyle w:val="13"/>
        <w:spacing w:lineRule="auto" w:line="480"/>
        <w:ind w:right="140" w:firstLine="420"/>
        <w:jc w:val="both"/>
        <w:textAlignment w:val="bottom"/>
        <w:rPr>
          <w:rFonts w:ascii="Arial" w:hAnsi="Arial" w:cs="Arial"/>
          <w:sz w:val="21"/>
          <w:szCs w:val="21"/>
        </w:rPr>
      </w:pPr>
      <w:r>
        <w:rPr>
          <w:rFonts w:ascii="Arial" w:hAnsi="Arial" w:cs="Arial"/>
          <w:sz w:val="21"/>
          <w:szCs w:val="21"/>
        </w:rPr>
        <w:t>价值最大化即在所有具有经济可行性的使用方式中，能使估价对象价值达到最大的使用方式，才是最高最佳的使用方式。估价对象土地规划用途为</w:t>
      </w:r>
      <w:r>
        <w:rPr>
          <w:rFonts w:ascii="Arial" w:hAnsi="Arial" w:cs="Arial"/>
          <w:kern w:val="2"/>
          <w:sz w:val="21"/>
          <w:szCs w:val="21"/>
        </w:rPr>
        <w:t>城镇住宅用地</w:t>
      </w:r>
      <w:r>
        <w:rPr>
          <w:rFonts w:ascii="Arial" w:hAnsi="Arial" w:cs="Arial"/>
          <w:sz w:val="21"/>
          <w:szCs w:val="21"/>
        </w:rPr>
        <w:t>，房屋规划用途为住宅（共有产权住房），实际拟用作共有产权住房，其使用方式以满足法律上许可、技术上可能、经济上可行为前提条件，经过论证可使估价对象价值得到最大化。</w:t>
      </w:r>
    </w:p>
    <w:p>
      <w:pPr>
        <w:pStyle w:val="13"/>
        <w:spacing w:lineRule="auto" w:line="480"/>
        <w:ind w:right="140" w:hanging="0"/>
        <w:jc w:val="both"/>
        <w:textAlignment w:val="bottom"/>
        <w:rPr>
          <w:rFonts w:ascii="Arial" w:hAnsi="Arial" w:cs="Arial"/>
          <w:b/>
          <w:b/>
          <w:sz w:val="21"/>
          <w:szCs w:val="21"/>
        </w:rPr>
      </w:pPr>
      <w:r>
        <w:rPr>
          <w:rFonts w:ascii="Arial" w:hAnsi="Arial" w:cs="Arial"/>
          <w:b/>
          <w:sz w:val="21"/>
          <w:szCs w:val="21"/>
        </w:rPr>
        <w:t>（五）使用前提说明与分析</w:t>
      </w:r>
    </w:p>
    <w:p>
      <w:pPr>
        <w:pStyle w:val="13"/>
        <w:spacing w:lineRule="auto" w:line="480"/>
        <w:ind w:right="140" w:firstLine="420"/>
        <w:jc w:val="both"/>
        <w:textAlignment w:val="bottom"/>
        <w:rPr>
          <w:rFonts w:ascii="Arial" w:hAnsi="Arial" w:cs="Arial"/>
          <w:sz w:val="21"/>
          <w:szCs w:val="21"/>
        </w:rPr>
      </w:pPr>
      <w:r>
        <w:rPr>
          <w:rFonts w:ascii="Arial" w:hAnsi="Arial" w:cs="Arial"/>
          <w:sz w:val="21"/>
          <w:szCs w:val="21"/>
        </w:rPr>
        <w:t>估价对象设定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pPr>
        <w:pStyle w:val="Normal"/>
        <w:spacing w:lineRule="auto" w:line="480"/>
        <w:ind w:firstLine="420"/>
        <w:jc w:val="both"/>
        <w:rPr>
          <w:rFonts w:ascii="Arial" w:hAnsi="Arial" w:cs="Arial"/>
          <w:sz w:val="21"/>
          <w:szCs w:val="21"/>
        </w:rPr>
      </w:pPr>
      <w:r>
        <w:rPr>
          <w:rFonts w:ascii="Arial" w:hAnsi="Arial" w:cs="Arial"/>
          <w:sz w:val="21"/>
          <w:szCs w:val="21"/>
        </w:rPr>
        <w:t>综上所述，我们认为估价对象用途为共有产权住房为其最高最佳使用途径。</w:t>
      </w:r>
    </w:p>
    <w:p>
      <w:pPr>
        <w:pStyle w:val="Normal"/>
        <w:spacing w:lineRule="auto" w:line="480"/>
        <w:ind w:firstLine="420"/>
        <w:jc w:val="both"/>
        <w:rPr>
          <w:rFonts w:ascii="Arial" w:hAnsi="Arial" w:cs="Arial"/>
          <w:sz w:val="21"/>
          <w:szCs w:val="21"/>
        </w:rPr>
      </w:pPr>
      <w:r>
        <w:rPr>
          <w:rFonts w:cs="Arial" w:ascii="Arial" w:hAnsi="Arial"/>
          <w:sz w:val="21"/>
          <w:szCs w:val="21"/>
        </w:rPr>
      </w:r>
    </w:p>
    <w:p>
      <w:pPr>
        <w:pStyle w:val="2"/>
        <w:numPr>
          <w:ilvl w:val="0"/>
          <w:numId w:val="0"/>
        </w:numPr>
        <w:spacing w:lineRule="auto" w:line="480"/>
        <w:ind w:left="358" w:hanging="358"/>
        <w:jc w:val="both"/>
        <w:rPr>
          <w:rFonts w:eastAsia="宋体"/>
          <w:kern w:val="2"/>
          <w:sz w:val="21"/>
          <w:szCs w:val="21"/>
        </w:rPr>
      </w:pPr>
      <w:bookmarkStart w:id="50" w:name="_Toc525655439"/>
      <w:r>
        <w:rPr>
          <w:rFonts w:eastAsia="宋体"/>
          <w:kern w:val="2"/>
          <w:sz w:val="21"/>
          <w:szCs w:val="21"/>
        </w:rPr>
        <w:t>四、估价方法适用性分析</w:t>
      </w:r>
      <w:bookmarkEnd w:id="50"/>
    </w:p>
    <w:p>
      <w:pPr>
        <w:pStyle w:val="13"/>
        <w:spacing w:lineRule="auto" w:line="480"/>
        <w:ind w:right="140" w:firstLine="420"/>
        <w:jc w:val="both"/>
        <w:textAlignment w:val="bottom"/>
        <w:rPr>
          <w:rFonts w:ascii="Arial" w:hAnsi="Arial" w:cs="Arial"/>
          <w:sz w:val="21"/>
          <w:szCs w:val="21"/>
        </w:rPr>
      </w:pPr>
      <w:r>
        <w:rPr>
          <w:rFonts w:ascii="Arial" w:hAnsi="Arial" w:cs="Arial"/>
          <w:sz w:val="21"/>
          <w:szCs w:val="21"/>
        </w:rPr>
        <w:t>由于本次评估是</w:t>
      </w:r>
      <w:r>
        <w:rPr>
          <w:rFonts w:ascii="Arial" w:hAnsi="Arial" w:cs="Arial"/>
          <w:kern w:val="2"/>
          <w:sz w:val="21"/>
          <w:szCs w:val="21"/>
        </w:rPr>
        <w:t>为估价委托人确定共有产权住房项目市场租金提供价格参考依据。</w:t>
      </w:r>
      <w:r>
        <w:rPr>
          <w:rFonts w:ascii="Arial" w:hAnsi="Arial" w:cs="Arial"/>
          <w:sz w:val="21"/>
          <w:szCs w:val="21"/>
        </w:rPr>
        <w:t>因此我们在认真分析研究估价对象的相关资料，并通过对邻近地区同类物业调查的基础上，根据《房地产估价规范》（</w:t>
      </w:r>
      <w:r>
        <w:rPr>
          <w:rFonts w:cs="Arial" w:ascii="Arial" w:hAnsi="Arial"/>
          <w:sz w:val="21"/>
          <w:szCs w:val="21"/>
        </w:rPr>
        <w:t>GB/T 50291-2015</w:t>
      </w:r>
      <w:r>
        <w:rPr>
          <w:rFonts w:ascii="Arial" w:hAnsi="Arial" w:cs="Arial"/>
          <w:sz w:val="21"/>
          <w:szCs w:val="21"/>
        </w:rPr>
        <w:t xml:space="preserve">），参考《关于发布《北京市公共租赁住房项目市场租金评估技术指引》的通知》 </w:t>
      </w:r>
      <w:r>
        <w:rPr>
          <w:rFonts w:cs="Arial" w:ascii="Arial" w:hAnsi="Arial"/>
          <w:sz w:val="21"/>
          <w:szCs w:val="21"/>
        </w:rPr>
        <w:t>[</w:t>
      </w:r>
      <w:r>
        <w:rPr>
          <w:rFonts w:ascii="Arial" w:hAnsi="Arial" w:cs="Arial"/>
          <w:sz w:val="21"/>
          <w:szCs w:val="21"/>
        </w:rPr>
        <w:t>北估秘</w:t>
      </w:r>
      <w:r>
        <w:rPr>
          <w:rFonts w:cs="Arial" w:ascii="Arial" w:hAnsi="Arial"/>
          <w:sz w:val="21"/>
          <w:szCs w:val="21"/>
        </w:rPr>
        <w:t>[2019]020</w:t>
      </w:r>
      <w:r>
        <w:rPr>
          <w:rFonts w:ascii="Arial" w:hAnsi="Arial" w:cs="Arial"/>
          <w:sz w:val="21"/>
          <w:szCs w:val="21"/>
        </w:rPr>
        <w:t>号</w:t>
      </w:r>
      <w:r>
        <w:rPr>
          <w:rFonts w:cs="Arial" w:ascii="Arial" w:hAnsi="Arial"/>
          <w:sz w:val="21"/>
          <w:szCs w:val="21"/>
        </w:rPr>
        <w:t>]</w:t>
      </w:r>
      <w:r>
        <w:rPr>
          <w:rFonts w:ascii="Arial" w:hAnsi="Arial" w:cs="Arial"/>
          <w:sz w:val="21"/>
          <w:szCs w:val="21"/>
        </w:rPr>
        <w:t>的估价程序，选用比较法进行估价，进而确定估价对象市场平均租金价格水平。</w:t>
      </w:r>
    </w:p>
    <w:p>
      <w:pPr>
        <w:pStyle w:val="13"/>
        <w:spacing w:lineRule="auto" w:line="480"/>
        <w:ind w:right="140" w:hanging="0"/>
        <w:jc w:val="both"/>
        <w:textAlignment w:val="bottom"/>
        <w:rPr>
          <w:rFonts w:ascii="Arial" w:hAnsi="Arial" w:cs="Arial"/>
          <w:b/>
          <w:b/>
          <w:sz w:val="21"/>
          <w:szCs w:val="21"/>
        </w:rPr>
      </w:pPr>
      <w:r>
        <w:rPr>
          <w:rFonts w:ascii="Arial" w:hAnsi="Arial" w:cs="Arial"/>
          <w:b/>
          <w:sz w:val="21"/>
          <w:szCs w:val="21"/>
        </w:rPr>
        <w:t xml:space="preserve">（一）估价思路 </w:t>
      </w:r>
    </w:p>
    <w:p>
      <w:pPr>
        <w:pStyle w:val="13"/>
        <w:overflowPunct w:val="false"/>
        <w:spacing w:lineRule="auto" w:line="480"/>
        <w:ind w:right="140" w:firstLine="420"/>
        <w:jc w:val="both"/>
        <w:textAlignment w:val="auto"/>
        <w:rPr>
          <w:rFonts w:ascii="Arial" w:hAnsi="Arial" w:cs="Arial"/>
          <w:sz w:val="21"/>
          <w:szCs w:val="21"/>
        </w:rPr>
      </w:pPr>
      <w:r>
        <w:rPr>
          <w:rFonts w:cs="Arial" w:ascii="Arial" w:hAnsi="Arial"/>
          <w:sz w:val="21"/>
          <w:szCs w:val="21"/>
        </w:rPr>
        <w:t>.</w:t>
      </w:r>
      <w:r>
        <w:rPr>
          <w:rFonts w:ascii="Arial" w:hAnsi="Arial" w:cs="Arial"/>
          <w:sz w:val="21"/>
          <w:szCs w:val="21"/>
        </w:rPr>
        <w:t>本次选用比较法对估价对象的市场租金水平进行测算，具体测算思路如下：</w:t>
      </w:r>
    </w:p>
    <w:p>
      <w:pPr>
        <w:pStyle w:val="13"/>
        <w:overflowPunct w:val="false"/>
        <w:spacing w:lineRule="auto" w:line="480"/>
        <w:ind w:right="140" w:firstLine="420"/>
        <w:jc w:val="both"/>
        <w:textAlignment w:val="auto"/>
        <w:rPr>
          <w:rFonts w:ascii="Arial" w:hAnsi="Arial" w:cs="Arial"/>
          <w:sz w:val="21"/>
          <w:szCs w:val="21"/>
        </w:rPr>
      </w:pPr>
      <w:r>
        <w:rPr>
          <w:rFonts w:cs="宋体"/>
          <w:sz w:val="21"/>
          <w:szCs w:val="21"/>
        </w:rPr>
        <w:t>①</w:t>
      </w:r>
      <w:r>
        <w:rPr>
          <w:rFonts w:ascii="Arial" w:hAnsi="Arial" w:cs="Arial"/>
          <w:sz w:val="21"/>
          <w:szCs w:val="21"/>
        </w:rPr>
        <w:t>首先根据估价对象众数原则确定标准房，在估价对象周边区域选取适当数量住宅小区，结合估价机构监测数据、行业主管部门（北京市房地产市场管理事务中心）监测数据和估价机构市场调查三个方面的批量数据，确定各小区的年平均租赁价格。</w:t>
      </w:r>
    </w:p>
    <w:p>
      <w:pPr>
        <w:pStyle w:val="13"/>
        <w:overflowPunct w:val="false"/>
        <w:spacing w:lineRule="auto" w:line="480"/>
        <w:ind w:right="140" w:firstLine="420"/>
        <w:jc w:val="both"/>
        <w:textAlignment w:val="auto"/>
        <w:rPr>
          <w:rFonts w:ascii="Arial" w:hAnsi="Arial" w:cs="Arial"/>
          <w:sz w:val="21"/>
          <w:szCs w:val="21"/>
        </w:rPr>
      </w:pPr>
      <w:r>
        <w:rPr>
          <w:rFonts w:cs="宋体"/>
          <w:sz w:val="21"/>
          <w:szCs w:val="21"/>
        </w:rPr>
        <w:t>②</w:t>
      </w:r>
      <w:r>
        <w:rPr>
          <w:rFonts w:ascii="Arial" w:hAnsi="Arial" w:cs="Arial"/>
          <w:sz w:val="21"/>
          <w:szCs w:val="21"/>
        </w:rPr>
        <w:t>将所选可比小区与评估对象共有产权住房标准房进行比较，进行区位状况调整和实物状况调整，计算各可比实例比准租金，最终求取估价对象标准房市场客观租金水平。</w:t>
      </w:r>
    </w:p>
    <w:p>
      <w:pPr>
        <w:pStyle w:val="13"/>
        <w:overflowPunct w:val="false"/>
        <w:spacing w:lineRule="auto" w:line="480"/>
        <w:ind w:right="140" w:hanging="0"/>
        <w:jc w:val="both"/>
        <w:textAlignment w:val="auto"/>
        <w:rPr>
          <w:rFonts w:ascii="Arial" w:hAnsi="Arial" w:cs="Arial"/>
          <w:b/>
          <w:b/>
          <w:sz w:val="21"/>
          <w:szCs w:val="21"/>
        </w:rPr>
      </w:pPr>
      <w:r>
        <w:rPr>
          <w:rFonts w:ascii="Arial" w:hAnsi="Arial" w:cs="Arial"/>
          <w:b/>
          <w:sz w:val="21"/>
          <w:szCs w:val="21"/>
        </w:rPr>
        <w:t xml:space="preserve">（二）估价方法 </w:t>
      </w:r>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比较法，是在求取估价对象房地产租金水平时，根据替代原则，将估价对象与在较近时期内已发生交易的类似房地产租赁实例进行对照比较，并依据后者已知的价格，参照该房地产的交易情况、期日、区域及实物状况的差别，修正得出估价对象房地产租金水平的方法。本次估价采用比较法思路评估租金价格水平。</w:t>
      </w:r>
    </w:p>
    <w:p>
      <w:pPr>
        <w:pStyle w:val="13"/>
        <w:overflowPunct w:val="false"/>
        <w:spacing w:lineRule="auto" w:line="480"/>
        <w:ind w:right="140" w:firstLine="420"/>
        <w:jc w:val="both"/>
        <w:textAlignment w:val="auto"/>
        <w:rPr>
          <w:rFonts w:ascii="Arial" w:hAnsi="Arial" w:cs="Arial"/>
          <w:sz w:val="21"/>
          <w:szCs w:val="21"/>
        </w:rPr>
      </w:pPr>
      <w:r>
        <w:rPr>
          <w:rFonts w:cs="Arial" w:ascii="Arial" w:hAnsi="Arial"/>
          <w:sz w:val="21"/>
          <w:szCs w:val="21"/>
        </w:rPr>
        <w:t>1.</w:t>
      </w:r>
      <w:r>
        <w:rPr>
          <w:rFonts w:ascii="Arial" w:hAnsi="Arial" w:cs="Arial"/>
          <w:sz w:val="21"/>
          <w:szCs w:val="21"/>
        </w:rPr>
        <w:t>采用比较法的理由：</w:t>
      </w:r>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 xml:space="preserve">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 </w:t>
      </w:r>
    </w:p>
    <w:p>
      <w:pPr>
        <w:pStyle w:val="13"/>
        <w:overflowPunct w:val="false"/>
        <w:spacing w:lineRule="auto" w:line="480"/>
        <w:ind w:right="140" w:firstLine="420"/>
        <w:jc w:val="both"/>
        <w:textAlignment w:val="auto"/>
        <w:rPr>
          <w:rFonts w:ascii="Arial" w:hAnsi="Arial" w:cs="Arial"/>
          <w:sz w:val="21"/>
          <w:szCs w:val="21"/>
        </w:rPr>
      </w:pPr>
      <w:r>
        <w:rPr>
          <w:rFonts w:cs="Arial" w:ascii="Arial" w:hAnsi="Arial"/>
          <w:sz w:val="21"/>
          <w:szCs w:val="21"/>
        </w:rPr>
        <w:t>2.</w:t>
      </w:r>
      <w:r>
        <w:rPr>
          <w:rFonts w:ascii="Arial" w:hAnsi="Arial" w:cs="Arial"/>
          <w:sz w:val="21"/>
          <w:szCs w:val="21"/>
        </w:rPr>
        <w:t>不采用成本法、假设开发法、收益法的理由：</w:t>
      </w:r>
    </w:p>
    <w:p>
      <w:pPr>
        <w:pStyle w:val="13"/>
        <w:overflowPunct w:val="false"/>
        <w:spacing w:lineRule="auto" w:line="480"/>
        <w:ind w:right="140" w:firstLine="420"/>
        <w:jc w:val="both"/>
        <w:textAlignment w:val="auto"/>
        <w:rPr>
          <w:rFonts w:ascii="Arial" w:hAnsi="Arial" w:cs="Arial"/>
          <w:sz w:val="21"/>
          <w:szCs w:val="21"/>
        </w:rPr>
      </w:pPr>
      <w:r>
        <w:rPr>
          <w:rFonts w:cs="宋体"/>
          <w:sz w:val="21"/>
          <w:szCs w:val="21"/>
        </w:rPr>
        <w:t>①</w:t>
      </w:r>
      <w:r>
        <w:rPr>
          <w:rFonts w:ascii="Arial" w:hAnsi="Arial" w:cs="Arial"/>
          <w:sz w:val="21"/>
          <w:szCs w:val="21"/>
        </w:rPr>
        <w:t>成本法和假设开发法可评估房地产市场价值，但不适于租赁价格的评估。</w:t>
      </w:r>
    </w:p>
    <w:p>
      <w:pPr>
        <w:pStyle w:val="13"/>
        <w:spacing w:lineRule="auto" w:line="480"/>
        <w:ind w:right="140" w:firstLine="420"/>
        <w:jc w:val="both"/>
        <w:textAlignment w:val="bottom"/>
        <w:rPr>
          <w:rFonts w:ascii="Arial" w:hAnsi="Arial" w:cs="Arial"/>
          <w:sz w:val="21"/>
          <w:szCs w:val="21"/>
        </w:rPr>
      </w:pPr>
      <w:r>
        <w:rPr>
          <w:rFonts w:cs="宋体"/>
          <w:sz w:val="21"/>
          <w:szCs w:val="21"/>
        </w:rPr>
        <w:t>②</w:t>
      </w:r>
      <w:r>
        <w:rPr>
          <w:rFonts w:ascii="Arial" w:hAnsi="Arial" w:cs="Arial"/>
          <w:sz w:val="21"/>
          <w:szCs w:val="21"/>
        </w:rPr>
        <w:t>收益法适用于有现实收益或潜在收益的土地或房地产估价。估价对象用途为住宅，能对外出租，为收益性物业，估价对象虽具有潜在租金收益，租金水平也相对稳定，而由于受到国人传统的购房理念以及固定资产投资、保值需求等的影响，目前估价对象所在区域同类商品房住宅业态租售比差距较大， 采用房屋交易价格测算出的房屋租金不能反映正常的市场租金水平，故未采用收益法。</w:t>
      </w:r>
    </w:p>
    <w:p>
      <w:pPr>
        <w:pStyle w:val="13"/>
        <w:overflowPunct w:val="false"/>
        <w:spacing w:lineRule="auto" w:line="480"/>
        <w:ind w:right="140" w:hanging="0"/>
        <w:jc w:val="both"/>
        <w:textAlignment w:val="auto"/>
        <w:rPr>
          <w:rFonts w:ascii="Arial" w:hAnsi="Arial" w:cs="Arial"/>
          <w:b/>
          <w:b/>
          <w:sz w:val="21"/>
          <w:szCs w:val="21"/>
        </w:rPr>
      </w:pPr>
      <w:r>
        <w:rPr>
          <w:rFonts w:ascii="Arial" w:hAnsi="Arial" w:cs="Arial"/>
          <w:b/>
          <w:sz w:val="21"/>
          <w:szCs w:val="21"/>
        </w:rPr>
        <w:t xml:space="preserve">（三）估价方法公式 </w:t>
      </w:r>
    </w:p>
    <w:p>
      <w:pPr>
        <w:pStyle w:val="13"/>
        <w:spacing w:lineRule="auto" w:line="480"/>
        <w:ind w:right="140" w:firstLine="420"/>
        <w:jc w:val="both"/>
        <w:textAlignment w:val="bottom"/>
        <w:rPr>
          <w:rFonts w:ascii="Arial" w:hAnsi="Arial" w:cs="Arial"/>
          <w:sz w:val="21"/>
          <w:szCs w:val="21"/>
        </w:rPr>
      </w:pPr>
      <w:r>
        <w:rPr>
          <w:rFonts w:ascii="Arial" w:hAnsi="Arial" w:cs="Arial"/>
          <w:sz w:val="21"/>
          <w:szCs w:val="21"/>
        </w:rPr>
        <w:t>比较法计算公式为：</w:t>
      </w:r>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待估房地产租赁价格＝可比实例房地产租赁价格</w:t>
      </w:r>
      <w:r>
        <w:rPr>
          <w:rFonts w:cs="Arial" w:ascii="Arial" w:hAnsi="Arial"/>
          <w:sz w:val="21"/>
          <w:szCs w:val="21"/>
        </w:rPr>
        <w:t>×</w:t>
      </w:r>
      <w:r>
        <w:rPr>
          <w:rFonts w:ascii="Arial" w:hAnsi="Arial" w:cs="Arial"/>
          <w:sz w:val="21"/>
          <w:szCs w:val="21"/>
        </w:rPr>
        <w:t>（待估房地产交易情况指数</w:t>
      </w:r>
      <w:r>
        <w:rPr>
          <w:rFonts w:cs="Arial" w:ascii="Arial" w:hAnsi="Arial"/>
          <w:sz w:val="21"/>
          <w:szCs w:val="21"/>
        </w:rPr>
        <w:t>/</w:t>
      </w:r>
      <w:r>
        <w:rPr>
          <w:rFonts w:ascii="Arial" w:hAnsi="Arial" w:cs="Arial"/>
          <w:sz w:val="21"/>
          <w:szCs w:val="21"/>
        </w:rPr>
        <w:t>可比实例交易情况指数）</w:t>
      </w:r>
      <w:r>
        <w:rPr>
          <w:rFonts w:cs="Arial" w:ascii="Arial" w:hAnsi="Arial"/>
          <w:sz w:val="21"/>
          <w:szCs w:val="21"/>
        </w:rPr>
        <w:t>×</w:t>
      </w:r>
      <w:r>
        <w:rPr>
          <w:rFonts w:ascii="Arial" w:hAnsi="Arial" w:cs="Arial"/>
          <w:sz w:val="21"/>
          <w:szCs w:val="21"/>
        </w:rPr>
        <w:t>（待估房地产交易日期房地产价租赁格指数</w:t>
      </w:r>
      <w:r>
        <w:rPr>
          <w:rFonts w:cs="Arial" w:ascii="Arial" w:hAnsi="Arial"/>
          <w:sz w:val="21"/>
          <w:szCs w:val="21"/>
        </w:rPr>
        <w:t>/</w:t>
      </w:r>
      <w:r>
        <w:rPr>
          <w:rFonts w:ascii="Arial" w:hAnsi="Arial" w:cs="Arial"/>
          <w:sz w:val="21"/>
          <w:szCs w:val="21"/>
        </w:rPr>
        <w:t>可比实例交易日期房地产租赁价格指数）</w:t>
      </w:r>
      <w:r>
        <w:rPr>
          <w:rFonts w:cs="Arial" w:ascii="Arial" w:hAnsi="Arial"/>
          <w:sz w:val="21"/>
          <w:szCs w:val="21"/>
        </w:rPr>
        <w:t>×…×</w:t>
      </w:r>
      <w:r>
        <w:rPr>
          <w:rFonts w:ascii="Arial" w:hAnsi="Arial" w:cs="Arial"/>
          <w:sz w:val="21"/>
          <w:szCs w:val="21"/>
        </w:rPr>
        <w:t>（待估房地产区域状况条件指数</w:t>
      </w:r>
      <w:r>
        <w:rPr>
          <w:rFonts w:cs="Arial" w:ascii="Arial" w:hAnsi="Arial"/>
          <w:sz w:val="21"/>
          <w:szCs w:val="21"/>
        </w:rPr>
        <w:t>/</w:t>
      </w:r>
      <w:r>
        <w:rPr>
          <w:rFonts w:ascii="Arial" w:hAnsi="Arial" w:cs="Arial"/>
          <w:sz w:val="21"/>
          <w:szCs w:val="21"/>
        </w:rPr>
        <w:t>可比实例房地产区域状况条件指数）</w:t>
      </w:r>
      <w:r>
        <w:rPr>
          <w:rFonts w:cs="Arial" w:ascii="Arial" w:hAnsi="Arial"/>
          <w:sz w:val="21"/>
          <w:szCs w:val="21"/>
        </w:rPr>
        <w:t>×</w:t>
      </w:r>
      <w:r>
        <w:rPr>
          <w:rFonts w:ascii="Arial" w:hAnsi="Arial" w:cs="Arial"/>
          <w:sz w:val="21"/>
          <w:szCs w:val="21"/>
        </w:rPr>
        <w:t>（待估房地产实物状况条件指数</w:t>
      </w:r>
      <w:r>
        <w:rPr>
          <w:rFonts w:cs="Arial" w:ascii="Arial" w:hAnsi="Arial"/>
          <w:sz w:val="21"/>
          <w:szCs w:val="21"/>
        </w:rPr>
        <w:t>/</w:t>
      </w:r>
      <w:r>
        <w:rPr>
          <w:rFonts w:ascii="Arial" w:hAnsi="Arial" w:cs="Arial"/>
          <w:sz w:val="21"/>
          <w:szCs w:val="21"/>
        </w:rPr>
        <w:t>可比实例房地产实物状况条件指数）</w:t>
      </w:r>
      <w:r>
        <w:rPr>
          <w:rFonts w:cs="Arial" w:ascii="Arial" w:hAnsi="Arial"/>
          <w:sz w:val="21"/>
          <w:szCs w:val="21"/>
        </w:rPr>
        <w:t>×</w:t>
      </w:r>
      <w:r>
        <w:rPr>
          <w:rFonts w:ascii="Arial" w:hAnsi="Arial" w:cs="Arial"/>
          <w:sz w:val="21"/>
          <w:szCs w:val="21"/>
        </w:rPr>
        <w:t>（待估房地产宜居状况条件指数</w:t>
      </w:r>
      <w:r>
        <w:rPr>
          <w:rFonts w:cs="Arial" w:ascii="Arial" w:hAnsi="Arial"/>
          <w:sz w:val="21"/>
          <w:szCs w:val="21"/>
        </w:rPr>
        <w:t>/</w:t>
      </w:r>
      <w:r>
        <w:rPr>
          <w:rFonts w:ascii="Arial" w:hAnsi="Arial" w:cs="Arial"/>
          <w:sz w:val="21"/>
          <w:szCs w:val="21"/>
        </w:rPr>
        <w:t>可比实例房地产宜居状况条件指数）</w:t>
      </w:r>
    </w:p>
    <w:p>
      <w:pPr>
        <w:pStyle w:val="13"/>
        <w:overflowPunct w:val="false"/>
        <w:spacing w:lineRule="auto" w:line="480"/>
        <w:ind w:right="140" w:firstLine="420"/>
        <w:jc w:val="both"/>
        <w:textAlignment w:val="auto"/>
        <w:rPr>
          <w:rFonts w:ascii="Arial" w:hAnsi="Arial" w:cs="Arial"/>
          <w:sz w:val="21"/>
          <w:szCs w:val="21"/>
        </w:rPr>
      </w:pPr>
      <w:r>
        <w:rPr>
          <w:rFonts w:ascii="Arial" w:hAnsi="Arial" w:cs="Arial"/>
          <w:sz w:val="21"/>
          <w:szCs w:val="21"/>
        </w:rPr>
        <w:t>具体步骤如下：</w:t>
      </w:r>
    </w:p>
    <w:p>
      <w:pPr>
        <w:pStyle w:val="13"/>
        <w:numPr>
          <w:ilvl w:val="0"/>
          <w:numId w:val="5"/>
        </w:numPr>
        <w:overflowPunct w:val="false"/>
        <w:spacing w:lineRule="auto" w:line="480"/>
        <w:ind w:left="780" w:right="140" w:hanging="360"/>
        <w:jc w:val="both"/>
        <w:textAlignment w:val="auto"/>
        <w:rPr>
          <w:rFonts w:ascii="Arial" w:hAnsi="Arial" w:cs="Arial"/>
          <w:sz w:val="21"/>
          <w:szCs w:val="21"/>
        </w:rPr>
      </w:pPr>
      <w:r>
        <w:rPr>
          <w:rFonts w:ascii="Arial" w:hAnsi="Arial" w:cs="Arial"/>
          <w:sz w:val="21"/>
          <w:szCs w:val="21"/>
        </w:rPr>
        <w:t>选择可比案例</w:t>
      </w:r>
    </w:p>
    <w:p>
      <w:pPr>
        <w:pStyle w:val="13"/>
        <w:overflowPunct w:val="false"/>
        <w:spacing w:lineRule="auto" w:line="480"/>
        <w:ind w:right="140" w:firstLine="735"/>
        <w:jc w:val="both"/>
        <w:textAlignment w:val="auto"/>
        <w:rPr>
          <w:rFonts w:ascii="Arial" w:hAnsi="Arial" w:cs="Arial"/>
          <w:sz w:val="21"/>
          <w:szCs w:val="21"/>
        </w:rPr>
      </w:pPr>
      <w:r>
        <w:rPr>
          <w:rFonts w:ascii="Arial" w:hAnsi="Arial" w:cs="Arial"/>
          <w:sz w:val="21"/>
          <w:szCs w:val="21"/>
        </w:rPr>
        <w:t>选择可比实例时，应符合以下要求（与待估房地产比较）</w:t>
      </w:r>
    </w:p>
    <w:p>
      <w:pPr>
        <w:pStyle w:val="13"/>
        <w:numPr>
          <w:ilvl w:val="0"/>
          <w:numId w:val="6"/>
        </w:numPr>
        <w:overflowPunct w:val="false"/>
        <w:spacing w:lineRule="auto" w:line="480"/>
        <w:ind w:left="1095" w:right="140" w:hanging="360"/>
        <w:jc w:val="both"/>
        <w:textAlignment w:val="auto"/>
        <w:rPr>
          <w:rFonts w:ascii="Arial" w:hAnsi="Arial" w:cs="Arial"/>
          <w:sz w:val="21"/>
          <w:szCs w:val="21"/>
        </w:rPr>
      </w:pPr>
      <w:r>
        <w:rPr>
          <w:rFonts w:ascii="Arial" w:hAnsi="Arial" w:cs="Arial"/>
          <w:sz w:val="21"/>
          <w:szCs w:val="21"/>
        </w:rPr>
        <w:t>用途相同</w:t>
      </w:r>
    </w:p>
    <w:p>
      <w:pPr>
        <w:pStyle w:val="13"/>
        <w:numPr>
          <w:ilvl w:val="0"/>
          <w:numId w:val="6"/>
        </w:numPr>
        <w:overflowPunct w:val="false"/>
        <w:spacing w:lineRule="auto" w:line="480"/>
        <w:ind w:left="1095" w:right="140" w:hanging="360"/>
        <w:jc w:val="both"/>
        <w:textAlignment w:val="auto"/>
        <w:rPr>
          <w:rFonts w:ascii="Arial" w:hAnsi="Arial" w:cs="Arial"/>
          <w:sz w:val="21"/>
          <w:szCs w:val="21"/>
        </w:rPr>
      </w:pPr>
      <w:r>
        <w:rPr>
          <w:rFonts w:ascii="Arial" w:hAnsi="Arial" w:cs="Arial"/>
          <w:sz w:val="21"/>
          <w:szCs w:val="21"/>
        </w:rPr>
        <w:t>属于正常交易</w:t>
      </w:r>
    </w:p>
    <w:p>
      <w:pPr>
        <w:pStyle w:val="13"/>
        <w:numPr>
          <w:ilvl w:val="0"/>
          <w:numId w:val="6"/>
        </w:numPr>
        <w:overflowPunct w:val="false"/>
        <w:spacing w:lineRule="auto" w:line="480"/>
        <w:ind w:left="1095" w:right="140" w:hanging="360"/>
        <w:jc w:val="both"/>
        <w:textAlignment w:val="auto"/>
        <w:rPr>
          <w:rFonts w:ascii="Arial" w:hAnsi="Arial" w:cs="Arial"/>
          <w:sz w:val="21"/>
          <w:szCs w:val="21"/>
        </w:rPr>
      </w:pPr>
      <w:r>
        <w:rPr>
          <w:rFonts w:ascii="Arial" w:hAnsi="Arial" w:cs="Arial"/>
          <w:sz w:val="21"/>
          <w:szCs w:val="21"/>
        </w:rPr>
        <w:t>房地产状况各因素相近</w:t>
      </w:r>
    </w:p>
    <w:p>
      <w:pPr>
        <w:pStyle w:val="13"/>
        <w:numPr>
          <w:ilvl w:val="0"/>
          <w:numId w:val="6"/>
        </w:numPr>
        <w:overflowPunct w:val="false"/>
        <w:spacing w:lineRule="auto" w:line="480"/>
        <w:ind w:left="1095" w:right="140" w:hanging="360"/>
        <w:jc w:val="both"/>
        <w:textAlignment w:val="auto"/>
        <w:rPr>
          <w:rFonts w:ascii="Arial" w:hAnsi="Arial" w:cs="Arial"/>
          <w:sz w:val="21"/>
          <w:szCs w:val="21"/>
        </w:rPr>
      </w:pPr>
      <w:r>
        <w:rPr>
          <w:rFonts w:ascii="Arial" w:hAnsi="Arial" w:cs="Arial"/>
          <w:sz w:val="21"/>
          <w:szCs w:val="21"/>
        </w:rPr>
        <w:t>交易日期接近</w:t>
      </w:r>
    </w:p>
    <w:p>
      <w:pPr>
        <w:pStyle w:val="13"/>
        <w:numPr>
          <w:ilvl w:val="0"/>
          <w:numId w:val="6"/>
        </w:numPr>
        <w:overflowPunct w:val="false"/>
        <w:spacing w:lineRule="auto" w:line="480"/>
        <w:ind w:left="1095" w:right="140" w:hanging="360"/>
        <w:jc w:val="both"/>
        <w:textAlignment w:val="auto"/>
        <w:rPr>
          <w:rFonts w:ascii="Arial" w:hAnsi="Arial" w:cs="Arial"/>
          <w:sz w:val="21"/>
          <w:szCs w:val="21"/>
        </w:rPr>
      </w:pPr>
      <w:r>
        <w:rPr>
          <w:rFonts w:ascii="Arial" w:hAnsi="Arial" w:cs="Arial"/>
          <w:sz w:val="21"/>
          <w:szCs w:val="21"/>
        </w:rPr>
        <w:t>统一价格基础</w:t>
      </w:r>
    </w:p>
    <w:p>
      <w:pPr>
        <w:pStyle w:val="13"/>
        <w:numPr>
          <w:ilvl w:val="0"/>
          <w:numId w:val="5"/>
        </w:numPr>
        <w:overflowPunct w:val="false"/>
        <w:spacing w:lineRule="auto" w:line="480"/>
        <w:ind w:left="780" w:right="140" w:hanging="360"/>
        <w:jc w:val="both"/>
        <w:textAlignment w:val="auto"/>
        <w:rPr>
          <w:rFonts w:ascii="Arial" w:hAnsi="Arial" w:cs="Arial"/>
          <w:sz w:val="21"/>
          <w:szCs w:val="21"/>
        </w:rPr>
      </w:pPr>
      <w:r>
        <w:rPr>
          <w:rFonts w:ascii="Arial" w:hAnsi="Arial" w:cs="Arial"/>
          <w:sz w:val="21"/>
          <w:szCs w:val="21"/>
        </w:rPr>
        <w:t>进行租赁情况、租赁日期、房地产状况等因素修正</w:t>
      </w:r>
    </w:p>
    <w:p>
      <w:pPr>
        <w:pStyle w:val="13"/>
        <w:numPr>
          <w:ilvl w:val="0"/>
          <w:numId w:val="5"/>
        </w:numPr>
        <w:overflowPunct w:val="false"/>
        <w:spacing w:lineRule="auto" w:line="480"/>
        <w:ind w:left="780" w:right="140" w:hanging="360"/>
        <w:jc w:val="both"/>
        <w:textAlignment w:val="auto"/>
        <w:rPr>
          <w:rFonts w:ascii="Arial" w:hAnsi="Arial" w:cs="Arial"/>
          <w:sz w:val="21"/>
          <w:szCs w:val="21"/>
        </w:rPr>
      </w:pPr>
      <w:r>
        <w:rPr>
          <w:rFonts w:ascii="Arial" w:hAnsi="Arial" w:cs="Arial"/>
          <w:sz w:val="21"/>
          <w:szCs w:val="21"/>
        </w:rPr>
        <w:t>求取估价对象比准价格</w:t>
      </w:r>
    </w:p>
    <w:p>
      <w:pPr>
        <w:pStyle w:val="13"/>
        <w:overflowPunct w:val="false"/>
        <w:snapToGrid w:val="false"/>
        <w:spacing w:lineRule="auto" w:line="480"/>
        <w:jc w:val="both"/>
        <w:textAlignment w:val="auto"/>
        <w:rPr>
          <w:rFonts w:ascii="Arial" w:hAnsi="Arial" w:cs="Arial"/>
          <w:sz w:val="21"/>
          <w:szCs w:val="21"/>
        </w:rPr>
      </w:pPr>
      <w:r>
        <w:rPr>
          <w:rFonts w:cs="Arial" w:ascii="Arial" w:hAnsi="Arial"/>
          <w:sz w:val="21"/>
          <w:szCs w:val="21"/>
        </w:rPr>
      </w:r>
    </w:p>
    <w:p>
      <w:pPr>
        <w:pStyle w:val="2"/>
        <w:numPr>
          <w:ilvl w:val="0"/>
          <w:numId w:val="0"/>
        </w:numPr>
        <w:spacing w:lineRule="auto" w:line="480"/>
        <w:ind w:left="358" w:hanging="358"/>
        <w:jc w:val="both"/>
        <w:rPr>
          <w:rFonts w:eastAsia="宋体"/>
          <w:kern w:val="2"/>
          <w:sz w:val="21"/>
          <w:szCs w:val="21"/>
        </w:rPr>
      </w:pPr>
      <w:bookmarkStart w:id="51" w:name="_Toc525655440"/>
      <w:r>
        <w:rPr>
          <w:rFonts w:eastAsia="宋体"/>
          <w:kern w:val="2"/>
          <w:sz w:val="21"/>
          <w:szCs w:val="21"/>
        </w:rPr>
        <w:t>五、估价测算过程</w:t>
      </w:r>
      <w:bookmarkEnd w:id="51"/>
      <w:r>
        <w:rPr>
          <w:rFonts w:eastAsia="宋体"/>
          <w:kern w:val="2"/>
          <w:sz w:val="21"/>
          <w:szCs w:val="21"/>
        </w:rPr>
        <w:t xml:space="preserve">  </w:t>
      </w:r>
    </w:p>
    <w:p>
      <w:pPr>
        <w:pStyle w:val="13"/>
        <w:spacing w:lineRule="auto" w:line="480"/>
        <w:ind w:right="140" w:firstLine="422"/>
        <w:jc w:val="both"/>
        <w:textAlignment w:val="bottom"/>
        <w:rPr>
          <w:rFonts w:ascii="Arial" w:hAnsi="Arial" w:cs="Arial"/>
          <w:b/>
          <w:b/>
          <w:sz w:val="21"/>
          <w:szCs w:val="21"/>
        </w:rPr>
      </w:pPr>
      <w:r>
        <w:rPr>
          <w:rFonts w:ascii="Arial" w:hAnsi="Arial" w:cs="Arial"/>
          <w:b/>
          <w:sz w:val="21"/>
          <w:szCs w:val="21"/>
        </w:rPr>
        <w:t>（一）</w:t>
      </w:r>
      <w:r>
        <w:rPr>
          <w:rFonts w:ascii="Arial" w:hAnsi="Arial" w:cs="Arial"/>
          <w:b/>
          <w:kern w:val="2"/>
          <w:sz w:val="21"/>
          <w:szCs w:val="21"/>
        </w:rPr>
        <w:t>可比案例选取</w:t>
      </w:r>
    </w:p>
    <w:p>
      <w:pPr>
        <w:pStyle w:val="13"/>
        <w:spacing w:lineRule="auto" w:line="480"/>
        <w:ind w:firstLine="420"/>
        <w:jc w:val="both"/>
        <w:textAlignment w:val="bottom"/>
        <w:rPr>
          <w:rFonts w:ascii="Arial" w:hAnsi="Arial" w:cs="Arial"/>
          <w:sz w:val="21"/>
          <w:szCs w:val="21"/>
        </w:rPr>
      </w:pPr>
      <w:r>
        <w:rPr>
          <w:rFonts w:cs="Arial" w:ascii="Arial" w:hAnsi="Arial"/>
          <w:sz w:val="21"/>
          <w:szCs w:val="21"/>
        </w:rPr>
        <w:t xml:space="preserve">1. </w:t>
      </w:r>
      <w:r>
        <w:rPr>
          <w:rFonts w:ascii="Arial" w:hAnsi="Arial" w:cs="Arial"/>
          <w:sz w:val="21"/>
          <w:szCs w:val="21"/>
        </w:rPr>
        <w:t xml:space="preserve">估价机构样本小区数据选取 </w:t>
      </w:r>
    </w:p>
    <w:p>
      <w:pPr>
        <w:pStyle w:val="13"/>
        <w:spacing w:lineRule="auto" w:line="480"/>
        <w:ind w:firstLine="420"/>
        <w:jc w:val="both"/>
        <w:textAlignment w:val="bottom"/>
        <w:rPr>
          <w:rFonts w:ascii="Arial" w:hAnsi="Arial" w:cs="Arial"/>
          <w:sz w:val="21"/>
          <w:szCs w:val="21"/>
        </w:rPr>
      </w:pPr>
      <w:r>
        <w:rPr>
          <w:rFonts w:cs="宋体"/>
          <w:sz w:val="21"/>
          <w:szCs w:val="21"/>
        </w:rPr>
        <w:t>①</w:t>
      </w:r>
      <w:r>
        <w:rPr>
          <w:rFonts w:ascii="Arial" w:hAnsi="Arial" w:cs="Arial"/>
          <w:sz w:val="21"/>
          <w:szCs w:val="21"/>
        </w:rPr>
        <w:t>搜集交易实例</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运用比较法估价需要调查大量的交易实例，才能通过比较从中选择合适的比较实例，客观评估估价对象的价格。本次估价，评估专业人员通过现场调查、调档机构内部积累数据以及结合北京市房地产市场管理事务中心提供的数据，搜集了近一年以来与估价对象处于同一供需圈、使用功能相似、户型相似的</w:t>
      </w:r>
      <w:r>
        <w:rPr>
          <w:rFonts w:cs="Arial" w:ascii="Arial" w:hAnsi="Arial"/>
          <w:sz w:val="21"/>
          <w:szCs w:val="21"/>
        </w:rPr>
        <w:t>5</w:t>
      </w:r>
      <w:r>
        <w:rPr>
          <w:rFonts w:ascii="Arial" w:hAnsi="Arial" w:cs="Arial"/>
          <w:sz w:val="21"/>
          <w:szCs w:val="21"/>
        </w:rPr>
        <w:t>个小区交易实例数据，小区明细小详见下表：</w:t>
      </w:r>
    </w:p>
    <w:p>
      <w:pPr>
        <w:pStyle w:val="Normal"/>
        <w:rPr>
          <w:rFonts w:ascii="Arial" w:hAnsi="Arial" w:cs="Arial"/>
          <w:sz w:val="21"/>
          <w:szCs w:val="21"/>
        </w:rPr>
      </w:pPr>
      <w:r>
        <w:rPr>
          <w:rFonts w:cs="Arial" w:ascii="Arial" w:hAnsi="Arial"/>
          <w:sz w:val="21"/>
          <w:szCs w:val="21"/>
        </w:rPr>
      </w:r>
      <w:r>
        <w:br w:type="page"/>
      </w:r>
    </w:p>
    <w:p>
      <w:pPr>
        <w:pStyle w:val="13"/>
        <w:spacing w:lineRule="auto" w:line="360"/>
        <w:jc w:val="center"/>
        <w:textAlignment w:val="bottom"/>
        <w:rPr>
          <w:rFonts w:ascii="Arial" w:hAnsi="Arial" w:cs="Arial"/>
          <w:sz w:val="21"/>
          <w:szCs w:val="21"/>
        </w:rPr>
      </w:pPr>
      <w:r>
        <w:rPr>
          <w:rFonts w:ascii="Arial" w:hAnsi="Arial" w:cs="Arial"/>
          <w:sz w:val="21"/>
          <w:szCs w:val="21"/>
        </w:rPr>
        <w:t>周边可比小区成交案例调查表</w:t>
      </w:r>
    </w:p>
    <w:tbl>
      <w:tblPr>
        <w:tblW w:w="5000" w:type="pct"/>
        <w:jc w:val="center"/>
        <w:tblInd w:w="0" w:type="dxa"/>
        <w:tblCellMar>
          <w:top w:w="57" w:type="dxa"/>
          <w:left w:w="57" w:type="dxa"/>
          <w:bottom w:w="57" w:type="dxa"/>
          <w:right w:w="57" w:type="dxa"/>
        </w:tblCellMar>
        <w:tblLook w:firstRow="1" w:noVBand="1" w:lastRow="0" w:firstColumn="1" w:lastColumn="0" w:noHBand="0" w:val="04a0"/>
      </w:tblPr>
      <w:tblGrid>
        <w:gridCol w:w="415"/>
        <w:gridCol w:w="1323"/>
        <w:gridCol w:w="756"/>
        <w:gridCol w:w="2740"/>
        <w:gridCol w:w="840"/>
        <w:gridCol w:w="978"/>
        <w:gridCol w:w="978"/>
        <w:gridCol w:w="1267"/>
      </w:tblGrid>
      <w:tr>
        <w:trPr>
          <w:trHeight w:val="532" w:hRule="atLeast"/>
        </w:trPr>
        <w:tc>
          <w:tcPr>
            <w:tcW w:w="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序号</w:t>
            </w:r>
          </w:p>
        </w:tc>
        <w:tc>
          <w:tcPr>
            <w:tcW w:w="13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小区名称</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项目所在区</w:t>
            </w:r>
          </w:p>
        </w:tc>
        <w:tc>
          <w:tcPr>
            <w:tcW w:w="27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项目所在位置</w:t>
            </w:r>
          </w:p>
        </w:tc>
        <w:tc>
          <w:tcPr>
            <w:tcW w:w="8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用途</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面积范围</w:t>
            </w:r>
          </w:p>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（平方米）</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建成年代</w:t>
            </w:r>
            <w:r>
              <w:rPr>
                <w:rFonts w:ascii="Arial" w:hAnsi="Arial" w:cs="Arial" w:eastAsia="华文细黑"/>
                <w:b/>
                <w:sz w:val="18"/>
                <w:szCs w:val="18"/>
              </w:rPr>
              <w:t>（年）</w:t>
            </w:r>
          </w:p>
        </w:tc>
        <w:tc>
          <w:tcPr>
            <w:tcW w:w="1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b/>
                <w:b/>
                <w:bCs/>
                <w:sz w:val="18"/>
                <w:szCs w:val="18"/>
              </w:rPr>
            </w:pPr>
            <w:r>
              <w:rPr>
                <w:rFonts w:ascii="Arial" w:hAnsi="Arial" w:cs="Arial" w:eastAsia="华文细黑"/>
                <w:b/>
                <w:bCs/>
                <w:sz w:val="18"/>
                <w:szCs w:val="18"/>
              </w:rPr>
              <w:t>与估价对象直线距离</w:t>
            </w:r>
          </w:p>
        </w:tc>
      </w:tr>
      <w:tr>
        <w:trPr>
          <w:trHeight w:val="20" w:hRule="atLeast"/>
        </w:trPr>
        <w:tc>
          <w:tcPr>
            <w:tcW w:w="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1</w:t>
            </w:r>
          </w:p>
        </w:tc>
        <w:tc>
          <w:tcPr>
            <w:tcW w:w="13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碧波园</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房山区</w:t>
            </w:r>
          </w:p>
        </w:tc>
        <w:tc>
          <w:tcPr>
            <w:tcW w:w="2740" w:type="dxa"/>
            <w:tcBorders>
              <w:top w:val="single" w:sz="4" w:space="0" w:color="000000"/>
              <w:left w:val="single" w:sz="4" w:space="0" w:color="000000"/>
              <w:bottom w:val="single" w:sz="4" w:space="0" w:color="000000"/>
              <w:right w:val="single" w:sz="4" w:space="0" w:color="000000"/>
            </w:tcBorders>
            <w:shd w:color="000000" w:fill="auto" w:val="clear"/>
            <w:vAlign w:val="bottom"/>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北京市房山区阳城环路</w:t>
            </w:r>
            <w:r>
              <w:rPr>
                <w:rFonts w:eastAsia="华文细黑" w:cs="Arial" w:ascii="Arial" w:hAnsi="Arial"/>
                <w:bCs/>
                <w:sz w:val="18"/>
                <w:szCs w:val="18"/>
              </w:rPr>
              <w:t>13</w:t>
            </w:r>
            <w:r>
              <w:rPr>
                <w:rFonts w:ascii="Arial" w:hAnsi="Arial" w:cs="Arial" w:eastAsia="华文细黑"/>
                <w:bCs/>
                <w:sz w:val="18"/>
                <w:szCs w:val="18"/>
              </w:rPr>
              <w:t>号</w:t>
            </w:r>
          </w:p>
        </w:tc>
        <w:tc>
          <w:tcPr>
            <w:tcW w:w="8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普通住宅</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90-100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2003</w:t>
            </w:r>
          </w:p>
        </w:tc>
        <w:tc>
          <w:tcPr>
            <w:tcW w:w="1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1.2</w:t>
            </w:r>
            <w:r>
              <w:rPr>
                <w:rFonts w:ascii="Arial" w:hAnsi="Arial" w:cs="Arial" w:eastAsia="华文细黑"/>
                <w:bCs/>
                <w:sz w:val="18"/>
                <w:szCs w:val="18"/>
              </w:rPr>
              <w:t>公里</w:t>
            </w:r>
          </w:p>
        </w:tc>
      </w:tr>
      <w:tr>
        <w:trPr>
          <w:trHeight w:val="20" w:hRule="atLeast"/>
        </w:trPr>
        <w:tc>
          <w:tcPr>
            <w:tcW w:w="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w:t>
            </w:r>
          </w:p>
        </w:tc>
        <w:tc>
          <w:tcPr>
            <w:tcW w:w="13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世茂维拉</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房山区</w:t>
            </w:r>
          </w:p>
        </w:tc>
        <w:tc>
          <w:tcPr>
            <w:tcW w:w="2740" w:type="dxa"/>
            <w:tcBorders>
              <w:top w:val="single" w:sz="4" w:space="0" w:color="000000"/>
              <w:left w:val="single" w:sz="4" w:space="0" w:color="000000"/>
              <w:bottom w:val="single" w:sz="4" w:space="0" w:color="000000"/>
              <w:right w:val="single" w:sz="4" w:space="0" w:color="000000"/>
            </w:tcBorders>
            <w:shd w:color="000000" w:fill="auto" w:val="clear"/>
            <w:vAlign w:val="bottom"/>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北京市房山区阳城环路</w:t>
            </w:r>
            <w:r>
              <w:rPr>
                <w:rFonts w:eastAsia="华文细黑" w:cs="Arial" w:ascii="Arial" w:hAnsi="Arial"/>
                <w:bCs/>
                <w:sz w:val="18"/>
                <w:szCs w:val="18"/>
              </w:rPr>
              <w:t>17</w:t>
            </w:r>
            <w:r>
              <w:rPr>
                <w:rFonts w:ascii="Arial" w:hAnsi="Arial" w:cs="Arial" w:eastAsia="华文细黑"/>
                <w:bCs/>
                <w:sz w:val="18"/>
                <w:szCs w:val="18"/>
              </w:rPr>
              <w:t>号</w:t>
            </w:r>
          </w:p>
        </w:tc>
        <w:tc>
          <w:tcPr>
            <w:tcW w:w="8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普通住宅</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60-70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2015</w:t>
            </w:r>
          </w:p>
        </w:tc>
        <w:tc>
          <w:tcPr>
            <w:tcW w:w="1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0.6</w:t>
            </w:r>
            <w:r>
              <w:rPr>
                <w:rFonts w:ascii="Arial" w:hAnsi="Arial" w:cs="Arial" w:eastAsia="华文细黑"/>
                <w:bCs/>
                <w:sz w:val="18"/>
                <w:szCs w:val="18"/>
              </w:rPr>
              <w:t>公里</w:t>
            </w:r>
          </w:p>
        </w:tc>
      </w:tr>
      <w:tr>
        <w:trPr>
          <w:trHeight w:val="20" w:hRule="atLeast"/>
        </w:trPr>
        <w:tc>
          <w:tcPr>
            <w:tcW w:w="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3</w:t>
            </w:r>
          </w:p>
        </w:tc>
        <w:tc>
          <w:tcPr>
            <w:tcW w:w="13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水碾屯西里</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房山区</w:t>
            </w:r>
          </w:p>
        </w:tc>
        <w:tc>
          <w:tcPr>
            <w:tcW w:w="2740" w:type="dxa"/>
            <w:tcBorders>
              <w:top w:val="single" w:sz="4" w:space="0" w:color="000000"/>
              <w:left w:val="single" w:sz="4" w:space="0" w:color="000000"/>
              <w:bottom w:val="single" w:sz="4" w:space="0" w:color="000000"/>
              <w:right w:val="single" w:sz="4" w:space="0" w:color="000000"/>
            </w:tcBorders>
            <w:shd w:color="000000" w:fill="auto" w:val="clear"/>
            <w:vAlign w:val="bottom"/>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北京市房山区阜盛大街</w:t>
            </w:r>
          </w:p>
        </w:tc>
        <w:tc>
          <w:tcPr>
            <w:tcW w:w="8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普通住宅</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80-90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2013</w:t>
            </w:r>
          </w:p>
        </w:tc>
        <w:tc>
          <w:tcPr>
            <w:tcW w:w="1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1.6</w:t>
            </w:r>
            <w:r>
              <w:rPr>
                <w:rFonts w:ascii="Arial" w:hAnsi="Arial" w:cs="Arial" w:eastAsia="华文细黑"/>
                <w:bCs/>
                <w:sz w:val="18"/>
                <w:szCs w:val="18"/>
              </w:rPr>
              <w:t>公里</w:t>
            </w:r>
          </w:p>
        </w:tc>
      </w:tr>
      <w:tr>
        <w:trPr>
          <w:trHeight w:val="20" w:hRule="atLeast"/>
        </w:trPr>
        <w:tc>
          <w:tcPr>
            <w:tcW w:w="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4</w:t>
            </w:r>
          </w:p>
        </w:tc>
        <w:tc>
          <w:tcPr>
            <w:tcW w:w="13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芭蕾雨悦都</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房山区</w:t>
            </w:r>
          </w:p>
        </w:tc>
        <w:tc>
          <w:tcPr>
            <w:tcW w:w="2740" w:type="dxa"/>
            <w:tcBorders>
              <w:top w:val="single" w:sz="4" w:space="0" w:color="000000"/>
              <w:left w:val="single" w:sz="4" w:space="0" w:color="000000"/>
              <w:bottom w:val="single" w:sz="4" w:space="0" w:color="000000"/>
              <w:right w:val="single" w:sz="4" w:space="0" w:color="000000"/>
            </w:tcBorders>
            <w:shd w:color="000000" w:fill="auto" w:val="clear"/>
            <w:vAlign w:val="bottom"/>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北京市房山区悦盛路</w:t>
            </w:r>
            <w:r>
              <w:rPr>
                <w:rFonts w:eastAsia="华文细黑" w:cs="Arial" w:ascii="Arial" w:hAnsi="Arial"/>
                <w:bCs/>
                <w:sz w:val="18"/>
                <w:szCs w:val="18"/>
              </w:rPr>
              <w:t>5</w:t>
            </w:r>
            <w:r>
              <w:rPr>
                <w:rFonts w:ascii="Arial" w:hAnsi="Arial" w:cs="Arial" w:eastAsia="华文细黑"/>
                <w:bCs/>
                <w:sz w:val="18"/>
                <w:szCs w:val="18"/>
              </w:rPr>
              <w:t>号</w:t>
            </w:r>
          </w:p>
        </w:tc>
        <w:tc>
          <w:tcPr>
            <w:tcW w:w="8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普通住宅</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80-90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2012</w:t>
            </w:r>
          </w:p>
        </w:tc>
        <w:tc>
          <w:tcPr>
            <w:tcW w:w="1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2.5</w:t>
            </w:r>
            <w:r>
              <w:rPr>
                <w:rFonts w:ascii="Arial" w:hAnsi="Arial" w:cs="Arial" w:eastAsia="华文细黑"/>
                <w:bCs/>
                <w:sz w:val="18"/>
                <w:szCs w:val="18"/>
              </w:rPr>
              <w:t>公里</w:t>
            </w:r>
          </w:p>
        </w:tc>
      </w:tr>
      <w:tr>
        <w:trPr>
          <w:trHeight w:val="20" w:hRule="atLeast"/>
        </w:trPr>
        <w:tc>
          <w:tcPr>
            <w:tcW w:w="41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5</w:t>
            </w:r>
          </w:p>
        </w:tc>
        <w:tc>
          <w:tcPr>
            <w:tcW w:w="132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清雅小区</w:t>
            </w:r>
          </w:p>
        </w:tc>
        <w:tc>
          <w:tcPr>
            <w:tcW w:w="7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房山区</w:t>
            </w:r>
          </w:p>
        </w:tc>
        <w:tc>
          <w:tcPr>
            <w:tcW w:w="2740" w:type="dxa"/>
            <w:tcBorders>
              <w:top w:val="single" w:sz="4" w:space="0" w:color="000000"/>
              <w:left w:val="single" w:sz="4" w:space="0" w:color="000000"/>
              <w:bottom w:val="single" w:sz="4" w:space="0" w:color="000000"/>
              <w:right w:val="single" w:sz="4" w:space="0" w:color="000000"/>
            </w:tcBorders>
            <w:shd w:color="000000" w:fill="auto" w:val="clear"/>
            <w:vAlign w:val="bottom"/>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北京市房山区长阳镇京良路南侧</w:t>
            </w:r>
          </w:p>
        </w:tc>
        <w:tc>
          <w:tcPr>
            <w:tcW w:w="8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普通住宅</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80-90</w:t>
            </w:r>
          </w:p>
        </w:tc>
        <w:tc>
          <w:tcPr>
            <w:tcW w:w="9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2000</w:t>
            </w:r>
          </w:p>
        </w:tc>
        <w:tc>
          <w:tcPr>
            <w:tcW w:w="1267"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2.8</w:t>
            </w:r>
            <w:r>
              <w:rPr>
                <w:rFonts w:ascii="Arial" w:hAnsi="Arial" w:cs="Arial" w:eastAsia="华文细黑"/>
                <w:bCs/>
                <w:sz w:val="18"/>
                <w:szCs w:val="18"/>
              </w:rPr>
              <w:t>公里</w:t>
            </w:r>
          </w:p>
        </w:tc>
      </w:tr>
    </w:tbl>
    <w:p>
      <w:pPr>
        <w:pStyle w:val="13"/>
        <w:spacing w:lineRule="auto" w:line="480" w:before="240" w:after="0"/>
        <w:ind w:firstLine="420"/>
        <w:jc w:val="both"/>
        <w:textAlignment w:val="bottom"/>
        <w:rPr>
          <w:rFonts w:ascii="Arial" w:hAnsi="Arial" w:cs="Arial"/>
          <w:sz w:val="21"/>
          <w:szCs w:val="21"/>
        </w:rPr>
      </w:pPr>
      <w:r>
        <w:rPr>
          <w:rFonts w:cs="宋体"/>
          <w:sz w:val="21"/>
          <w:szCs w:val="21"/>
        </w:rPr>
        <w:t>②</w:t>
      </w:r>
      <w:r>
        <w:rPr>
          <w:rFonts w:ascii="Arial" w:hAnsi="Arial" w:cs="Arial"/>
          <w:sz w:val="21"/>
          <w:szCs w:val="21"/>
        </w:rPr>
        <w:t>样本小区的选择</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估价对象周边小区较多，本次采用距离、成新度优先原则，综合区位、小区规模、档次等因素筛选住房小区作为本次估价对象租金的可比实例，根据本次评估的技术思路，需结合估价机构监测数据、行业主管部门（北京市房地产市场管理事务中心）监测数据和估价机构市场调查三个方面数据，全面分析估价对象周边的房地产市场租金情况，故本次选取三个可比实例分别是碧波园、世茂维拉、水碾屯西里。</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 xml:space="preserve">  </w:t>
      </w:r>
      <w:r>
        <w:rPr>
          <w:rFonts w:cs="Arial" w:ascii="Arial" w:hAnsi="Arial"/>
          <w:sz w:val="21"/>
          <w:szCs w:val="21"/>
        </w:rPr>
        <w:t>3 \* GB3</w:t>
      </w:r>
      <w:r>
        <w:rPr>
          <w:rFonts w:ascii="Arial" w:hAnsi="Arial" w:cs="Arial"/>
          <w:sz w:val="21"/>
          <w:szCs w:val="21"/>
        </w:rPr>
        <w:t>样本小区情况</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根据评估专业人员对估价对象所在区域市场调查，选取了</w:t>
      </w:r>
      <w:r>
        <w:rPr>
          <w:rFonts w:cs="Arial" w:ascii="Arial" w:hAnsi="Arial"/>
          <w:sz w:val="21"/>
          <w:szCs w:val="21"/>
        </w:rPr>
        <w:t>3</w:t>
      </w:r>
      <w:r>
        <w:rPr>
          <w:rFonts w:ascii="Arial" w:hAnsi="Arial" w:cs="Arial"/>
          <w:sz w:val="21"/>
          <w:szCs w:val="21"/>
        </w:rPr>
        <w:t>个普通商品房住宅小区为样本小区，具体如下：</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1172"/>
        <w:gridCol w:w="2485"/>
        <w:gridCol w:w="2274"/>
        <w:gridCol w:w="3366"/>
      </w:tblGrid>
      <w:tr>
        <w:trPr/>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序号</w:t>
            </w:r>
          </w:p>
        </w:tc>
        <w:tc>
          <w:tcPr>
            <w:tcW w:w="248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小区名称</w:t>
            </w:r>
          </w:p>
        </w:tc>
        <w:tc>
          <w:tcPr>
            <w:tcW w:w="2274"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建成年代（年）</w:t>
            </w:r>
          </w:p>
        </w:tc>
        <w:tc>
          <w:tcPr>
            <w:tcW w:w="336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与估价对象直线距离</w:t>
            </w:r>
          </w:p>
        </w:tc>
      </w:tr>
      <w:tr>
        <w:trPr/>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1</w:t>
            </w:r>
          </w:p>
        </w:tc>
        <w:tc>
          <w:tcPr>
            <w:tcW w:w="2485"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碧波园</w:t>
            </w:r>
          </w:p>
        </w:tc>
        <w:tc>
          <w:tcPr>
            <w:tcW w:w="22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2003</w:t>
            </w:r>
          </w:p>
        </w:tc>
        <w:tc>
          <w:tcPr>
            <w:tcW w:w="336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1.2</w:t>
            </w:r>
            <w:r>
              <w:rPr>
                <w:rFonts w:ascii="Arial" w:hAnsi="Arial" w:cs="Arial" w:eastAsia="华文细黑"/>
                <w:bCs/>
                <w:sz w:val="18"/>
                <w:szCs w:val="18"/>
              </w:rPr>
              <w:t>公里</w:t>
            </w:r>
          </w:p>
        </w:tc>
      </w:tr>
      <w:tr>
        <w:trPr/>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w:t>
            </w:r>
          </w:p>
        </w:tc>
        <w:tc>
          <w:tcPr>
            <w:tcW w:w="2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世茂维拉</w:t>
            </w:r>
          </w:p>
        </w:tc>
        <w:tc>
          <w:tcPr>
            <w:tcW w:w="22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2015</w:t>
            </w:r>
          </w:p>
        </w:tc>
        <w:tc>
          <w:tcPr>
            <w:tcW w:w="336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0.6</w:t>
            </w:r>
            <w:r>
              <w:rPr>
                <w:rFonts w:ascii="Arial" w:hAnsi="Arial" w:cs="Arial" w:eastAsia="华文细黑"/>
                <w:bCs/>
                <w:sz w:val="18"/>
                <w:szCs w:val="18"/>
              </w:rPr>
              <w:t>公里</w:t>
            </w:r>
          </w:p>
        </w:tc>
      </w:tr>
      <w:tr>
        <w:trPr/>
        <w:tc>
          <w:tcPr>
            <w:tcW w:w="117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3</w:t>
            </w:r>
          </w:p>
        </w:tc>
        <w:tc>
          <w:tcPr>
            <w:tcW w:w="24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ascii="Arial" w:hAnsi="Arial" w:cs="Arial" w:eastAsia="华文细黑"/>
                <w:bCs/>
                <w:sz w:val="18"/>
                <w:szCs w:val="18"/>
              </w:rPr>
              <w:t>水碾屯西里</w:t>
            </w:r>
          </w:p>
        </w:tc>
        <w:tc>
          <w:tcPr>
            <w:tcW w:w="22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2013</w:t>
            </w:r>
          </w:p>
        </w:tc>
        <w:tc>
          <w:tcPr>
            <w:tcW w:w="3366"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bCs/>
                <w:sz w:val="18"/>
                <w:szCs w:val="18"/>
              </w:rPr>
            </w:pPr>
            <w:r>
              <w:rPr>
                <w:rFonts w:eastAsia="华文细黑" w:cs="Arial" w:ascii="Arial" w:hAnsi="Arial"/>
                <w:bCs/>
                <w:sz w:val="18"/>
                <w:szCs w:val="18"/>
              </w:rPr>
              <w:t>1.6</w:t>
            </w:r>
            <w:r>
              <w:rPr>
                <w:rFonts w:ascii="Arial" w:hAnsi="Arial" w:cs="Arial" w:eastAsia="华文细黑"/>
                <w:bCs/>
                <w:sz w:val="18"/>
                <w:szCs w:val="18"/>
              </w:rPr>
              <w:t>公里</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样本小区一：碧波园</w:t>
      </w:r>
    </w:p>
    <w:p>
      <w:pPr>
        <w:pStyle w:val="13"/>
        <w:spacing w:lineRule="auto" w:line="480"/>
        <w:ind w:firstLine="420"/>
        <w:jc w:val="both"/>
        <w:textAlignment w:val="bottom"/>
        <w:rPr>
          <w:rFonts w:ascii="Arial" w:hAnsi="Arial" w:cs="Arial"/>
          <w:sz w:val="22"/>
          <w:szCs w:val="22"/>
        </w:rPr>
      </w:pPr>
      <w:r>
        <w:rPr>
          <w:rFonts w:ascii="Arial" w:hAnsi="Arial" w:cs="Arial"/>
          <w:sz w:val="21"/>
          <w:szCs w:val="21"/>
        </w:rPr>
        <w:t>碧波园小区位于北京市房山区阳城环路</w:t>
      </w:r>
      <w:r>
        <w:rPr>
          <w:rFonts w:cs="Arial" w:ascii="Arial" w:hAnsi="Arial"/>
          <w:sz w:val="21"/>
          <w:szCs w:val="21"/>
        </w:rPr>
        <w:t>13</w:t>
      </w:r>
      <w:r>
        <w:rPr>
          <w:rFonts w:ascii="Arial" w:hAnsi="Arial" w:cs="Arial"/>
          <w:sz w:val="21"/>
          <w:szCs w:val="21"/>
        </w:rPr>
        <w:t>号，建成于</w:t>
      </w:r>
      <w:r>
        <w:rPr>
          <w:rFonts w:cs="Arial" w:ascii="Arial" w:hAnsi="Arial"/>
          <w:sz w:val="21"/>
          <w:szCs w:val="21"/>
        </w:rPr>
        <w:t>2003</w:t>
      </w:r>
      <w:r>
        <w:rPr>
          <w:rFonts w:ascii="Arial" w:hAnsi="Arial" w:cs="Arial"/>
          <w:sz w:val="21"/>
          <w:szCs w:val="21"/>
        </w:rPr>
        <w:t>年，总建筑面积</w:t>
      </w:r>
      <w:r>
        <w:rPr>
          <w:rFonts w:cs="Arial" w:ascii="Arial" w:hAnsi="Arial"/>
          <w:sz w:val="21"/>
          <w:szCs w:val="21"/>
        </w:rPr>
        <w:t>450000</w:t>
      </w:r>
      <w:r>
        <w:rPr>
          <w:rFonts w:ascii="Arial" w:hAnsi="Arial" w:cs="Arial"/>
          <w:sz w:val="21"/>
          <w:szCs w:val="21"/>
        </w:rPr>
        <w:t>平方米，总占地面积</w:t>
      </w:r>
      <w:r>
        <w:rPr>
          <w:rFonts w:cs="Arial" w:ascii="Arial" w:hAnsi="Arial"/>
          <w:sz w:val="21"/>
          <w:szCs w:val="21"/>
        </w:rPr>
        <w:t>454500</w:t>
      </w:r>
      <w:r>
        <w:rPr>
          <w:rFonts w:ascii="Arial" w:hAnsi="Arial" w:cs="Arial"/>
          <w:sz w:val="21"/>
          <w:szCs w:val="21"/>
        </w:rPr>
        <w:t>平方米，共计房屋</w:t>
      </w:r>
      <w:r>
        <w:rPr>
          <w:rFonts w:cs="Arial" w:ascii="Arial" w:hAnsi="Arial"/>
          <w:sz w:val="21"/>
          <w:szCs w:val="21"/>
        </w:rPr>
        <w:t>1200</w:t>
      </w:r>
      <w:r>
        <w:rPr>
          <w:rFonts w:ascii="Arial" w:hAnsi="Arial" w:cs="Arial"/>
          <w:sz w:val="21"/>
          <w:szCs w:val="21"/>
        </w:rPr>
        <w:t>户，建筑密度适中，环境状况较好，绿化率约</w:t>
      </w:r>
      <w:r>
        <w:rPr>
          <w:rFonts w:cs="Arial" w:ascii="Arial" w:hAnsi="Arial"/>
          <w:sz w:val="21"/>
          <w:szCs w:val="21"/>
        </w:rPr>
        <w:t>30%</w:t>
      </w:r>
      <w:r>
        <w:rPr>
          <w:rFonts w:ascii="Arial" w:hAnsi="Arial" w:cs="Arial"/>
          <w:sz w:val="21"/>
          <w:szCs w:val="21"/>
        </w:rPr>
        <w:t>，物业管理费为</w:t>
      </w:r>
      <w:r>
        <w:rPr>
          <w:rFonts w:cs="Arial" w:ascii="Arial" w:hAnsi="Arial"/>
          <w:sz w:val="21"/>
          <w:szCs w:val="21"/>
        </w:rPr>
        <w:t>0.48</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月，主力户型为</w:t>
      </w:r>
      <w:r>
        <w:rPr>
          <w:rFonts w:cs="Arial" w:ascii="Arial" w:hAnsi="Arial"/>
          <w:sz w:val="21"/>
          <w:szCs w:val="21"/>
        </w:rPr>
        <w:t>90-100</w:t>
      </w:r>
      <w:r>
        <w:rPr>
          <w:rFonts w:ascii="Arial" w:hAnsi="Arial" w:cs="Arial"/>
          <w:sz w:val="21"/>
          <w:szCs w:val="21"/>
        </w:rPr>
        <w:t>平方米的二居室，朝向为南北，建筑面积为</w:t>
      </w:r>
      <w:r>
        <w:rPr>
          <w:rFonts w:cs="Arial" w:ascii="Arial" w:hAnsi="Arial"/>
          <w:sz w:val="21"/>
          <w:szCs w:val="21"/>
        </w:rPr>
        <w:t>90-100</w:t>
      </w:r>
      <w:r>
        <w:rPr>
          <w:rFonts w:ascii="Arial" w:hAnsi="Arial" w:cs="Arial"/>
          <w:sz w:val="21"/>
          <w:szCs w:val="21"/>
        </w:rPr>
        <w:t>平方米，距离估价对象直线距离约</w:t>
      </w:r>
      <w:r>
        <w:rPr>
          <w:rFonts w:cs="Arial" w:ascii="Arial" w:hAnsi="Arial"/>
          <w:sz w:val="21"/>
          <w:szCs w:val="21"/>
        </w:rPr>
        <w:t>1.2</w:t>
      </w:r>
      <w:r>
        <w:rPr>
          <w:rFonts w:ascii="Arial" w:hAnsi="Arial" w:cs="Arial"/>
          <w:sz w:val="21"/>
          <w:szCs w:val="21"/>
        </w:rPr>
        <w:t>公里。</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样本小区二：世茂维拉</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世茂维拉位于北京市房山区阳城环路</w:t>
      </w:r>
      <w:r>
        <w:rPr>
          <w:rFonts w:cs="Arial" w:ascii="Arial" w:hAnsi="Arial"/>
          <w:sz w:val="21"/>
          <w:szCs w:val="21"/>
        </w:rPr>
        <w:t>17</w:t>
      </w:r>
      <w:r>
        <w:rPr>
          <w:rFonts w:ascii="Arial" w:hAnsi="Arial" w:cs="Arial"/>
          <w:sz w:val="21"/>
          <w:szCs w:val="21"/>
        </w:rPr>
        <w:t>号，建成于</w:t>
      </w:r>
      <w:r>
        <w:rPr>
          <w:rFonts w:cs="Arial" w:ascii="Arial" w:hAnsi="Arial"/>
          <w:sz w:val="21"/>
          <w:szCs w:val="21"/>
        </w:rPr>
        <w:t>2015</w:t>
      </w:r>
      <w:r>
        <w:rPr>
          <w:rFonts w:ascii="Arial" w:hAnsi="Arial" w:cs="Arial"/>
          <w:sz w:val="21"/>
          <w:szCs w:val="21"/>
        </w:rPr>
        <w:t>年，总建筑面积</w:t>
      </w:r>
      <w:r>
        <w:rPr>
          <w:rFonts w:cs="Arial" w:ascii="Arial" w:hAnsi="Arial"/>
          <w:sz w:val="21"/>
          <w:szCs w:val="21"/>
        </w:rPr>
        <w:t>230000</w:t>
      </w:r>
      <w:r>
        <w:rPr>
          <w:rFonts w:ascii="Arial" w:hAnsi="Arial" w:cs="Arial"/>
          <w:sz w:val="21"/>
          <w:szCs w:val="21"/>
        </w:rPr>
        <w:t>平方米，总占地面积</w:t>
      </w:r>
      <w:r>
        <w:rPr>
          <w:rFonts w:cs="Arial" w:ascii="Arial" w:hAnsi="Arial"/>
          <w:sz w:val="21"/>
          <w:szCs w:val="21"/>
        </w:rPr>
        <w:t>100000</w:t>
      </w:r>
      <w:r>
        <w:rPr>
          <w:rFonts w:ascii="Arial" w:hAnsi="Arial" w:cs="Arial"/>
          <w:sz w:val="21"/>
          <w:szCs w:val="21"/>
        </w:rPr>
        <w:t>平方米，共计房屋</w:t>
      </w:r>
      <w:r>
        <w:rPr>
          <w:rFonts w:cs="Arial" w:ascii="Arial" w:hAnsi="Arial"/>
          <w:sz w:val="21"/>
          <w:szCs w:val="21"/>
        </w:rPr>
        <w:t>956</w:t>
      </w:r>
      <w:r>
        <w:rPr>
          <w:rFonts w:ascii="Arial" w:hAnsi="Arial" w:cs="Arial"/>
          <w:sz w:val="21"/>
          <w:szCs w:val="21"/>
        </w:rPr>
        <w:t>户，建筑密度适中，环境状况较好，绿化率约为</w:t>
      </w:r>
      <w:r>
        <w:rPr>
          <w:rFonts w:cs="Arial" w:ascii="Arial" w:hAnsi="Arial"/>
          <w:sz w:val="21"/>
          <w:szCs w:val="21"/>
        </w:rPr>
        <w:t>40%</w:t>
      </w:r>
      <w:r>
        <w:rPr>
          <w:rFonts w:ascii="Arial" w:hAnsi="Arial" w:cs="Arial"/>
          <w:sz w:val="21"/>
          <w:szCs w:val="21"/>
        </w:rPr>
        <w:t>，物业管理费为</w:t>
      </w:r>
      <w:r>
        <w:rPr>
          <w:rFonts w:cs="Arial" w:ascii="Arial" w:hAnsi="Arial"/>
          <w:sz w:val="21"/>
          <w:szCs w:val="21"/>
        </w:rPr>
        <w:t>2.8</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月，主力户型为一居室，朝向为南向，建筑面积为</w:t>
      </w:r>
      <w:r>
        <w:rPr>
          <w:rFonts w:cs="Arial" w:ascii="Arial" w:hAnsi="Arial"/>
          <w:sz w:val="21"/>
          <w:szCs w:val="21"/>
        </w:rPr>
        <w:t>60-70</w:t>
      </w:r>
      <w:r>
        <w:rPr>
          <w:rFonts w:ascii="Arial" w:hAnsi="Arial" w:cs="Arial"/>
          <w:sz w:val="21"/>
          <w:szCs w:val="21"/>
        </w:rPr>
        <w:t>平方米，距估价对象直线距离约</w:t>
      </w:r>
      <w:r>
        <w:rPr>
          <w:rFonts w:cs="Arial" w:ascii="Arial" w:hAnsi="Arial"/>
          <w:sz w:val="21"/>
          <w:szCs w:val="21"/>
        </w:rPr>
        <w:t>0.6</w:t>
      </w:r>
      <w:r>
        <w:rPr>
          <w:rFonts w:ascii="Arial" w:hAnsi="Arial" w:cs="Arial"/>
          <w:sz w:val="21"/>
          <w:szCs w:val="21"/>
        </w:rPr>
        <w:t>公里。</w:t>
      </w:r>
    </w:p>
    <w:p>
      <w:pPr>
        <w:pStyle w:val="13"/>
        <w:spacing w:lineRule="auto" w:line="480"/>
        <w:jc w:val="both"/>
        <w:textAlignment w:val="bottom"/>
        <w:rPr>
          <w:rFonts w:ascii="Arial" w:hAnsi="Arial" w:cs="Arial"/>
          <w:sz w:val="21"/>
          <w:szCs w:val="21"/>
        </w:rPr>
      </w:pPr>
      <w:r>
        <w:rPr>
          <w:rFonts w:ascii="Arial" w:hAnsi="Arial" w:cs="Arial"/>
          <w:b/>
          <w:sz w:val="21"/>
          <w:szCs w:val="21"/>
        </w:rPr>
        <w:t xml:space="preserve">    </w:t>
      </w:r>
      <w:r>
        <w:rPr>
          <w:rFonts w:ascii="Arial" w:hAnsi="Arial" w:cs="Arial"/>
          <w:sz w:val="21"/>
          <w:szCs w:val="21"/>
        </w:rPr>
        <w:t>样本小区三：水碾屯西里</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水碾屯西里位于北京市房山区阜盛大街，建成于</w:t>
      </w:r>
      <w:r>
        <w:rPr>
          <w:rFonts w:cs="Arial" w:ascii="Arial" w:hAnsi="Arial"/>
          <w:sz w:val="21"/>
          <w:szCs w:val="21"/>
        </w:rPr>
        <w:t>2013</w:t>
      </w:r>
      <w:r>
        <w:rPr>
          <w:rFonts w:ascii="Arial" w:hAnsi="Arial" w:cs="Arial"/>
          <w:sz w:val="21"/>
          <w:szCs w:val="21"/>
        </w:rPr>
        <w:t>年，建筑结构为钢混，共</w:t>
      </w:r>
      <w:r>
        <w:rPr>
          <w:rFonts w:cs="Arial" w:ascii="Arial" w:hAnsi="Arial"/>
          <w:sz w:val="21"/>
          <w:szCs w:val="21"/>
        </w:rPr>
        <w:t>504</w:t>
      </w:r>
      <w:r>
        <w:rPr>
          <w:rFonts w:ascii="Arial" w:hAnsi="Arial" w:cs="Arial"/>
          <w:sz w:val="21"/>
          <w:szCs w:val="21"/>
        </w:rPr>
        <w:t>户，建筑密度适中，环境状况较好，绿化率约为</w:t>
      </w:r>
      <w:r>
        <w:rPr>
          <w:rFonts w:cs="Arial" w:ascii="Arial" w:hAnsi="Arial"/>
          <w:sz w:val="21"/>
          <w:szCs w:val="21"/>
        </w:rPr>
        <w:t>30%</w:t>
      </w:r>
      <w:r>
        <w:rPr>
          <w:rFonts w:ascii="Arial" w:hAnsi="Arial" w:cs="Arial"/>
          <w:sz w:val="21"/>
          <w:szCs w:val="21"/>
        </w:rPr>
        <w:t>，物业管理费为</w:t>
      </w:r>
      <w:r>
        <w:rPr>
          <w:rFonts w:cs="Arial" w:ascii="Arial" w:hAnsi="Arial"/>
          <w:sz w:val="21"/>
          <w:szCs w:val="21"/>
        </w:rPr>
        <w:t>2.5</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月，主力户型为二居室，朝向为南北向，建筑面积为</w:t>
      </w:r>
      <w:r>
        <w:rPr>
          <w:rFonts w:cs="Arial" w:ascii="Arial" w:hAnsi="Arial"/>
          <w:sz w:val="21"/>
          <w:szCs w:val="21"/>
        </w:rPr>
        <w:t>80-90</w:t>
      </w:r>
      <w:r>
        <w:rPr>
          <w:rFonts w:ascii="Arial" w:hAnsi="Arial" w:cs="Arial"/>
          <w:sz w:val="21"/>
          <w:szCs w:val="21"/>
        </w:rPr>
        <w:t>平方米，距估价对象直线距离约</w:t>
      </w:r>
      <w:r>
        <w:rPr>
          <w:rFonts w:cs="Arial" w:ascii="Arial" w:hAnsi="Arial"/>
          <w:sz w:val="21"/>
          <w:szCs w:val="21"/>
        </w:rPr>
        <w:t>1.6</w:t>
      </w:r>
      <w:r>
        <w:rPr>
          <w:rFonts w:ascii="Arial" w:hAnsi="Arial" w:cs="Arial"/>
          <w:sz w:val="21"/>
          <w:szCs w:val="21"/>
        </w:rPr>
        <w:t>公里。</w:t>
      </w:r>
    </w:p>
    <w:p>
      <w:pPr>
        <w:pStyle w:val="13"/>
        <w:spacing w:lineRule="auto" w:line="480"/>
        <w:ind w:firstLine="420"/>
        <w:jc w:val="center"/>
        <w:textAlignment w:val="bottom"/>
        <w:rPr/>
      </w:pPr>
      <w:r>
        <w:rPr>
          <w:rFonts w:ascii="Arial" w:hAnsi="Arial" w:cs="Arial"/>
          <w:sz w:val="21"/>
          <w:szCs w:val="21"/>
        </w:rPr>
        <w:t>估价对象及样本小区位置示意图</w:t>
      </w:r>
    </w:p>
    <w:p>
      <w:pPr>
        <w:pStyle w:val="13"/>
        <w:spacing w:lineRule="auto" w:line="480"/>
        <w:jc w:val="center"/>
        <w:textAlignment w:val="bottom"/>
        <w:rPr>
          <w:rFonts w:ascii="Arial" w:hAnsi="Arial" w:cs="Arial"/>
          <w:sz w:val="21"/>
          <w:szCs w:val="21"/>
        </w:rPr>
      </w:pPr>
      <w:r>
        <w:rPr/>
        <w:drawing>
          <wp:inline distT="0" distB="0" distL="0" distR="0">
            <wp:extent cx="6337300" cy="5064760"/>
            <wp:effectExtent l="0" t="0" r="0" b="0"/>
            <wp:docPr id="23" name="图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4" descr=""/>
                    <pic:cNvPicPr>
                      <a:picLocks noChangeAspect="1" noChangeArrowheads="1"/>
                    </pic:cNvPicPr>
                  </pic:nvPicPr>
                  <pic:blipFill>
                    <a:blip r:embed="rId29"/>
                    <a:stretch>
                      <a:fillRect/>
                    </a:stretch>
                  </pic:blipFill>
                  <pic:spPr bwMode="auto">
                    <a:xfrm>
                      <a:off x="0" y="0"/>
                      <a:ext cx="6337300" cy="5064760"/>
                    </a:xfrm>
                    <a:prstGeom prst="rect">
                      <a:avLst/>
                    </a:prstGeom>
                  </pic:spPr>
                </pic:pic>
              </a:graphicData>
            </a:graphic>
          </wp:inline>
        </w:drawing>
      </w:r>
    </w:p>
    <w:p>
      <w:pPr>
        <w:pStyle w:val="Normal"/>
        <w:rPr>
          <w:rFonts w:ascii="Arial" w:hAnsi="Arial" w:cs="Arial"/>
          <w:sz w:val="21"/>
          <w:szCs w:val="21"/>
        </w:rPr>
      </w:pPr>
      <w:r>
        <w:rPr>
          <w:rFonts w:cs="Arial" w:ascii="Arial" w:hAnsi="Arial"/>
          <w:sz w:val="21"/>
          <w:szCs w:val="21"/>
        </w:rPr>
      </w:r>
      <w:r>
        <w:br w:type="page"/>
      </w:r>
    </w:p>
    <w:p>
      <w:pPr>
        <w:pStyle w:val="13"/>
        <w:spacing w:lineRule="auto" w:line="480"/>
        <w:ind w:firstLine="420"/>
        <w:textAlignment w:val="bottom"/>
        <w:rPr>
          <w:rFonts w:ascii="Arial" w:hAnsi="Arial" w:cs="Arial"/>
          <w:sz w:val="21"/>
          <w:szCs w:val="21"/>
        </w:rPr>
      </w:pPr>
      <w:r>
        <w:rPr>
          <w:rFonts w:ascii="Arial" w:hAnsi="Arial" w:cs="Arial"/>
          <w:sz w:val="21"/>
          <w:szCs w:val="21"/>
        </w:rPr>
        <w:t>根据估价人员统计的市场租金数据，本次评估设定三个可比实例小区标准房如下：</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1137"/>
        <w:gridCol w:w="2619"/>
        <w:gridCol w:w="2616"/>
        <w:gridCol w:w="2925"/>
      </w:tblGrid>
      <w:tr>
        <w:trPr>
          <w:trHeight w:val="227"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项目</w:t>
            </w:r>
          </w:p>
        </w:tc>
        <w:tc>
          <w:tcPr>
            <w:tcW w:w="2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sz w:val="18"/>
                <w:szCs w:val="18"/>
              </w:rPr>
              <w:t>碧波园</w:t>
            </w:r>
          </w:p>
        </w:tc>
        <w:tc>
          <w:tcPr>
            <w:tcW w:w="2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sz w:val="18"/>
                <w:szCs w:val="18"/>
              </w:rPr>
              <w:t>世茂维拉</w:t>
            </w:r>
          </w:p>
        </w:tc>
        <w:tc>
          <w:tcPr>
            <w:tcW w:w="29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sz w:val="18"/>
                <w:szCs w:val="18"/>
              </w:rPr>
              <w:t>水碾屯西里</w:t>
            </w:r>
          </w:p>
        </w:tc>
      </w:tr>
      <w:tr>
        <w:trPr>
          <w:trHeight w:val="227"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楼层</w:t>
            </w:r>
          </w:p>
        </w:tc>
        <w:tc>
          <w:tcPr>
            <w:tcW w:w="2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中楼层</w:t>
            </w:r>
          </w:p>
        </w:tc>
        <w:tc>
          <w:tcPr>
            <w:tcW w:w="2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中楼层</w:t>
            </w:r>
          </w:p>
        </w:tc>
        <w:tc>
          <w:tcPr>
            <w:tcW w:w="29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中楼层</w:t>
            </w:r>
          </w:p>
        </w:tc>
      </w:tr>
      <w:tr>
        <w:trPr>
          <w:trHeight w:val="227"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户型</w:t>
            </w:r>
          </w:p>
        </w:tc>
        <w:tc>
          <w:tcPr>
            <w:tcW w:w="2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二居室</w:t>
            </w:r>
          </w:p>
        </w:tc>
        <w:tc>
          <w:tcPr>
            <w:tcW w:w="2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一居室</w:t>
            </w:r>
          </w:p>
        </w:tc>
        <w:tc>
          <w:tcPr>
            <w:tcW w:w="29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二居室</w:t>
            </w:r>
          </w:p>
        </w:tc>
      </w:tr>
      <w:tr>
        <w:trPr>
          <w:trHeight w:val="227"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面积</w:t>
            </w:r>
          </w:p>
        </w:tc>
        <w:tc>
          <w:tcPr>
            <w:tcW w:w="2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eastAsia="华文细黑" w:cs="Arial" w:ascii="Arial" w:hAnsi="Arial"/>
                <w:kern w:val="2"/>
                <w:sz w:val="18"/>
                <w:szCs w:val="18"/>
              </w:rPr>
              <w:t>90-100</w:t>
            </w:r>
          </w:p>
        </w:tc>
        <w:tc>
          <w:tcPr>
            <w:tcW w:w="2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eastAsia="华文细黑" w:cs="Arial" w:ascii="Arial" w:hAnsi="Arial"/>
                <w:kern w:val="2"/>
                <w:sz w:val="18"/>
                <w:szCs w:val="18"/>
              </w:rPr>
              <w:t>60-70</w:t>
            </w:r>
          </w:p>
        </w:tc>
        <w:tc>
          <w:tcPr>
            <w:tcW w:w="29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eastAsia="华文细黑" w:cs="Arial" w:ascii="Arial" w:hAnsi="Arial"/>
                <w:kern w:val="2"/>
                <w:sz w:val="18"/>
                <w:szCs w:val="18"/>
              </w:rPr>
              <w:t>80-90</w:t>
            </w:r>
          </w:p>
        </w:tc>
      </w:tr>
      <w:tr>
        <w:trPr>
          <w:trHeight w:val="227"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朝向</w:t>
            </w:r>
          </w:p>
        </w:tc>
        <w:tc>
          <w:tcPr>
            <w:tcW w:w="2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南北</w:t>
            </w:r>
          </w:p>
        </w:tc>
        <w:tc>
          <w:tcPr>
            <w:tcW w:w="2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南</w:t>
            </w:r>
          </w:p>
        </w:tc>
        <w:tc>
          <w:tcPr>
            <w:tcW w:w="29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南北</w:t>
            </w:r>
          </w:p>
        </w:tc>
      </w:tr>
      <w:tr>
        <w:trPr>
          <w:trHeight w:val="227"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装修</w:t>
            </w:r>
          </w:p>
        </w:tc>
        <w:tc>
          <w:tcPr>
            <w:tcW w:w="2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普通装修</w:t>
            </w:r>
          </w:p>
        </w:tc>
        <w:tc>
          <w:tcPr>
            <w:tcW w:w="2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普通装修</w:t>
            </w:r>
          </w:p>
        </w:tc>
        <w:tc>
          <w:tcPr>
            <w:tcW w:w="29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普通装修</w:t>
            </w:r>
          </w:p>
        </w:tc>
      </w:tr>
      <w:tr>
        <w:trPr>
          <w:trHeight w:val="227" w:hRule="atLeast"/>
        </w:trPr>
        <w:tc>
          <w:tcPr>
            <w:tcW w:w="113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设备</w:t>
            </w:r>
          </w:p>
        </w:tc>
        <w:tc>
          <w:tcPr>
            <w:tcW w:w="261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齐全</w:t>
            </w:r>
          </w:p>
        </w:tc>
        <w:tc>
          <w:tcPr>
            <w:tcW w:w="261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齐全</w:t>
            </w:r>
          </w:p>
        </w:tc>
        <w:tc>
          <w:tcPr>
            <w:tcW w:w="292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overflowPunct w:val="false"/>
              <w:snapToGrid w:val="false"/>
              <w:spacing w:lineRule="exact" w:line="240"/>
              <w:jc w:val="center"/>
              <w:rPr>
                <w:rFonts w:ascii="Arial" w:hAnsi="Arial" w:eastAsia="华文细黑" w:cs="Arial"/>
                <w:kern w:val="2"/>
                <w:sz w:val="18"/>
                <w:szCs w:val="18"/>
              </w:rPr>
            </w:pPr>
            <w:r>
              <w:rPr>
                <w:rFonts w:ascii="Arial" w:hAnsi="Arial" w:cs="Arial" w:eastAsia="华文细黑"/>
                <w:kern w:val="2"/>
                <w:sz w:val="18"/>
                <w:szCs w:val="18"/>
              </w:rPr>
              <w:t>齐全</w:t>
            </w:r>
          </w:p>
        </w:tc>
      </w:tr>
    </w:tbl>
    <w:p>
      <w:pPr>
        <w:pStyle w:val="Normal"/>
        <w:overflowPunct w:val="false"/>
        <w:spacing w:lineRule="atLeast" w:line="240"/>
        <w:jc w:val="center"/>
        <w:rPr>
          <w:rFonts w:ascii="Arial" w:hAnsi="Arial" w:cs="Arial"/>
          <w:kern w:val="2"/>
          <w:sz w:val="20"/>
          <w:szCs w:val="21"/>
        </w:rPr>
      </w:pPr>
      <w:r>
        <w:rPr>
          <w:rFonts w:cs="Arial" w:ascii="Arial" w:hAnsi="Arial"/>
          <w:kern w:val="2"/>
          <w:sz w:val="20"/>
          <w:szCs w:val="21"/>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 xml:space="preserve">  </w:t>
      </w:r>
      <w:r>
        <w:rPr>
          <w:rFonts w:cs="Arial" w:ascii="Arial" w:hAnsi="Arial"/>
          <w:sz w:val="21"/>
          <w:szCs w:val="21"/>
        </w:rPr>
        <w:t>4 \* GB3</w:t>
      </w:r>
      <w:r>
        <w:rPr>
          <w:rFonts w:ascii="Arial" w:hAnsi="Arial" w:cs="Arial"/>
          <w:sz w:val="21"/>
          <w:szCs w:val="21"/>
        </w:rPr>
        <w:t>样本数据统计分析</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本次评估估价对象周边区域住宅小区近一年平均租金水平数据来源为估价机构监测数据、行业主管部门（北京市房地产市场管理事务中心）监测数据和估价机构市场调查三方面数据，三方面数据情况分别如下：</w:t>
      </w:r>
    </w:p>
    <w:p>
      <w:pPr>
        <w:pStyle w:val="13"/>
        <w:spacing w:lineRule="auto" w:line="480"/>
        <w:ind w:firstLine="420"/>
        <w:jc w:val="both"/>
        <w:textAlignment w:val="bottom"/>
        <w:rPr>
          <w:rFonts w:ascii="Arial" w:hAnsi="Arial" w:cs="Arial"/>
          <w:sz w:val="21"/>
          <w:szCs w:val="21"/>
        </w:rPr>
      </w:pPr>
      <w:r>
        <w:rPr>
          <w:rFonts w:cs="Arial" w:ascii="Arial" w:hAnsi="Arial"/>
          <w:sz w:val="21"/>
          <w:szCs w:val="21"/>
        </w:rPr>
        <w:t>A.</w:t>
      </w:r>
      <w:r>
        <w:rPr>
          <w:rFonts w:ascii="Arial" w:hAnsi="Arial" w:cs="Arial"/>
          <w:sz w:val="21"/>
          <w:szCs w:val="21"/>
        </w:rPr>
        <w:t>估价机构监测数据（中指数据）</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样本小区一：碧波园</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36.49</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37.66</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36.30</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35.55</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35.27</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36.25</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样本小区二：世茂维拉</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48.18</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49.44</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50.67</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49.11</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51.93</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49.87</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样本小区三：水碾屯西里</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43.60</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44.40</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41.64</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40.79</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40.86</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42.26</w:t>
            </w:r>
          </w:p>
        </w:tc>
      </w:tr>
    </w:tbl>
    <w:p>
      <w:pPr>
        <w:pStyle w:val="13"/>
        <w:spacing w:lineRule="auto" w:line="480" w:before="240" w:after="0"/>
        <w:ind w:firstLine="420"/>
        <w:jc w:val="both"/>
        <w:textAlignment w:val="bottom"/>
        <w:rPr>
          <w:rFonts w:ascii="Arial" w:hAnsi="Arial" w:cs="Arial"/>
          <w:sz w:val="21"/>
          <w:szCs w:val="21"/>
        </w:rPr>
      </w:pPr>
      <w:r>
        <w:rPr>
          <w:rFonts w:cs="Arial" w:ascii="Arial" w:hAnsi="Arial"/>
          <w:sz w:val="21"/>
          <w:szCs w:val="21"/>
        </w:rPr>
        <w:t>B.</w:t>
      </w:r>
      <w:r>
        <w:rPr>
          <w:rFonts w:ascii="Arial" w:hAnsi="Arial" w:cs="Arial"/>
          <w:sz w:val="21"/>
          <w:szCs w:val="21"/>
        </w:rPr>
        <w:t>行业主管部门（北京市房地产市场管理事务中心）监测数据（城研中心数据）</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样本小区一：碧波园</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42.69</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39.61</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35.72</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41.86</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36.71</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39.32</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样本小区二：世茂维拉</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48.67</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48.24</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49.65</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49.17</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46.57</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48.46</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样本小区三：水碾屯西里</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0</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46.87</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45.05</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45.46</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0</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45.79</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cs="Arial" w:ascii="Arial" w:hAnsi="Arial"/>
          <w:sz w:val="21"/>
          <w:szCs w:val="21"/>
        </w:rPr>
        <w:t>C.</w:t>
      </w:r>
      <w:r>
        <w:rPr>
          <w:rFonts w:ascii="Arial" w:hAnsi="Arial" w:cs="Arial"/>
          <w:sz w:val="21"/>
          <w:szCs w:val="21"/>
        </w:rPr>
        <w:t>估价机构市场调查（市场交易数据）</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样本小区一：碧波园</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38.71</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39.97</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40.43</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38.62</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41.83</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39.91</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样本小区二：世茂维拉</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53.39</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49.39</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48.92</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45.83</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等线" w:cs="Arial"/>
                <w:sz w:val="20"/>
                <w:szCs w:val="20"/>
                <w:lang w:bidi="ar"/>
              </w:rPr>
            </w:pPr>
            <w:r>
              <w:rPr>
                <w:rFonts w:eastAsia="华文细黑" w:cs="Arial" w:ascii="Arial" w:hAnsi="Arial"/>
                <w:sz w:val="18"/>
                <w:szCs w:val="18"/>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49.40</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49.39</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样本小区三：水碾屯西里</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001"/>
        <w:gridCol w:w="2122"/>
        <w:gridCol w:w="4175"/>
      </w:tblGrid>
      <w:tr>
        <w:trPr>
          <w:tblHeader w:val="true"/>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时间</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样本数量</w:t>
            </w:r>
          </w:p>
        </w:tc>
        <w:tc>
          <w:tcPr>
            <w:tcW w:w="4175" w:type="dxa"/>
            <w:tcBorders>
              <w:top w:val="single" w:sz="4" w:space="0" w:color="000000"/>
              <w:left w:val="single" w:sz="4" w:space="0" w:color="000000"/>
              <w:bottom w:val="single" w:sz="4" w:space="0" w:color="000000"/>
              <w:right w:val="single" w:sz="4" w:space="0" w:color="000000"/>
            </w:tcBorders>
            <w:shd w:fill="auto" w:val="clea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租金平均单价（元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月）（含物业费、含供暖费、含租赁税费）</w:t>
            </w:r>
          </w:p>
        </w:tc>
      </w:tr>
      <w:tr>
        <w:trPr>
          <w:trHeight w:val="34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2022</w:t>
            </w:r>
            <w:r>
              <w:rPr>
                <w:rFonts w:ascii="Arial" w:hAnsi="Arial" w:cs="Arial" w:eastAsia="华文细黑"/>
                <w:sz w:val="18"/>
                <w:szCs w:val="18"/>
                <w:lang w:bidi="ar"/>
              </w:rPr>
              <w:t>年四季度（</w:t>
            </w:r>
            <w:r>
              <w:rPr>
                <w:rFonts w:eastAsia="华文细黑" w:cs="Arial" w:ascii="Arial" w:hAnsi="Arial"/>
                <w:sz w:val="18"/>
                <w:szCs w:val="18"/>
                <w:lang w:bidi="ar"/>
              </w:rPr>
              <w:t>2022</w:t>
            </w:r>
            <w:r>
              <w:rPr>
                <w:rFonts w:ascii="Arial" w:hAnsi="Arial" w:cs="Arial" w:eastAsia="华文细黑"/>
                <w:sz w:val="18"/>
                <w:szCs w:val="18"/>
                <w:lang w:bidi="ar"/>
              </w:rPr>
              <w:t>年</w:t>
            </w:r>
            <w:r>
              <w:rPr>
                <w:rFonts w:eastAsia="华文细黑" w:cs="Arial" w:ascii="Arial" w:hAnsi="Arial"/>
                <w:sz w:val="18"/>
                <w:szCs w:val="18"/>
                <w:lang w:bidi="ar"/>
              </w:rPr>
              <w:t>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1</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43.33</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年一季度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43.54</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年二季度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45.93</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Style w:val="Font11"/>
                <w:rFonts w:eastAsia="华文细黑"/>
                <w:color w:val="auto"/>
                <w:sz w:val="18"/>
                <w:szCs w:val="18"/>
                <w:lang w:bidi="ar"/>
              </w:rPr>
              <w:t>2023</w:t>
            </w:r>
            <w:r>
              <w:rPr>
                <w:rFonts w:ascii="Arial" w:hAnsi="Arial" w:cs="Arial" w:eastAsia="华文细黑"/>
                <w:sz w:val="18"/>
                <w:szCs w:val="18"/>
                <w:lang w:bidi="ar"/>
              </w:rPr>
              <w:t>年三季度</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3</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44.60</w:t>
            </w:r>
          </w:p>
        </w:tc>
      </w:tr>
      <w:tr>
        <w:trPr>
          <w:trHeight w:val="285" w:hRule="atLeast"/>
        </w:trPr>
        <w:tc>
          <w:tcPr>
            <w:tcW w:w="300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Style w:val="Font11"/>
                <w:rFonts w:eastAsia="华文细黑"/>
                <w:color w:val="auto"/>
                <w:sz w:val="18"/>
                <w:szCs w:val="18"/>
                <w:lang w:bidi="ar"/>
              </w:rPr>
            </w:pPr>
            <w:r>
              <w:rPr>
                <w:rStyle w:val="Font11"/>
                <w:rFonts w:eastAsia="华文细黑"/>
                <w:color w:val="auto"/>
                <w:sz w:val="18"/>
                <w:szCs w:val="18"/>
                <w:lang w:bidi="ar"/>
              </w:rPr>
              <w:t>2023</w:t>
            </w:r>
            <w:r>
              <w:rPr>
                <w:rFonts w:ascii="Arial" w:hAnsi="Arial" w:cs="Arial" w:eastAsia="华文细黑"/>
                <w:sz w:val="18"/>
                <w:szCs w:val="18"/>
                <w:lang w:bidi="ar"/>
              </w:rPr>
              <w:t>年四季度（</w:t>
            </w:r>
            <w:r>
              <w:rPr>
                <w:rFonts w:eastAsia="华文细黑" w:cs="Arial" w:ascii="Arial" w:hAnsi="Arial"/>
                <w:sz w:val="18"/>
                <w:szCs w:val="18"/>
                <w:lang w:bidi="ar"/>
              </w:rPr>
              <w:t>2023</w:t>
            </w:r>
            <w:r>
              <w:rPr>
                <w:rFonts w:ascii="Arial" w:hAnsi="Arial" w:cs="Arial" w:eastAsia="华文细黑"/>
                <w:sz w:val="18"/>
                <w:szCs w:val="18"/>
                <w:lang w:bidi="ar"/>
              </w:rPr>
              <w:t>年</w:t>
            </w:r>
            <w:r>
              <w:rPr>
                <w:rFonts w:eastAsia="华文细黑" w:cs="Arial" w:ascii="Arial" w:hAnsi="Arial"/>
                <w:sz w:val="18"/>
                <w:szCs w:val="18"/>
                <w:lang w:bidi="ar"/>
              </w:rPr>
              <w:t>11-12</w:t>
            </w:r>
            <w:r>
              <w:rPr>
                <w:rFonts w:ascii="Arial" w:hAnsi="Arial" w:cs="Arial" w:eastAsia="华文细黑"/>
                <w:sz w:val="18"/>
                <w:szCs w:val="18"/>
                <w:lang w:bidi="ar"/>
              </w:rPr>
              <w:t>月）</w:t>
            </w:r>
          </w:p>
        </w:tc>
        <w:tc>
          <w:tcPr>
            <w:tcW w:w="21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jc w:val="center"/>
              <w:textAlignment w:val="center"/>
              <w:rPr>
                <w:rFonts w:ascii="Arial" w:hAnsi="Arial" w:eastAsia="等线" w:cs="Arial"/>
                <w:sz w:val="20"/>
                <w:szCs w:val="20"/>
                <w:lang w:bidi="ar"/>
              </w:rPr>
            </w:pPr>
            <w:r>
              <w:rPr>
                <w:rFonts w:eastAsia="华文细黑" w:cs="Arial" w:ascii="Arial" w:hAnsi="Arial"/>
                <w:sz w:val="18"/>
                <w:szCs w:val="18"/>
              </w:rPr>
              <w:t>2</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44.19</w:t>
            </w:r>
          </w:p>
        </w:tc>
      </w:tr>
      <w:tr>
        <w:trPr>
          <w:trHeight w:val="257" w:hRule="atLeast"/>
        </w:trPr>
        <w:tc>
          <w:tcPr>
            <w:tcW w:w="5123"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平均月租金</w:t>
            </w:r>
          </w:p>
        </w:tc>
        <w:tc>
          <w:tcPr>
            <w:tcW w:w="417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textAlignment w:val="center"/>
              <w:rPr>
                <w:rFonts w:ascii="Arial" w:hAnsi="Arial" w:eastAsia="华文细黑" w:cs="Arial"/>
                <w:sz w:val="18"/>
                <w:szCs w:val="18"/>
              </w:rPr>
            </w:pPr>
            <w:r>
              <w:rPr>
                <w:rFonts w:eastAsia="华文细黑" w:cs="Arial" w:ascii="Arial" w:hAnsi="Arial"/>
                <w:sz w:val="18"/>
                <w:szCs w:val="18"/>
              </w:rPr>
              <w:t>44.32</w:t>
            </w:r>
          </w:p>
        </w:tc>
      </w:tr>
    </w:tbl>
    <w:p>
      <w:pPr>
        <w:pStyle w:val="13"/>
        <w:snapToGrid w:val="false"/>
        <w:spacing w:lineRule="auto" w:line="240"/>
        <w:ind w:firstLine="360"/>
        <w:jc w:val="both"/>
        <w:textAlignment w:val="bottom"/>
        <w:rPr>
          <w:rFonts w:ascii="Arial" w:hAnsi="Arial" w:cs="Arial"/>
          <w:sz w:val="18"/>
          <w:szCs w:val="18"/>
        </w:rPr>
      </w:pPr>
      <w:r>
        <w:rPr>
          <w:rFonts w:cs="Arial" w:ascii="Arial" w:hAnsi="Arial"/>
          <w:sz w:val="18"/>
          <w:szCs w:val="18"/>
        </w:rPr>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 xml:space="preserve">  </w:t>
      </w:r>
      <w:r>
        <w:rPr>
          <w:rFonts w:cs="Arial" w:ascii="Arial" w:hAnsi="Arial"/>
          <w:sz w:val="21"/>
          <w:szCs w:val="21"/>
        </w:rPr>
        <w:t>5 \* GB3</w:t>
      </w:r>
      <w:r>
        <w:rPr>
          <w:rFonts w:ascii="Arial" w:hAnsi="Arial" w:cs="Arial"/>
          <w:sz w:val="21"/>
          <w:szCs w:val="21"/>
        </w:rPr>
        <w:t>确定可比实例年平均租金水平</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结合三方面数据</w:t>
      </w:r>
      <w:r>
        <w:rPr>
          <w:rFonts w:cs="Arial" w:ascii="Arial" w:hAnsi="Arial"/>
          <w:sz w:val="21"/>
          <w:szCs w:val="21"/>
        </w:rPr>
        <w:t>,</w:t>
      </w:r>
      <w:r>
        <w:rPr>
          <w:rFonts w:ascii="Arial" w:hAnsi="Arial" w:cs="Arial"/>
          <w:sz w:val="21"/>
          <w:szCs w:val="21"/>
        </w:rPr>
        <w:t>本次估价从评估专业人员掌握的交易实例中选取碧波园、世茂维拉、水碾屯西里</w:t>
      </w:r>
      <w:r>
        <w:rPr>
          <w:rFonts w:cs="Arial" w:ascii="Arial" w:hAnsi="Arial"/>
          <w:sz w:val="21"/>
          <w:szCs w:val="21"/>
        </w:rPr>
        <w:t>3</w:t>
      </w:r>
      <w:r>
        <w:rPr>
          <w:rFonts w:ascii="Arial" w:hAnsi="Arial" w:cs="Arial"/>
          <w:sz w:val="21"/>
          <w:szCs w:val="21"/>
        </w:rPr>
        <w:t>个普通住宅小区作为可比实例。</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经过统计分析及测算，各小区的数据来源及近一年平均租金水平分别如下：</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3828"/>
        <w:gridCol w:w="1680"/>
        <w:gridCol w:w="2060"/>
        <w:gridCol w:w="1729"/>
      </w:tblGrid>
      <w:tr>
        <w:trPr>
          <w:trHeight w:val="20" w:hRule="atLeast"/>
        </w:trPr>
        <w:tc>
          <w:tcPr>
            <w:tcW w:w="3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数据来源</w:t>
            </w:r>
          </w:p>
        </w:tc>
        <w:tc>
          <w:tcPr>
            <w:tcW w:w="16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碧波园</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世茂维拉</w:t>
            </w:r>
          </w:p>
        </w:tc>
        <w:tc>
          <w:tcPr>
            <w:tcW w:w="17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水碾屯西里</w:t>
            </w:r>
          </w:p>
        </w:tc>
      </w:tr>
      <w:tr>
        <w:trPr>
          <w:trHeight w:val="20" w:hRule="atLeast"/>
        </w:trPr>
        <w:tc>
          <w:tcPr>
            <w:tcW w:w="3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估价机构样本数据（中指数据）</w:t>
            </w:r>
          </w:p>
        </w:tc>
        <w:tc>
          <w:tcPr>
            <w:tcW w:w="16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36.25</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49.87</w:t>
            </w:r>
          </w:p>
        </w:tc>
        <w:tc>
          <w:tcPr>
            <w:tcW w:w="17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42.26</w:t>
            </w:r>
          </w:p>
        </w:tc>
      </w:tr>
      <w:tr>
        <w:trPr>
          <w:trHeight w:val="20" w:hRule="atLeast"/>
        </w:trPr>
        <w:tc>
          <w:tcPr>
            <w:tcW w:w="3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北京市房地产市场管理事务中心样本数据（城研中心数据）</w:t>
            </w:r>
          </w:p>
        </w:tc>
        <w:tc>
          <w:tcPr>
            <w:tcW w:w="16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39.32</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48.46</w:t>
            </w:r>
          </w:p>
        </w:tc>
        <w:tc>
          <w:tcPr>
            <w:tcW w:w="17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45.79</w:t>
            </w:r>
          </w:p>
        </w:tc>
      </w:tr>
      <w:tr>
        <w:trPr>
          <w:trHeight w:val="20" w:hRule="atLeast"/>
        </w:trPr>
        <w:tc>
          <w:tcPr>
            <w:tcW w:w="3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市场调查数据（市场交易数据）</w:t>
            </w:r>
          </w:p>
        </w:tc>
        <w:tc>
          <w:tcPr>
            <w:tcW w:w="16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39.91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49.39</w:t>
            </w:r>
          </w:p>
        </w:tc>
        <w:tc>
          <w:tcPr>
            <w:tcW w:w="17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44.32</w:t>
            </w:r>
          </w:p>
        </w:tc>
      </w:tr>
      <w:tr>
        <w:trPr>
          <w:trHeight w:val="20" w:hRule="atLeast"/>
        </w:trPr>
        <w:tc>
          <w:tcPr>
            <w:tcW w:w="382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平均租金</w:t>
            </w:r>
          </w:p>
        </w:tc>
        <w:tc>
          <w:tcPr>
            <w:tcW w:w="16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38.49</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49.24</w:t>
            </w:r>
          </w:p>
        </w:tc>
        <w:tc>
          <w:tcPr>
            <w:tcW w:w="172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textAlignment w:val="center"/>
              <w:rPr>
                <w:rFonts w:ascii="Arial" w:hAnsi="Arial" w:eastAsia="华文细黑" w:cs="Arial"/>
                <w:sz w:val="18"/>
                <w:szCs w:val="18"/>
              </w:rPr>
            </w:pPr>
            <w:r>
              <w:rPr>
                <w:rFonts w:eastAsia="华文细黑" w:cs="Arial" w:ascii="Arial" w:hAnsi="Arial"/>
                <w:sz w:val="18"/>
                <w:szCs w:val="18"/>
              </w:rPr>
              <w:t>44.12</w:t>
            </w:r>
          </w:p>
        </w:tc>
      </w:tr>
    </w:tbl>
    <w:p>
      <w:pPr>
        <w:pStyle w:val="Normal"/>
        <w:spacing w:before="22" w:after="0"/>
        <w:ind w:right="370" w:hanging="0"/>
        <w:rPr>
          <w:rFonts w:ascii="Arial" w:hAnsi="Arial" w:cs="Arial"/>
          <w:sz w:val="18"/>
        </w:rPr>
      </w:pPr>
      <w:r>
        <w:rPr>
          <w:rFonts w:ascii="Arial" w:hAnsi="Arial" w:cs="Arial"/>
          <w:sz w:val="18"/>
        </w:rPr>
        <w:t>单位：元</w:t>
      </w:r>
      <w:r>
        <w:rPr>
          <w:rFonts w:eastAsia="Times New Roman" w:cs="Arial" w:ascii="Arial" w:hAnsi="Arial"/>
          <w:sz w:val="18"/>
        </w:rPr>
        <w:t>/</w:t>
      </w:r>
      <w:r>
        <w:rPr>
          <w:rFonts w:ascii="Arial" w:hAnsi="Arial" w:cs="Arial"/>
          <w:sz w:val="18"/>
        </w:rPr>
        <w:t>平方米</w:t>
      </w:r>
      <w:r>
        <w:rPr>
          <w:rFonts w:eastAsia="Times New Roman" w:cs="Arial" w:ascii="Arial" w:hAnsi="Arial"/>
          <w:sz w:val="18"/>
        </w:rPr>
        <w:t>·</w:t>
      </w:r>
      <w:r>
        <w:rPr>
          <w:rFonts w:ascii="Arial" w:hAnsi="Arial" w:cs="Arial"/>
          <w:sz w:val="18"/>
        </w:rPr>
        <w:t>月</w:t>
      </w:r>
    </w:p>
    <w:p>
      <w:pPr>
        <w:pStyle w:val="Normal"/>
        <w:spacing w:before="22" w:after="0"/>
        <w:ind w:right="370" w:hanging="0"/>
        <w:jc w:val="center"/>
        <w:rPr>
          <w:rFonts w:ascii="Arial" w:hAnsi="Arial" w:cs="Arial"/>
          <w:sz w:val="21"/>
          <w:szCs w:val="21"/>
        </w:rPr>
      </w:pPr>
      <w:r>
        <w:rPr>
          <w:rFonts w:cs="Arial" w:ascii="Arial" w:hAnsi="Arial"/>
          <w:sz w:val="21"/>
          <w:szCs w:val="21"/>
        </w:rPr>
      </w:r>
    </w:p>
    <w:p>
      <w:pPr>
        <w:pStyle w:val="Normal"/>
        <w:spacing w:before="22" w:after="0"/>
        <w:ind w:right="370" w:hanging="0"/>
        <w:jc w:val="center"/>
        <w:rPr>
          <w:rFonts w:ascii="Arial" w:hAnsi="Arial" w:cs="Arial"/>
          <w:sz w:val="21"/>
          <w:szCs w:val="21"/>
        </w:rPr>
      </w:pPr>
      <w:r>
        <w:rPr>
          <w:rFonts w:ascii="Arial" w:hAnsi="Arial" w:cs="Arial"/>
          <w:sz w:val="21"/>
          <w:szCs w:val="21"/>
        </w:rPr>
        <w:t>可比实例外观照片</w:t>
      </w:r>
    </w:p>
    <w:p>
      <w:pPr>
        <w:pStyle w:val="Style15"/>
        <w:spacing w:before="4" w:after="0"/>
        <w:ind w:firstLine="630"/>
        <w:rPr>
          <w:rFonts w:ascii="Arial" w:hAnsi="Arial" w:eastAsia="宋体" w:cs="Arial"/>
          <w:sz w:val="21"/>
          <w:szCs w:val="21"/>
        </w:rPr>
      </w:pPr>
      <w:r>
        <w:rPr>
          <w:rFonts w:ascii="Arial" w:hAnsi="Arial" w:cs="Arial" w:eastAsia="宋体"/>
          <w:sz w:val="21"/>
          <w:szCs w:val="21"/>
        </w:rPr>
        <w:t xml:space="preserve">碧波园                         世茂维拉                    水碾屯西里       </w:t>
      </w:r>
      <w:r>
        <w:rPr>
          <w:rFonts w:ascii="Arial" w:hAnsi="Arial" w:cs="Arial"/>
        </w:rPr>
        <w:t xml:space="preserve">  </w:t>
      </w:r>
      <w:r>
        <w:rPr/>
        <w:drawing>
          <wp:inline distT="0" distB="0" distL="0" distR="0">
            <wp:extent cx="1688465" cy="2339975"/>
            <wp:effectExtent l="0" t="0" r="0" b="0"/>
            <wp:docPr id="24" name="图像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5" descr=""/>
                    <pic:cNvPicPr>
                      <a:picLocks noChangeAspect="1" noChangeArrowheads="1"/>
                    </pic:cNvPicPr>
                  </pic:nvPicPr>
                  <pic:blipFill>
                    <a:blip r:embed="rId30"/>
                    <a:stretch>
                      <a:fillRect/>
                    </a:stretch>
                  </pic:blipFill>
                  <pic:spPr bwMode="auto">
                    <a:xfrm>
                      <a:off x="0" y="0"/>
                      <a:ext cx="1688465" cy="2339975"/>
                    </a:xfrm>
                    <a:prstGeom prst="rect">
                      <a:avLst/>
                    </a:prstGeom>
                  </pic:spPr>
                </pic:pic>
              </a:graphicData>
            </a:graphic>
          </wp:inline>
        </w:drawing>
      </w:r>
      <w:r>
        <w:rPr>
          <w:rFonts w:ascii="Arial" w:hAnsi="Arial" w:cs="Arial"/>
        </w:rPr>
        <w:t xml:space="preserve">  </w:t>
      </w:r>
      <w:r>
        <w:rPr/>
        <w:drawing>
          <wp:inline distT="0" distB="0" distL="0" distR="0">
            <wp:extent cx="1582420" cy="2339975"/>
            <wp:effectExtent l="0" t="0" r="0" b="0"/>
            <wp:docPr id="25" name="图片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
                    <pic:cNvPicPr>
                      <a:picLocks noChangeAspect="1" noChangeArrowheads="1"/>
                    </pic:cNvPicPr>
                  </pic:nvPicPr>
                  <pic:blipFill>
                    <a:blip r:embed="rId31"/>
                    <a:stretch>
                      <a:fillRect/>
                    </a:stretch>
                  </pic:blipFill>
                  <pic:spPr bwMode="auto">
                    <a:xfrm>
                      <a:off x="0" y="0"/>
                      <a:ext cx="1582420" cy="2339975"/>
                    </a:xfrm>
                    <a:prstGeom prst="rect">
                      <a:avLst/>
                    </a:prstGeom>
                  </pic:spPr>
                </pic:pic>
              </a:graphicData>
            </a:graphic>
          </wp:inline>
        </w:drawing>
      </w:r>
      <w:r>
        <w:rPr>
          <w:rFonts w:ascii="Arial" w:hAnsi="Arial" w:cs="Arial"/>
        </w:rPr>
        <w:t xml:space="preserve">  </w:t>
      </w:r>
      <w:r>
        <w:rPr/>
        <w:drawing>
          <wp:inline distT="0" distB="0" distL="0" distR="0">
            <wp:extent cx="1582420" cy="2339975"/>
            <wp:effectExtent l="0" t="0" r="0" b="0"/>
            <wp:docPr id="26" name="图片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8" descr=""/>
                    <pic:cNvPicPr>
                      <a:picLocks noChangeAspect="1" noChangeArrowheads="1"/>
                    </pic:cNvPicPr>
                  </pic:nvPicPr>
                  <pic:blipFill>
                    <a:blip r:embed="rId32"/>
                    <a:stretch>
                      <a:fillRect/>
                    </a:stretch>
                  </pic:blipFill>
                  <pic:spPr bwMode="auto">
                    <a:xfrm>
                      <a:off x="0" y="0"/>
                      <a:ext cx="1582420" cy="2339975"/>
                    </a:xfrm>
                    <a:prstGeom prst="rect">
                      <a:avLst/>
                    </a:prstGeom>
                  </pic:spPr>
                </pic:pic>
              </a:graphicData>
            </a:graphic>
          </wp:inline>
        </w:drawing>
      </w:r>
    </w:p>
    <w:p>
      <w:pPr>
        <w:pStyle w:val="Style15"/>
        <w:spacing w:before="4" w:after="0"/>
        <w:rPr>
          <w:rFonts w:ascii="Arial" w:hAnsi="Arial" w:eastAsia="宋体" w:cs="Arial"/>
          <w:sz w:val="21"/>
          <w:szCs w:val="21"/>
        </w:rPr>
      </w:pPr>
      <w:r>
        <w:rPr>
          <w:rFonts w:eastAsia="宋体" w:cs="Arial" w:ascii="Arial" w:hAnsi="Arial"/>
          <w:sz w:val="21"/>
          <w:szCs w:val="21"/>
        </w:rPr>
      </w:r>
    </w:p>
    <w:p>
      <w:pPr>
        <w:pStyle w:val="13"/>
        <w:spacing w:lineRule="auto" w:line="480"/>
        <w:ind w:firstLine="420"/>
        <w:textAlignment w:val="bottom"/>
        <w:rPr>
          <w:rFonts w:ascii="Arial" w:hAnsi="Arial" w:cs="Arial"/>
          <w:sz w:val="21"/>
          <w:szCs w:val="21"/>
        </w:rPr>
      </w:pPr>
      <w:r>
        <w:rPr>
          <w:rFonts w:ascii="Arial" w:hAnsi="Arial" w:cs="Arial"/>
          <w:sz w:val="21"/>
          <w:szCs w:val="21"/>
        </w:rPr>
        <w:t>通过上述三方面数据的对比分析，各种数据来源的平均租金水平相对接近，均有一定的参考价值，本次各可比实例于估价时段内的年平均租金水平选取各小区三种数据平均租金的算术平均值扣除物业费、供暖费、租赁税费，各小区物业费、供暖费及租赁税费如下：</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碧波园物业费</w:t>
      </w:r>
      <w:r>
        <w:rPr>
          <w:rFonts w:cs="Arial" w:ascii="Arial" w:hAnsi="Arial"/>
          <w:sz w:val="21"/>
          <w:szCs w:val="21"/>
        </w:rPr>
        <w:t>0.48</w:t>
      </w:r>
      <w:r>
        <w:rPr>
          <w:rFonts w:ascii="Arial" w:hAnsi="Arial" w:cs="Arial"/>
          <w:sz w:val="21"/>
          <w:szCs w:val="21"/>
        </w:rPr>
        <w:t>元</w:t>
      </w:r>
      <w:r>
        <w:rPr>
          <w:rFonts w:cs="Arial" w:ascii="Arial" w:hAnsi="Arial"/>
          <w:sz w:val="21"/>
          <w:szCs w:val="21"/>
        </w:rPr>
        <w:t>/</w:t>
      </w:r>
      <w:r>
        <w:rPr>
          <w:rFonts w:ascii="Arial" w:hAnsi="Arial" w:cs="Arial"/>
          <w:sz w:val="21"/>
          <w:szCs w:val="21"/>
        </w:rPr>
        <w:t>平方米•月，供暖费</w:t>
      </w:r>
      <w:r>
        <w:rPr>
          <w:rFonts w:cs="Arial" w:ascii="Arial" w:hAnsi="Arial"/>
          <w:sz w:val="21"/>
          <w:szCs w:val="21"/>
        </w:rPr>
        <w:t>2.5</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世茂维拉物业费</w:t>
      </w:r>
      <w:r>
        <w:rPr>
          <w:rFonts w:cs="Arial" w:ascii="Arial" w:hAnsi="Arial"/>
          <w:sz w:val="21"/>
          <w:szCs w:val="21"/>
        </w:rPr>
        <w:t>2.8</w:t>
      </w:r>
      <w:r>
        <w:rPr>
          <w:rFonts w:ascii="Arial" w:hAnsi="Arial" w:cs="Arial"/>
          <w:sz w:val="21"/>
          <w:szCs w:val="21"/>
        </w:rPr>
        <w:t>元</w:t>
      </w:r>
      <w:r>
        <w:rPr>
          <w:rFonts w:cs="Arial" w:ascii="Arial" w:hAnsi="Arial"/>
          <w:sz w:val="21"/>
          <w:szCs w:val="21"/>
        </w:rPr>
        <w:t>/</w:t>
      </w:r>
      <w:r>
        <w:rPr>
          <w:rFonts w:ascii="Arial" w:hAnsi="Arial" w:cs="Arial"/>
          <w:sz w:val="21"/>
          <w:szCs w:val="21"/>
        </w:rPr>
        <w:t>平方米•月，供暖费</w:t>
      </w:r>
      <w:r>
        <w:rPr>
          <w:rFonts w:cs="Arial" w:ascii="Arial" w:hAnsi="Arial"/>
          <w:sz w:val="21"/>
          <w:szCs w:val="21"/>
        </w:rPr>
        <w:t>2.5</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水碾屯西里物业费</w:t>
      </w:r>
      <w:r>
        <w:rPr>
          <w:rFonts w:cs="Arial" w:ascii="Arial" w:hAnsi="Arial"/>
          <w:sz w:val="21"/>
          <w:szCs w:val="21"/>
        </w:rPr>
        <w:t>2.5</w:t>
      </w:r>
      <w:r>
        <w:rPr>
          <w:rFonts w:ascii="Arial" w:hAnsi="Arial" w:cs="Arial"/>
          <w:sz w:val="21"/>
          <w:szCs w:val="21"/>
        </w:rPr>
        <w:t>元</w:t>
      </w:r>
      <w:r>
        <w:rPr>
          <w:rFonts w:cs="Arial" w:ascii="Arial" w:hAnsi="Arial"/>
          <w:sz w:val="21"/>
          <w:szCs w:val="21"/>
        </w:rPr>
        <w:t>/</w:t>
      </w:r>
      <w:r>
        <w:rPr>
          <w:rFonts w:ascii="Arial" w:hAnsi="Arial" w:cs="Arial"/>
          <w:sz w:val="21"/>
          <w:szCs w:val="21"/>
        </w:rPr>
        <w:t>平方米•月，供暖费</w:t>
      </w:r>
      <w:r>
        <w:rPr>
          <w:rFonts w:cs="Arial" w:ascii="Arial" w:hAnsi="Arial"/>
          <w:sz w:val="21"/>
          <w:szCs w:val="21"/>
        </w:rPr>
        <w:t>2.5</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p>
    <w:p>
      <w:pPr>
        <w:pStyle w:val="22"/>
        <w:spacing w:lineRule="auto" w:line="480"/>
        <w:ind w:firstLine="420"/>
        <w:jc w:val="both"/>
        <w:textAlignment w:val="bottom"/>
        <w:rPr>
          <w:rFonts w:ascii="Arial" w:hAnsi="Arial" w:cs="Arial"/>
          <w:sz w:val="21"/>
          <w:szCs w:val="21"/>
        </w:rPr>
      </w:pPr>
      <w:r>
        <w:rPr>
          <w:rFonts w:ascii="Arial" w:hAnsi="Arial" w:cs="Arial"/>
          <w:sz w:val="21"/>
          <w:szCs w:val="21"/>
        </w:rPr>
        <w:t>碧波园租赁税费：（</w:t>
      </w:r>
      <w:r>
        <w:rPr>
          <w:rFonts w:cs="Arial" w:ascii="Arial" w:hAnsi="Arial"/>
          <w:sz w:val="21"/>
          <w:szCs w:val="21"/>
        </w:rPr>
        <w:t>38.49-0.48-2.5</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1+5%</w:t>
      </w:r>
      <w:r>
        <w:rPr>
          <w:rFonts w:ascii="Arial" w:hAnsi="Arial" w:cs="Arial"/>
          <w:sz w:val="21"/>
          <w:szCs w:val="21"/>
        </w:rPr>
        <w:t>）</w:t>
      </w:r>
      <w:r>
        <w:rPr>
          <w:rFonts w:cs="Arial" w:ascii="Arial" w:hAnsi="Arial"/>
          <w:sz w:val="21"/>
          <w:szCs w:val="21"/>
        </w:rPr>
        <w:t>×2.5%=0.85</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p>
    <w:p>
      <w:pPr>
        <w:pStyle w:val="22"/>
        <w:spacing w:lineRule="auto" w:line="480"/>
        <w:ind w:firstLine="420"/>
        <w:jc w:val="both"/>
        <w:textAlignment w:val="bottom"/>
        <w:rPr>
          <w:rFonts w:ascii="Arial" w:hAnsi="Arial" w:cs="Arial"/>
          <w:sz w:val="21"/>
          <w:szCs w:val="21"/>
        </w:rPr>
      </w:pPr>
      <w:r>
        <w:rPr>
          <w:rFonts w:ascii="Arial" w:hAnsi="Arial" w:cs="Arial"/>
          <w:sz w:val="21"/>
          <w:szCs w:val="21"/>
        </w:rPr>
        <w:t>世茂维拉租赁税费：（</w:t>
      </w:r>
      <w:r>
        <w:rPr>
          <w:rFonts w:cs="Arial" w:ascii="Arial" w:hAnsi="Arial"/>
          <w:sz w:val="21"/>
          <w:szCs w:val="21"/>
        </w:rPr>
        <w:t>49.24-2.8-2.5</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1+5%</w:t>
      </w:r>
      <w:r>
        <w:rPr>
          <w:rFonts w:ascii="Arial" w:hAnsi="Arial" w:cs="Arial"/>
          <w:sz w:val="21"/>
          <w:szCs w:val="21"/>
        </w:rPr>
        <w:t>）</w:t>
      </w:r>
      <w:r>
        <w:rPr>
          <w:rFonts w:cs="Arial" w:ascii="Arial" w:hAnsi="Arial"/>
          <w:sz w:val="21"/>
          <w:szCs w:val="21"/>
        </w:rPr>
        <w:t>×2.5%=1.05</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p>
    <w:p>
      <w:pPr>
        <w:pStyle w:val="22"/>
        <w:spacing w:lineRule="auto" w:line="480"/>
        <w:ind w:firstLine="420"/>
        <w:jc w:val="both"/>
        <w:textAlignment w:val="bottom"/>
        <w:rPr>
          <w:rFonts w:ascii="Arial" w:hAnsi="Arial" w:cs="Arial"/>
          <w:sz w:val="21"/>
          <w:szCs w:val="21"/>
        </w:rPr>
      </w:pPr>
      <w:r>
        <w:rPr>
          <w:rFonts w:ascii="Arial" w:hAnsi="Arial" w:cs="Arial"/>
          <w:sz w:val="21"/>
          <w:szCs w:val="21"/>
        </w:rPr>
        <w:t>水碾屯西里租赁税费：（</w:t>
      </w:r>
      <w:r>
        <w:rPr>
          <w:rFonts w:cs="Arial" w:ascii="Arial" w:hAnsi="Arial"/>
          <w:sz w:val="21"/>
          <w:szCs w:val="21"/>
        </w:rPr>
        <w:t>44.12-2.5-2.5</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1+5%</w:t>
      </w:r>
      <w:r>
        <w:rPr>
          <w:rFonts w:ascii="Arial" w:hAnsi="Arial" w:cs="Arial"/>
          <w:sz w:val="21"/>
          <w:szCs w:val="21"/>
        </w:rPr>
        <w:t>）</w:t>
      </w:r>
      <w:r>
        <w:rPr>
          <w:rFonts w:cs="Arial" w:ascii="Arial" w:hAnsi="Arial"/>
          <w:sz w:val="21"/>
          <w:szCs w:val="21"/>
        </w:rPr>
        <w:t>×2.5%=0.93</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扣除物业费、供暖费及租赁税费的租金：</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碧波园平均租金</w:t>
      </w:r>
      <w:r>
        <w:rPr>
          <w:rFonts w:cs="Arial" w:ascii="Arial" w:hAnsi="Arial"/>
          <w:sz w:val="21"/>
          <w:szCs w:val="21"/>
        </w:rPr>
        <w:t>=38.49-0.48-2.5-0.85=34.66</w:t>
      </w:r>
      <w:r>
        <w:rPr>
          <w:rFonts w:ascii="Arial" w:hAnsi="Arial" w:cs="Arial"/>
          <w:sz w:val="21"/>
          <w:szCs w:val="21"/>
        </w:rPr>
        <w:t>（元</w:t>
      </w:r>
      <w:r>
        <w:rPr>
          <w:rFonts w:cs="Arial" w:ascii="Arial" w:hAnsi="Arial"/>
          <w:sz w:val="21"/>
          <w:szCs w:val="21"/>
        </w:rPr>
        <w:t>/</w:t>
      </w:r>
      <w:r>
        <w:rPr>
          <w:rFonts w:ascii="Arial" w:hAnsi="Arial" w:cs="Arial"/>
          <w:sz w:val="21"/>
          <w:szCs w:val="21"/>
        </w:rPr>
        <w:t>平方米•月） ；</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世茂维拉平均租金</w:t>
      </w:r>
      <w:r>
        <w:rPr>
          <w:rFonts w:cs="Arial" w:ascii="Arial" w:hAnsi="Arial"/>
          <w:sz w:val="21"/>
          <w:szCs w:val="21"/>
        </w:rPr>
        <w:t>=49.24-2.8-2.5-1.05=42.89</w:t>
      </w:r>
      <w:r>
        <w:rPr>
          <w:rFonts w:ascii="Arial" w:hAnsi="Arial" w:cs="Arial"/>
          <w:sz w:val="21"/>
          <w:szCs w:val="21"/>
        </w:rPr>
        <w:t>（元</w:t>
      </w:r>
      <w:r>
        <w:rPr>
          <w:rFonts w:cs="Arial" w:ascii="Arial" w:hAnsi="Arial"/>
          <w:sz w:val="21"/>
          <w:szCs w:val="21"/>
        </w:rPr>
        <w:t>/</w:t>
      </w:r>
      <w:r>
        <w:rPr>
          <w:rFonts w:ascii="Arial" w:hAnsi="Arial" w:cs="Arial"/>
          <w:sz w:val="21"/>
          <w:szCs w:val="21"/>
        </w:rPr>
        <w:t>平方米•月） ；</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水碾屯西里平均租金</w:t>
      </w:r>
      <w:r>
        <w:rPr>
          <w:rFonts w:cs="Arial" w:ascii="Arial" w:hAnsi="Arial"/>
          <w:sz w:val="21"/>
          <w:szCs w:val="21"/>
        </w:rPr>
        <w:t>=44.12-2.5-2.5-0.93=38.19</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p>
    <w:p>
      <w:pPr>
        <w:pStyle w:val="13"/>
        <w:spacing w:lineRule="auto" w:line="480"/>
        <w:ind w:firstLine="420"/>
        <w:jc w:val="both"/>
        <w:textAlignment w:val="bottom"/>
        <w:rPr>
          <w:rFonts w:ascii="Arial" w:hAnsi="Arial" w:cs="Arial"/>
          <w:sz w:val="21"/>
          <w:szCs w:val="21"/>
        </w:rPr>
      </w:pPr>
      <w:r>
        <w:rPr>
          <w:rFonts w:ascii="Arial" w:hAnsi="Arial" w:cs="Arial"/>
          <w:sz w:val="21"/>
          <w:szCs w:val="21"/>
        </w:rPr>
        <w:t>即三个可比实例不含供暖费、物业费的及租赁税费的月平均租金水平分别为</w:t>
      </w:r>
      <w:r>
        <w:rPr>
          <w:rFonts w:cs="Arial" w:ascii="Arial" w:hAnsi="Arial"/>
          <w:sz w:val="21"/>
          <w:szCs w:val="21"/>
        </w:rPr>
        <w:t>34.66</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r>
        <w:rPr>
          <w:rFonts w:cs="Arial" w:ascii="Arial" w:hAnsi="Arial"/>
          <w:sz w:val="21"/>
          <w:szCs w:val="21"/>
        </w:rPr>
        <w:t>42.89</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r>
        <w:rPr>
          <w:rFonts w:cs="Arial" w:ascii="Arial" w:hAnsi="Arial"/>
          <w:sz w:val="21"/>
          <w:szCs w:val="21"/>
        </w:rPr>
        <w:t>38.19</w:t>
      </w:r>
      <w:r>
        <w:rPr>
          <w:rFonts w:ascii="Arial" w:hAnsi="Arial" w:cs="Arial"/>
          <w:sz w:val="21"/>
          <w:szCs w:val="21"/>
        </w:rPr>
        <w:t>元</w:t>
      </w:r>
      <w:r>
        <w:rPr>
          <w:rFonts w:cs="Arial" w:ascii="Arial" w:hAnsi="Arial"/>
          <w:sz w:val="21"/>
          <w:szCs w:val="21"/>
        </w:rPr>
        <w:t>/</w:t>
      </w:r>
      <w:r>
        <w:rPr>
          <w:rFonts w:ascii="Arial" w:hAnsi="Arial" w:cs="Arial"/>
          <w:sz w:val="21"/>
          <w:szCs w:val="21"/>
        </w:rPr>
        <w:t>平方米•月。</w:t>
      </w:r>
      <w:r>
        <w:br w:type="page"/>
      </w:r>
    </w:p>
    <w:p>
      <w:pPr>
        <w:pStyle w:val="Date"/>
        <w:spacing w:lineRule="auto" w:line="480"/>
        <w:rPr>
          <w:rFonts w:ascii="Arial" w:hAnsi="Arial" w:eastAsia="宋体" w:cs="Arial"/>
          <w:sz w:val="21"/>
          <w:szCs w:val="21"/>
        </w:rPr>
      </w:pPr>
      <w:r>
        <w:rPr>
          <w:rFonts w:ascii="Arial" w:hAnsi="Arial" w:cs="Arial" w:eastAsia="宋体"/>
          <w:sz w:val="21"/>
          <w:szCs w:val="21"/>
        </w:rPr>
        <w:t>（二） 比较法测算过程</w:t>
      </w:r>
    </w:p>
    <w:p>
      <w:pPr>
        <w:pStyle w:val="Normal"/>
        <w:overflowPunct w:val="false"/>
        <w:spacing w:lineRule="auto" w:line="480"/>
        <w:ind w:firstLine="420"/>
        <w:rPr>
          <w:rFonts w:ascii="Arial" w:hAnsi="Arial" w:cs="Arial"/>
          <w:sz w:val="21"/>
          <w:szCs w:val="21"/>
        </w:rPr>
      </w:pPr>
      <w:r>
        <w:rPr>
          <w:rFonts w:cs="Arial" w:ascii="Arial" w:hAnsi="Arial"/>
          <w:sz w:val="21"/>
          <w:szCs w:val="21"/>
        </w:rPr>
        <w:t>1.</w:t>
      </w:r>
      <w:r>
        <w:rPr>
          <w:rFonts w:ascii="Arial" w:hAnsi="Arial" w:cs="Arial"/>
          <w:sz w:val="21"/>
          <w:szCs w:val="21"/>
        </w:rPr>
        <w:t xml:space="preserve">建立比较因素条件说明表 </w:t>
      </w:r>
    </w:p>
    <w:p>
      <w:pPr>
        <w:pStyle w:val="Normal"/>
        <w:overflowPunct w:val="false"/>
        <w:spacing w:lineRule="auto" w:line="480"/>
        <w:ind w:firstLine="420"/>
        <w:rPr>
          <w:rFonts w:ascii="Arial" w:hAnsi="Arial" w:cs="Arial"/>
          <w:sz w:val="21"/>
          <w:szCs w:val="21"/>
        </w:rPr>
      </w:pPr>
      <w:r>
        <w:rPr>
          <w:rFonts w:ascii="Arial" w:hAnsi="Arial" w:cs="Arial"/>
          <w:sz w:val="21"/>
          <w:szCs w:val="21"/>
        </w:rPr>
        <w:t>参与比较的因素条件应是对估价对象与可比案例小区之间的价格差异产生作用的因素，通过对估价对象各自特点的分析，本次估价选择了区域状况、实物状况和宜居状况进行比较，详见比较因素情况描述表：</w:t>
      </w:r>
    </w:p>
    <w:p>
      <w:pPr>
        <w:pStyle w:val="Normal"/>
        <w:overflowPunct w:val="false"/>
        <w:ind w:firstLine="420"/>
        <w:jc w:val="center"/>
        <w:rPr>
          <w:rFonts w:ascii="Arial" w:hAnsi="Arial" w:cs="Arial"/>
          <w:sz w:val="21"/>
          <w:szCs w:val="21"/>
        </w:rPr>
      </w:pPr>
      <w:r>
        <w:rPr>
          <w:rFonts w:ascii="Arial" w:hAnsi="Arial" w:cs="Arial"/>
          <w:sz w:val="21"/>
          <w:szCs w:val="21"/>
        </w:rPr>
        <w:t>比较因素情况描述表</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680"/>
        <w:gridCol w:w="1544"/>
        <w:gridCol w:w="1766"/>
        <w:gridCol w:w="1768"/>
        <w:gridCol w:w="1766"/>
        <w:gridCol w:w="1773"/>
      </w:tblGrid>
      <w:tr>
        <w:trPr>
          <w:tblHeader w:val="true"/>
          <w:trHeight w:val="270" w:hRule="atLeast"/>
        </w:trPr>
        <w:tc>
          <w:tcPr>
            <w:tcW w:w="22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项目</w:t>
            </w:r>
          </w:p>
        </w:tc>
        <w:tc>
          <w:tcPr>
            <w:tcW w:w="1766" w:type="dxa"/>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估价对象</w:t>
            </w:r>
          </w:p>
        </w:tc>
        <w:tc>
          <w:tcPr>
            <w:tcW w:w="1768" w:type="dxa"/>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1</w:t>
            </w:r>
          </w:p>
        </w:tc>
        <w:tc>
          <w:tcPr>
            <w:tcW w:w="1766" w:type="dxa"/>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2</w:t>
            </w:r>
          </w:p>
        </w:tc>
        <w:tc>
          <w:tcPr>
            <w:tcW w:w="1773" w:type="dxa"/>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3</w:t>
            </w:r>
          </w:p>
        </w:tc>
      </w:tr>
      <w:tr>
        <w:trPr>
          <w:tblHeader w:val="true"/>
          <w:trHeight w:val="256" w:hRule="atLeast"/>
        </w:trPr>
        <w:tc>
          <w:tcPr>
            <w:tcW w:w="22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小区名称</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文雅街</w:t>
            </w:r>
            <w:r>
              <w:rPr>
                <w:rFonts w:eastAsia="华文细黑" w:cs="Arial" w:ascii="Arial" w:hAnsi="Arial"/>
                <w:sz w:val="18"/>
                <w:szCs w:val="18"/>
              </w:rPr>
              <w:t>1</w:t>
            </w:r>
            <w:r>
              <w:rPr>
                <w:rFonts w:ascii="Arial" w:hAnsi="Arial" w:cs="Arial" w:eastAsia="华文细黑"/>
                <w:sz w:val="18"/>
                <w:szCs w:val="18"/>
              </w:rPr>
              <w:t>号院</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碧波园</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世茂维拉</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水碾屯西里</w:t>
            </w:r>
          </w:p>
        </w:tc>
      </w:tr>
      <w:tr>
        <w:trPr>
          <w:tblHeader w:val="true"/>
          <w:trHeight w:val="270" w:hRule="atLeast"/>
        </w:trPr>
        <w:tc>
          <w:tcPr>
            <w:tcW w:w="22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平均租金（元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待估</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34.66</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42.89</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38.19</w:t>
            </w:r>
          </w:p>
        </w:tc>
      </w:tr>
      <w:tr>
        <w:trPr>
          <w:trHeight w:val="495" w:hRule="atLeast"/>
        </w:trPr>
        <w:tc>
          <w:tcPr>
            <w:tcW w:w="22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交易时间</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于价值时点过去</w:t>
            </w:r>
            <w:r>
              <w:rPr>
                <w:rFonts w:eastAsia="华文细黑" w:cs="Arial" w:ascii="Arial" w:hAnsi="Arial"/>
                <w:sz w:val="18"/>
                <w:szCs w:val="18"/>
              </w:rPr>
              <w:t>12</w:t>
            </w:r>
            <w:r>
              <w:rPr>
                <w:rFonts w:ascii="Arial" w:hAnsi="Arial" w:cs="Arial" w:eastAsia="华文细黑"/>
                <w:sz w:val="18"/>
                <w:szCs w:val="18"/>
              </w:rPr>
              <w:t>个月</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于价值时点过去</w:t>
            </w:r>
            <w:r>
              <w:rPr>
                <w:rFonts w:eastAsia="华文细黑" w:cs="Arial" w:ascii="Arial" w:hAnsi="Arial"/>
                <w:sz w:val="18"/>
                <w:szCs w:val="18"/>
              </w:rPr>
              <w:t>12</w:t>
            </w:r>
            <w:r>
              <w:rPr>
                <w:rFonts w:ascii="Arial" w:hAnsi="Arial" w:cs="Arial" w:eastAsia="华文细黑"/>
                <w:sz w:val="18"/>
                <w:szCs w:val="18"/>
              </w:rPr>
              <w:t>个月</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于价值时点过去</w:t>
            </w:r>
            <w:r>
              <w:rPr>
                <w:rFonts w:eastAsia="华文细黑" w:cs="Arial" w:ascii="Arial" w:hAnsi="Arial"/>
                <w:sz w:val="18"/>
                <w:szCs w:val="18"/>
              </w:rPr>
              <w:t>12</w:t>
            </w:r>
            <w:r>
              <w:rPr>
                <w:rFonts w:ascii="Arial" w:hAnsi="Arial" w:cs="Arial" w:eastAsia="华文细黑"/>
                <w:sz w:val="18"/>
                <w:szCs w:val="18"/>
              </w:rPr>
              <w:t>个月</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于价值时点过去</w:t>
            </w:r>
            <w:r>
              <w:rPr>
                <w:rFonts w:eastAsia="华文细黑" w:cs="Arial" w:ascii="Arial" w:hAnsi="Arial"/>
                <w:sz w:val="18"/>
                <w:szCs w:val="18"/>
              </w:rPr>
              <w:t>12</w:t>
            </w:r>
            <w:r>
              <w:rPr>
                <w:rFonts w:ascii="Arial" w:hAnsi="Arial" w:cs="Arial" w:eastAsia="华文细黑"/>
                <w:sz w:val="18"/>
                <w:szCs w:val="18"/>
              </w:rPr>
              <w:t>个月</w:t>
            </w:r>
          </w:p>
        </w:tc>
      </w:tr>
      <w:tr>
        <w:trPr>
          <w:trHeight w:val="270" w:hRule="atLeast"/>
        </w:trPr>
        <w:tc>
          <w:tcPr>
            <w:tcW w:w="2224"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交易情况</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正常</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正常</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正常</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正常</w:t>
            </w:r>
          </w:p>
        </w:tc>
      </w:tr>
      <w:tr>
        <w:trPr>
          <w:trHeight w:val="2042" w:hRule="atLeast"/>
        </w:trPr>
        <w:tc>
          <w:tcPr>
            <w:tcW w:w="680" w:type="dxa"/>
            <w:vMerge w:val="restart"/>
            <w:tcBorders>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区域状况</w:t>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居住区成熟度</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估价对象周边有世茂维拉、丹枫园、碧波园、智汇雅苑等居住社区，居住小区规模较大，入住率较高，综合评价居住区成熟度较好。</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1</w:t>
            </w:r>
            <w:r>
              <w:rPr>
                <w:rFonts w:ascii="Arial" w:hAnsi="Arial" w:cs="Arial" w:eastAsia="华文细黑"/>
                <w:sz w:val="18"/>
                <w:szCs w:val="18"/>
              </w:rPr>
              <w:t>周边有天骄俊园、广阳城新区、世茂维拉等居住小区，居住小区规模较大，入住率较高，综合评价居住区成熟度较好。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2</w:t>
            </w:r>
            <w:r>
              <w:rPr>
                <w:rFonts w:ascii="Arial" w:hAnsi="Arial" w:cs="Arial" w:eastAsia="华文细黑"/>
                <w:sz w:val="18"/>
                <w:szCs w:val="18"/>
              </w:rPr>
              <w:t>周边有启航国际、长阳新泰家园、碧波园等居住小区，居住小区规模较大，入住率较高，综合评价居住区成熟度较好。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3</w:t>
            </w:r>
            <w:r>
              <w:rPr>
                <w:rFonts w:ascii="Arial" w:hAnsi="Arial" w:cs="Arial" w:eastAsia="华文细黑"/>
                <w:sz w:val="18"/>
                <w:szCs w:val="18"/>
              </w:rPr>
              <w:t>周边有金地朗悦、京投万科新里程家园、朗悦嘉园等居住小区，居住小区规模较大，入住率较高，综合评价居住区成熟度较好。</w:t>
            </w:r>
          </w:p>
        </w:tc>
      </w:tr>
      <w:tr>
        <w:trPr>
          <w:trHeight w:val="2817"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交通条件</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估价对象所属项目西侧距离城市主干道——阳光北大街直线距离约</w:t>
            </w:r>
            <w:r>
              <w:rPr>
                <w:rFonts w:eastAsia="华文细黑" w:cs="Arial" w:ascii="Arial" w:hAnsi="Arial"/>
                <w:sz w:val="18"/>
                <w:szCs w:val="18"/>
              </w:rPr>
              <w:t>160</w:t>
            </w:r>
            <w:r>
              <w:rPr>
                <w:rFonts w:ascii="Arial" w:hAnsi="Arial" w:cs="Arial" w:eastAsia="华文细黑"/>
                <w:sz w:val="18"/>
                <w:szCs w:val="18"/>
              </w:rPr>
              <w:t>米，周边有</w:t>
            </w:r>
            <w:r>
              <w:rPr>
                <w:rFonts w:eastAsia="华文细黑" w:cs="Arial" w:ascii="Arial" w:hAnsi="Arial"/>
                <w:sz w:val="18"/>
                <w:szCs w:val="18"/>
              </w:rPr>
              <w:t>953</w:t>
            </w:r>
            <w:r>
              <w:rPr>
                <w:rFonts w:ascii="Arial" w:hAnsi="Arial" w:cs="Arial" w:eastAsia="华文细黑"/>
                <w:sz w:val="18"/>
                <w:szCs w:val="18"/>
              </w:rPr>
              <w:t>路、</w:t>
            </w:r>
            <w:r>
              <w:rPr>
                <w:rFonts w:eastAsia="华文细黑" w:cs="Arial" w:ascii="Arial" w:hAnsi="Arial"/>
                <w:sz w:val="18"/>
                <w:szCs w:val="18"/>
              </w:rPr>
              <w:t>F12</w:t>
            </w:r>
            <w:r>
              <w:rPr>
                <w:rFonts w:ascii="Arial" w:hAnsi="Arial" w:cs="Arial" w:eastAsia="华文细黑"/>
                <w:sz w:val="18"/>
                <w:szCs w:val="18"/>
              </w:rPr>
              <w:t>路、</w:t>
            </w:r>
            <w:r>
              <w:rPr>
                <w:rFonts w:eastAsia="华文细黑" w:cs="Arial" w:ascii="Arial" w:hAnsi="Arial"/>
                <w:sz w:val="18"/>
                <w:szCs w:val="18"/>
              </w:rPr>
              <w:t>F1</w:t>
            </w:r>
            <w:r>
              <w:rPr>
                <w:rFonts w:ascii="Arial" w:hAnsi="Arial" w:cs="Arial" w:eastAsia="华文细黑"/>
                <w:sz w:val="18"/>
                <w:szCs w:val="18"/>
              </w:rPr>
              <w:t>路内环、</w:t>
            </w:r>
            <w:r>
              <w:rPr>
                <w:rFonts w:eastAsia="华文细黑" w:cs="Arial" w:ascii="Arial" w:hAnsi="Arial"/>
                <w:sz w:val="18"/>
                <w:szCs w:val="18"/>
              </w:rPr>
              <w:t>F1</w:t>
            </w:r>
            <w:r>
              <w:rPr>
                <w:rFonts w:ascii="Arial" w:hAnsi="Arial" w:cs="Arial" w:eastAsia="华文细黑"/>
                <w:sz w:val="18"/>
                <w:szCs w:val="18"/>
              </w:rPr>
              <w:t>路外环、</w:t>
            </w:r>
            <w:r>
              <w:rPr>
                <w:rFonts w:eastAsia="华文细黑" w:cs="Arial" w:ascii="Arial" w:hAnsi="Arial"/>
                <w:sz w:val="18"/>
                <w:szCs w:val="18"/>
              </w:rPr>
              <w:t>F46</w:t>
            </w:r>
            <w:r>
              <w:rPr>
                <w:rFonts w:ascii="Arial" w:hAnsi="Arial" w:cs="Arial" w:eastAsia="华文细黑"/>
                <w:sz w:val="18"/>
                <w:szCs w:val="18"/>
              </w:rPr>
              <w:t>路、</w:t>
            </w:r>
            <w:r>
              <w:rPr>
                <w:rFonts w:eastAsia="华文细黑" w:cs="Arial" w:ascii="Arial" w:hAnsi="Arial"/>
                <w:sz w:val="18"/>
                <w:szCs w:val="18"/>
              </w:rPr>
              <w:t>F47</w:t>
            </w:r>
            <w:r>
              <w:rPr>
                <w:rFonts w:ascii="Arial" w:hAnsi="Arial" w:cs="Arial" w:eastAsia="华文细黑"/>
                <w:sz w:val="18"/>
                <w:szCs w:val="18"/>
              </w:rPr>
              <w:t>路等多条公交线路途径并设有站点，距地铁房山线（广阳城站）直线距离约</w:t>
            </w:r>
            <w:r>
              <w:rPr>
                <w:rFonts w:eastAsia="华文细黑" w:cs="Arial" w:ascii="Arial" w:hAnsi="Arial"/>
                <w:sz w:val="18"/>
                <w:szCs w:val="18"/>
              </w:rPr>
              <w:t>1.5</w:t>
            </w:r>
            <w:r>
              <w:rPr>
                <w:rFonts w:ascii="Arial" w:hAnsi="Arial" w:cs="Arial" w:eastAsia="华文细黑"/>
                <w:sz w:val="18"/>
                <w:szCs w:val="18"/>
              </w:rPr>
              <w:t>公里，综合评价交通便捷度一般。</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1</w:t>
            </w:r>
            <w:r>
              <w:rPr>
                <w:rFonts w:ascii="Arial" w:hAnsi="Arial" w:cs="Arial" w:eastAsia="华文细黑"/>
                <w:sz w:val="18"/>
                <w:szCs w:val="18"/>
              </w:rPr>
              <w:t>紧邻城市次干道——长阳路，周边有</w:t>
            </w:r>
            <w:r>
              <w:rPr>
                <w:rFonts w:eastAsia="华文细黑" w:cs="Arial" w:ascii="Arial" w:hAnsi="Arial"/>
                <w:sz w:val="18"/>
                <w:szCs w:val="18"/>
              </w:rPr>
              <w:t>F28</w:t>
            </w:r>
            <w:r>
              <w:rPr>
                <w:rFonts w:ascii="Arial" w:hAnsi="Arial" w:cs="Arial" w:eastAsia="华文细黑"/>
                <w:sz w:val="18"/>
                <w:szCs w:val="18"/>
              </w:rPr>
              <w:t>路、</w:t>
            </w:r>
            <w:r>
              <w:rPr>
                <w:rFonts w:eastAsia="华文细黑" w:cs="Arial" w:ascii="Arial" w:hAnsi="Arial"/>
                <w:sz w:val="18"/>
                <w:szCs w:val="18"/>
              </w:rPr>
              <w:t>F2</w:t>
            </w:r>
            <w:r>
              <w:rPr>
                <w:rFonts w:ascii="Arial" w:hAnsi="Arial" w:cs="Arial" w:eastAsia="华文细黑"/>
                <w:sz w:val="18"/>
                <w:szCs w:val="18"/>
              </w:rPr>
              <w:t>路内环、</w:t>
            </w:r>
            <w:r>
              <w:rPr>
                <w:rFonts w:eastAsia="华文细黑" w:cs="Arial" w:ascii="Arial" w:hAnsi="Arial"/>
                <w:sz w:val="18"/>
                <w:szCs w:val="18"/>
              </w:rPr>
              <w:t>F2</w:t>
            </w:r>
            <w:r>
              <w:rPr>
                <w:rFonts w:ascii="Arial" w:hAnsi="Arial" w:cs="Arial" w:eastAsia="华文细黑"/>
                <w:sz w:val="18"/>
                <w:szCs w:val="18"/>
              </w:rPr>
              <w:t>路外环、</w:t>
            </w:r>
            <w:r>
              <w:rPr>
                <w:rFonts w:eastAsia="华文细黑" w:cs="Arial" w:ascii="Arial" w:hAnsi="Arial"/>
                <w:sz w:val="18"/>
                <w:szCs w:val="18"/>
              </w:rPr>
              <w:t>F34</w:t>
            </w:r>
            <w:r>
              <w:rPr>
                <w:rFonts w:ascii="Arial" w:hAnsi="Arial" w:cs="Arial" w:eastAsia="华文细黑"/>
                <w:sz w:val="18"/>
                <w:szCs w:val="18"/>
              </w:rPr>
              <w:t>路、</w:t>
            </w:r>
            <w:r>
              <w:rPr>
                <w:rFonts w:eastAsia="华文细黑" w:cs="Arial" w:ascii="Arial" w:hAnsi="Arial"/>
                <w:sz w:val="18"/>
                <w:szCs w:val="18"/>
              </w:rPr>
              <w:t>F35</w:t>
            </w:r>
            <w:r>
              <w:rPr>
                <w:rFonts w:ascii="Arial" w:hAnsi="Arial" w:cs="Arial" w:eastAsia="华文细黑"/>
                <w:sz w:val="18"/>
                <w:szCs w:val="18"/>
              </w:rPr>
              <w:t>路、</w:t>
            </w:r>
            <w:r>
              <w:rPr>
                <w:rFonts w:eastAsia="华文细黑" w:cs="Arial" w:ascii="Arial" w:hAnsi="Arial"/>
                <w:sz w:val="18"/>
                <w:szCs w:val="18"/>
              </w:rPr>
              <w:t>F51</w:t>
            </w:r>
            <w:r>
              <w:rPr>
                <w:rFonts w:ascii="Arial" w:hAnsi="Arial" w:cs="Arial" w:eastAsia="华文细黑"/>
                <w:sz w:val="18"/>
                <w:szCs w:val="18"/>
              </w:rPr>
              <w:t>路、</w:t>
            </w:r>
            <w:r>
              <w:rPr>
                <w:rFonts w:eastAsia="华文细黑" w:cs="Arial" w:ascii="Arial" w:hAnsi="Arial"/>
                <w:sz w:val="18"/>
                <w:szCs w:val="18"/>
              </w:rPr>
              <w:t>F85</w:t>
            </w:r>
            <w:r>
              <w:rPr>
                <w:rFonts w:ascii="Arial" w:hAnsi="Arial" w:cs="Arial" w:eastAsia="华文细黑"/>
                <w:sz w:val="18"/>
                <w:szCs w:val="18"/>
              </w:rPr>
              <w:t>路、快速直达专线</w:t>
            </w:r>
            <w:r>
              <w:rPr>
                <w:rFonts w:eastAsia="华文细黑" w:cs="Arial" w:ascii="Arial" w:hAnsi="Arial"/>
                <w:sz w:val="18"/>
                <w:szCs w:val="18"/>
              </w:rPr>
              <w:t>187</w:t>
            </w:r>
            <w:r>
              <w:rPr>
                <w:rFonts w:ascii="Arial" w:hAnsi="Arial" w:cs="Arial" w:eastAsia="华文细黑"/>
                <w:sz w:val="18"/>
                <w:szCs w:val="18"/>
              </w:rPr>
              <w:t>路等多条公交线路途经并设有站点，距地铁房山线（广阳城站）直线距离约</w:t>
            </w:r>
            <w:r>
              <w:rPr>
                <w:rFonts w:eastAsia="华文细黑" w:cs="Arial" w:ascii="Arial" w:hAnsi="Arial"/>
                <w:sz w:val="18"/>
                <w:szCs w:val="18"/>
              </w:rPr>
              <w:t>500</w:t>
            </w:r>
            <w:r>
              <w:rPr>
                <w:rFonts w:ascii="Arial" w:hAnsi="Arial" w:cs="Arial" w:eastAsia="华文细黑"/>
                <w:sz w:val="18"/>
                <w:szCs w:val="18"/>
              </w:rPr>
              <w:t>米，综合评价交通便捷度较好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2</w:t>
            </w:r>
            <w:r>
              <w:rPr>
                <w:rFonts w:ascii="Arial" w:hAnsi="Arial" w:cs="Arial" w:eastAsia="华文细黑"/>
                <w:sz w:val="18"/>
                <w:szCs w:val="18"/>
              </w:rPr>
              <w:t>紧邻城市次干道——辰光东路，周边有</w:t>
            </w:r>
            <w:r>
              <w:rPr>
                <w:rFonts w:eastAsia="华文细黑" w:cs="Arial" w:ascii="Arial" w:hAnsi="Arial"/>
                <w:sz w:val="18"/>
                <w:szCs w:val="18"/>
              </w:rPr>
              <w:t>953</w:t>
            </w:r>
            <w:r>
              <w:rPr>
                <w:rFonts w:ascii="Arial" w:hAnsi="Arial" w:cs="Arial" w:eastAsia="华文细黑"/>
                <w:sz w:val="18"/>
                <w:szCs w:val="18"/>
              </w:rPr>
              <w:t>路、</w:t>
            </w:r>
            <w:r>
              <w:rPr>
                <w:rFonts w:eastAsia="华文细黑" w:cs="Arial" w:ascii="Arial" w:hAnsi="Arial"/>
                <w:sz w:val="18"/>
                <w:szCs w:val="18"/>
              </w:rPr>
              <w:t>F12</w:t>
            </w:r>
            <w:r>
              <w:rPr>
                <w:rFonts w:ascii="Arial" w:hAnsi="Arial" w:cs="Arial" w:eastAsia="华文细黑"/>
                <w:sz w:val="18"/>
                <w:szCs w:val="18"/>
              </w:rPr>
              <w:t>路、</w:t>
            </w:r>
            <w:r>
              <w:rPr>
                <w:rFonts w:eastAsia="华文细黑" w:cs="Arial" w:ascii="Arial" w:hAnsi="Arial"/>
                <w:sz w:val="18"/>
                <w:szCs w:val="18"/>
              </w:rPr>
              <w:t>F1</w:t>
            </w:r>
            <w:r>
              <w:rPr>
                <w:rFonts w:ascii="Arial" w:hAnsi="Arial" w:cs="Arial" w:eastAsia="华文细黑"/>
                <w:sz w:val="18"/>
                <w:szCs w:val="18"/>
              </w:rPr>
              <w:t>路内环、</w:t>
            </w:r>
            <w:r>
              <w:rPr>
                <w:rFonts w:eastAsia="华文细黑" w:cs="Arial" w:ascii="Arial" w:hAnsi="Arial"/>
                <w:sz w:val="18"/>
                <w:szCs w:val="18"/>
              </w:rPr>
              <w:t>F1</w:t>
            </w:r>
            <w:r>
              <w:rPr>
                <w:rFonts w:ascii="Arial" w:hAnsi="Arial" w:cs="Arial" w:eastAsia="华文细黑"/>
                <w:sz w:val="18"/>
                <w:szCs w:val="18"/>
              </w:rPr>
              <w:t>路外环、</w:t>
            </w:r>
            <w:r>
              <w:rPr>
                <w:rFonts w:eastAsia="华文细黑" w:cs="Arial" w:ascii="Arial" w:hAnsi="Arial"/>
                <w:sz w:val="18"/>
                <w:szCs w:val="18"/>
              </w:rPr>
              <w:t>F46</w:t>
            </w:r>
            <w:r>
              <w:rPr>
                <w:rFonts w:ascii="Arial" w:hAnsi="Arial" w:cs="Arial" w:eastAsia="华文细黑"/>
                <w:sz w:val="18"/>
                <w:szCs w:val="18"/>
              </w:rPr>
              <w:t>路、</w:t>
            </w:r>
            <w:r>
              <w:rPr>
                <w:rFonts w:eastAsia="华文细黑" w:cs="Arial" w:ascii="Arial" w:hAnsi="Arial"/>
                <w:sz w:val="18"/>
                <w:szCs w:val="18"/>
              </w:rPr>
              <w:t>F47</w:t>
            </w:r>
            <w:r>
              <w:rPr>
                <w:rFonts w:ascii="Arial" w:hAnsi="Arial" w:cs="Arial" w:eastAsia="华文细黑"/>
                <w:sz w:val="18"/>
                <w:szCs w:val="18"/>
              </w:rPr>
              <w:t>路等多条公交线路，距离地铁房山线（广阳城站）直线距离约</w:t>
            </w:r>
            <w:r>
              <w:rPr>
                <w:rFonts w:eastAsia="华文细黑" w:cs="Arial" w:ascii="Arial" w:hAnsi="Arial"/>
                <w:sz w:val="18"/>
                <w:szCs w:val="18"/>
              </w:rPr>
              <w:t>790</w:t>
            </w:r>
            <w:r>
              <w:rPr>
                <w:rFonts w:ascii="Arial" w:hAnsi="Arial" w:cs="Arial" w:eastAsia="华文细黑"/>
                <w:sz w:val="18"/>
                <w:szCs w:val="18"/>
              </w:rPr>
              <w:t>米，道路通达度较好，综合评价交通便捷度较好。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3</w:t>
            </w:r>
            <w:r>
              <w:rPr>
                <w:rFonts w:ascii="Arial" w:hAnsi="Arial" w:cs="Arial" w:eastAsia="华文细黑"/>
                <w:sz w:val="18"/>
                <w:szCs w:val="18"/>
              </w:rPr>
              <w:t>紧邻城市次干道——阜盛东街，周边有</w:t>
            </w:r>
            <w:r>
              <w:rPr>
                <w:rFonts w:eastAsia="华文细黑" w:cs="Arial" w:ascii="Arial" w:hAnsi="Arial"/>
                <w:sz w:val="18"/>
                <w:szCs w:val="18"/>
              </w:rPr>
              <w:t>832</w:t>
            </w:r>
            <w:r>
              <w:rPr>
                <w:rFonts w:ascii="Arial" w:hAnsi="Arial" w:cs="Arial" w:eastAsia="华文细黑"/>
                <w:sz w:val="18"/>
                <w:szCs w:val="18"/>
              </w:rPr>
              <w:t>路、</w:t>
            </w:r>
            <w:r>
              <w:rPr>
                <w:rFonts w:eastAsia="华文细黑" w:cs="Arial" w:ascii="Arial" w:hAnsi="Arial"/>
                <w:sz w:val="18"/>
                <w:szCs w:val="18"/>
              </w:rPr>
              <w:t>953</w:t>
            </w:r>
            <w:r>
              <w:rPr>
                <w:rFonts w:ascii="Arial" w:hAnsi="Arial" w:cs="Arial" w:eastAsia="华文细黑"/>
                <w:sz w:val="18"/>
                <w:szCs w:val="18"/>
              </w:rPr>
              <w:t>路、</w:t>
            </w:r>
            <w:r>
              <w:rPr>
                <w:rFonts w:eastAsia="华文细黑" w:cs="Arial" w:ascii="Arial" w:hAnsi="Arial"/>
                <w:sz w:val="18"/>
                <w:szCs w:val="18"/>
              </w:rPr>
              <w:t>F1</w:t>
            </w:r>
            <w:r>
              <w:rPr>
                <w:rFonts w:ascii="Arial" w:hAnsi="Arial" w:cs="Arial" w:eastAsia="华文细黑"/>
                <w:sz w:val="18"/>
                <w:szCs w:val="18"/>
              </w:rPr>
              <w:t>路内环、</w:t>
            </w:r>
            <w:r>
              <w:rPr>
                <w:rFonts w:eastAsia="华文细黑" w:cs="Arial" w:ascii="Arial" w:hAnsi="Arial"/>
                <w:sz w:val="18"/>
                <w:szCs w:val="18"/>
              </w:rPr>
              <w:t>F1</w:t>
            </w:r>
            <w:r>
              <w:rPr>
                <w:rFonts w:ascii="Arial" w:hAnsi="Arial" w:cs="Arial" w:eastAsia="华文细黑"/>
                <w:sz w:val="18"/>
                <w:szCs w:val="18"/>
              </w:rPr>
              <w:t>路外环、</w:t>
            </w:r>
            <w:r>
              <w:rPr>
                <w:rFonts w:eastAsia="华文细黑" w:cs="Arial" w:ascii="Arial" w:hAnsi="Arial"/>
                <w:sz w:val="18"/>
                <w:szCs w:val="18"/>
              </w:rPr>
              <w:t>F2</w:t>
            </w:r>
            <w:r>
              <w:rPr>
                <w:rFonts w:ascii="Arial" w:hAnsi="Arial" w:cs="Arial" w:eastAsia="华文细黑"/>
                <w:sz w:val="18"/>
                <w:szCs w:val="18"/>
              </w:rPr>
              <w:t>路内环、</w:t>
            </w:r>
            <w:r>
              <w:rPr>
                <w:rFonts w:eastAsia="华文细黑" w:cs="Arial" w:ascii="Arial" w:hAnsi="Arial"/>
                <w:sz w:val="18"/>
                <w:szCs w:val="18"/>
              </w:rPr>
              <w:t>F2</w:t>
            </w:r>
            <w:r>
              <w:rPr>
                <w:rFonts w:ascii="Arial" w:hAnsi="Arial" w:cs="Arial" w:eastAsia="华文细黑"/>
                <w:sz w:val="18"/>
                <w:szCs w:val="18"/>
              </w:rPr>
              <w:t>路外环、</w:t>
            </w:r>
            <w:r>
              <w:rPr>
                <w:rFonts w:eastAsia="华文细黑" w:cs="Arial" w:ascii="Arial" w:hAnsi="Arial"/>
                <w:sz w:val="18"/>
                <w:szCs w:val="18"/>
              </w:rPr>
              <w:t>F46</w:t>
            </w:r>
            <w:r>
              <w:rPr>
                <w:rFonts w:ascii="Arial" w:hAnsi="Arial" w:cs="Arial" w:eastAsia="华文细黑"/>
                <w:sz w:val="18"/>
                <w:szCs w:val="18"/>
              </w:rPr>
              <w:t>路等多条公交线路，距离地铁房山线（良乡大学城北站）直线距离约</w:t>
            </w:r>
            <w:r>
              <w:rPr>
                <w:rFonts w:eastAsia="华文细黑" w:cs="Arial" w:ascii="Arial" w:hAnsi="Arial"/>
                <w:sz w:val="18"/>
                <w:szCs w:val="18"/>
              </w:rPr>
              <w:t>750</w:t>
            </w:r>
            <w:r>
              <w:rPr>
                <w:rFonts w:ascii="Arial" w:hAnsi="Arial" w:cs="Arial" w:eastAsia="华文细黑"/>
                <w:sz w:val="18"/>
                <w:szCs w:val="18"/>
              </w:rPr>
              <w:t>米，道路通达度较好，综合评价交通便捷度较好。</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商业设施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以估价对象为中心</w:t>
            </w:r>
            <w:r>
              <w:rPr>
                <w:rFonts w:eastAsia="华文细黑" w:cs="Arial" w:ascii="Arial" w:hAnsi="Arial"/>
                <w:sz w:val="18"/>
                <w:szCs w:val="18"/>
              </w:rPr>
              <w:t>2</w:t>
            </w:r>
            <w:r>
              <w:rPr>
                <w:rFonts w:ascii="Arial" w:hAnsi="Arial" w:cs="Arial" w:eastAsia="华文细黑"/>
                <w:sz w:val="18"/>
                <w:szCs w:val="18"/>
              </w:rPr>
              <w:t>公里范围内有首开龙湖北京熙悦天街、绿地缤纷城（房山店）等商业服务设施，商业设施以小区配套为主，且数量一般，综合评价商业设施一般。</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1</w:t>
            </w:r>
            <w:r>
              <w:rPr>
                <w:rFonts w:ascii="Arial" w:hAnsi="Arial" w:cs="Arial" w:eastAsia="华文细黑"/>
                <w:sz w:val="18"/>
                <w:szCs w:val="18"/>
              </w:rPr>
              <w:t>周边首开龙湖北京熙悦天街、绿地缤纷城（房山店）等商业服务设施，商业设施以小区配套为主，且数量一般，综合评价商业设施一般。</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2</w:t>
            </w:r>
            <w:r>
              <w:rPr>
                <w:rFonts w:ascii="Arial" w:hAnsi="Arial" w:cs="Arial" w:eastAsia="华文细黑"/>
                <w:sz w:val="18"/>
                <w:szCs w:val="18"/>
              </w:rPr>
              <w:t>周边有首开龙湖北京熙悦天街等商业服务设施，商业设施以小区配套为主，且数量一般，综合评价商业设施一般。</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3</w:t>
            </w:r>
            <w:r>
              <w:rPr>
                <w:rFonts w:ascii="Arial" w:hAnsi="Arial" w:cs="Arial" w:eastAsia="华文细黑"/>
                <w:sz w:val="18"/>
                <w:szCs w:val="18"/>
              </w:rPr>
              <w:t>周边有首开龙湖北京熙悦天街等商业服务设施，商业设施以小区配套为主，且数量一般，综合评价商业设施一般。</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环境状况</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以估价对象为中心</w:t>
            </w:r>
            <w:r>
              <w:rPr>
                <w:rFonts w:eastAsia="华文细黑" w:cs="Arial" w:ascii="Arial" w:hAnsi="Arial"/>
                <w:sz w:val="18"/>
                <w:szCs w:val="18"/>
              </w:rPr>
              <w:t>2</w:t>
            </w:r>
            <w:r>
              <w:rPr>
                <w:rFonts w:ascii="Arial" w:hAnsi="Arial" w:cs="Arial" w:eastAsia="华文细黑"/>
                <w:sz w:val="18"/>
                <w:szCs w:val="18"/>
              </w:rPr>
              <w:t>公里范围内有清水熙森林公园、昊天公园、广阳城森林公园等自然景观，有中国社会科学院大学（良乡校区）、北京理工大学（良乡校区）等高校。绿化面积较大，人文环境较好，综合评价环境状况较好。</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以可比实例</w:t>
            </w:r>
            <w:r>
              <w:rPr>
                <w:rFonts w:eastAsia="华文细黑" w:cs="Arial" w:ascii="Arial" w:hAnsi="Arial"/>
                <w:sz w:val="18"/>
                <w:szCs w:val="18"/>
              </w:rPr>
              <w:t>1</w:t>
            </w:r>
            <w:r>
              <w:rPr>
                <w:rFonts w:ascii="Arial" w:hAnsi="Arial" w:cs="Arial" w:eastAsia="华文细黑"/>
                <w:sz w:val="18"/>
                <w:szCs w:val="18"/>
              </w:rPr>
              <w:t>为中心</w:t>
            </w:r>
            <w:r>
              <w:rPr>
                <w:rFonts w:eastAsia="华文细黑" w:cs="Arial" w:ascii="Arial" w:hAnsi="Arial"/>
                <w:sz w:val="18"/>
                <w:szCs w:val="18"/>
              </w:rPr>
              <w:t>2</w:t>
            </w:r>
            <w:r>
              <w:rPr>
                <w:rFonts w:ascii="Arial" w:hAnsi="Arial" w:cs="Arial" w:eastAsia="华文细黑"/>
                <w:sz w:val="18"/>
                <w:szCs w:val="18"/>
              </w:rPr>
              <w:t>公里范围内有长阳公园、房山新城滨水森林公园、金隅公园等自然景观，有中国社会科学院大学（良乡校区）、北京理工大学（良乡校区）等高校。绿化面积较大，人文环境较好，综合评价环境状况较好。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以可比实例</w:t>
            </w:r>
            <w:r>
              <w:rPr>
                <w:rFonts w:eastAsia="华文细黑" w:cs="Arial" w:ascii="Arial" w:hAnsi="Arial"/>
                <w:sz w:val="18"/>
                <w:szCs w:val="18"/>
              </w:rPr>
              <w:t>2</w:t>
            </w:r>
            <w:r>
              <w:rPr>
                <w:rFonts w:ascii="Arial" w:hAnsi="Arial" w:cs="Arial" w:eastAsia="华文细黑"/>
                <w:sz w:val="18"/>
                <w:szCs w:val="18"/>
              </w:rPr>
              <w:t>为中心</w:t>
            </w:r>
            <w:r>
              <w:rPr>
                <w:rFonts w:eastAsia="华文细黑" w:cs="Arial" w:ascii="Arial" w:hAnsi="Arial"/>
                <w:sz w:val="18"/>
                <w:szCs w:val="18"/>
              </w:rPr>
              <w:t>2</w:t>
            </w:r>
            <w:r>
              <w:rPr>
                <w:rFonts w:ascii="Arial" w:hAnsi="Arial" w:cs="Arial" w:eastAsia="华文细黑"/>
                <w:sz w:val="18"/>
                <w:szCs w:val="18"/>
              </w:rPr>
              <w:t>公里范围内有清水熙森林公园、长阳公园、房山新城滨水森林公园等自然景观，有中国社会科学院大学（良乡校区）、北京理工大学（良乡校区）等高校，综合评价环境状况较好。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以可比实例</w:t>
            </w:r>
            <w:r>
              <w:rPr>
                <w:rFonts w:eastAsia="华文细黑" w:cs="Arial" w:ascii="Arial" w:hAnsi="Arial"/>
                <w:sz w:val="18"/>
                <w:szCs w:val="18"/>
              </w:rPr>
              <w:t>3</w:t>
            </w:r>
            <w:r>
              <w:rPr>
                <w:rFonts w:ascii="Arial" w:hAnsi="Arial" w:cs="Arial" w:eastAsia="华文细黑"/>
                <w:sz w:val="18"/>
                <w:szCs w:val="18"/>
              </w:rPr>
              <w:t>为中心</w:t>
            </w:r>
            <w:r>
              <w:rPr>
                <w:rFonts w:eastAsia="华文细黑" w:cs="Arial" w:ascii="Arial" w:hAnsi="Arial"/>
                <w:sz w:val="18"/>
                <w:szCs w:val="18"/>
              </w:rPr>
              <w:t>2</w:t>
            </w:r>
            <w:r>
              <w:rPr>
                <w:rFonts w:ascii="Arial" w:hAnsi="Arial" w:cs="Arial" w:eastAsia="华文细黑"/>
                <w:sz w:val="18"/>
                <w:szCs w:val="18"/>
              </w:rPr>
              <w:t>公里范围内有房山新城滨水森林公园、广阳城森林公园等自然景观，有中国社会科学院大学（良乡校区）、北京理工大学（良乡校区）等高校，综合评价环境状况较好。</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公共配套</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估价对象所在区域周边</w:t>
            </w:r>
            <w:r>
              <w:rPr>
                <w:rFonts w:eastAsia="华文细黑" w:cs="Arial" w:ascii="Arial" w:hAnsi="Arial"/>
                <w:sz w:val="18"/>
                <w:szCs w:val="18"/>
              </w:rPr>
              <w:t>2</w:t>
            </w:r>
            <w:r>
              <w:rPr>
                <w:rFonts w:ascii="Arial" w:hAnsi="Arial" w:cs="Arial" w:eastAsia="华文细黑"/>
                <w:sz w:val="18"/>
                <w:szCs w:val="18"/>
              </w:rPr>
              <w:t>公里范围内有首开龙湖北京熙悦天街、绿地缤纷城（房山店）等商业场所；有申宝未来之星幼儿园、长阳中心小学、众联职校等教育机构；有北京市房山区长阳镇碧波园社区卫生服务站、房山区中医医院（月华分院）等医疗设施；北京农商银行（长阳支行）、中国邮政储蓄银行（良乡营业所）等金融机构，公共配套设施状况较好。</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1</w:t>
            </w:r>
            <w:r>
              <w:rPr>
                <w:rFonts w:ascii="Arial" w:hAnsi="Arial" w:cs="Arial" w:eastAsia="华文细黑"/>
                <w:sz w:val="18"/>
                <w:szCs w:val="18"/>
              </w:rPr>
              <w:t>所在区域周边</w:t>
            </w:r>
            <w:r>
              <w:rPr>
                <w:rFonts w:eastAsia="华文细黑" w:cs="Arial" w:ascii="Arial" w:hAnsi="Arial"/>
                <w:sz w:val="18"/>
                <w:szCs w:val="18"/>
              </w:rPr>
              <w:t>2</w:t>
            </w:r>
            <w:r>
              <w:rPr>
                <w:rFonts w:ascii="Arial" w:hAnsi="Arial" w:cs="Arial" w:eastAsia="华文细黑"/>
                <w:sz w:val="18"/>
                <w:szCs w:val="18"/>
              </w:rPr>
              <w:t>公里范围内首开龙湖北京熙悦天街、绿地缤纷城（房山店）等商业场所；有红娃碧波幼儿园、长阳中心小学等教育设施；有北京市房山区长阳镇碧波园社区卫生服务站、北京北亚骨科医院等医疗设施；有北京农商银行</w:t>
            </w:r>
            <w:r>
              <w:rPr>
                <w:rFonts w:eastAsia="华文细黑" w:cs="Arial" w:ascii="Arial" w:hAnsi="Arial"/>
                <w:sz w:val="18"/>
                <w:szCs w:val="18"/>
              </w:rPr>
              <w:t>(</w:t>
            </w:r>
            <w:r>
              <w:rPr>
                <w:rFonts w:ascii="Arial" w:hAnsi="Arial" w:cs="Arial" w:eastAsia="华文细黑"/>
                <w:sz w:val="18"/>
                <w:szCs w:val="18"/>
              </w:rPr>
              <w:t>长阳支行</w:t>
            </w:r>
            <w:r>
              <w:rPr>
                <w:rFonts w:eastAsia="华文细黑" w:cs="Arial" w:ascii="Arial" w:hAnsi="Arial"/>
                <w:sz w:val="18"/>
                <w:szCs w:val="18"/>
              </w:rPr>
              <w:t>)</w:t>
            </w:r>
            <w:r>
              <w:rPr>
                <w:rFonts w:ascii="Arial" w:hAnsi="Arial" w:cs="Arial" w:eastAsia="华文细黑"/>
                <w:sz w:val="18"/>
                <w:szCs w:val="18"/>
              </w:rPr>
              <w:t>、中国邮政储蓄银行</w:t>
            </w:r>
            <w:r>
              <w:rPr>
                <w:rFonts w:eastAsia="华文细黑" w:cs="Arial" w:ascii="Arial" w:hAnsi="Arial"/>
                <w:sz w:val="18"/>
                <w:szCs w:val="18"/>
              </w:rPr>
              <w:t>(</w:t>
            </w:r>
            <w:r>
              <w:rPr>
                <w:rFonts w:ascii="Arial" w:hAnsi="Arial" w:cs="Arial" w:eastAsia="华文细黑"/>
                <w:sz w:val="18"/>
                <w:szCs w:val="18"/>
              </w:rPr>
              <w:t>北京房山区长阳营业所</w:t>
            </w:r>
            <w:r>
              <w:rPr>
                <w:rFonts w:eastAsia="华文细黑" w:cs="Arial" w:ascii="Arial" w:hAnsi="Arial"/>
                <w:sz w:val="18"/>
                <w:szCs w:val="18"/>
              </w:rPr>
              <w:t>)</w:t>
            </w:r>
            <w:r>
              <w:rPr>
                <w:rFonts w:ascii="Arial" w:hAnsi="Arial" w:cs="Arial" w:eastAsia="华文细黑"/>
                <w:sz w:val="18"/>
                <w:szCs w:val="18"/>
              </w:rPr>
              <w:t>等金融机构，公共配套设施状况较好。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2</w:t>
            </w:r>
            <w:r>
              <w:rPr>
                <w:rFonts w:ascii="Arial" w:hAnsi="Arial" w:cs="Arial" w:eastAsia="华文细黑"/>
                <w:sz w:val="18"/>
                <w:szCs w:val="18"/>
              </w:rPr>
              <w:t>所在区域周边</w:t>
            </w:r>
            <w:r>
              <w:rPr>
                <w:rFonts w:eastAsia="华文细黑" w:cs="Arial" w:ascii="Arial" w:hAnsi="Arial"/>
                <w:sz w:val="18"/>
                <w:szCs w:val="18"/>
              </w:rPr>
              <w:t>2</w:t>
            </w:r>
            <w:r>
              <w:rPr>
                <w:rFonts w:ascii="Arial" w:hAnsi="Arial" w:cs="Arial" w:eastAsia="华文细黑"/>
                <w:sz w:val="18"/>
                <w:szCs w:val="18"/>
              </w:rPr>
              <w:t>公里范围内有北京农商银行（长阳支行）等金融机构；首开龙湖北京熙悦天街、惠万佳超市等商服设施；周边有北京市房山区未来之星第三幼儿园、长阳中心小学、北京十二中</w:t>
            </w:r>
            <w:r>
              <w:rPr>
                <w:rFonts w:eastAsia="华文细黑" w:cs="Arial" w:ascii="Arial" w:hAnsi="Arial"/>
                <w:sz w:val="18"/>
                <w:szCs w:val="18"/>
              </w:rPr>
              <w:t>(</w:t>
            </w:r>
            <w:r>
              <w:rPr>
                <w:rFonts w:ascii="Arial" w:hAnsi="Arial" w:cs="Arial" w:eastAsia="华文细黑"/>
                <w:sz w:val="18"/>
                <w:szCs w:val="18"/>
              </w:rPr>
              <w:t>朗悦学校</w:t>
            </w:r>
            <w:r>
              <w:rPr>
                <w:rFonts w:eastAsia="华文细黑" w:cs="Arial" w:ascii="Arial" w:hAnsi="Arial"/>
                <w:sz w:val="18"/>
                <w:szCs w:val="18"/>
              </w:rPr>
              <w:t>)</w:t>
            </w:r>
            <w:r>
              <w:rPr>
                <w:rFonts w:ascii="Arial" w:hAnsi="Arial" w:cs="Arial" w:eastAsia="华文细黑"/>
                <w:sz w:val="18"/>
                <w:szCs w:val="18"/>
              </w:rPr>
              <w:t>等教育机构；有北京市房山区长阳镇碧波园社区卫生服务站等医疗机构设施，公共配套设施状况较好。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3</w:t>
            </w:r>
            <w:r>
              <w:rPr>
                <w:rFonts w:ascii="Arial" w:hAnsi="Arial" w:cs="Arial" w:eastAsia="华文细黑"/>
                <w:sz w:val="18"/>
                <w:szCs w:val="18"/>
              </w:rPr>
              <w:t>所在区域周边</w:t>
            </w:r>
            <w:r>
              <w:rPr>
                <w:rFonts w:eastAsia="华文细黑" w:cs="Arial" w:ascii="Arial" w:hAnsi="Arial"/>
                <w:sz w:val="18"/>
                <w:szCs w:val="18"/>
              </w:rPr>
              <w:t>2</w:t>
            </w:r>
            <w:r>
              <w:rPr>
                <w:rFonts w:ascii="Arial" w:hAnsi="Arial" w:cs="Arial" w:eastAsia="华文细黑"/>
                <w:sz w:val="18"/>
                <w:szCs w:val="18"/>
              </w:rPr>
              <w:t>公里范围内有中北京农商银行（长阳支行）等金融机构；首开龙湖北京熙悦天街、广阳城便民购物广场等商服设施；周边有北京市房山区长阳第三幼儿园、北京市第十二中学教育集团良乡小学</w:t>
            </w:r>
            <w:r>
              <w:rPr>
                <w:rFonts w:eastAsia="华文细黑" w:cs="Arial" w:ascii="Arial" w:hAnsi="Arial"/>
                <w:sz w:val="18"/>
                <w:szCs w:val="18"/>
              </w:rPr>
              <w:t>(</w:t>
            </w:r>
            <w:r>
              <w:rPr>
                <w:rFonts w:ascii="Arial" w:hAnsi="Arial" w:cs="Arial" w:eastAsia="华文细黑"/>
                <w:sz w:val="18"/>
                <w:szCs w:val="18"/>
              </w:rPr>
              <w:t>铭品校区</w:t>
            </w:r>
            <w:r>
              <w:rPr>
                <w:rFonts w:eastAsia="华文细黑" w:cs="Arial" w:ascii="Arial" w:hAnsi="Arial"/>
                <w:sz w:val="18"/>
                <w:szCs w:val="18"/>
              </w:rPr>
              <w:t>)</w:t>
            </w:r>
            <w:r>
              <w:rPr>
                <w:rFonts w:ascii="Arial" w:hAnsi="Arial" w:cs="Arial" w:eastAsia="华文细黑"/>
                <w:sz w:val="18"/>
                <w:szCs w:val="18"/>
              </w:rPr>
              <w:t>、北京十二中</w:t>
            </w:r>
            <w:r>
              <w:rPr>
                <w:rFonts w:eastAsia="华文细黑" w:cs="Arial" w:ascii="Arial" w:hAnsi="Arial"/>
                <w:sz w:val="18"/>
                <w:szCs w:val="18"/>
              </w:rPr>
              <w:t>(</w:t>
            </w:r>
            <w:r>
              <w:rPr>
                <w:rFonts w:ascii="Arial" w:hAnsi="Arial" w:cs="Arial" w:eastAsia="华文细黑"/>
                <w:sz w:val="18"/>
                <w:szCs w:val="18"/>
              </w:rPr>
              <w:t>朗悦学校</w:t>
            </w:r>
            <w:r>
              <w:rPr>
                <w:rFonts w:eastAsia="华文细黑" w:cs="Arial" w:ascii="Arial" w:hAnsi="Arial"/>
                <w:sz w:val="18"/>
                <w:szCs w:val="18"/>
              </w:rPr>
              <w:t>)</w:t>
            </w:r>
            <w:r>
              <w:rPr>
                <w:rFonts w:ascii="Arial" w:hAnsi="Arial" w:cs="Arial" w:eastAsia="华文细黑"/>
                <w:sz w:val="18"/>
                <w:szCs w:val="18"/>
              </w:rPr>
              <w:t>等教育机构；有北京市房山区长阳镇碧波园社区卫生服务站等医疗机构设施，公共配套设施状况较好。</w:t>
            </w:r>
          </w:p>
        </w:tc>
      </w:tr>
      <w:tr>
        <w:trPr>
          <w:trHeight w:val="20" w:hRule="atLeast"/>
        </w:trPr>
        <w:tc>
          <w:tcPr>
            <w:tcW w:w="680" w:type="dxa"/>
            <w:vMerge w:val="restart"/>
            <w:tcBorders>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实物状况</w:t>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物业服务</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有专业物业公司，物业服务保障较好</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有专业物业公司，物业服务保障较好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有专业物业公司，物业服务保障较好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有专业物业公司，物业服务保障较好</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小区环境</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绿化率约为</w:t>
            </w:r>
            <w:r>
              <w:rPr>
                <w:rFonts w:eastAsia="华文细黑" w:cs="Arial" w:ascii="Arial" w:hAnsi="Arial"/>
                <w:sz w:val="18"/>
                <w:szCs w:val="18"/>
              </w:rPr>
              <w:t>30%</w:t>
            </w:r>
            <w:r>
              <w:rPr>
                <w:rFonts w:ascii="Arial" w:hAnsi="Arial" w:cs="Arial" w:eastAsia="华文细黑"/>
                <w:sz w:val="18"/>
                <w:szCs w:val="18"/>
              </w:rPr>
              <w:t>，一般</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绿化率约为</w:t>
            </w:r>
            <w:r>
              <w:rPr>
                <w:rFonts w:eastAsia="华文细黑" w:cs="Arial" w:ascii="Arial" w:hAnsi="Arial"/>
                <w:sz w:val="18"/>
                <w:szCs w:val="18"/>
              </w:rPr>
              <w:t>30%</w:t>
            </w:r>
            <w:r>
              <w:rPr>
                <w:rFonts w:ascii="Arial" w:hAnsi="Arial" w:cs="Arial" w:eastAsia="华文细黑"/>
                <w:sz w:val="18"/>
                <w:szCs w:val="18"/>
              </w:rPr>
              <w:t>，一般</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绿化率约为</w:t>
            </w:r>
            <w:r>
              <w:rPr>
                <w:rFonts w:eastAsia="华文细黑" w:cs="Arial" w:ascii="Arial" w:hAnsi="Arial"/>
                <w:sz w:val="18"/>
                <w:szCs w:val="18"/>
              </w:rPr>
              <w:t>40%</w:t>
            </w:r>
            <w:r>
              <w:rPr>
                <w:rFonts w:ascii="Arial" w:hAnsi="Arial" w:cs="Arial" w:eastAsia="华文细黑"/>
                <w:sz w:val="18"/>
                <w:szCs w:val="18"/>
              </w:rPr>
              <w:t>，好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绿化率约为</w:t>
            </w:r>
            <w:r>
              <w:rPr>
                <w:rFonts w:eastAsia="华文细黑" w:cs="Arial" w:ascii="Arial" w:hAnsi="Arial"/>
                <w:sz w:val="18"/>
                <w:szCs w:val="18"/>
              </w:rPr>
              <w:t>30%</w:t>
            </w:r>
            <w:r>
              <w:rPr>
                <w:rFonts w:ascii="Arial" w:hAnsi="Arial" w:cs="Arial" w:eastAsia="华文细黑"/>
                <w:sz w:val="18"/>
                <w:szCs w:val="18"/>
              </w:rPr>
              <w:t>，一般</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配套设施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配备活动站、医疗站</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配备活动站、医疗站</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配备活动站、医疗站</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配备活动站、医疗站</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居住管理</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配备专业管理人员，数量充足，居住管理较好</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配备专业管理人员，数量充足，居住管理较好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配备专业管理人员，数量充足，居住管理较好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配备专业管理人员，数量充足，居住管理较好</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户型</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主力户型为三居室，住宅套型较好</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主力户型为二居室，住宅套型一般</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主力户型为一居室，住宅套型一般</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主力户型为二居室，住宅套型一般</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朝向、采光、通风</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朝向好，能保证较长时间的采光，通风较好，综合分析朝向、采光、通风状况较好（南北）</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朝向好，能保证较长时间的采光，通风较好，综合分析朝向、采光、通风状况较好（南北）</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朝向较好，能保证较长时间的采光，通风较好，综合分析朝向、采光、通风状况较好（南北）</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朝向好，能保证较长时间的采光，通风较好，综合分析朝向、采光、通风状况较好（南北）</w:t>
            </w:r>
          </w:p>
        </w:tc>
      </w:tr>
      <w:tr>
        <w:trPr>
          <w:trHeight w:val="1236"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装修</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该小区装修为全装修，装修用材环保，经过精心设计，提升居住体验，较好</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该小区装修为基本装修，装修用材环保，经过精心设计，提升居住体验，较好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该小区装修为基本装修，装修用材环保，经过精心设计，提升居住体验，较好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该小区装修为基本装修，装修用材环保，经过精心设计，提升居住体验，较好</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标准房建筑面积（平方米）</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87.72-89.55</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90-100</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60-70</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80-90</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设备</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仅厨房卫生间配备家具、家电。功能正常，质量有保证。居室无家具家电，较差</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使用品牌家具、家电；功能正常，质量有保证，较好</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使用品牌家具、家电；功能正常，质量有保证，较好</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使用品牌家具、家电；功能正常，质量有保证，较好</w:t>
            </w:r>
          </w:p>
        </w:tc>
      </w:tr>
      <w:tr>
        <w:trPr>
          <w:trHeight w:val="20" w:hRule="atLeast"/>
        </w:trPr>
        <w:tc>
          <w:tcPr>
            <w:tcW w:w="680"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r>
          </w:p>
        </w:tc>
        <w:tc>
          <w:tcPr>
            <w:tcW w:w="1544"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成新度</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90%-100%</w:t>
            </w:r>
          </w:p>
        </w:tc>
        <w:tc>
          <w:tcPr>
            <w:tcW w:w="1768"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70%-80%</w:t>
            </w:r>
          </w:p>
        </w:tc>
        <w:tc>
          <w:tcPr>
            <w:tcW w:w="1766"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80%-90%</w:t>
            </w:r>
          </w:p>
        </w:tc>
        <w:tc>
          <w:tcPr>
            <w:tcW w:w="1773"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80%-90%</w:t>
            </w:r>
          </w:p>
        </w:tc>
      </w:tr>
    </w:tbl>
    <w:p>
      <w:pPr>
        <w:pStyle w:val="Normal"/>
        <w:overflowPunct w:val="false"/>
        <w:spacing w:lineRule="auto" w:line="480"/>
        <w:ind w:firstLine="315"/>
        <w:rPr>
          <w:rFonts w:ascii="Arial" w:hAnsi="Arial" w:cs="Arial"/>
          <w:sz w:val="21"/>
          <w:szCs w:val="21"/>
        </w:rPr>
      </w:pPr>
      <w:r>
        <w:br w:type="page"/>
      </w:r>
      <w:r>
        <w:rPr>
          <w:rFonts w:cs="Arial" w:ascii="Arial" w:hAnsi="Arial"/>
          <w:sz w:val="21"/>
          <w:szCs w:val="21"/>
        </w:rPr>
        <w:t xml:space="preserve">2. </w:t>
      </w:r>
      <w:r>
        <w:rPr>
          <w:rFonts w:ascii="Arial" w:hAnsi="Arial" w:cs="Arial"/>
          <w:sz w:val="21"/>
          <w:szCs w:val="21"/>
        </w:rPr>
        <w:t xml:space="preserve">建立比较因素条件指数表和因素比较修正系数表 </w:t>
      </w:r>
    </w:p>
    <w:p>
      <w:pPr>
        <w:pStyle w:val="Normal"/>
        <w:overflowPunct w:val="false"/>
        <w:spacing w:lineRule="auto" w:line="480"/>
        <w:ind w:firstLine="420"/>
        <w:rPr>
          <w:rFonts w:ascii="Arial" w:hAnsi="Arial" w:cs="Arial"/>
          <w:sz w:val="21"/>
          <w:szCs w:val="21"/>
        </w:rPr>
      </w:pPr>
      <w:r>
        <w:rPr>
          <w:rFonts w:ascii="Arial" w:hAnsi="Arial" w:cs="Arial"/>
          <w:sz w:val="21"/>
          <w:szCs w:val="21"/>
        </w:rPr>
        <w:t>根据对估价对象和可比案例情况的分析，把各可比案例的自身状况按照参比因素分别与估价对象的相应状况进行比较，编制比较因素条件指数表。具体如下：</w:t>
      </w:r>
    </w:p>
    <w:tbl>
      <w:tblPr>
        <w:tblW w:w="4900" w:type="pct"/>
        <w:jc w:val="center"/>
        <w:tblInd w:w="0" w:type="dxa"/>
        <w:tblCellMar>
          <w:top w:w="57" w:type="dxa"/>
          <w:left w:w="57" w:type="dxa"/>
          <w:bottom w:w="57" w:type="dxa"/>
          <w:right w:w="57" w:type="dxa"/>
        </w:tblCellMar>
        <w:tblLook w:firstRow="1" w:noVBand="1" w:lastRow="0" w:firstColumn="1" w:lastColumn="0" w:noHBand="0" w:val="04a0"/>
      </w:tblPr>
      <w:tblGrid>
        <w:gridCol w:w="561"/>
        <w:gridCol w:w="965"/>
        <w:gridCol w:w="742"/>
        <w:gridCol w:w="1024"/>
        <w:gridCol w:w="1022"/>
        <w:gridCol w:w="1023"/>
        <w:gridCol w:w="3774"/>
      </w:tblGrid>
      <w:tr>
        <w:trPr>
          <w:tblHeader w:val="true"/>
          <w:trHeight w:val="405" w:hRule="atLeast"/>
        </w:trPr>
        <w:tc>
          <w:tcPr>
            <w:tcW w:w="1526" w:type="dxa"/>
            <w:gridSpan w:val="2"/>
            <w:vMerge w:val="restart"/>
            <w:tcBorders>
              <w:top w:val="single" w:sz="4" w:space="0" w:color="000000"/>
              <w:left w:val="single" w:sz="4" w:space="0" w:color="000000"/>
              <w:bottom w:val="single" w:sz="4" w:space="0" w:color="000000"/>
              <w:right w:val="single" w:sz="4" w:space="0" w:color="000000"/>
            </w:tcBorders>
            <w:shd w:fill="auto" w:val="clear"/>
          </w:tcPr>
          <w:p>
            <w:pPr>
              <w:pStyle w:val="Normal"/>
              <w:jc w:val="right"/>
              <w:rPr>
                <w:rFonts w:ascii="Arial" w:hAnsi="Arial" w:eastAsia="华文细黑" w:cs="Arial"/>
                <w:sz w:val="18"/>
                <w:szCs w:val="18"/>
              </w:rPr>
            </w:pPr>
            <w:r>
              <w:rPr>
                <w:rFonts w:ascii="Arial" w:hAnsi="Arial" w:cs="Arial" w:eastAsia="华文细黑"/>
                <w:sz w:val="18"/>
                <w:szCs w:val="18"/>
              </w:rPr>
              <w:t>估价对象及</w:t>
            </w:r>
          </w:p>
          <w:p>
            <w:pPr>
              <w:pStyle w:val="Normal"/>
              <w:jc w:val="right"/>
              <w:rPr>
                <w:rFonts w:ascii="Arial" w:hAnsi="Arial" w:eastAsia="华文细黑" w:cs="Arial"/>
                <w:sz w:val="18"/>
                <w:szCs w:val="18"/>
              </w:rPr>
            </w:pPr>
            <w:r>
              <w:rPr>
                <w:rFonts w:ascii="Arial" w:hAnsi="Arial" w:cs="Arial" w:eastAsia="华文细黑"/>
                <w:sz w:val="18"/>
                <w:szCs w:val="18"/>
              </w:rPr>
              <w:t>可比实例</w:t>
            </w:r>
          </w:p>
          <w:p>
            <w:pPr>
              <w:pStyle w:val="Normal"/>
              <w:jc w:val="right"/>
              <w:rPr>
                <w:rFonts w:ascii="Arial" w:hAnsi="Arial" w:eastAsia="华文细黑" w:cs="Arial"/>
                <w:sz w:val="18"/>
                <w:szCs w:val="18"/>
              </w:rPr>
            </w:pPr>
            <w:r>
              <w:rPr>
                <w:rFonts w:eastAsia="华文细黑" w:cs="Arial" w:ascii="Arial" w:hAnsi="Arial"/>
                <w:sz w:val="18"/>
                <w:szCs w:val="18"/>
              </w:rPr>
            </w:r>
          </w:p>
          <w:p>
            <w:pPr>
              <w:pStyle w:val="Normal"/>
              <w:jc w:val="right"/>
              <w:rPr>
                <w:rFonts w:ascii="Arial" w:hAnsi="Arial" w:eastAsia="华文细黑" w:cs="Arial"/>
                <w:sz w:val="18"/>
                <w:szCs w:val="18"/>
              </w:rPr>
            </w:pPr>
            <w:r>
              <w:rPr>
                <w:rFonts w:eastAsia="华文细黑" w:cs="Arial" w:ascii="Arial" w:hAnsi="Arial"/>
                <w:sz w:val="18"/>
                <w:szCs w:val="18"/>
              </w:rPr>
            </w:r>
          </w:p>
          <w:p>
            <w:pPr>
              <w:pStyle w:val="Normal"/>
              <w:rPr>
                <w:rFonts w:ascii="Arial" w:hAnsi="Arial" w:eastAsia="华文细黑" w:cs="Arial"/>
                <w:sz w:val="18"/>
                <w:szCs w:val="18"/>
              </w:rPr>
            </w:pPr>
            <w:r>
              <w:rPr>
                <w:rFonts w:ascii="Arial" w:hAnsi="Arial" w:cs="Arial" w:eastAsia="华文细黑"/>
                <w:sz w:val="18"/>
                <w:szCs w:val="18"/>
              </w:rPr>
              <w:t>比较因素</w:t>
            </w:r>
          </w:p>
        </w:tc>
        <w:tc>
          <w:tcPr>
            <w:tcW w:w="742" w:type="dxa"/>
            <w:tcBorders>
              <w:top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估价对象</w:t>
            </w:r>
          </w:p>
        </w:tc>
        <w:tc>
          <w:tcPr>
            <w:tcW w:w="1024" w:type="dxa"/>
            <w:tcBorders>
              <w:top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1</w:t>
            </w:r>
          </w:p>
        </w:tc>
        <w:tc>
          <w:tcPr>
            <w:tcW w:w="1022" w:type="dxa"/>
            <w:tcBorders>
              <w:top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2</w:t>
            </w:r>
          </w:p>
        </w:tc>
        <w:tc>
          <w:tcPr>
            <w:tcW w:w="1023" w:type="dxa"/>
            <w:tcBorders>
              <w:top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3</w:t>
            </w:r>
          </w:p>
        </w:tc>
        <w:tc>
          <w:tcPr>
            <w:tcW w:w="3774" w:type="dxa"/>
            <w:tcBorders>
              <w:top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比较因素调整说明</w:t>
            </w:r>
          </w:p>
        </w:tc>
      </w:tr>
      <w:tr>
        <w:trPr>
          <w:tblHeader w:val="true"/>
          <w:trHeight w:val="834" w:hRule="atLeast"/>
        </w:trPr>
        <w:tc>
          <w:tcPr>
            <w:tcW w:w="1526" w:type="dxa"/>
            <w:gridSpan w:val="2"/>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742"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文雅街</w:t>
            </w:r>
            <w:r>
              <w:rPr>
                <w:rFonts w:eastAsia="华文细黑" w:cs="Arial" w:ascii="Arial" w:hAnsi="Arial"/>
                <w:sz w:val="18"/>
                <w:szCs w:val="18"/>
              </w:rPr>
              <w:t>1</w:t>
            </w:r>
            <w:r>
              <w:rPr>
                <w:rFonts w:ascii="Arial" w:hAnsi="Arial" w:cs="Arial" w:eastAsia="华文细黑"/>
                <w:sz w:val="18"/>
                <w:szCs w:val="18"/>
              </w:rPr>
              <w:t>号院</w:t>
            </w:r>
          </w:p>
        </w:tc>
        <w:tc>
          <w:tcPr>
            <w:tcW w:w="1024"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碧波园</w:t>
            </w:r>
          </w:p>
        </w:tc>
        <w:tc>
          <w:tcPr>
            <w:tcW w:w="1022"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世茂维拉</w:t>
            </w:r>
          </w:p>
        </w:tc>
        <w:tc>
          <w:tcPr>
            <w:tcW w:w="1023"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水碾屯西里</w:t>
            </w:r>
          </w:p>
        </w:tc>
        <w:tc>
          <w:tcPr>
            <w:tcW w:w="377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w:t>
            </w:r>
          </w:p>
        </w:tc>
      </w:tr>
      <w:tr>
        <w:trPr>
          <w:trHeight w:val="601" w:hRule="atLeast"/>
        </w:trPr>
        <w:tc>
          <w:tcPr>
            <w:tcW w:w="1526" w:type="dxa"/>
            <w:gridSpan w:val="2"/>
            <w:tcBorders>
              <w:top w:val="single" w:sz="4" w:space="0" w:color="000000"/>
              <w:left w:val="single" w:sz="4" w:space="0" w:color="000000"/>
              <w:bottom w:val="single" w:sz="4" w:space="0" w:color="000000"/>
              <w:right w:val="single" w:sz="4" w:space="0" w:color="000000"/>
            </w:tcBorders>
            <w:shd w:fill="auto" w:val="clear"/>
            <w:vAlign w:val="bottom"/>
          </w:tcPr>
          <w:p>
            <w:pPr>
              <w:pStyle w:val="Normal"/>
              <w:rPr>
                <w:rFonts w:ascii="Arial" w:hAnsi="Arial" w:eastAsia="华文细黑" w:cs="Arial"/>
                <w:sz w:val="18"/>
                <w:szCs w:val="18"/>
              </w:rPr>
            </w:pPr>
            <w:r>
              <w:rPr>
                <w:rFonts w:ascii="Arial" w:hAnsi="Arial" w:cs="Arial" w:eastAsia="华文细黑"/>
                <w:sz w:val="18"/>
                <w:szCs w:val="18"/>
              </w:rPr>
              <w:t>确定的租金价格（元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w:t>
            </w:r>
          </w:p>
        </w:tc>
        <w:tc>
          <w:tcPr>
            <w:tcW w:w="742"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待估</w:t>
            </w:r>
          </w:p>
        </w:tc>
        <w:tc>
          <w:tcPr>
            <w:tcW w:w="1024"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34.66</w:t>
            </w:r>
          </w:p>
        </w:tc>
        <w:tc>
          <w:tcPr>
            <w:tcW w:w="1022"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42.89</w:t>
            </w:r>
          </w:p>
        </w:tc>
        <w:tc>
          <w:tcPr>
            <w:tcW w:w="1023" w:type="dxa"/>
            <w:tcBorders>
              <w:bottom w:val="single" w:sz="4" w:space="0" w:color="000000"/>
              <w:right w:val="single" w:sz="4" w:space="0" w:color="000000"/>
            </w:tcBorders>
            <w:shd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38.19</w:t>
            </w:r>
          </w:p>
        </w:tc>
        <w:tc>
          <w:tcPr>
            <w:tcW w:w="377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w:t>
            </w:r>
          </w:p>
        </w:tc>
      </w:tr>
      <w:tr>
        <w:trPr>
          <w:trHeight w:val="469" w:hRule="atLeast"/>
        </w:trPr>
        <w:tc>
          <w:tcPr>
            <w:tcW w:w="152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交易时间</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估价对象与可比实例的交易时间一致，因此确定估价对象与可比实例该因素指数均为</w:t>
            </w:r>
            <w:r>
              <w:rPr>
                <w:rFonts w:eastAsia="华文细黑" w:cs="Arial" w:ascii="Arial" w:hAnsi="Arial"/>
                <w:sz w:val="18"/>
                <w:szCs w:val="18"/>
              </w:rPr>
              <w:t>100</w:t>
            </w:r>
            <w:r>
              <w:rPr>
                <w:rFonts w:ascii="Arial" w:hAnsi="Arial" w:cs="Arial" w:eastAsia="华文细黑"/>
                <w:sz w:val="18"/>
                <w:szCs w:val="18"/>
              </w:rPr>
              <w:t>；</w:t>
            </w:r>
          </w:p>
        </w:tc>
      </w:tr>
      <w:tr>
        <w:trPr>
          <w:trHeight w:val="521" w:hRule="atLeast"/>
        </w:trPr>
        <w:tc>
          <w:tcPr>
            <w:tcW w:w="1526" w:type="dxa"/>
            <w:gridSpan w:val="2"/>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交易情况</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可比实例均为正常交易或已修正为正常交易，故不予修正，交易情况指数均</w:t>
            </w:r>
            <w:r>
              <w:rPr>
                <w:rFonts w:eastAsia="华文细黑" w:cs="Arial" w:ascii="Arial" w:hAnsi="Arial"/>
                <w:sz w:val="18"/>
                <w:szCs w:val="18"/>
              </w:rPr>
              <w:t>100</w:t>
            </w:r>
            <w:r>
              <w:rPr>
                <w:rFonts w:ascii="Arial" w:hAnsi="Arial" w:cs="Arial" w:eastAsia="华文细黑"/>
                <w:sz w:val="18"/>
                <w:szCs w:val="18"/>
              </w:rPr>
              <w:t>；</w:t>
            </w:r>
          </w:p>
        </w:tc>
      </w:tr>
      <w:tr>
        <w:trPr>
          <w:trHeight w:val="724" w:hRule="atLeast"/>
        </w:trPr>
        <w:tc>
          <w:tcPr>
            <w:tcW w:w="56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区域</w:t>
            </w:r>
          </w:p>
          <w:p>
            <w:pPr>
              <w:pStyle w:val="Normal"/>
              <w:jc w:val="center"/>
              <w:rPr>
                <w:rFonts w:ascii="Arial" w:hAnsi="Arial" w:eastAsia="华文细黑" w:cs="Arial"/>
                <w:sz w:val="18"/>
                <w:szCs w:val="18"/>
              </w:rPr>
            </w:pPr>
            <w:r>
              <w:rPr>
                <w:rFonts w:ascii="Arial" w:hAnsi="Arial" w:cs="Arial" w:eastAsia="华文细黑"/>
                <w:sz w:val="18"/>
                <w:szCs w:val="18"/>
              </w:rPr>
              <w:t>状况</w:t>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居住区成熟度</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从好到差划分为好、较好、一般、较差、差五个等级，每个等级相差</w:t>
            </w:r>
            <w:r>
              <w:rPr>
                <w:rFonts w:eastAsia="华文细黑" w:cs="Arial" w:ascii="Arial" w:hAnsi="Arial"/>
                <w:sz w:val="18"/>
                <w:szCs w:val="18"/>
              </w:rPr>
              <w:t>1</w:t>
            </w:r>
            <w:r>
              <w:rPr>
                <w:rFonts w:ascii="Arial" w:hAnsi="Arial" w:cs="Arial" w:eastAsia="华文细黑"/>
                <w:sz w:val="18"/>
                <w:szCs w:val="18"/>
              </w:rPr>
              <w:t>分，确定可比实例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693" w:hRule="atLeast"/>
        </w:trPr>
        <w:tc>
          <w:tcPr>
            <w:tcW w:w="56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交通条件</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从好到差划分为好、较好、一般、较差、差五个等级，每个等级相差</w:t>
            </w:r>
            <w:r>
              <w:rPr>
                <w:rFonts w:eastAsia="华文细黑" w:cs="Arial" w:ascii="Arial" w:hAnsi="Arial"/>
                <w:sz w:val="18"/>
                <w:szCs w:val="18"/>
              </w:rPr>
              <w:t>2</w:t>
            </w:r>
            <w:r>
              <w:rPr>
                <w:rFonts w:ascii="Arial" w:hAnsi="Arial" w:cs="Arial" w:eastAsia="华文细黑"/>
                <w:sz w:val="18"/>
                <w:szCs w:val="18"/>
              </w:rPr>
              <w:t>分，确定可比实例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102</w:t>
            </w:r>
            <w:r>
              <w:rPr>
                <w:rFonts w:ascii="Arial" w:hAnsi="Arial" w:cs="Arial" w:eastAsia="华文细黑"/>
                <w:sz w:val="18"/>
                <w:szCs w:val="18"/>
              </w:rPr>
              <w:t>、</w:t>
            </w:r>
            <w:r>
              <w:rPr>
                <w:rFonts w:eastAsia="华文细黑" w:cs="Arial" w:ascii="Arial" w:hAnsi="Arial"/>
                <w:sz w:val="18"/>
                <w:szCs w:val="18"/>
              </w:rPr>
              <w:t>102</w:t>
            </w:r>
            <w:r>
              <w:rPr>
                <w:rFonts w:ascii="Arial" w:hAnsi="Arial" w:cs="Arial" w:eastAsia="华文细黑"/>
                <w:sz w:val="18"/>
                <w:szCs w:val="18"/>
              </w:rPr>
              <w:t>、</w:t>
            </w:r>
            <w:r>
              <w:rPr>
                <w:rFonts w:eastAsia="华文细黑" w:cs="Arial" w:ascii="Arial" w:hAnsi="Arial"/>
                <w:sz w:val="18"/>
                <w:szCs w:val="18"/>
              </w:rPr>
              <w:t>102</w:t>
            </w:r>
            <w:r>
              <w:rPr>
                <w:rFonts w:ascii="Arial" w:hAnsi="Arial" w:cs="Arial" w:eastAsia="华文细黑"/>
                <w:sz w:val="18"/>
                <w:szCs w:val="18"/>
              </w:rPr>
              <w:t>；</w:t>
            </w:r>
          </w:p>
        </w:tc>
      </w:tr>
      <w:tr>
        <w:trPr>
          <w:trHeight w:val="704" w:hRule="atLeast"/>
        </w:trPr>
        <w:tc>
          <w:tcPr>
            <w:tcW w:w="56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商业设施</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从好到差划分为好、较好、一般、较差、差五个等级，每个等级相差</w:t>
            </w:r>
            <w:r>
              <w:rPr>
                <w:rFonts w:eastAsia="华文细黑" w:cs="Arial" w:ascii="Arial" w:hAnsi="Arial"/>
                <w:sz w:val="18"/>
                <w:szCs w:val="18"/>
              </w:rPr>
              <w:t>1</w:t>
            </w:r>
            <w:r>
              <w:rPr>
                <w:rFonts w:ascii="Arial" w:hAnsi="Arial" w:cs="Arial" w:eastAsia="华文细黑"/>
                <w:sz w:val="18"/>
                <w:szCs w:val="18"/>
              </w:rPr>
              <w:t>分，确定可比实例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698" w:hRule="atLeast"/>
        </w:trPr>
        <w:tc>
          <w:tcPr>
            <w:tcW w:w="56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环境状况</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从好到差划分为好、较好、一般、较差、差五个等级，每个等级相差</w:t>
            </w:r>
            <w:r>
              <w:rPr>
                <w:rFonts w:eastAsia="华文细黑" w:cs="Arial" w:ascii="Arial" w:hAnsi="Arial"/>
                <w:sz w:val="18"/>
                <w:szCs w:val="18"/>
              </w:rPr>
              <w:t>1</w:t>
            </w:r>
            <w:r>
              <w:rPr>
                <w:rFonts w:ascii="Arial" w:hAnsi="Arial" w:cs="Arial" w:eastAsia="华文细黑"/>
                <w:sz w:val="18"/>
                <w:szCs w:val="18"/>
              </w:rPr>
              <w:t>分，确定可比实例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695" w:hRule="atLeast"/>
        </w:trPr>
        <w:tc>
          <w:tcPr>
            <w:tcW w:w="561" w:type="dxa"/>
            <w:vMerge w:val="continue"/>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b/>
                <w:b/>
                <w:sz w:val="18"/>
                <w:szCs w:val="18"/>
              </w:rPr>
            </w:pPr>
            <w:r>
              <w:rPr>
                <w:rFonts w:ascii="Arial" w:hAnsi="Arial" w:cs="Arial" w:eastAsia="华文细黑"/>
                <w:sz w:val="18"/>
                <w:szCs w:val="18"/>
              </w:rPr>
              <w:t>公共配套</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从好到差划分为好、较好、一般、较差、差五个等级，每个等级相差</w:t>
            </w:r>
            <w:r>
              <w:rPr>
                <w:rFonts w:eastAsia="华文细黑" w:cs="Arial" w:ascii="Arial" w:hAnsi="Arial"/>
                <w:sz w:val="18"/>
                <w:szCs w:val="18"/>
              </w:rPr>
              <w:t>1</w:t>
            </w:r>
            <w:r>
              <w:rPr>
                <w:rFonts w:ascii="Arial" w:hAnsi="Arial" w:cs="Arial" w:eastAsia="华文细黑"/>
                <w:sz w:val="18"/>
                <w:szCs w:val="18"/>
              </w:rPr>
              <w:t>分，确定可比实例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1275" w:hRule="atLeast"/>
        </w:trPr>
        <w:tc>
          <w:tcPr>
            <w:tcW w:w="561" w:type="dxa"/>
            <w:vMerge w:val="restart"/>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实物</w:t>
            </w:r>
          </w:p>
          <w:p>
            <w:pPr>
              <w:pStyle w:val="Normal"/>
              <w:jc w:val="center"/>
              <w:rPr>
                <w:rFonts w:ascii="Arial" w:hAnsi="Arial" w:eastAsia="华文细黑" w:cs="Arial"/>
                <w:sz w:val="18"/>
                <w:szCs w:val="18"/>
              </w:rPr>
            </w:pPr>
            <w:r>
              <w:rPr>
                <w:rFonts w:ascii="Arial" w:hAnsi="Arial" w:cs="Arial" w:eastAsia="华文细黑"/>
                <w:sz w:val="18"/>
                <w:szCs w:val="18"/>
              </w:rPr>
              <w:t>状况</w:t>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物业服务</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根据物业服务对其价值的影响，从好到差划分为有专业物业公司、无物业公司二个等级。以估价对象该因素指数为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402"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小区环境</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根据小区环境对其价值的影响，从好到一般划分为绿化率≥</w:t>
            </w:r>
            <w:r>
              <w:rPr>
                <w:rFonts w:eastAsia="华文细黑" w:cs="Arial" w:ascii="Arial" w:hAnsi="Arial"/>
                <w:sz w:val="18"/>
                <w:szCs w:val="18"/>
              </w:rPr>
              <w:t>40%</w:t>
            </w:r>
            <w:r>
              <w:rPr>
                <w:rFonts w:ascii="Arial" w:hAnsi="Arial" w:cs="Arial" w:eastAsia="华文细黑"/>
                <w:sz w:val="18"/>
                <w:szCs w:val="18"/>
              </w:rPr>
              <w:t>为好，</w:t>
            </w:r>
            <w:r>
              <w:rPr>
                <w:rFonts w:eastAsia="华文细黑" w:cs="Arial" w:ascii="Arial" w:hAnsi="Arial"/>
                <w:sz w:val="18"/>
                <w:szCs w:val="18"/>
              </w:rPr>
              <w:t>40</w:t>
            </w:r>
            <w:r>
              <w:rPr>
                <w:rFonts w:ascii="Arial" w:hAnsi="Arial" w:cs="Arial" w:eastAsia="华文细黑"/>
                <w:sz w:val="18"/>
                <w:szCs w:val="18"/>
              </w:rPr>
              <w:t>％</w:t>
            </w:r>
            <w:r>
              <w:rPr>
                <w:rFonts w:eastAsia="华文细黑" w:cs="Arial" w:ascii="Arial" w:hAnsi="Arial"/>
                <w:sz w:val="18"/>
                <w:szCs w:val="18"/>
              </w:rPr>
              <w:t>&gt;</w:t>
            </w:r>
            <w:r>
              <w:rPr>
                <w:rFonts w:ascii="Arial" w:hAnsi="Arial" w:cs="Arial" w:eastAsia="华文细黑"/>
                <w:sz w:val="18"/>
                <w:szCs w:val="18"/>
              </w:rPr>
              <w:t>绿化率≥</w:t>
            </w:r>
            <w:r>
              <w:rPr>
                <w:rFonts w:eastAsia="华文细黑" w:cs="Arial" w:ascii="Arial" w:hAnsi="Arial"/>
                <w:sz w:val="18"/>
                <w:szCs w:val="18"/>
              </w:rPr>
              <w:t>35%</w:t>
            </w:r>
            <w:r>
              <w:rPr>
                <w:rFonts w:ascii="Arial" w:hAnsi="Arial" w:cs="Arial" w:eastAsia="华文细黑"/>
                <w:sz w:val="18"/>
                <w:szCs w:val="18"/>
              </w:rPr>
              <w:t>为较好，</w:t>
            </w:r>
            <w:r>
              <w:rPr>
                <w:rFonts w:eastAsia="华文细黑" w:cs="Arial" w:ascii="Arial" w:hAnsi="Arial"/>
                <w:sz w:val="18"/>
                <w:szCs w:val="18"/>
              </w:rPr>
              <w:t>35%&gt;</w:t>
            </w:r>
            <w:r>
              <w:rPr>
                <w:rFonts w:ascii="Arial" w:hAnsi="Arial" w:cs="Arial" w:eastAsia="华文细黑"/>
                <w:sz w:val="18"/>
                <w:szCs w:val="18"/>
              </w:rPr>
              <w:t>绿化率≥</w:t>
            </w:r>
            <w:r>
              <w:rPr>
                <w:rFonts w:eastAsia="华文细黑" w:cs="Arial" w:ascii="Arial" w:hAnsi="Arial"/>
                <w:sz w:val="18"/>
                <w:szCs w:val="18"/>
              </w:rPr>
              <w:t>30%</w:t>
            </w:r>
            <w:r>
              <w:rPr>
                <w:rFonts w:ascii="Arial" w:hAnsi="Arial" w:cs="Arial" w:eastAsia="华文细黑"/>
                <w:sz w:val="18"/>
                <w:szCs w:val="18"/>
              </w:rPr>
              <w:t>为一般三个等级，每个等级相差</w:t>
            </w:r>
            <w:r>
              <w:rPr>
                <w:rFonts w:eastAsia="华文细黑" w:cs="Arial" w:ascii="Arial" w:hAnsi="Arial"/>
                <w:sz w:val="18"/>
                <w:szCs w:val="18"/>
              </w:rPr>
              <w:t>1</w:t>
            </w:r>
            <w:r>
              <w:rPr>
                <w:rFonts w:ascii="Arial" w:hAnsi="Arial" w:cs="Arial" w:eastAsia="华文细黑"/>
                <w:sz w:val="18"/>
                <w:szCs w:val="18"/>
              </w:rPr>
              <w:t>分。以估价对象该因素指数为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102</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1290"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配套设施</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配套设施对其价值的影响，从好到差划分为配备医疗站、活动站、人脸识别门禁系统；配备医疗站、活动站；配备活动站、不配备医疗站或配备医疗站，无活动站；无医疗站、活动站三个等级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1335"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居住管理</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根据居住管理对其价值的影响，从好到差划分为</w:t>
            </w:r>
            <w:r>
              <w:rPr>
                <w:rFonts w:ascii="Arial" w:hAnsi="Arial" w:cs="Arial" w:eastAsia="华文细黑"/>
                <w:spacing w:val="-5"/>
                <w:sz w:val="18"/>
                <w:szCs w:val="18"/>
              </w:rPr>
              <w:t>有专业管理人员配置、管理人员配置、无管理人员配置三</w:t>
            </w:r>
            <w:r>
              <w:rPr>
                <w:rFonts w:ascii="Arial" w:hAnsi="Arial" w:cs="Arial" w:eastAsia="华文细黑"/>
                <w:sz w:val="18"/>
                <w:szCs w:val="18"/>
              </w:rPr>
              <w:t>个等级。以估价对象该因素指数为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1019"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户型</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99</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99</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99</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根据户型对其价值的影响，从好到差划分为三居室、二居室</w:t>
            </w:r>
            <w:r>
              <w:rPr>
                <w:rFonts w:eastAsia="华文细黑" w:cs="Arial" w:ascii="Arial" w:hAnsi="Arial"/>
                <w:sz w:val="18"/>
                <w:szCs w:val="18"/>
              </w:rPr>
              <w:t>/</w:t>
            </w:r>
            <w:r>
              <w:rPr>
                <w:rFonts w:ascii="Arial" w:hAnsi="Arial" w:cs="Arial" w:eastAsia="华文细黑"/>
                <w:sz w:val="18"/>
                <w:szCs w:val="18"/>
              </w:rPr>
              <w:t>一居室、开间三个等级。以估价对象该因素指数为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99</w:t>
            </w:r>
            <w:r>
              <w:rPr>
                <w:rFonts w:ascii="Arial" w:hAnsi="Arial" w:cs="Arial" w:eastAsia="华文细黑"/>
                <w:sz w:val="18"/>
                <w:szCs w:val="18"/>
              </w:rPr>
              <w:t>、</w:t>
            </w:r>
            <w:r>
              <w:rPr>
                <w:rFonts w:eastAsia="华文细黑" w:cs="Arial" w:ascii="Arial" w:hAnsi="Arial"/>
                <w:sz w:val="18"/>
                <w:szCs w:val="18"/>
              </w:rPr>
              <w:t>99</w:t>
            </w:r>
            <w:r>
              <w:rPr>
                <w:rFonts w:ascii="Arial" w:hAnsi="Arial" w:cs="Arial" w:eastAsia="华文细黑"/>
                <w:sz w:val="18"/>
                <w:szCs w:val="18"/>
              </w:rPr>
              <w:t>、</w:t>
            </w:r>
            <w:r>
              <w:rPr>
                <w:rFonts w:eastAsia="华文细黑" w:cs="Arial" w:ascii="Arial" w:hAnsi="Arial"/>
                <w:sz w:val="18"/>
                <w:szCs w:val="18"/>
              </w:rPr>
              <w:t>99</w:t>
            </w:r>
            <w:r>
              <w:rPr>
                <w:rFonts w:ascii="Arial" w:hAnsi="Arial" w:cs="Arial" w:eastAsia="华文细黑"/>
                <w:sz w:val="18"/>
                <w:szCs w:val="18"/>
              </w:rPr>
              <w:t>；</w:t>
            </w:r>
          </w:p>
        </w:tc>
      </w:tr>
      <w:tr>
        <w:trPr>
          <w:trHeight w:val="1019"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朝向、采光、通风</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99</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朝向对其价值的影响，从好到差划分为好、较好、一般、较差、差五个等级。南北通透，多数房间、通风、采光好，好；朝向较好，能保证较长时间的采光，通风较好，较好；客厅、主卧采光通风较好，一般；采光时间较短、通风不良，较差；没有采光、不通风，差。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99</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870"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装修</w:t>
            </w:r>
          </w:p>
        </w:tc>
        <w:tc>
          <w:tcPr>
            <w:tcW w:w="74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装修对其价值的影响，从好到差划分为好、较好、一般、较差、差五个等级。装修用材环保，经过精心设计，提升居住体验，好；装修用村环保、与居住功能相适用，较好；基本装修，未对居住产生不良影响，一般；基本装修或用材一般，有污染，对居住功能产生负面影响，较差；无装修或装修已经老化、装修材料较差，有污染，或刚装修不久，影响了居住，差。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870"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标准房建筑面积</w:t>
            </w:r>
          </w:p>
        </w:tc>
        <w:tc>
          <w:tcPr>
            <w:tcW w:w="74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2"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1023"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3774" w:type="dxa"/>
            <w:tcBorders>
              <w:top w:val="single" w:sz="4" w:space="0" w:color="000000"/>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根据标准房建筑面积对其价值的影响，面积从</w:t>
            </w:r>
            <w:r>
              <w:rPr>
                <w:rFonts w:eastAsia="华文细黑" w:cs="Arial" w:ascii="Arial" w:hAnsi="Arial"/>
                <w:sz w:val="18"/>
                <w:szCs w:val="18"/>
              </w:rPr>
              <w:t>40-60</w:t>
            </w:r>
            <w:r>
              <w:rPr>
                <w:rFonts w:ascii="Arial" w:hAnsi="Arial" w:cs="Arial" w:eastAsia="华文细黑"/>
                <w:sz w:val="18"/>
                <w:szCs w:val="18"/>
              </w:rPr>
              <w:t>、</w:t>
            </w:r>
            <w:r>
              <w:rPr>
                <w:rFonts w:eastAsia="华文细黑" w:cs="Arial" w:ascii="Arial" w:hAnsi="Arial"/>
                <w:sz w:val="18"/>
                <w:szCs w:val="18"/>
              </w:rPr>
              <w:t>60-80</w:t>
            </w:r>
            <w:r>
              <w:rPr>
                <w:rFonts w:ascii="Arial" w:hAnsi="Arial" w:cs="Arial" w:eastAsia="华文细黑"/>
                <w:sz w:val="18"/>
                <w:szCs w:val="18"/>
              </w:rPr>
              <w:t>、</w:t>
            </w:r>
            <w:r>
              <w:rPr>
                <w:rFonts w:eastAsia="华文细黑" w:cs="Arial" w:ascii="Arial" w:hAnsi="Arial"/>
                <w:sz w:val="18"/>
                <w:szCs w:val="18"/>
              </w:rPr>
              <w:t>80-100</w:t>
            </w:r>
            <w:r>
              <w:rPr>
                <w:rFonts w:ascii="Arial" w:hAnsi="Arial" w:cs="Arial" w:eastAsia="华文细黑"/>
                <w:sz w:val="18"/>
                <w:szCs w:val="18"/>
              </w:rPr>
              <w:t>、</w:t>
            </w:r>
            <w:r>
              <w:rPr>
                <w:rFonts w:eastAsia="华文细黑" w:cs="Arial" w:ascii="Arial" w:hAnsi="Arial"/>
                <w:sz w:val="18"/>
                <w:szCs w:val="18"/>
              </w:rPr>
              <w:t>100-120</w:t>
            </w:r>
            <w:r>
              <w:rPr>
                <w:rFonts w:ascii="Arial" w:hAnsi="Arial" w:cs="Arial" w:eastAsia="华文细黑"/>
                <w:sz w:val="18"/>
                <w:szCs w:val="18"/>
              </w:rPr>
              <w:t>、</w:t>
            </w:r>
            <w:r>
              <w:rPr>
                <w:rFonts w:eastAsia="华文细黑" w:cs="Arial" w:ascii="Arial" w:hAnsi="Arial"/>
                <w:sz w:val="18"/>
                <w:szCs w:val="18"/>
              </w:rPr>
              <w:t>120-150</w:t>
            </w:r>
            <w:r>
              <w:rPr>
                <w:rFonts w:ascii="Arial" w:hAnsi="Arial" w:cs="Arial" w:eastAsia="华文细黑"/>
                <w:sz w:val="18"/>
                <w:szCs w:val="18"/>
              </w:rPr>
              <w:t>平方米依次逐级递增。面积越小出租率越高，以估价对象该因素指数为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100</w:t>
            </w:r>
            <w:r>
              <w:rPr>
                <w:rFonts w:ascii="Arial" w:hAnsi="Arial" w:cs="Arial" w:eastAsia="华文细黑"/>
                <w:sz w:val="18"/>
                <w:szCs w:val="18"/>
              </w:rPr>
              <w:t>、</w:t>
            </w:r>
            <w:r>
              <w:rPr>
                <w:rFonts w:eastAsia="华文细黑" w:cs="Arial" w:ascii="Arial" w:hAnsi="Arial"/>
                <w:sz w:val="18"/>
                <w:szCs w:val="18"/>
              </w:rPr>
              <w:t>102</w:t>
            </w:r>
            <w:r>
              <w:rPr>
                <w:rFonts w:ascii="Arial" w:hAnsi="Arial" w:cs="Arial" w:eastAsia="华文细黑"/>
                <w:sz w:val="18"/>
                <w:szCs w:val="18"/>
              </w:rPr>
              <w:t>、</w:t>
            </w:r>
            <w:r>
              <w:rPr>
                <w:rFonts w:eastAsia="华文细黑" w:cs="Arial" w:ascii="Arial" w:hAnsi="Arial"/>
                <w:sz w:val="18"/>
                <w:szCs w:val="18"/>
              </w:rPr>
              <w:t>100</w:t>
            </w:r>
            <w:r>
              <w:rPr>
                <w:rFonts w:ascii="Arial" w:hAnsi="Arial" w:cs="Arial" w:eastAsia="华文细黑"/>
                <w:sz w:val="18"/>
                <w:szCs w:val="18"/>
              </w:rPr>
              <w:t>；</w:t>
            </w:r>
          </w:p>
        </w:tc>
      </w:tr>
      <w:tr>
        <w:trPr>
          <w:trHeight w:val="874"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设备</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102</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根据设备对其价值的影响，从好到差划分为好、较好、一般、较差、差五个等级。</w:t>
            </w:r>
          </w:p>
          <w:p>
            <w:pPr>
              <w:pStyle w:val="Normal"/>
              <w:rPr>
                <w:rFonts w:ascii="Arial" w:hAnsi="Arial" w:eastAsia="华文细黑" w:cs="Arial"/>
                <w:sz w:val="18"/>
                <w:szCs w:val="18"/>
              </w:rPr>
            </w:pPr>
            <w:r>
              <w:rPr>
                <w:rFonts w:ascii="Arial" w:hAnsi="Arial" w:cs="Arial" w:eastAsia="华文细黑"/>
                <w:sz w:val="18"/>
                <w:szCs w:val="18"/>
              </w:rPr>
              <w:t>使用著名品牌家具、家电；功能与居住相适应；质量有可靠保证，好；使用品牌家具、家电；功能正常，质量有保证，较好；使用品牌家具、家电；虽然使用较长时间，但功能正常功能正常，质量有保证，一般；仅厨房卫生间配备家具、家电。功能正常，质量有保证。居室无家具家电，较差；使用三无产品；功能不正常使用，经常损坏，质量没有保障，发生危险的可能性较大，差。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102</w:t>
            </w:r>
            <w:r>
              <w:rPr>
                <w:rFonts w:ascii="Arial" w:hAnsi="Arial" w:cs="Arial" w:eastAsia="华文细黑"/>
                <w:sz w:val="18"/>
                <w:szCs w:val="18"/>
              </w:rPr>
              <w:t>、</w:t>
            </w:r>
            <w:r>
              <w:rPr>
                <w:rFonts w:eastAsia="华文细黑" w:cs="Arial" w:ascii="Arial" w:hAnsi="Arial"/>
                <w:sz w:val="18"/>
                <w:szCs w:val="18"/>
              </w:rPr>
              <w:t>102</w:t>
            </w:r>
            <w:r>
              <w:rPr>
                <w:rFonts w:ascii="Arial" w:hAnsi="Arial" w:cs="Arial" w:eastAsia="华文细黑"/>
                <w:sz w:val="18"/>
                <w:szCs w:val="18"/>
              </w:rPr>
              <w:t>、</w:t>
            </w:r>
            <w:r>
              <w:rPr>
                <w:rFonts w:eastAsia="华文细黑" w:cs="Arial" w:ascii="Arial" w:hAnsi="Arial"/>
                <w:sz w:val="18"/>
                <w:szCs w:val="18"/>
              </w:rPr>
              <w:t>102</w:t>
            </w:r>
            <w:r>
              <w:rPr>
                <w:rFonts w:ascii="Arial" w:hAnsi="Arial" w:cs="Arial" w:eastAsia="华文细黑"/>
                <w:sz w:val="18"/>
                <w:szCs w:val="18"/>
              </w:rPr>
              <w:t>；</w:t>
            </w:r>
          </w:p>
        </w:tc>
      </w:tr>
      <w:tr>
        <w:trPr>
          <w:trHeight w:val="874" w:hRule="atLeast"/>
        </w:trPr>
        <w:tc>
          <w:tcPr>
            <w:tcW w:w="561" w:type="dxa"/>
            <w:vMerge w:val="continue"/>
            <w:tcBorders>
              <w:left w:val="single" w:sz="4" w:space="0" w:color="000000"/>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eastAsia="华文细黑" w:cs="Arial" w:ascii="Arial" w:hAnsi="Arial"/>
                <w:sz w:val="18"/>
                <w:szCs w:val="18"/>
              </w:rPr>
            </w:r>
          </w:p>
        </w:tc>
        <w:tc>
          <w:tcPr>
            <w:tcW w:w="965"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ascii="Arial" w:hAnsi="Arial" w:cs="Arial" w:eastAsia="华文细黑"/>
                <w:sz w:val="18"/>
                <w:szCs w:val="18"/>
              </w:rPr>
              <w:t>成新度</w:t>
            </w:r>
          </w:p>
        </w:tc>
        <w:tc>
          <w:tcPr>
            <w:tcW w:w="74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100</w:t>
            </w:r>
          </w:p>
        </w:tc>
        <w:tc>
          <w:tcPr>
            <w:tcW w:w="1024"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98</w:t>
            </w:r>
          </w:p>
        </w:tc>
        <w:tc>
          <w:tcPr>
            <w:tcW w:w="1022"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99</w:t>
            </w:r>
          </w:p>
        </w:tc>
        <w:tc>
          <w:tcPr>
            <w:tcW w:w="1023" w:type="dxa"/>
            <w:tcBorders>
              <w:bottom w:val="single" w:sz="4" w:space="0" w:color="000000"/>
              <w:right w:val="single" w:sz="4" w:space="0" w:color="000000"/>
            </w:tcBorders>
            <w:shd w:fill="auto" w:val="clear"/>
            <w:vAlign w:val="center"/>
          </w:tcPr>
          <w:p>
            <w:pPr>
              <w:pStyle w:val="Normal"/>
              <w:jc w:val="center"/>
              <w:rPr>
                <w:rFonts w:ascii="Arial" w:hAnsi="Arial" w:eastAsia="华文细黑" w:cs="Arial"/>
                <w:sz w:val="18"/>
                <w:szCs w:val="18"/>
              </w:rPr>
            </w:pPr>
            <w:r>
              <w:rPr>
                <w:rFonts w:eastAsia="华文细黑" w:cs="Arial" w:ascii="Arial" w:hAnsi="Arial"/>
                <w:sz w:val="18"/>
                <w:szCs w:val="18"/>
              </w:rPr>
              <w:t>99</w:t>
            </w:r>
          </w:p>
        </w:tc>
        <w:tc>
          <w:tcPr>
            <w:tcW w:w="3774" w:type="dxa"/>
            <w:tcBorders>
              <w:bottom w:val="single" w:sz="4" w:space="0" w:color="000000"/>
              <w:right w:val="single" w:sz="4" w:space="0" w:color="000000"/>
            </w:tcBorders>
            <w:shd w:fill="auto" w:val="clear"/>
            <w:vAlign w:val="center"/>
          </w:tcPr>
          <w:p>
            <w:pPr>
              <w:pStyle w:val="Normal"/>
              <w:rPr>
                <w:rFonts w:ascii="Arial" w:hAnsi="Arial" w:eastAsia="华文细黑" w:cs="Arial"/>
                <w:sz w:val="18"/>
                <w:szCs w:val="18"/>
              </w:rPr>
            </w:pPr>
            <w:r>
              <w:rPr>
                <w:rFonts w:ascii="Arial" w:hAnsi="Arial" w:cs="Arial" w:eastAsia="华文细黑"/>
                <w:sz w:val="18"/>
                <w:szCs w:val="18"/>
              </w:rPr>
              <w:t>根据成新度对其价值的影响，从</w:t>
            </w:r>
            <w:r>
              <w:rPr>
                <w:rFonts w:eastAsia="华文细黑" w:cs="Arial" w:ascii="Arial" w:hAnsi="Arial"/>
                <w:sz w:val="18"/>
                <w:szCs w:val="18"/>
              </w:rPr>
              <w:t>90%-100%</w:t>
            </w:r>
            <w:r>
              <w:rPr>
                <w:rFonts w:ascii="Arial" w:hAnsi="Arial" w:cs="Arial" w:eastAsia="华文细黑"/>
                <w:sz w:val="18"/>
                <w:szCs w:val="18"/>
              </w:rPr>
              <w:t>、</w:t>
            </w:r>
            <w:r>
              <w:rPr>
                <w:rFonts w:eastAsia="华文细黑" w:cs="Arial" w:ascii="Arial" w:hAnsi="Arial"/>
                <w:sz w:val="18"/>
                <w:szCs w:val="18"/>
              </w:rPr>
              <w:t>80%-90%</w:t>
            </w:r>
            <w:r>
              <w:rPr>
                <w:rFonts w:ascii="Arial" w:hAnsi="Arial" w:cs="Arial" w:eastAsia="华文细黑"/>
                <w:sz w:val="18"/>
                <w:szCs w:val="18"/>
              </w:rPr>
              <w:t>、</w:t>
            </w:r>
            <w:r>
              <w:rPr>
                <w:rFonts w:eastAsia="华文细黑" w:cs="Arial" w:ascii="Arial" w:hAnsi="Arial"/>
                <w:sz w:val="18"/>
                <w:szCs w:val="18"/>
              </w:rPr>
              <w:t>70%-80%</w:t>
            </w:r>
            <w:r>
              <w:rPr>
                <w:rFonts w:ascii="Arial" w:hAnsi="Arial" w:cs="Arial" w:eastAsia="华文细黑"/>
                <w:sz w:val="18"/>
                <w:szCs w:val="18"/>
              </w:rPr>
              <w:t>、</w:t>
            </w:r>
            <w:r>
              <w:rPr>
                <w:rFonts w:eastAsia="华文细黑" w:cs="Arial" w:ascii="Arial" w:hAnsi="Arial"/>
                <w:sz w:val="18"/>
                <w:szCs w:val="18"/>
              </w:rPr>
              <w:t>60%-70%</w:t>
            </w:r>
            <w:r>
              <w:rPr>
                <w:rFonts w:ascii="Arial" w:hAnsi="Arial" w:cs="Arial" w:eastAsia="华文细黑"/>
                <w:sz w:val="18"/>
                <w:szCs w:val="18"/>
              </w:rPr>
              <w:t>、</w:t>
            </w:r>
            <w:r>
              <w:rPr>
                <w:rFonts w:eastAsia="华文细黑" w:cs="Arial" w:ascii="Arial" w:hAnsi="Arial"/>
                <w:sz w:val="18"/>
                <w:szCs w:val="18"/>
              </w:rPr>
              <w:t>60%</w:t>
            </w:r>
            <w:r>
              <w:rPr>
                <w:rFonts w:ascii="Arial" w:hAnsi="Arial" w:cs="Arial" w:eastAsia="华文细黑"/>
                <w:sz w:val="18"/>
                <w:szCs w:val="18"/>
              </w:rPr>
              <w:t>及以下依次逐级递减。以估价对象该因素指数为</w:t>
            </w:r>
            <w:r>
              <w:rPr>
                <w:rFonts w:eastAsia="华文细黑" w:cs="Arial" w:ascii="Arial" w:hAnsi="Arial"/>
                <w:sz w:val="18"/>
                <w:szCs w:val="18"/>
              </w:rPr>
              <w:t>100</w:t>
            </w:r>
            <w:r>
              <w:rPr>
                <w:rFonts w:ascii="Arial" w:hAnsi="Arial" w:cs="Arial" w:eastAsia="华文细黑"/>
                <w:sz w:val="18"/>
                <w:szCs w:val="18"/>
              </w:rPr>
              <w:t>，各可比实例与之相比，确定可比实例</w:t>
            </w:r>
            <w:r>
              <w:rPr>
                <w:rFonts w:eastAsia="华文细黑" w:cs="Arial" w:ascii="Arial" w:hAnsi="Arial"/>
                <w:sz w:val="18"/>
                <w:szCs w:val="18"/>
              </w:rPr>
              <w:t>1</w:t>
            </w:r>
            <w:r>
              <w:rPr>
                <w:rFonts w:ascii="Arial" w:hAnsi="Arial" w:cs="Arial" w:eastAsia="华文细黑"/>
                <w:sz w:val="18"/>
                <w:szCs w:val="18"/>
              </w:rPr>
              <w:t>、</w:t>
            </w:r>
            <w:r>
              <w:rPr>
                <w:rFonts w:eastAsia="华文细黑" w:cs="Arial" w:ascii="Arial" w:hAnsi="Arial"/>
                <w:sz w:val="18"/>
                <w:szCs w:val="18"/>
              </w:rPr>
              <w:t>2</w:t>
            </w:r>
            <w:r>
              <w:rPr>
                <w:rFonts w:ascii="Arial" w:hAnsi="Arial" w:cs="Arial" w:eastAsia="华文细黑"/>
                <w:sz w:val="18"/>
                <w:szCs w:val="18"/>
              </w:rPr>
              <w:t>、</w:t>
            </w:r>
            <w:r>
              <w:rPr>
                <w:rFonts w:eastAsia="华文细黑" w:cs="Arial" w:ascii="Arial" w:hAnsi="Arial"/>
                <w:sz w:val="18"/>
                <w:szCs w:val="18"/>
              </w:rPr>
              <w:t>3</w:t>
            </w:r>
            <w:r>
              <w:rPr>
                <w:rFonts w:ascii="Arial" w:hAnsi="Arial" w:cs="Arial" w:eastAsia="华文细黑"/>
                <w:sz w:val="18"/>
                <w:szCs w:val="18"/>
              </w:rPr>
              <w:t>该因素指数分别为</w:t>
            </w:r>
            <w:r>
              <w:rPr>
                <w:rFonts w:eastAsia="华文细黑" w:cs="Arial" w:ascii="Arial" w:hAnsi="Arial"/>
                <w:sz w:val="18"/>
                <w:szCs w:val="18"/>
              </w:rPr>
              <w:t>98</w:t>
            </w:r>
            <w:r>
              <w:rPr>
                <w:rFonts w:ascii="Arial" w:hAnsi="Arial" w:cs="Arial" w:eastAsia="华文细黑"/>
                <w:sz w:val="18"/>
                <w:szCs w:val="18"/>
              </w:rPr>
              <w:t>、</w:t>
            </w:r>
            <w:r>
              <w:rPr>
                <w:rFonts w:eastAsia="华文细黑" w:cs="Arial" w:ascii="Arial" w:hAnsi="Arial"/>
                <w:sz w:val="18"/>
                <w:szCs w:val="18"/>
              </w:rPr>
              <w:t>99</w:t>
            </w:r>
            <w:r>
              <w:rPr>
                <w:rFonts w:ascii="Arial" w:hAnsi="Arial" w:cs="Arial" w:eastAsia="华文细黑"/>
                <w:sz w:val="18"/>
                <w:szCs w:val="18"/>
              </w:rPr>
              <w:t>、</w:t>
            </w:r>
            <w:r>
              <w:rPr>
                <w:rFonts w:eastAsia="华文细黑" w:cs="Arial" w:ascii="Arial" w:hAnsi="Arial"/>
                <w:sz w:val="18"/>
                <w:szCs w:val="18"/>
              </w:rPr>
              <w:t>99</w:t>
            </w:r>
            <w:r>
              <w:rPr>
                <w:rFonts w:ascii="Arial" w:hAnsi="Arial" w:cs="Arial" w:eastAsia="华文细黑"/>
                <w:sz w:val="18"/>
                <w:szCs w:val="18"/>
              </w:rPr>
              <w:t>；</w:t>
            </w:r>
          </w:p>
        </w:tc>
      </w:tr>
    </w:tbl>
    <w:p>
      <w:pPr>
        <w:pStyle w:val="Normal"/>
        <w:overflowPunct w:val="false"/>
        <w:snapToGrid w:val="false"/>
        <w:rPr>
          <w:rFonts w:ascii="Arial" w:hAnsi="Arial" w:cs="Arial"/>
          <w:sz w:val="18"/>
          <w:szCs w:val="18"/>
        </w:rPr>
      </w:pPr>
      <w:r>
        <w:rPr>
          <w:rFonts w:ascii="Arial" w:hAnsi="Arial" w:cs="Arial"/>
          <w:sz w:val="21"/>
          <w:szCs w:val="21"/>
        </w:rPr>
        <w:t xml:space="preserve">    </w:t>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cs="Arial" w:ascii="Arial" w:hAnsi="Arial"/>
          <w:sz w:val="21"/>
          <w:szCs w:val="21"/>
        </w:rPr>
      </w:r>
    </w:p>
    <w:p>
      <w:pPr>
        <w:pStyle w:val="Normal"/>
        <w:overflowPunct w:val="false"/>
        <w:spacing w:lineRule="auto" w:line="480"/>
        <w:rPr>
          <w:rFonts w:ascii="Arial" w:hAnsi="Arial" w:cs="Arial"/>
          <w:sz w:val="21"/>
          <w:szCs w:val="21"/>
        </w:rPr>
      </w:pPr>
      <w:r>
        <w:rPr>
          <w:rFonts w:ascii="Arial" w:hAnsi="Arial" w:cs="Arial"/>
          <w:sz w:val="21"/>
          <w:szCs w:val="21"/>
        </w:rPr>
        <w:t xml:space="preserve"> </w:t>
      </w:r>
      <w:r>
        <w:rPr>
          <w:rFonts w:cs="Arial" w:ascii="Arial" w:hAnsi="Arial"/>
          <w:sz w:val="21"/>
          <w:szCs w:val="21"/>
        </w:rPr>
        <w:t xml:space="preserve">3. </w:t>
      </w:r>
      <w:r>
        <w:rPr>
          <w:rFonts w:ascii="Arial" w:hAnsi="Arial" w:cs="Arial"/>
          <w:sz w:val="21"/>
          <w:szCs w:val="21"/>
        </w:rPr>
        <w:t xml:space="preserve">编制因素比较修正系数表 </w:t>
      </w:r>
    </w:p>
    <w:p>
      <w:pPr>
        <w:pStyle w:val="Normal"/>
        <w:overflowPunct w:val="false"/>
        <w:spacing w:lineRule="auto" w:line="480"/>
        <w:ind w:firstLine="420"/>
        <w:rPr>
          <w:rFonts w:ascii="Arial" w:hAnsi="Arial" w:cs="Arial"/>
          <w:sz w:val="21"/>
          <w:szCs w:val="21"/>
        </w:rPr>
      </w:pPr>
      <w:r>
        <w:rPr>
          <w:rFonts w:ascii="Arial" w:hAnsi="Arial" w:cs="Arial"/>
          <w:sz w:val="21"/>
          <w:szCs w:val="21"/>
        </w:rPr>
        <w:t xml:space="preserve">根据比较因素条件指数表，编制因素比较修正系数表，详见下表： </w:t>
      </w:r>
    </w:p>
    <w:p>
      <w:pPr>
        <w:pStyle w:val="Normal"/>
        <w:overflowPunct w:val="false"/>
        <w:spacing w:lineRule="auto" w:line="480"/>
        <w:ind w:firstLine="420"/>
        <w:jc w:val="center"/>
        <w:rPr>
          <w:rFonts w:ascii="Arial" w:hAnsi="Arial" w:cs="Arial"/>
          <w:sz w:val="21"/>
          <w:szCs w:val="21"/>
        </w:rPr>
      </w:pPr>
      <w:r>
        <w:rPr>
          <w:rFonts w:ascii="Arial" w:hAnsi="Arial" w:cs="Arial"/>
          <w:sz w:val="21"/>
          <w:szCs w:val="21"/>
        </w:rPr>
        <w:t>因素比较修正系数表</w:t>
      </w:r>
    </w:p>
    <w:tbl>
      <w:tblPr>
        <w:tblW w:w="9298" w:type="dxa"/>
        <w:jc w:val="center"/>
        <w:tblInd w:w="0" w:type="dxa"/>
        <w:tblCellMar>
          <w:top w:w="57" w:type="dxa"/>
          <w:left w:w="57" w:type="dxa"/>
          <w:bottom w:w="57" w:type="dxa"/>
          <w:right w:w="57" w:type="dxa"/>
        </w:tblCellMar>
        <w:tblLook w:firstRow="1" w:noVBand="1" w:lastRow="0" w:firstColumn="1" w:lastColumn="0" w:noHBand="0" w:val="04a0"/>
      </w:tblPr>
      <w:tblGrid>
        <w:gridCol w:w="1473"/>
        <w:gridCol w:w="2819"/>
        <w:gridCol w:w="2"/>
        <w:gridCol w:w="1666"/>
        <w:gridCol w:w="1"/>
        <w:gridCol w:w="1666"/>
        <w:gridCol w:w="1"/>
        <w:gridCol w:w="1670"/>
      </w:tblGrid>
      <w:tr>
        <w:trPr>
          <w:trHeight w:val="227" w:hRule="atLeast"/>
        </w:trPr>
        <w:tc>
          <w:tcPr>
            <w:tcW w:w="429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项目</w:t>
            </w:r>
          </w:p>
        </w:tc>
        <w:tc>
          <w:tcPr>
            <w:tcW w:w="1667" w:type="dxa"/>
            <w:gridSpan w:val="2"/>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1</w:t>
            </w:r>
          </w:p>
        </w:tc>
        <w:tc>
          <w:tcPr>
            <w:tcW w:w="1667" w:type="dxa"/>
            <w:gridSpan w:val="2"/>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2</w:t>
            </w:r>
          </w:p>
        </w:tc>
        <w:tc>
          <w:tcPr>
            <w:tcW w:w="1670" w:type="dxa"/>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可比实例</w:t>
            </w:r>
            <w:r>
              <w:rPr>
                <w:rFonts w:eastAsia="华文细黑" w:cs="Arial" w:ascii="Arial" w:hAnsi="Arial"/>
                <w:sz w:val="18"/>
                <w:szCs w:val="18"/>
              </w:rPr>
              <w:t>3</w:t>
            </w:r>
          </w:p>
        </w:tc>
      </w:tr>
      <w:tr>
        <w:trPr>
          <w:trHeight w:val="227" w:hRule="atLeast"/>
        </w:trPr>
        <w:tc>
          <w:tcPr>
            <w:tcW w:w="429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小区名称</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碧波园</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世茂维拉</w:t>
            </w:r>
          </w:p>
        </w:tc>
        <w:tc>
          <w:tcPr>
            <w:tcW w:w="1670"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水碾屯西里</w:t>
            </w:r>
          </w:p>
        </w:tc>
      </w:tr>
      <w:tr>
        <w:trPr>
          <w:trHeight w:val="227" w:hRule="atLeast"/>
        </w:trPr>
        <w:tc>
          <w:tcPr>
            <w:tcW w:w="429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平均租金（元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34.66</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42.89</w:t>
            </w:r>
          </w:p>
        </w:tc>
        <w:tc>
          <w:tcPr>
            <w:tcW w:w="1670"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38.19</w:t>
            </w:r>
          </w:p>
        </w:tc>
      </w:tr>
      <w:tr>
        <w:trPr>
          <w:trHeight w:val="227" w:hRule="atLeast"/>
        </w:trPr>
        <w:tc>
          <w:tcPr>
            <w:tcW w:w="429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交易时间</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0"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429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交易情况</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0" w:type="dxa"/>
            <w:tcBorders>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restart"/>
            <w:tcBorders>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区域状况</w:t>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居住区成熟度</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交通条件</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商业设施</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自然环境</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公共配套</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restart"/>
            <w:tcBorders>
              <w:left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ascii="Arial" w:hAnsi="Arial" w:cs="Arial" w:eastAsia="华文细黑"/>
                <w:sz w:val="18"/>
                <w:szCs w:val="18"/>
              </w:rPr>
              <w:t>实物状况</w:t>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物业服务</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小区环境</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配套设施</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居住管理</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户型</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100/99</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100/99</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100/99</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朝向、通风、采光</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100/99</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装修</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标准房建筑面积</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100/100</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设备</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100/102</w:t>
            </w:r>
          </w:p>
        </w:tc>
      </w:tr>
      <w:tr>
        <w:trPr>
          <w:trHeight w:val="227" w:hRule="atLeast"/>
        </w:trPr>
        <w:tc>
          <w:tcPr>
            <w:tcW w:w="1473" w:type="dxa"/>
            <w:vMerge w:val="continue"/>
            <w:tcBorders>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eastAsia="华文细黑" w:cs="Arial" w:ascii="Arial" w:hAnsi="Arial"/>
                <w:sz w:val="18"/>
                <w:szCs w:val="18"/>
              </w:rPr>
            </w:r>
          </w:p>
        </w:tc>
        <w:tc>
          <w:tcPr>
            <w:tcW w:w="2819" w:type="dxa"/>
            <w:tcBorders>
              <w:bottom w:val="single" w:sz="4" w:space="0" w:color="000000"/>
              <w:right w:val="single" w:sz="4" w:space="0" w:color="000000"/>
            </w:tcBorders>
            <w:shd w:color="auto"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成新度</w:t>
            </w:r>
          </w:p>
        </w:tc>
        <w:tc>
          <w:tcPr>
            <w:tcW w:w="1668"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100/98</w:t>
            </w:r>
          </w:p>
        </w:tc>
        <w:tc>
          <w:tcPr>
            <w:tcW w:w="1667"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100/99</w:t>
            </w:r>
          </w:p>
        </w:tc>
        <w:tc>
          <w:tcPr>
            <w:tcW w:w="1671" w:type="dxa"/>
            <w:gridSpan w:val="2"/>
            <w:tcBorders>
              <w:bottom w:val="single" w:sz="4" w:space="0" w:color="000000"/>
              <w:right w:val="single" w:sz="4" w:space="0" w:color="000000"/>
            </w:tcBorders>
            <w:shd w:color="auto" w:fill="auto" w:val="clea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100/99</w:t>
            </w:r>
          </w:p>
        </w:tc>
      </w:tr>
      <w:tr>
        <w:trPr>
          <w:trHeight w:val="227" w:hRule="atLeast"/>
        </w:trPr>
        <w:tc>
          <w:tcPr>
            <w:tcW w:w="429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修正系数</w:t>
            </w:r>
          </w:p>
        </w:tc>
        <w:tc>
          <w:tcPr>
            <w:tcW w:w="1667" w:type="dxa"/>
            <w:gridSpan w:val="2"/>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0.9907</w:t>
            </w:r>
          </w:p>
        </w:tc>
        <w:tc>
          <w:tcPr>
            <w:tcW w:w="1667" w:type="dxa"/>
            <w:gridSpan w:val="2"/>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0.9522</w:t>
            </w:r>
          </w:p>
        </w:tc>
        <w:tc>
          <w:tcPr>
            <w:tcW w:w="1670" w:type="dxa"/>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0.9806</w:t>
            </w:r>
          </w:p>
        </w:tc>
      </w:tr>
      <w:tr>
        <w:trPr>
          <w:trHeight w:val="132" w:hRule="atLeast"/>
        </w:trPr>
        <w:tc>
          <w:tcPr>
            <w:tcW w:w="4294" w:type="dxa"/>
            <w:gridSpan w:val="3"/>
            <w:tcBorders>
              <w:top w:val="single" w:sz="4" w:space="0" w:color="000000"/>
              <w:left w:val="single" w:sz="4" w:space="0" w:color="000000"/>
              <w:bottom w:val="single" w:sz="4" w:space="0" w:color="000000"/>
              <w:right w:val="single" w:sz="4" w:space="0" w:color="000000"/>
            </w:tcBorders>
            <w:shd w:fill="auto" w:val="clear"/>
            <w:vAlign w:val="center"/>
          </w:tcPr>
          <w:p>
            <w:pPr>
              <w:pStyle w:val="Normal"/>
              <w:snapToGrid w:val="false"/>
              <w:spacing w:lineRule="exact" w:line="240"/>
              <w:rPr>
                <w:rFonts w:ascii="Arial" w:hAnsi="Arial" w:eastAsia="华文细黑" w:cs="Arial"/>
                <w:sz w:val="18"/>
                <w:szCs w:val="18"/>
              </w:rPr>
            </w:pPr>
            <w:r>
              <w:rPr>
                <w:rFonts w:ascii="Arial" w:hAnsi="Arial" w:cs="Arial" w:eastAsia="华文细黑"/>
                <w:sz w:val="18"/>
                <w:szCs w:val="18"/>
              </w:rPr>
              <w:t>比准价格（元</w:t>
            </w:r>
            <w:r>
              <w:rPr>
                <w:rFonts w:eastAsia="华文细黑" w:cs="Arial" w:ascii="Arial" w:hAnsi="Arial"/>
                <w:sz w:val="18"/>
                <w:szCs w:val="18"/>
              </w:rPr>
              <w:t>/</w:t>
            </w:r>
            <w:r>
              <w:rPr>
                <w:rFonts w:ascii="Arial" w:hAnsi="Arial" w:cs="Arial" w:eastAsia="华文细黑"/>
                <w:sz w:val="18"/>
                <w:szCs w:val="18"/>
              </w:rPr>
              <w:t>平方米</w:t>
            </w:r>
            <w:r>
              <w:rPr>
                <w:rFonts w:eastAsia="华文细黑" w:cs="Arial" w:ascii="Arial" w:hAnsi="Arial"/>
                <w:sz w:val="18"/>
                <w:szCs w:val="18"/>
              </w:rPr>
              <w:t>·</w:t>
            </w:r>
            <w:r>
              <w:rPr>
                <w:rFonts w:ascii="Arial" w:hAnsi="Arial" w:cs="Arial" w:eastAsia="华文细黑"/>
                <w:sz w:val="18"/>
                <w:szCs w:val="18"/>
              </w:rPr>
              <w:t>月）</w:t>
            </w:r>
          </w:p>
        </w:tc>
        <w:tc>
          <w:tcPr>
            <w:tcW w:w="1667" w:type="dxa"/>
            <w:gridSpan w:val="2"/>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34.34</w:t>
            </w:r>
          </w:p>
        </w:tc>
        <w:tc>
          <w:tcPr>
            <w:tcW w:w="1667" w:type="dxa"/>
            <w:gridSpan w:val="2"/>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40.84</w:t>
            </w:r>
          </w:p>
        </w:tc>
        <w:tc>
          <w:tcPr>
            <w:tcW w:w="1670" w:type="dxa"/>
            <w:tcBorders>
              <w:top w:val="single" w:sz="4" w:space="0" w:color="000000"/>
              <w:bottom w:val="single" w:sz="4" w:space="0" w:color="000000"/>
              <w:right w:val="single" w:sz="4" w:space="0" w:color="000000"/>
            </w:tcBorders>
            <w:shd w:color="auto" w:fill="auto" w:val="clear"/>
            <w:vAlign w:val="center"/>
          </w:tcPr>
          <w:p>
            <w:pPr>
              <w:pStyle w:val="Normal"/>
              <w:snapToGrid w:val="false"/>
              <w:spacing w:lineRule="exact" w:line="240"/>
              <w:jc w:val="center"/>
              <w:rPr>
                <w:rFonts w:ascii="Arial" w:hAnsi="Arial" w:eastAsia="华文细黑" w:cs="Arial"/>
                <w:sz w:val="18"/>
                <w:szCs w:val="18"/>
              </w:rPr>
            </w:pPr>
            <w:r>
              <w:rPr>
                <w:rFonts w:eastAsia="华文细黑" w:cs="Arial" w:ascii="Arial" w:hAnsi="Arial"/>
                <w:sz w:val="18"/>
                <w:szCs w:val="18"/>
              </w:rPr>
              <w:t>37.45</w:t>
            </w:r>
          </w:p>
        </w:tc>
      </w:tr>
    </w:tbl>
    <w:p>
      <w:pPr>
        <w:pStyle w:val="Normal"/>
        <w:overflowPunct w:val="false"/>
        <w:snapToGrid w:val="false"/>
        <w:ind w:firstLine="360"/>
        <w:rPr>
          <w:rFonts w:ascii="Arial" w:hAnsi="Arial" w:cs="Arial"/>
          <w:sz w:val="18"/>
          <w:szCs w:val="18"/>
        </w:rPr>
      </w:pPr>
      <w:r>
        <w:rPr>
          <w:rFonts w:cs="Arial" w:ascii="Arial" w:hAnsi="Arial"/>
          <w:sz w:val="18"/>
          <w:szCs w:val="18"/>
        </w:rPr>
      </w:r>
    </w:p>
    <w:p>
      <w:pPr>
        <w:pStyle w:val="Normal"/>
        <w:overflowPunct w:val="false"/>
        <w:spacing w:lineRule="auto" w:line="480" w:before="240" w:after="0"/>
        <w:ind w:firstLine="420"/>
        <w:rPr>
          <w:rFonts w:ascii="Arial" w:hAnsi="Arial" w:cs="Arial"/>
          <w:sz w:val="21"/>
          <w:szCs w:val="21"/>
        </w:rPr>
      </w:pPr>
      <w:r>
        <w:rPr>
          <w:rFonts w:ascii="Arial" w:hAnsi="Arial" w:cs="Arial"/>
          <w:sz w:val="21"/>
          <w:szCs w:val="21"/>
        </w:rPr>
        <w:t>比准价格＝比较实例年平均租金</w:t>
      </w:r>
      <w:r>
        <w:rPr>
          <w:rFonts w:cs="Arial" w:ascii="Arial" w:hAnsi="Arial"/>
          <w:sz w:val="21"/>
          <w:szCs w:val="21"/>
        </w:rPr>
        <w:t>×</w:t>
      </w:r>
      <w:r>
        <w:rPr>
          <w:rFonts w:ascii="Arial" w:hAnsi="Arial" w:cs="Arial"/>
          <w:sz w:val="21"/>
          <w:szCs w:val="21"/>
        </w:rPr>
        <w:t>（待估房地产交易日期房地产价租赁格指数</w:t>
      </w:r>
      <w:r>
        <w:rPr>
          <w:rFonts w:cs="Arial" w:ascii="Arial" w:hAnsi="Arial"/>
          <w:sz w:val="21"/>
          <w:szCs w:val="21"/>
        </w:rPr>
        <w:t>/</w:t>
      </w:r>
      <w:r>
        <w:rPr>
          <w:rFonts w:ascii="Arial" w:hAnsi="Arial" w:cs="Arial"/>
          <w:sz w:val="21"/>
          <w:szCs w:val="21"/>
        </w:rPr>
        <w:t>可比实例交易日期房地产租赁价格指数）</w:t>
      </w:r>
      <w:r>
        <w:rPr>
          <w:rFonts w:cs="Arial" w:ascii="Arial" w:hAnsi="Arial"/>
          <w:sz w:val="21"/>
          <w:szCs w:val="21"/>
        </w:rPr>
        <w:t>×</w:t>
      </w:r>
      <w:r>
        <w:rPr>
          <w:rFonts w:ascii="Arial" w:hAnsi="Arial" w:cs="Arial"/>
          <w:sz w:val="21"/>
          <w:szCs w:val="21"/>
        </w:rPr>
        <w:t>（待估房地产交易情况指数</w:t>
      </w:r>
      <w:r>
        <w:rPr>
          <w:rFonts w:cs="Arial" w:ascii="Arial" w:hAnsi="Arial"/>
          <w:sz w:val="21"/>
          <w:szCs w:val="21"/>
        </w:rPr>
        <w:t>/</w:t>
      </w:r>
      <w:r>
        <w:rPr>
          <w:rFonts w:ascii="Arial" w:hAnsi="Arial" w:cs="Arial"/>
          <w:sz w:val="21"/>
          <w:szCs w:val="21"/>
        </w:rPr>
        <w:t>可比实例交易情况指数）</w:t>
      </w:r>
      <w:r>
        <w:rPr>
          <w:rFonts w:cs="Arial" w:ascii="Arial" w:hAnsi="Arial"/>
          <w:sz w:val="21"/>
          <w:szCs w:val="21"/>
        </w:rPr>
        <w:t>×</w:t>
      </w:r>
      <w:r>
        <w:rPr>
          <w:rFonts w:ascii="Arial" w:hAnsi="Arial" w:cs="Arial"/>
          <w:sz w:val="21"/>
          <w:szCs w:val="21"/>
        </w:rPr>
        <w:t>（待估房地产区域状况条件指数</w:t>
      </w:r>
      <w:r>
        <w:rPr>
          <w:rFonts w:cs="Arial" w:ascii="Arial" w:hAnsi="Arial"/>
          <w:sz w:val="21"/>
          <w:szCs w:val="21"/>
        </w:rPr>
        <w:t>/</w:t>
      </w:r>
      <w:r>
        <w:rPr>
          <w:rFonts w:ascii="Arial" w:hAnsi="Arial" w:cs="Arial"/>
          <w:sz w:val="21"/>
          <w:szCs w:val="21"/>
        </w:rPr>
        <w:t>可比实例房地产区域状况条件指数）</w:t>
      </w:r>
      <w:r>
        <w:rPr>
          <w:rFonts w:cs="Arial" w:ascii="Arial" w:hAnsi="Arial"/>
          <w:sz w:val="21"/>
          <w:szCs w:val="21"/>
        </w:rPr>
        <w:t>×</w:t>
      </w:r>
      <w:r>
        <w:rPr>
          <w:rFonts w:ascii="Arial" w:hAnsi="Arial" w:cs="Arial"/>
          <w:sz w:val="21"/>
          <w:szCs w:val="21"/>
        </w:rPr>
        <w:t>（待估房地产实物状况条件指数</w:t>
      </w:r>
      <w:r>
        <w:rPr>
          <w:rFonts w:cs="Arial" w:ascii="Arial" w:hAnsi="Arial"/>
          <w:sz w:val="21"/>
          <w:szCs w:val="21"/>
        </w:rPr>
        <w:t>/</w:t>
      </w:r>
      <w:r>
        <w:rPr>
          <w:rFonts w:ascii="Arial" w:hAnsi="Arial" w:cs="Arial"/>
          <w:sz w:val="21"/>
          <w:szCs w:val="21"/>
        </w:rPr>
        <w:t>可比实例房地产实物状况条件指数）</w:t>
      </w:r>
    </w:p>
    <w:p>
      <w:pPr>
        <w:pStyle w:val="Normal"/>
        <w:overflowPunct w:val="false"/>
        <w:spacing w:lineRule="auto" w:line="480"/>
        <w:ind w:firstLine="420"/>
        <w:rPr>
          <w:rFonts w:ascii="Arial" w:hAnsi="Arial" w:cs="Arial"/>
          <w:sz w:val="21"/>
          <w:szCs w:val="21"/>
        </w:rPr>
      </w:pPr>
      <w:r>
        <w:rPr>
          <w:rFonts w:ascii="Arial" w:hAnsi="Arial" w:cs="Arial"/>
          <w:sz w:val="21"/>
          <w:szCs w:val="21"/>
        </w:rPr>
        <w:t>根据上述公式，确实各可比案例比较价格：</w:t>
      </w:r>
    </w:p>
    <w:p>
      <w:pPr>
        <w:pStyle w:val="Normal"/>
        <w:overflowPunct w:val="false"/>
        <w:spacing w:lineRule="auto" w:line="480"/>
        <w:ind w:firstLine="420"/>
        <w:rPr>
          <w:rFonts w:ascii="Arial" w:hAnsi="Arial" w:cs="Arial"/>
          <w:sz w:val="21"/>
          <w:szCs w:val="21"/>
        </w:rPr>
      </w:pPr>
      <w:r>
        <w:rPr>
          <w:rFonts w:ascii="Arial" w:hAnsi="Arial" w:cs="Arial"/>
          <w:sz w:val="21"/>
          <w:szCs w:val="21"/>
        </w:rPr>
        <w:t>可比实例一比较价格</w:t>
      </w:r>
      <w:r>
        <w:rPr>
          <w:rFonts w:cs="Arial" w:ascii="Arial" w:hAnsi="Arial"/>
          <w:sz w:val="21"/>
          <w:szCs w:val="21"/>
        </w:rPr>
        <w:t>=34.66×</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100/99</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100/98</w:t>
      </w:r>
      <w:r>
        <w:rPr>
          <w:rFonts w:ascii="Arial" w:hAnsi="Arial" w:cs="Arial"/>
          <w:sz w:val="21"/>
          <w:szCs w:val="21"/>
        </w:rPr>
        <w:t>）</w:t>
      </w:r>
      <w:r>
        <w:rPr>
          <w:rFonts w:cs="Arial" w:ascii="Arial" w:hAnsi="Arial"/>
          <w:sz w:val="21"/>
          <w:szCs w:val="21"/>
        </w:rPr>
        <w:t>=34.34</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w:t>
      </w:r>
    </w:p>
    <w:p>
      <w:pPr>
        <w:pStyle w:val="Normal"/>
        <w:overflowPunct w:val="false"/>
        <w:spacing w:lineRule="auto" w:line="480"/>
        <w:ind w:firstLine="420"/>
        <w:rPr>
          <w:rFonts w:ascii="Arial" w:hAnsi="Arial" w:cs="Arial"/>
          <w:sz w:val="21"/>
          <w:szCs w:val="21"/>
        </w:rPr>
      </w:pPr>
      <w:r>
        <w:rPr>
          <w:rFonts w:ascii="Arial" w:hAnsi="Arial" w:cs="Arial"/>
          <w:sz w:val="21"/>
          <w:szCs w:val="21"/>
        </w:rPr>
        <w:t>可比实例二比较价格</w:t>
      </w:r>
      <w:r>
        <w:rPr>
          <w:rFonts w:cs="Arial" w:ascii="Arial" w:hAnsi="Arial"/>
          <w:sz w:val="21"/>
          <w:szCs w:val="21"/>
        </w:rPr>
        <w:t>=42.89×</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100/99</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100/99</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100/99</w:t>
      </w:r>
      <w:r>
        <w:rPr>
          <w:rFonts w:ascii="Arial" w:hAnsi="Arial" w:cs="Arial"/>
          <w:sz w:val="21"/>
          <w:szCs w:val="21"/>
        </w:rPr>
        <w:t>）</w:t>
      </w:r>
      <w:r>
        <w:rPr>
          <w:rFonts w:cs="Arial" w:ascii="Arial" w:hAnsi="Arial"/>
          <w:sz w:val="21"/>
          <w:szCs w:val="21"/>
        </w:rPr>
        <w:t>=40.84</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w:t>
      </w:r>
    </w:p>
    <w:p>
      <w:pPr>
        <w:pStyle w:val="Normal"/>
        <w:overflowPunct w:val="false"/>
        <w:spacing w:lineRule="auto" w:line="480"/>
        <w:ind w:firstLine="420"/>
        <w:rPr>
          <w:rFonts w:ascii="Arial" w:hAnsi="Arial" w:cs="Arial"/>
          <w:sz w:val="21"/>
          <w:szCs w:val="21"/>
        </w:rPr>
      </w:pPr>
      <w:r>
        <w:rPr>
          <w:rFonts w:ascii="Arial" w:hAnsi="Arial" w:cs="Arial"/>
          <w:sz w:val="21"/>
          <w:szCs w:val="21"/>
        </w:rPr>
        <w:t>可比实例三比较价格</w:t>
      </w:r>
      <w:r>
        <w:rPr>
          <w:rFonts w:cs="Arial" w:ascii="Arial" w:hAnsi="Arial"/>
          <w:sz w:val="21"/>
          <w:szCs w:val="21"/>
        </w:rPr>
        <w:t>=38.19×</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100/99</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100/100</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100/102</w:t>
      </w:r>
      <w:r>
        <w:rPr>
          <w:rFonts w:ascii="Arial" w:hAnsi="Arial" w:cs="Arial"/>
          <w:sz w:val="21"/>
          <w:szCs w:val="21"/>
        </w:rPr>
        <w:t>）</w:t>
      </w:r>
      <w:r>
        <w:rPr>
          <w:rFonts w:cs="Arial" w:ascii="Arial" w:hAnsi="Arial"/>
          <w:sz w:val="21"/>
          <w:szCs w:val="21"/>
        </w:rPr>
        <w:t>×</w:t>
      </w:r>
      <w:r>
        <w:rPr>
          <w:rFonts w:ascii="Arial" w:hAnsi="Arial" w:cs="Arial"/>
          <w:sz w:val="21"/>
          <w:szCs w:val="21"/>
        </w:rPr>
        <w:t>（</w:t>
      </w:r>
      <w:r>
        <w:rPr>
          <w:rFonts w:cs="Arial" w:ascii="Arial" w:hAnsi="Arial"/>
          <w:sz w:val="21"/>
          <w:szCs w:val="21"/>
        </w:rPr>
        <w:t>100/99</w:t>
      </w:r>
      <w:r>
        <w:rPr>
          <w:rFonts w:ascii="Arial" w:hAnsi="Arial" w:cs="Arial"/>
          <w:sz w:val="21"/>
          <w:szCs w:val="21"/>
        </w:rPr>
        <w:t>）</w:t>
      </w:r>
      <w:r>
        <w:rPr>
          <w:rFonts w:cs="Arial" w:ascii="Arial" w:hAnsi="Arial"/>
          <w:sz w:val="21"/>
          <w:szCs w:val="21"/>
        </w:rPr>
        <w:t>=37.45</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w:t>
      </w:r>
    </w:p>
    <w:p>
      <w:pPr>
        <w:pStyle w:val="Normal"/>
        <w:overflowPunct w:val="false"/>
        <w:spacing w:lineRule="auto" w:line="480"/>
        <w:ind w:firstLine="420"/>
        <w:rPr>
          <w:rFonts w:ascii="Arial" w:hAnsi="Arial" w:cs="Arial"/>
          <w:sz w:val="21"/>
          <w:szCs w:val="21"/>
        </w:rPr>
      </w:pPr>
      <w:r>
        <w:rPr>
          <w:rFonts w:cs="Arial" w:ascii="Arial" w:hAnsi="Arial"/>
          <w:sz w:val="21"/>
          <w:szCs w:val="21"/>
        </w:rPr>
        <w:t xml:space="preserve">4. </w:t>
      </w:r>
      <w:r>
        <w:rPr>
          <w:rFonts w:ascii="Arial" w:hAnsi="Arial" w:cs="Arial"/>
          <w:sz w:val="21"/>
          <w:szCs w:val="21"/>
        </w:rPr>
        <w:t xml:space="preserve">影响因素选择实例修正后的价值计算 </w:t>
      </w:r>
    </w:p>
    <w:p>
      <w:pPr>
        <w:pStyle w:val="Normal"/>
        <w:overflowPunct w:val="false"/>
        <w:spacing w:lineRule="auto" w:line="480"/>
        <w:ind w:firstLine="420"/>
        <w:rPr>
          <w:rFonts w:ascii="Arial" w:hAnsi="Arial" w:cs="Arial"/>
          <w:sz w:val="21"/>
          <w:szCs w:val="21"/>
        </w:rPr>
      </w:pPr>
      <w:r>
        <w:rPr>
          <w:rFonts w:ascii="Arial" w:hAnsi="Arial" w:cs="Arial"/>
          <w:sz w:val="21"/>
          <w:szCs w:val="21"/>
        </w:rPr>
        <w:t>经过比较分析，采用各因素修正系数连乘法，求算各可比案例经因素修正后达到估价对象条件时的比准价格，虽然有一定的差距，但案例均选取真实，修正过程客观合理，修正后能反映客观水平，因此本次估价确定取以上</w:t>
      </w:r>
      <w:r>
        <w:rPr>
          <w:rFonts w:cs="Arial" w:ascii="Arial" w:hAnsi="Arial"/>
          <w:sz w:val="21"/>
          <w:szCs w:val="21"/>
        </w:rPr>
        <w:t>3</w:t>
      </w:r>
      <w:r>
        <w:rPr>
          <w:rFonts w:ascii="Arial" w:hAnsi="Arial" w:cs="Arial"/>
          <w:sz w:val="21"/>
          <w:szCs w:val="21"/>
        </w:rPr>
        <w:t>个可比案例的比准价格的简单算术平均值作为评估价格。</w:t>
      </w:r>
    </w:p>
    <w:p>
      <w:pPr>
        <w:pStyle w:val="Normal"/>
        <w:overflowPunct w:val="false"/>
        <w:spacing w:lineRule="auto" w:line="480"/>
        <w:ind w:firstLine="420"/>
        <w:rPr>
          <w:rFonts w:ascii="Arial" w:hAnsi="Arial" w:cs="Arial"/>
          <w:sz w:val="21"/>
          <w:szCs w:val="21"/>
        </w:rPr>
      </w:pPr>
      <w:r>
        <w:rPr>
          <w:rFonts w:ascii="Arial" w:hAnsi="Arial" w:cs="Arial"/>
          <w:sz w:val="21"/>
          <w:szCs w:val="21"/>
        </w:rPr>
        <w:t>即（</w:t>
      </w:r>
      <w:r>
        <w:rPr>
          <w:rFonts w:cs="Arial" w:ascii="Arial" w:hAnsi="Arial"/>
          <w:sz w:val="21"/>
          <w:szCs w:val="21"/>
        </w:rPr>
        <w:t>34.34+40.84+37.45</w:t>
      </w:r>
      <w:r>
        <w:rPr>
          <w:rFonts w:ascii="Arial" w:hAnsi="Arial" w:cs="Arial"/>
          <w:sz w:val="21"/>
          <w:szCs w:val="21"/>
        </w:rPr>
        <w:t>）</w:t>
      </w:r>
      <w:r>
        <w:rPr>
          <w:rFonts w:cs="Arial" w:ascii="Arial" w:hAnsi="Arial"/>
          <w:sz w:val="21"/>
          <w:szCs w:val="21"/>
        </w:rPr>
        <w:t>÷3</w:t>
      </w:r>
    </w:p>
    <w:p>
      <w:pPr>
        <w:pStyle w:val="Normal"/>
        <w:overflowPunct w:val="false"/>
        <w:spacing w:lineRule="auto" w:line="480"/>
        <w:ind w:firstLine="420"/>
        <w:rPr>
          <w:rFonts w:ascii="Arial" w:hAnsi="Arial" w:cs="Arial"/>
          <w:sz w:val="21"/>
          <w:szCs w:val="21"/>
        </w:rPr>
      </w:pPr>
      <w:r>
        <w:rPr>
          <w:rFonts w:ascii="Arial" w:hAnsi="Arial" w:cs="Arial"/>
          <w:sz w:val="21"/>
          <w:szCs w:val="21"/>
        </w:rPr>
        <w:t xml:space="preserve">  </w:t>
      </w:r>
      <w:r>
        <w:rPr>
          <w:rFonts w:cs="Arial" w:ascii="Arial" w:hAnsi="Arial"/>
          <w:sz w:val="21"/>
          <w:szCs w:val="21"/>
        </w:rPr>
        <w:t>=37.5</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w:t>
      </w:r>
    </w:p>
    <w:p>
      <w:pPr>
        <w:pStyle w:val="Normal"/>
        <w:overflowPunct w:val="false"/>
        <w:spacing w:lineRule="auto" w:line="480"/>
        <w:ind w:firstLine="420"/>
        <w:rPr>
          <w:rFonts w:ascii="Arial" w:hAnsi="Arial" w:cs="Arial"/>
          <w:sz w:val="21"/>
          <w:szCs w:val="21"/>
        </w:rPr>
      </w:pPr>
      <w:r>
        <w:rPr>
          <w:rFonts w:ascii="Arial" w:hAnsi="Arial" w:cs="Arial"/>
          <w:sz w:val="21"/>
          <w:szCs w:val="21"/>
        </w:rPr>
        <w:t>根据估价委托人介绍，估价对象物业费为</w:t>
      </w:r>
      <w:r>
        <w:rPr>
          <w:rFonts w:cs="Arial" w:ascii="Arial" w:hAnsi="Arial"/>
          <w:sz w:val="21"/>
          <w:szCs w:val="21"/>
        </w:rPr>
        <w:t>3.8</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月，则：</w:t>
      </w:r>
    </w:p>
    <w:p>
      <w:pPr>
        <w:pStyle w:val="Normal"/>
        <w:overflowPunct w:val="false"/>
        <w:spacing w:lineRule="auto" w:line="480"/>
        <w:ind w:firstLine="420"/>
        <w:rPr>
          <w:rFonts w:ascii="Arial" w:hAnsi="Arial" w:cs="Arial"/>
          <w:sz w:val="21"/>
          <w:szCs w:val="21"/>
        </w:rPr>
      </w:pPr>
      <w:r>
        <w:rPr>
          <w:rFonts w:ascii="Arial" w:hAnsi="Arial" w:cs="Arial"/>
          <w:sz w:val="21"/>
          <w:szCs w:val="21"/>
        </w:rPr>
        <w:t>估价对象平均市场租金</w:t>
      </w:r>
    </w:p>
    <w:p>
      <w:pPr>
        <w:pStyle w:val="Normal"/>
        <w:overflowPunct w:val="false"/>
        <w:spacing w:lineRule="auto" w:line="480"/>
        <w:ind w:firstLine="420"/>
        <w:rPr>
          <w:rFonts w:ascii="Arial" w:hAnsi="Arial" w:cs="Arial"/>
          <w:sz w:val="21"/>
          <w:szCs w:val="21"/>
        </w:rPr>
      </w:pPr>
      <w:r>
        <w:rPr>
          <w:rFonts w:cs="Arial" w:ascii="Arial" w:hAnsi="Arial"/>
          <w:sz w:val="21"/>
          <w:szCs w:val="21"/>
        </w:rPr>
        <w:t>=37.5+3.8</w:t>
      </w:r>
    </w:p>
    <w:p>
      <w:pPr>
        <w:pStyle w:val="Normal"/>
        <w:overflowPunct w:val="false"/>
        <w:spacing w:lineRule="auto" w:line="480"/>
        <w:ind w:firstLine="420"/>
        <w:rPr>
          <w:rFonts w:ascii="Arial" w:hAnsi="Arial" w:cs="Arial"/>
          <w:sz w:val="21"/>
          <w:szCs w:val="21"/>
        </w:rPr>
      </w:pPr>
      <w:r>
        <w:rPr>
          <w:rFonts w:cs="Arial" w:ascii="Arial" w:hAnsi="Arial"/>
          <w:sz w:val="21"/>
          <w:szCs w:val="21"/>
        </w:rPr>
        <w:t>=41.3</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 xml:space="preserve">月） </w:t>
      </w:r>
    </w:p>
    <w:p>
      <w:pPr>
        <w:pStyle w:val="Normal"/>
        <w:overflowPunct w:val="false"/>
        <w:spacing w:lineRule="auto" w:line="480"/>
        <w:ind w:firstLine="420"/>
        <w:rPr>
          <w:rFonts w:ascii="Arial" w:hAnsi="Arial" w:cs="Arial"/>
          <w:sz w:val="21"/>
          <w:szCs w:val="21"/>
        </w:rPr>
      </w:pPr>
      <w:r>
        <w:rPr>
          <w:rFonts w:ascii="Arial" w:hAnsi="Arial" w:cs="Arial"/>
          <w:sz w:val="21"/>
          <w:szCs w:val="21"/>
        </w:rPr>
        <w:t xml:space="preserve">比较法评估估价对象房地产于价值时点过去 </w:t>
      </w:r>
      <w:r>
        <w:rPr>
          <w:rFonts w:cs="Arial" w:ascii="Arial" w:hAnsi="Arial"/>
          <w:sz w:val="21"/>
          <w:szCs w:val="21"/>
        </w:rPr>
        <w:t xml:space="preserve">12 </w:t>
      </w:r>
      <w:r>
        <w:rPr>
          <w:rFonts w:ascii="Arial" w:hAnsi="Arial" w:cs="Arial"/>
          <w:sz w:val="21"/>
          <w:szCs w:val="21"/>
        </w:rPr>
        <w:t>个月的含物业费月平均市场租金水平为</w:t>
      </w:r>
      <w:r>
        <w:rPr>
          <w:rFonts w:cs="Arial" w:ascii="Arial" w:hAnsi="Arial"/>
          <w:sz w:val="21"/>
          <w:szCs w:val="21"/>
        </w:rPr>
        <w:t>41.3</w:t>
      </w:r>
      <w:r>
        <w:rPr>
          <w:rFonts w:ascii="Arial" w:hAnsi="Arial" w:cs="Arial"/>
          <w:sz w:val="21"/>
          <w:szCs w:val="21"/>
        </w:rPr>
        <w:t>元</w:t>
      </w:r>
      <w:r>
        <w:rPr>
          <w:rFonts w:cs="Arial" w:ascii="Arial" w:hAnsi="Arial"/>
          <w:sz w:val="21"/>
          <w:szCs w:val="21"/>
        </w:rPr>
        <w:t>/</w:t>
      </w:r>
      <w:r>
        <w:rPr>
          <w:rFonts w:ascii="Arial" w:hAnsi="Arial" w:cs="Arial"/>
          <w:sz w:val="21"/>
          <w:szCs w:val="21"/>
        </w:rPr>
        <w:t>平方米</w:t>
      </w:r>
      <w:r>
        <w:rPr>
          <w:rFonts w:cs="Arial" w:ascii="Arial" w:hAnsi="Arial"/>
          <w:sz w:val="21"/>
          <w:szCs w:val="21"/>
        </w:rPr>
        <w:t>·</w:t>
      </w:r>
      <w:r>
        <w:rPr>
          <w:rFonts w:ascii="Arial" w:hAnsi="Arial" w:cs="Arial"/>
          <w:sz w:val="21"/>
          <w:szCs w:val="21"/>
        </w:rPr>
        <w:t>月。</w:t>
      </w:r>
    </w:p>
    <w:p>
      <w:pPr>
        <w:pStyle w:val="13"/>
        <w:spacing w:lineRule="auto" w:line="480"/>
        <w:ind w:right="140" w:hanging="0"/>
        <w:jc w:val="both"/>
        <w:textAlignment w:val="bottom"/>
        <w:rPr>
          <w:rFonts w:ascii="Arial" w:hAnsi="Arial" w:cs="Arial"/>
          <w:b/>
          <w:b/>
          <w:sz w:val="21"/>
          <w:szCs w:val="21"/>
        </w:rPr>
      </w:pPr>
      <w:r>
        <w:rPr>
          <w:rFonts w:cs="Arial" w:ascii="Arial" w:hAnsi="Arial"/>
          <w:b/>
          <w:sz w:val="21"/>
          <w:szCs w:val="21"/>
        </w:rPr>
      </w:r>
    </w:p>
    <w:p>
      <w:pPr>
        <w:pStyle w:val="2"/>
        <w:numPr>
          <w:ilvl w:val="0"/>
          <w:numId w:val="0"/>
        </w:numPr>
        <w:spacing w:lineRule="auto" w:line="480"/>
        <w:ind w:left="358" w:hanging="358"/>
        <w:jc w:val="both"/>
        <w:rPr>
          <w:rFonts w:eastAsia="宋体"/>
          <w:kern w:val="2"/>
          <w:sz w:val="21"/>
          <w:szCs w:val="21"/>
        </w:rPr>
      </w:pPr>
      <w:bookmarkStart w:id="52" w:name="_Toc525655441"/>
      <w:r>
        <w:rPr>
          <w:rFonts w:eastAsia="宋体"/>
          <w:kern w:val="2"/>
          <w:sz w:val="21"/>
          <w:szCs w:val="21"/>
        </w:rPr>
        <w:t>六、估价结果确定</w:t>
      </w:r>
      <w:bookmarkEnd w:id="52"/>
    </w:p>
    <w:p>
      <w:pPr>
        <w:pStyle w:val="Normal"/>
        <w:overflowPunct w:val="false"/>
        <w:spacing w:lineRule="auto" w:line="480"/>
        <w:ind w:firstLine="420"/>
        <w:jc w:val="both"/>
        <w:rPr>
          <w:rFonts w:ascii="Arial" w:hAnsi="Arial" w:cs="Arial"/>
          <w:sz w:val="21"/>
          <w:szCs w:val="21"/>
        </w:rPr>
      </w:pPr>
      <w:r>
        <w:rPr>
          <w:rFonts w:ascii="Arial" w:hAnsi="Arial" w:cs="Arial"/>
          <w:sz w:val="21"/>
          <w:szCs w:val="21"/>
        </w:rPr>
        <w:t>评估专业人员根据估价的目的，遵循估价原则，按照估价的程序，采用科学的估价方法，在认真分析现有资料的基础上，通过仔细测算和认真分析各种影响房地产租赁价格的因素，最终确定估价对象同地块、同类型普通住宅房地产于价值时点</w:t>
      </w:r>
      <w:r>
        <w:rPr>
          <w:rFonts w:cs="Arial" w:ascii="Arial" w:hAnsi="Arial"/>
          <w:sz w:val="21"/>
          <w:szCs w:val="21"/>
        </w:rPr>
        <w:t>2023</w:t>
      </w:r>
      <w:r>
        <w:rPr>
          <w:rFonts w:ascii="Arial" w:hAnsi="Arial" w:cs="Arial"/>
          <w:sz w:val="21"/>
          <w:szCs w:val="21"/>
        </w:rPr>
        <w:t>年</w:t>
      </w:r>
      <w:r>
        <w:rPr>
          <w:rFonts w:cs="Arial" w:ascii="Arial" w:hAnsi="Arial"/>
          <w:sz w:val="21"/>
          <w:szCs w:val="21"/>
        </w:rPr>
        <w:t>12</w:t>
      </w:r>
      <w:r>
        <w:rPr>
          <w:rFonts w:ascii="Arial" w:hAnsi="Arial" w:cs="Arial"/>
          <w:sz w:val="21"/>
          <w:szCs w:val="21"/>
        </w:rPr>
        <w:t>月</w:t>
      </w:r>
      <w:r>
        <w:rPr>
          <w:rFonts w:cs="Arial" w:ascii="Arial" w:hAnsi="Arial"/>
          <w:sz w:val="21"/>
          <w:szCs w:val="21"/>
        </w:rPr>
        <w:t>5</w:t>
      </w:r>
      <w:r>
        <w:rPr>
          <w:rFonts w:ascii="Arial" w:hAnsi="Arial" w:cs="Arial"/>
          <w:sz w:val="21"/>
          <w:szCs w:val="21"/>
        </w:rPr>
        <w:t>日前</w:t>
      </w:r>
      <w:r>
        <w:rPr>
          <w:rFonts w:cs="Arial" w:ascii="Arial" w:hAnsi="Arial"/>
          <w:sz w:val="21"/>
          <w:szCs w:val="21"/>
        </w:rPr>
        <w:t>12</w:t>
      </w:r>
      <w:r>
        <w:rPr>
          <w:rFonts w:ascii="Arial" w:hAnsi="Arial" w:cs="Arial"/>
          <w:sz w:val="21"/>
          <w:szCs w:val="21"/>
        </w:rPr>
        <w:t xml:space="preserve">个月的平均市场租金水平为：  </w:t>
      </w:r>
    </w:p>
    <w:p>
      <w:pPr>
        <w:pStyle w:val="Normal"/>
        <w:overflowPunct w:val="false"/>
        <w:spacing w:lineRule="auto" w:line="480"/>
        <w:ind w:firstLine="422"/>
        <w:rPr>
          <w:rFonts w:ascii="Arial" w:hAnsi="Arial" w:cs="Arial"/>
          <w:b/>
          <w:b/>
          <w:bCs/>
          <w:sz w:val="21"/>
          <w:szCs w:val="21"/>
        </w:rPr>
      </w:pPr>
      <w:r>
        <w:rPr>
          <w:rFonts w:ascii="Arial" w:hAnsi="Arial" w:cs="Arial"/>
          <w:b/>
          <w:bCs/>
          <w:sz w:val="21"/>
          <w:szCs w:val="21"/>
        </w:rPr>
        <w:t>租金单价：</w:t>
      </w:r>
      <w:r>
        <w:rPr>
          <w:rFonts w:cs="Arial" w:ascii="Arial" w:hAnsi="Arial"/>
          <w:b/>
          <w:bCs/>
          <w:sz w:val="21"/>
          <w:szCs w:val="21"/>
        </w:rPr>
        <w:t>41.3</w:t>
      </w:r>
      <w:r>
        <w:rPr>
          <w:rFonts w:ascii="Arial" w:hAnsi="Arial" w:cs="Arial"/>
          <w:b/>
          <w:bCs/>
          <w:sz w:val="21"/>
          <w:szCs w:val="21"/>
        </w:rPr>
        <w:t>元</w:t>
      </w:r>
      <w:r>
        <w:rPr>
          <w:rFonts w:cs="Arial" w:ascii="Arial" w:hAnsi="Arial"/>
          <w:b/>
          <w:bCs/>
          <w:sz w:val="21"/>
          <w:szCs w:val="21"/>
        </w:rPr>
        <w:t>/</w:t>
      </w:r>
      <w:r>
        <w:rPr>
          <w:rFonts w:ascii="Arial" w:hAnsi="Arial" w:cs="Arial"/>
          <w:b/>
          <w:bCs/>
          <w:sz w:val="21"/>
          <w:szCs w:val="21"/>
        </w:rPr>
        <w:t>平方米</w:t>
      </w:r>
      <w:r>
        <w:rPr>
          <w:rFonts w:cs="Arial" w:ascii="Arial" w:hAnsi="Arial"/>
          <w:b/>
          <w:bCs/>
          <w:sz w:val="21"/>
          <w:szCs w:val="21"/>
        </w:rPr>
        <w:t>·</w:t>
      </w:r>
      <w:r>
        <w:rPr>
          <w:rFonts w:ascii="Arial" w:hAnsi="Arial" w:cs="Arial"/>
          <w:b/>
          <w:bCs/>
          <w:sz w:val="21"/>
          <w:szCs w:val="21"/>
        </w:rPr>
        <w:t>月（货币种类：人民币）</w:t>
      </w:r>
    </w:p>
    <w:p>
      <w:pPr>
        <w:pStyle w:val="Normal"/>
        <w:overflowPunct w:val="false"/>
        <w:spacing w:lineRule="auto" w:line="480"/>
        <w:ind w:firstLine="360"/>
        <w:jc w:val="both"/>
        <w:rPr>
          <w:rFonts w:ascii="Arial" w:hAnsi="Arial" w:cs="Arial"/>
          <w:sz w:val="18"/>
          <w:szCs w:val="18"/>
        </w:rPr>
      </w:pPr>
      <w:r>
        <w:rPr>
          <w:rFonts w:ascii="Arial" w:hAnsi="Arial" w:cs="Arial"/>
          <w:sz w:val="18"/>
          <w:szCs w:val="18"/>
        </w:rPr>
        <w:t>注：</w:t>
      </w:r>
      <w:r>
        <w:rPr>
          <w:rFonts w:cs="Arial" w:ascii="Arial" w:hAnsi="Arial"/>
          <w:sz w:val="18"/>
          <w:szCs w:val="18"/>
        </w:rPr>
        <w:t>1</w:t>
      </w:r>
      <w:r>
        <w:rPr>
          <w:rFonts w:ascii="Arial" w:hAnsi="Arial" w:cs="Arial"/>
          <w:sz w:val="18"/>
          <w:szCs w:val="18"/>
        </w:rPr>
        <w:t>、评估的详细结果、过程及有关说明，见附后的《估价结果报告》及《估价技术报告》。</w:t>
      </w:r>
    </w:p>
    <w:p>
      <w:pPr>
        <w:pStyle w:val="Normal"/>
        <w:overflowPunct w:val="false"/>
        <w:spacing w:lineRule="auto" w:line="480"/>
        <w:ind w:firstLine="360"/>
        <w:jc w:val="both"/>
        <w:rPr>
          <w:rFonts w:ascii="Arial" w:hAnsi="Arial" w:cs="Arial"/>
          <w:sz w:val="18"/>
          <w:szCs w:val="18"/>
        </w:rPr>
      </w:pPr>
      <w:r>
        <w:rPr>
          <w:rFonts w:ascii="Arial" w:hAnsi="Arial" w:cs="Arial"/>
          <w:sz w:val="18"/>
          <w:szCs w:val="18"/>
        </w:rPr>
        <w:t xml:space="preserve">    </w:t>
      </w:r>
      <w:r>
        <w:rPr>
          <w:rFonts w:cs="Arial" w:ascii="Arial" w:hAnsi="Arial"/>
          <w:sz w:val="18"/>
          <w:szCs w:val="18"/>
        </w:rPr>
        <w:t>2</w:t>
      </w:r>
      <w:r>
        <w:rPr>
          <w:rFonts w:ascii="Arial" w:hAnsi="Arial" w:cs="Arial"/>
          <w:sz w:val="18"/>
          <w:szCs w:val="18"/>
        </w:rPr>
        <w:t>、估价结果为项目同地段、同类型普通住宅前</w:t>
      </w:r>
      <w:r>
        <w:rPr>
          <w:rFonts w:cs="Arial" w:ascii="Arial" w:hAnsi="Arial"/>
          <w:sz w:val="18"/>
          <w:szCs w:val="18"/>
        </w:rPr>
        <w:t>12</w:t>
      </w:r>
      <w:r>
        <w:rPr>
          <w:rFonts w:ascii="Arial" w:hAnsi="Arial" w:cs="Arial"/>
          <w:sz w:val="18"/>
          <w:szCs w:val="18"/>
        </w:rPr>
        <w:t>个月的市场平均月租金价格。</w:t>
      </w:r>
    </w:p>
    <w:p>
      <w:pPr>
        <w:sectPr>
          <w:headerReference w:type="default" r:id="rId33"/>
          <w:footerReference w:type="default" r:id="rId34"/>
          <w:type w:val="nextPage"/>
          <w:pgSz w:w="11906" w:h="16838"/>
          <w:pgMar w:left="1304" w:right="1304" w:header="1134" w:top="1843" w:footer="907" w:bottom="1134" w:gutter="0"/>
          <w:pgNumType w:fmt="decimal"/>
          <w:formProt w:val="false"/>
          <w:textDirection w:val="lrTb"/>
          <w:docGrid w:type="default" w:linePitch="326" w:charSpace="0"/>
        </w:sectPr>
        <w:pStyle w:val="Normal"/>
        <w:overflowPunct w:val="false"/>
        <w:spacing w:lineRule="auto" w:line="480"/>
        <w:ind w:left="707" w:hanging="347"/>
        <w:jc w:val="both"/>
        <w:rPr>
          <w:rFonts w:ascii="Arial" w:hAnsi="Arial" w:cs="Arial"/>
          <w:sz w:val="18"/>
          <w:szCs w:val="18"/>
        </w:rPr>
      </w:pPr>
      <w:r>
        <w:rPr>
          <w:rFonts w:ascii="Arial" w:hAnsi="Arial" w:cs="Arial"/>
          <w:sz w:val="18"/>
          <w:szCs w:val="18"/>
        </w:rPr>
        <w:t xml:space="preserve">    </w:t>
      </w:r>
      <w:r>
        <w:rPr>
          <w:rFonts w:cs="Arial" w:ascii="Arial" w:hAnsi="Arial"/>
          <w:sz w:val="18"/>
          <w:szCs w:val="18"/>
        </w:rPr>
        <w:t>3</w:t>
      </w:r>
      <w:r>
        <w:rPr>
          <w:rFonts w:ascii="Arial" w:hAnsi="Arial" w:cs="Arial"/>
          <w:sz w:val="18"/>
          <w:szCs w:val="18"/>
        </w:rPr>
        <w:t>、估价结果包括地租、房屋折旧、设备折旧、维修费、保险费、物业费、管理费、利息、利润等；不含供暖费、水电费、天然气费、通信费、有线电视费、上网宽带费和家具、家电租赁费及租赁税费等。</w:t>
      </w:r>
    </w:p>
    <w:p>
      <w:pPr>
        <w:pStyle w:val="1"/>
        <w:spacing w:lineRule="auto" w:line="480"/>
        <w:jc w:val="center"/>
        <w:rPr>
          <w:rFonts w:eastAsia="方正黑体简体"/>
          <w:b w:val="false"/>
          <w:b w:val="false"/>
          <w:kern w:val="2"/>
          <w:sz w:val="32"/>
          <w:szCs w:val="32"/>
        </w:rPr>
      </w:pPr>
      <w:bookmarkStart w:id="53" w:name="_Toc525655442"/>
      <w:r>
        <w:rPr>
          <w:rFonts w:eastAsia="方正黑体简体"/>
          <w:b w:val="false"/>
          <w:kern w:val="2"/>
          <w:sz w:val="32"/>
          <w:szCs w:val="32"/>
        </w:rPr>
        <w:t>附   件</w:t>
      </w:r>
      <w:bookmarkEnd w:id="53"/>
    </w:p>
    <w:p>
      <w:pPr>
        <w:pStyle w:val="Normal"/>
        <w:numPr>
          <w:ilvl w:val="0"/>
          <w:numId w:val="7"/>
        </w:numPr>
        <w:spacing w:lineRule="auto" w:line="360"/>
        <w:jc w:val="both"/>
        <w:rPr>
          <w:rFonts w:ascii="Arial" w:hAnsi="Arial" w:cs="Arial"/>
          <w:sz w:val="21"/>
          <w:szCs w:val="21"/>
        </w:rPr>
      </w:pPr>
      <w:r>
        <w:rPr>
          <w:rFonts w:ascii="Arial" w:hAnsi="Arial" w:cs="Arial"/>
          <w:sz w:val="21"/>
          <w:szCs w:val="21"/>
        </w:rPr>
        <w:t>《估价委托书》复印件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估价对象所在位置示意图</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估价对象现状相关照片</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《关于房山区拱辰街道</w:t>
      </w:r>
      <w:r>
        <w:rPr>
          <w:rFonts w:cs="Arial" w:ascii="Arial" w:hAnsi="Arial"/>
          <w:sz w:val="21"/>
          <w:szCs w:val="21"/>
        </w:rPr>
        <w:t>FS00-LX09-6001</w:t>
      </w:r>
      <w:r>
        <w:rPr>
          <w:rFonts w:ascii="Arial" w:hAnsi="Arial" w:cs="Arial"/>
          <w:sz w:val="21"/>
          <w:szCs w:val="21"/>
        </w:rPr>
        <w:t>地块</w:t>
      </w:r>
      <w:r>
        <w:rPr>
          <w:rFonts w:cs="Arial" w:ascii="Arial" w:hAnsi="Arial"/>
          <w:sz w:val="21"/>
          <w:szCs w:val="21"/>
        </w:rPr>
        <w:t>R2</w:t>
      </w:r>
      <w:r>
        <w:rPr>
          <w:rFonts w:ascii="Arial" w:hAnsi="Arial" w:cs="Arial"/>
          <w:sz w:val="21"/>
          <w:szCs w:val="21"/>
        </w:rPr>
        <w:t>二类居住用地、</w:t>
      </w:r>
      <w:r>
        <w:rPr>
          <w:rFonts w:cs="Arial" w:ascii="Arial" w:hAnsi="Arial"/>
          <w:sz w:val="21"/>
          <w:szCs w:val="21"/>
        </w:rPr>
        <w:t>FS00-LX09-6003</w:t>
      </w:r>
      <w:r>
        <w:rPr>
          <w:rFonts w:ascii="Arial" w:hAnsi="Arial" w:cs="Arial"/>
          <w:sz w:val="21"/>
          <w:szCs w:val="21"/>
        </w:rPr>
        <w:t>地块</w:t>
      </w:r>
      <w:r>
        <w:rPr>
          <w:rFonts w:cs="Arial" w:ascii="Arial" w:hAnsi="Arial"/>
          <w:sz w:val="21"/>
          <w:szCs w:val="21"/>
        </w:rPr>
        <w:t>A33</w:t>
      </w:r>
      <w:r>
        <w:rPr>
          <w:rFonts w:ascii="Arial" w:hAnsi="Arial" w:cs="Arial"/>
          <w:sz w:val="21"/>
          <w:szCs w:val="21"/>
        </w:rPr>
        <w:t>基础教育用地项目“多规合一”协同平台综合会商意见的函》</w:t>
      </w:r>
      <w:r>
        <w:rPr>
          <w:rFonts w:cs="Arial" w:ascii="Arial" w:hAnsi="Arial"/>
          <w:sz w:val="21"/>
          <w:szCs w:val="21"/>
        </w:rPr>
        <w:t>[</w:t>
      </w:r>
      <w:r>
        <w:rPr>
          <w:rFonts w:ascii="Arial" w:hAnsi="Arial" w:cs="Arial"/>
          <w:sz w:val="21"/>
          <w:szCs w:val="21"/>
        </w:rPr>
        <w:t>京规自（房）综审函</w:t>
      </w:r>
      <w:r>
        <w:rPr>
          <w:rFonts w:cs="Arial" w:ascii="Arial" w:hAnsi="Arial"/>
          <w:sz w:val="21"/>
          <w:szCs w:val="21"/>
        </w:rPr>
        <w:t>[2020]0027</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《建设工程规划许可证》</w:t>
      </w:r>
      <w:r>
        <w:rPr>
          <w:rFonts w:cs="Arial" w:ascii="Arial" w:hAnsi="Arial"/>
          <w:sz w:val="21"/>
          <w:szCs w:val="21"/>
        </w:rPr>
        <w:t>[2020</w:t>
      </w:r>
      <w:r>
        <w:rPr>
          <w:rFonts w:ascii="Arial" w:hAnsi="Arial" w:cs="Arial"/>
          <w:sz w:val="21"/>
          <w:szCs w:val="21"/>
        </w:rPr>
        <w:t>规自（房）建字</w:t>
      </w:r>
      <w:r>
        <w:rPr>
          <w:rFonts w:cs="Arial" w:ascii="Arial" w:hAnsi="Arial"/>
          <w:sz w:val="21"/>
          <w:szCs w:val="21"/>
        </w:rPr>
        <w:t>0021</w:t>
      </w:r>
      <w:r>
        <w:rPr>
          <w:rFonts w:ascii="Arial" w:hAnsi="Arial" w:cs="Arial"/>
          <w:sz w:val="21"/>
          <w:szCs w:val="21"/>
        </w:rPr>
        <w:t>、</w:t>
      </w:r>
      <w:r>
        <w:rPr>
          <w:rFonts w:cs="Arial" w:ascii="Arial" w:hAnsi="Arial"/>
          <w:sz w:val="21"/>
          <w:szCs w:val="21"/>
        </w:rPr>
        <w:t>0024</w:t>
      </w:r>
      <w:r>
        <w:rPr>
          <w:rFonts w:ascii="Arial" w:hAnsi="Arial" w:cs="Arial"/>
          <w:sz w:val="21"/>
          <w:szCs w:val="21"/>
        </w:rPr>
        <w:t>、</w:t>
      </w:r>
      <w:r>
        <w:rPr>
          <w:rFonts w:cs="Arial" w:ascii="Arial" w:hAnsi="Arial"/>
          <w:sz w:val="21"/>
          <w:szCs w:val="21"/>
        </w:rPr>
        <w:t>0046</w:t>
      </w:r>
      <w:r>
        <w:rPr>
          <w:rFonts w:ascii="Arial" w:hAnsi="Arial" w:cs="Arial"/>
          <w:sz w:val="21"/>
          <w:szCs w:val="21"/>
        </w:rPr>
        <w:t>、</w:t>
      </w:r>
      <w:r>
        <w:rPr>
          <w:rFonts w:cs="Arial" w:ascii="Arial" w:hAnsi="Arial"/>
          <w:sz w:val="21"/>
          <w:szCs w:val="21"/>
        </w:rPr>
        <w:t>0047</w:t>
      </w:r>
      <w:r>
        <w:rPr>
          <w:rFonts w:ascii="Arial" w:hAnsi="Arial" w:cs="Arial"/>
          <w:sz w:val="21"/>
          <w:szCs w:val="21"/>
        </w:rPr>
        <w:t>号</w:t>
      </w:r>
      <w:r>
        <w:rPr>
          <w:rFonts w:cs="Arial" w:ascii="Arial" w:hAnsi="Arial"/>
          <w:sz w:val="21"/>
          <w:szCs w:val="21"/>
        </w:rPr>
        <w:t>]</w:t>
      </w:r>
      <w:r>
        <w:rPr>
          <w:rFonts w:ascii="Arial" w:hAnsi="Arial" w:cs="Arial"/>
          <w:sz w:val="21"/>
          <w:szCs w:val="21"/>
        </w:rPr>
        <w:t>及附件复印件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《建筑工程施工许可证》</w:t>
      </w:r>
      <w:r>
        <w:rPr>
          <w:rFonts w:cs="Arial" w:ascii="Arial" w:hAnsi="Arial"/>
          <w:sz w:val="21"/>
          <w:szCs w:val="21"/>
        </w:rPr>
        <w:t>[</w:t>
      </w:r>
      <w:r>
        <w:rPr>
          <w:rFonts w:ascii="Arial" w:hAnsi="Arial" w:cs="Arial"/>
          <w:sz w:val="21"/>
          <w:szCs w:val="21"/>
        </w:rPr>
        <w:t>编号：</w:t>
      </w:r>
      <w:r>
        <w:rPr>
          <w:rFonts w:cs="Arial" w:ascii="Arial" w:hAnsi="Arial"/>
          <w:sz w:val="21"/>
          <w:szCs w:val="21"/>
        </w:rPr>
        <w:t>[2020]</w:t>
      </w:r>
      <w:r>
        <w:rPr>
          <w:rFonts w:ascii="Arial" w:hAnsi="Arial" w:cs="Arial"/>
          <w:sz w:val="21"/>
          <w:szCs w:val="21"/>
        </w:rPr>
        <w:t>施</w:t>
      </w:r>
      <w:r>
        <w:rPr>
          <w:rFonts w:cs="Arial" w:ascii="Arial" w:hAnsi="Arial"/>
          <w:sz w:val="21"/>
          <w:szCs w:val="21"/>
        </w:rPr>
        <w:t>[</w:t>
      </w:r>
      <w:r>
        <w:rPr>
          <w:rFonts w:ascii="Arial" w:hAnsi="Arial" w:cs="Arial"/>
          <w:sz w:val="21"/>
          <w:szCs w:val="21"/>
        </w:rPr>
        <w:t>房</w:t>
      </w:r>
      <w:r>
        <w:rPr>
          <w:rFonts w:cs="Arial" w:ascii="Arial" w:hAnsi="Arial"/>
          <w:sz w:val="21"/>
          <w:szCs w:val="21"/>
        </w:rPr>
        <w:t>]</w:t>
      </w:r>
      <w:r>
        <w:rPr>
          <w:rFonts w:ascii="Arial" w:hAnsi="Arial" w:cs="Arial"/>
          <w:sz w:val="21"/>
          <w:szCs w:val="21"/>
        </w:rPr>
        <w:t>建字</w:t>
      </w:r>
      <w:r>
        <w:rPr>
          <w:rFonts w:cs="Arial" w:ascii="Arial" w:hAnsi="Arial"/>
          <w:sz w:val="21"/>
          <w:szCs w:val="21"/>
        </w:rPr>
        <w:t>0071</w:t>
      </w:r>
      <w:r>
        <w:rPr>
          <w:rFonts w:ascii="Arial" w:hAnsi="Arial" w:cs="Arial"/>
          <w:sz w:val="21"/>
          <w:szCs w:val="21"/>
        </w:rPr>
        <w:t>号</w:t>
      </w:r>
      <w:r>
        <w:rPr>
          <w:rFonts w:cs="Arial" w:ascii="Arial" w:hAnsi="Arial"/>
          <w:sz w:val="21"/>
          <w:szCs w:val="21"/>
        </w:rPr>
        <w:t>]</w:t>
      </w:r>
      <w:r>
        <w:rPr>
          <w:rFonts w:ascii="Arial" w:hAnsi="Arial" w:cs="Arial"/>
          <w:sz w:val="21"/>
          <w:szCs w:val="21"/>
        </w:rPr>
        <w:t>及附件复印件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《工程竣工验收备案表》</w:t>
      </w:r>
      <w:r>
        <w:rPr>
          <w:rFonts w:cs="Arial" w:ascii="Arial" w:hAnsi="Arial"/>
          <w:sz w:val="21"/>
          <w:szCs w:val="21"/>
        </w:rPr>
        <w:t>[</w:t>
      </w:r>
      <w:r>
        <w:rPr>
          <w:rFonts w:ascii="Arial" w:hAnsi="Arial" w:cs="Arial"/>
          <w:sz w:val="21"/>
          <w:szCs w:val="21"/>
        </w:rPr>
        <w:t>备案编号：</w:t>
      </w:r>
      <w:r>
        <w:rPr>
          <w:rFonts w:cs="Arial" w:ascii="Arial" w:hAnsi="Arial"/>
          <w:sz w:val="21"/>
          <w:szCs w:val="21"/>
        </w:rPr>
        <w:t>0396</w:t>
      </w:r>
      <w:r>
        <w:rPr>
          <w:rFonts w:ascii="Arial" w:hAnsi="Arial" w:cs="Arial"/>
          <w:sz w:val="21"/>
          <w:szCs w:val="21"/>
        </w:rPr>
        <w:t>房竣</w:t>
      </w:r>
      <w:r>
        <w:rPr>
          <w:rFonts w:cs="Arial" w:ascii="Arial" w:hAnsi="Arial"/>
          <w:sz w:val="21"/>
          <w:szCs w:val="21"/>
        </w:rPr>
        <w:t>2023</w:t>
      </w:r>
      <w:r>
        <w:rPr>
          <w:rFonts w:ascii="Arial" w:hAnsi="Arial" w:cs="Arial"/>
          <w:sz w:val="21"/>
          <w:szCs w:val="21"/>
        </w:rPr>
        <w:t>（建）</w:t>
      </w:r>
      <w:r>
        <w:rPr>
          <w:rFonts w:cs="Arial" w:ascii="Arial" w:hAnsi="Arial"/>
          <w:sz w:val="21"/>
          <w:szCs w:val="21"/>
        </w:rPr>
        <w:t>0020</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《不动产权证书》</w:t>
      </w:r>
      <w:r>
        <w:rPr>
          <w:rFonts w:cs="Arial" w:ascii="Arial" w:hAnsi="Arial"/>
          <w:sz w:val="21"/>
          <w:szCs w:val="21"/>
        </w:rPr>
        <w:t>[</w:t>
      </w:r>
      <w:r>
        <w:rPr>
          <w:rFonts w:ascii="Arial" w:hAnsi="Arial" w:cs="Arial"/>
          <w:sz w:val="21"/>
          <w:szCs w:val="21"/>
        </w:rPr>
        <w:t>京（</w:t>
      </w:r>
      <w:r>
        <w:rPr>
          <w:rFonts w:cs="Arial" w:ascii="Arial" w:hAnsi="Arial"/>
          <w:sz w:val="21"/>
          <w:szCs w:val="21"/>
        </w:rPr>
        <w:t>2020</w:t>
      </w:r>
      <w:r>
        <w:rPr>
          <w:rFonts w:ascii="Arial" w:hAnsi="Arial" w:cs="Arial"/>
          <w:sz w:val="21"/>
          <w:szCs w:val="21"/>
        </w:rPr>
        <w:t>）房不动产权第</w:t>
      </w:r>
      <w:r>
        <w:rPr>
          <w:rFonts w:cs="Arial" w:ascii="Arial" w:hAnsi="Arial"/>
          <w:sz w:val="21"/>
          <w:szCs w:val="21"/>
        </w:rPr>
        <w:t>0017054</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7"/>
        </w:numPr>
        <w:spacing w:lineRule="auto" w:line="360"/>
        <w:jc w:val="both"/>
        <w:rPr>
          <w:rFonts w:ascii="Arial" w:hAnsi="Arial" w:cs="Arial"/>
          <w:sz w:val="21"/>
          <w:szCs w:val="21"/>
        </w:rPr>
      </w:pPr>
      <w:r>
        <w:rPr>
          <w:rFonts w:ascii="Arial" w:hAnsi="Arial" w:cs="Arial"/>
          <w:kern w:val="2"/>
          <w:sz w:val="21"/>
          <w:szCs w:val="21"/>
        </w:rPr>
        <w:t>《轩景家园共有产权房房源表》</w:t>
      </w:r>
      <w:r>
        <w:rPr>
          <w:rFonts w:ascii="Arial" w:hAnsi="Arial" w:cs="Arial"/>
          <w:sz w:val="21"/>
          <w:szCs w:val="21"/>
        </w:rPr>
        <w:t>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《北京市门楼牌编号证明信》</w:t>
      </w:r>
      <w:r>
        <w:rPr>
          <w:rFonts w:cs="Arial" w:ascii="Arial" w:hAnsi="Arial"/>
          <w:sz w:val="21"/>
          <w:szCs w:val="21"/>
        </w:rPr>
        <w:t>[(1100)</w:t>
      </w:r>
      <w:r>
        <w:rPr>
          <w:rFonts w:ascii="Arial" w:hAnsi="Arial" w:cs="Arial"/>
          <w:sz w:val="21"/>
          <w:szCs w:val="21"/>
        </w:rPr>
        <w:t>房山分局</w:t>
      </w:r>
      <w:r>
        <w:rPr>
          <w:rFonts w:cs="Arial" w:ascii="Arial" w:hAnsi="Arial"/>
          <w:sz w:val="21"/>
          <w:szCs w:val="21"/>
        </w:rPr>
        <w:t>066</w:t>
      </w:r>
      <w:r>
        <w:rPr>
          <w:rFonts w:ascii="Arial" w:hAnsi="Arial" w:cs="Arial"/>
          <w:sz w:val="21"/>
          <w:szCs w:val="21"/>
        </w:rPr>
        <w:t>号</w:t>
      </w:r>
      <w:r>
        <w:rPr>
          <w:rFonts w:cs="Arial" w:ascii="Arial" w:hAnsi="Arial"/>
          <w:sz w:val="21"/>
          <w:szCs w:val="21"/>
        </w:rPr>
        <w:t>]</w:t>
      </w:r>
      <w:r>
        <w:rPr>
          <w:rFonts w:ascii="Arial" w:hAnsi="Arial" w:cs="Arial"/>
          <w:sz w:val="21"/>
          <w:szCs w:val="21"/>
        </w:rPr>
        <w:t>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估价委托人《营业执照（副本）》复印件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房地产估价机构《营业执照（副本）》复印件</w:t>
      </w:r>
    </w:p>
    <w:p>
      <w:pPr>
        <w:pStyle w:val="Normal"/>
        <w:numPr>
          <w:ilvl w:val="0"/>
          <w:numId w:val="7"/>
        </w:numPr>
        <w:spacing w:lineRule="auto" w:line="360"/>
        <w:jc w:val="both"/>
        <w:rPr>
          <w:rFonts w:ascii="Arial" w:hAnsi="Arial" w:cs="Arial"/>
          <w:sz w:val="21"/>
          <w:szCs w:val="21"/>
        </w:rPr>
      </w:pPr>
      <w:r>
        <w:rPr>
          <w:rFonts w:ascii="Arial" w:hAnsi="Arial" w:cs="Arial"/>
          <w:sz w:val="21"/>
          <w:szCs w:val="21"/>
        </w:rPr>
        <w:t>估价机构资质证书复印件</w:t>
      </w:r>
    </w:p>
    <w:p>
      <w:pPr>
        <w:pStyle w:val="Normal"/>
        <w:numPr>
          <w:ilvl w:val="0"/>
          <w:numId w:val="7"/>
        </w:numPr>
        <w:spacing w:lineRule="auto" w:line="360"/>
        <w:jc w:val="both"/>
        <w:rPr/>
      </w:pPr>
      <w:r>
        <w:rPr>
          <w:rFonts w:ascii="Arial" w:hAnsi="Arial" w:cs="Arial"/>
          <w:sz w:val="21"/>
          <w:szCs w:val="21"/>
        </w:rPr>
        <w:t>评估专业人员执业证书复印件</w:t>
      </w:r>
    </w:p>
    <w:sectPr>
      <w:headerReference w:type="default" r:id="rId35"/>
      <w:footerReference w:type="default" r:id="rId36"/>
      <w:type w:val="nextPage"/>
      <w:pgSz w:w="11906" w:h="16838"/>
      <w:pgMar w:left="1304" w:right="1304" w:header="1134" w:top="1843" w:footer="907" w:bottom="1134" w:gutter="0"/>
      <w:pgNumType w:fmt="decimal"/>
      <w:formProt w:val="false"/>
      <w:textDirection w:val="lrTb"/>
      <w:docGrid w:type="default" w:linePitch="326" w:charSpace="0"/>
    </w:sectPr>
  </w:body>
</w:document>
</file>

<file path=word/comments.xml><?xml version="1.0" encoding="utf-8"?>
<w:comment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comment w:id="0" w:author="未知作者" w:date="2023-12-12T09:56:54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东与进修学校还隔着条在施的规划路呢；南、西这个轩景颂跟轩景家园是否就是同一个小区吧？</w:t>
      </w:r>
    </w:p>
  </w:comment>
  <w:comment w:id="1" w:author="未知作者" w:date="2023-12-12T10:26:14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w:t>
      </w:r>
    </w:p>
  </w:comment>
  <w:comment w:id="2" w:author="未知作者" w:date="2023-12-12T10:22:27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实际上有抵押，是否属背离事实？</w:t>
      </w:r>
    </w:p>
  </w:comment>
  <w:comment w:id="3" w:author="未知作者" w:date="2023-12-12T10:23:44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w:t>
      </w:r>
    </w:p>
  </w:comment>
  <w:comment w:id="4" w:author="未知作者" w:date="2023-12-12T10:30:26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地图（底图）的标注似有误，换个地图软件再核实一下。</w:t>
      </w:r>
    </w:p>
  </w:comment>
  <w:comment w:id="5" w:author="未知作者" w:date="2023-12-12T10:32:56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同前</w:t>
      </w:r>
    </w:p>
  </w:comment>
  <w:comment w:id="6" w:author="未知作者" w:date="2023-12-12T10:34:36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实际有抵押和查封</w:t>
      </w:r>
    </w:p>
  </w:comment>
  <w:comment w:id="7" w:author="未知作者" w:date="2023-12-12T10:38:25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这儿是一般，后面较好</w:t>
      </w:r>
    </w:p>
  </w:comment>
  <w:comment w:id="8" w:author="未知作者" w:date="2023-12-12T10:38:41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这儿是较好，前面一般</w:t>
      </w:r>
    </w:p>
  </w:comment>
  <w:comment w:id="9" w:author="未知作者" w:date="2023-12-12T10:40:02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w:t>
      </w:r>
    </w:p>
  </w:comment>
  <w:comment w:id="10" w:author="未知作者" w:date="2023-12-12T10:40:17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w:t>
      </w:r>
    </w:p>
  </w:comment>
  <w:comment w:id="11" w:author="未知作者" w:date="2023-12-12T10:40:38Z" w:initials="">
    <w:p>
      <w:r>
        <w:rPr>
          <w:rFonts w:ascii="Times New Roman" w:hAnsi="Times New Roman" w:eastAsia="宋体" w:cs="Times New Roman"/>
          <w:b w:val="false"/>
          <w:bCs w:val="false"/>
          <w:i w:val="false"/>
          <w:iCs w:val="false"/>
          <w:caps w:val="false"/>
          <w:smallCaps w:val="false"/>
          <w:strike w:val="false"/>
          <w:dstrike w:val="false"/>
          <w:outline w:val="false"/>
          <w:shadow w:val="false"/>
          <w:emboss w:val="false"/>
          <w:imprint w:val="false"/>
          <w:color w:val="auto"/>
          <w:spacing w:val="0"/>
          <w:w w:val="100"/>
          <w:kern w:val="0"/>
          <w:position w:val="0"/>
          <w:sz w:val="20"/>
          <w:sz w:val="20"/>
          <w:szCs w:val="20"/>
          <w:u w:val="none"/>
          <w:vertAlign w:val="baseline"/>
          <w:em w:val="none"/>
          <w:lang w:val="en-US" w:eastAsia="zh-CN" w:bidi="ar-SA"/>
        </w:rPr>
        <w:t>！</w:t>
      </w:r>
    </w:p>
  </w:comment>
</w:comments>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86"/>
    <w:family w:val="roman"/>
    <w:pitch w:val="variable"/>
  </w:font>
  <w:font w:name="Times New Roman">
    <w:charset w:val="86"/>
    <w:family w:val="roman"/>
    <w:pitch w:val="variable"/>
  </w:font>
  <w:font w:name="Arial">
    <w:charset w:val="86"/>
    <w:family w:val="roman"/>
    <w:pitch w:val="variable"/>
  </w:font>
  <w:font w:name="仿宋_GB2312">
    <w:charset w:val="86"/>
    <w:family w:val="roman"/>
    <w:pitch w:val="variable"/>
  </w:font>
  <w:font w:name="楷体_GB2312">
    <w:charset w:val="86"/>
    <w:family w:val="roman"/>
    <w:pitch w:val="variable"/>
  </w:font>
  <w:font w:name="宋体">
    <w:charset w:val="86"/>
    <w:family w:val="roman"/>
    <w:pitch w:val="variable"/>
  </w:font>
  <w:font w:name="Calibri">
    <w:charset w:val="86"/>
    <w:family w:val="roman"/>
    <w:pitch w:val="variable"/>
  </w:font>
  <w:font w:name="微软雅黑">
    <w:charset w:val="86"/>
    <w:family w:val="roman"/>
    <w:pitch w:val="variable"/>
  </w:font>
  <w:font w:name="Liberation Sans">
    <w:altName w:val="Arial"/>
    <w:charset w:val="86"/>
    <w:family w:val="roman"/>
    <w:pitch w:val="variable"/>
  </w:font>
  <w:font w:name="Arial Unicode MS">
    <w:charset w:val="86"/>
    <w:family w:val="roman"/>
    <w:pitch w:val="variable"/>
  </w:font>
  <w:font w:name="仿宋">
    <w:charset w:val="86"/>
    <w:family w:val="roman"/>
    <w:pitch w:val="variable"/>
  </w:font>
  <w:font w:name="楷体">
    <w:charset w:val="86"/>
    <w:family w:val="roman"/>
    <w:pitch w:val="variable"/>
  </w:font>
  <w:font w:name="微软雅黑">
    <w:charset w:val="01"/>
    <w:family w:val="swiss"/>
    <w:pitch w:val="variable"/>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top w:val="single" w:sz="4" w:space="1" w:color="404040"/>
      </w:pBdr>
      <w:jc w:val="center"/>
      <w:rPr/>
    </w:pPr>
    <w:r>
      <w:rPr>
        <w:rFonts w:ascii="Arial" w:hAnsi="Arial" w:cs="Arial"/>
      </w:rPr>
      <w:fldChar w:fldCharType="begin"/>
    </w:r>
    <w:r>
      <w:rPr>
        <w:rFonts w:ascii="Arial" w:hAnsi="Arial" w:cs="Arial"/>
      </w:rPr>
      <w:instrText> PAGE </w:instrText>
    </w:r>
    <w:r>
      <w:rPr>
        <w:rFonts w:ascii="Arial" w:hAnsi="Arial" w:cs="Arial"/>
      </w:rPr>
      <w:fldChar w:fldCharType="separate"/>
    </w:r>
    <w:r>
      <w:rPr>
        <w:rFonts w:ascii="Arial" w:hAnsi="Arial" w:cs="Arial"/>
      </w:rPr>
      <w:t>1</w:t>
    </w:r>
    <w:r>
      <w:rPr>
        <w:rFonts w:ascii="Arial" w:hAnsi="Arial" w:cs="Arial"/>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top w:val="single" w:sz="4" w:space="1" w:color="404040"/>
      </w:pBdr>
      <w:jc w:val="center"/>
      <w:rPr/>
    </w:pPr>
    <w:r>
      <w:rPr/>
      <w:fldChar w:fldCharType="begin"/>
    </w:r>
    <w:r>
      <w:rPr/>
      <w:instrText> PAGE </w:instrText>
    </w:r>
    <w:r>
      <w:rPr/>
      <w:fldChar w:fldCharType="separate"/>
    </w:r>
    <w:r>
      <w:rPr/>
      <w:t>6</w:t>
    </w:r>
    <w:r>
      <w:rPr/>
      <w:fldChar w:fldCharType="end"/>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top w:val="single" w:sz="4" w:space="1" w:color="404040"/>
      </w:pBdr>
      <w:jc w:val="center"/>
      <w:rPr/>
    </w:pPr>
    <w:r>
      <w:rPr/>
      <w:fldChar w:fldCharType="begin"/>
    </w:r>
    <w:r>
      <w:rPr/>
      <w:instrText> PAGE </w:instrText>
    </w:r>
    <w:r>
      <w:rPr/>
      <w:fldChar w:fldCharType="separate"/>
    </w:r>
    <w:r>
      <w:rPr/>
      <w:t>7</w:t>
    </w:r>
    <w:r>
      <w:rPr/>
      <w:fldChar w:fldCharType="end"/>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top w:val="single" w:sz="4" w:space="1" w:color="404040"/>
      </w:pBdr>
      <w:jc w:val="center"/>
      <w:rPr/>
    </w:pPr>
    <w:r>
      <w:rPr/>
      <w:fldChar w:fldCharType="begin"/>
    </w:r>
    <w:r>
      <w:rPr/>
      <w:instrText> PAGE </w:instrText>
    </w:r>
    <w:r>
      <w:rPr/>
      <w:fldChar w:fldCharType="separate"/>
    </w:r>
    <w:r>
      <w:rPr/>
      <w:t>11</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top w:val="single" w:sz="4" w:space="1" w:color="404040"/>
      </w:pBdr>
      <w:tabs>
        <w:tab w:val="clear" w:pos="4153"/>
        <w:tab w:val="clear" w:pos="8306"/>
        <w:tab w:val="right" w:pos="9027" w:leader="none"/>
      </w:tabs>
      <w:snapToGrid w:val="false"/>
      <w:jc w:val="center"/>
      <w:rPr/>
    </w:pPr>
    <w:r>
      <w:rPr/>
      <w:fldChar w:fldCharType="begin"/>
    </w:r>
    <w:r>
      <w:rPr/>
      <w:instrText> PAGE </w:instrText>
    </w:r>
    <w:r>
      <w:rPr/>
      <w:fldChar w:fldCharType="separate"/>
    </w:r>
    <w:r>
      <w:rPr/>
      <w:t>20</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top w:val="single" w:sz="4" w:space="1" w:color="404040"/>
      </w:pBdr>
      <w:tabs>
        <w:tab w:val="clear" w:pos="4153"/>
        <w:tab w:val="clear" w:pos="8306"/>
        <w:tab w:val="right" w:pos="9027" w:leader="none"/>
      </w:tabs>
      <w:jc w:val="center"/>
      <w:rPr/>
    </w:pPr>
    <w:r>
      <w:rPr/>
      <w:fldChar w:fldCharType="begin"/>
    </w:r>
    <w:r>
      <w:rPr/>
      <w:instrText> PAGE </w:instrText>
    </w:r>
    <w:r>
      <w:rPr/>
      <w:fldChar w:fldCharType="separate"/>
    </w:r>
    <w:r>
      <w:rPr/>
      <w:t>38</w:t>
    </w:r>
    <w:r>
      <w:rPr/>
      <w:fldChar w:fldCharType="end"/>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0"/>
      <w:pBdr>
        <w:top w:val="single" w:sz="4" w:space="1" w:color="404040"/>
      </w:pBdr>
      <w:tabs>
        <w:tab w:val="clear" w:pos="4153"/>
        <w:tab w:val="clear" w:pos="8306"/>
        <w:tab w:val="right" w:pos="9027" w:leader="none"/>
      </w:tabs>
      <w:jc w:val="center"/>
      <w:rPr/>
    </w:pPr>
    <w:r>
      <w:rPr/>
      <w:fldChar w:fldCharType="begin"/>
    </w:r>
    <w:r>
      <w:rPr/>
      <w:instrText> PAGE </w:instrText>
    </w:r>
    <w:r>
      <w:rPr/>
      <w:fldChar w:fldCharType="separate"/>
    </w:r>
    <w:r>
      <w:rPr/>
      <w:t>64</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jc w:val="both"/>
      <w:rPr>
        <w:rFonts w:ascii="楷体_GB2312" w:hAnsi="楷体_GB2312" w:eastAsia="楷体_GB2312"/>
        <w:color w:val="FF0000"/>
        <w:spacing w:val="-20"/>
        <w:sz w:val="21"/>
      </w:rPr>
    </w:pPr>
    <w:r>
      <w:rPr/>
      <w:drawing>
        <wp:inline distT="0" distB="0" distL="0" distR="0">
          <wp:extent cx="5911850" cy="287020"/>
          <wp:effectExtent l="0" t="0" r="0" b="0"/>
          <wp:docPr id="1" name="图片 1872058933"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72058933" descr="评估报告内页页眉.jpg"/>
                  <pic:cNvPicPr>
                    <a:picLocks noChangeAspect="1" noChangeArrowheads="1"/>
                  </pic:cNvPicPr>
                </pic:nvPicPr>
                <pic:blipFill>
                  <a:blip r:embed="rId1"/>
                  <a:stretch>
                    <a:fillRect/>
                  </a:stretch>
                </pic:blipFill>
                <pic:spPr bwMode="auto">
                  <a:xfrm>
                    <a:off x="0" y="0"/>
                    <a:ext cx="5911850" cy="287020"/>
                  </a:xfrm>
                  <a:prstGeom prst="rect">
                    <a:avLst/>
                  </a:prstGeom>
                </pic:spPr>
              </pic:pic>
            </a:graphicData>
          </a:graphic>
        </wp:inline>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jc w:val="both"/>
      <w:rPr>
        <w:rFonts w:ascii="楷体_GB2312" w:hAnsi="楷体_GB2312" w:eastAsia="楷体_GB2312"/>
        <w:color w:val="FF0000"/>
        <w:spacing w:val="-20"/>
        <w:sz w:val="21"/>
      </w:rPr>
    </w:pPr>
    <w:r>
      <w:rPr/>
      <w:drawing>
        <wp:inline distT="0" distB="0" distL="0" distR="0">
          <wp:extent cx="5904230" cy="287020"/>
          <wp:effectExtent l="0" t="0" r="0" b="0"/>
          <wp:docPr id="2" name="图片 1657328883"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57328883" descr="评估报告内页页眉.jpg"/>
                  <pic:cNvPicPr>
                    <a:picLocks noChangeAspect="1" noChangeArrowheads="1"/>
                  </pic:cNvPicPr>
                </pic:nvPicPr>
                <pic:blipFill>
                  <a:blip r:embed="rId1"/>
                  <a:stretch>
                    <a:fillRect/>
                  </a:stretch>
                </pic:blipFill>
                <pic:spPr bwMode="auto">
                  <a:xfrm>
                    <a:off x="0" y="0"/>
                    <a:ext cx="5904230" cy="287020"/>
                  </a:xfrm>
                  <a:prstGeom prst="rect">
                    <a:avLst/>
                  </a:prstGeom>
                </pic:spPr>
              </pic:pic>
            </a:graphicData>
          </a:graphic>
        </wp:inline>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jc w:val="both"/>
      <w:rPr/>
    </w:pPr>
    <w:r>
      <w:rPr/>
      <w:drawing>
        <wp:inline distT="0" distB="0" distL="0" distR="0">
          <wp:extent cx="5904230" cy="287020"/>
          <wp:effectExtent l="0" t="0" r="0" b="0"/>
          <wp:docPr id="3" name="图像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像1" descr="评估报告内页页眉.jpg"/>
                  <pic:cNvPicPr>
                    <a:picLocks noChangeAspect="1" noChangeArrowheads="1"/>
                  </pic:cNvPicPr>
                </pic:nvPicPr>
                <pic:blipFill>
                  <a:blip r:embed="rId1"/>
                  <a:stretch>
                    <a:fillRect/>
                  </a:stretch>
                </pic:blipFill>
                <pic:spPr bwMode="auto">
                  <a:xfrm>
                    <a:off x="0" y="0"/>
                    <a:ext cx="5904230" cy="287020"/>
                  </a:xfrm>
                  <a:prstGeom prst="rect">
                    <a:avLst/>
                  </a:prstGeom>
                </pic:spPr>
              </pic:pic>
            </a:graphicData>
          </a:graphic>
        </wp:inline>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jc w:val="both"/>
      <w:rPr/>
    </w:pPr>
    <w:r>
      <w:rPr/>
      <w:drawing>
        <wp:inline distT="0" distB="0" distL="0" distR="0">
          <wp:extent cx="5904230" cy="287020"/>
          <wp:effectExtent l="0" t="0" r="0" b="0"/>
          <wp:docPr id="4" name="图像2"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2" descr="评估报告内页页眉.jpg"/>
                  <pic:cNvPicPr>
                    <a:picLocks noChangeAspect="1" noChangeArrowheads="1"/>
                  </pic:cNvPicPr>
                </pic:nvPicPr>
                <pic:blipFill>
                  <a:blip r:embed="rId1"/>
                  <a:stretch>
                    <a:fillRect/>
                  </a:stretch>
                </pic:blipFill>
                <pic:spPr bwMode="auto">
                  <a:xfrm>
                    <a:off x="0" y="0"/>
                    <a:ext cx="5904230" cy="287020"/>
                  </a:xfrm>
                  <a:prstGeom prst="rect">
                    <a:avLst/>
                  </a:prstGeom>
                </pic:spPr>
              </pic:pic>
            </a:graphicData>
          </a:graphic>
        </wp:inline>
      </w:drawing>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jc w:val="both"/>
      <w:rPr>
        <w:rFonts w:ascii="楷体_GB2312" w:hAnsi="楷体_GB2312" w:eastAsia="楷体_GB2312"/>
        <w:color w:val="FF0000"/>
        <w:spacing w:val="-20"/>
        <w:sz w:val="21"/>
      </w:rPr>
    </w:pPr>
    <w:r>
      <w:rPr/>
      <w:drawing>
        <wp:inline distT="0" distB="0" distL="0" distR="0">
          <wp:extent cx="5911850" cy="287020"/>
          <wp:effectExtent l="0" t="0" r="0" b="0"/>
          <wp:docPr id="6" name="图片 2084657454"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84657454" descr="评估报告内页页眉.jpg"/>
                  <pic:cNvPicPr>
                    <a:picLocks noChangeAspect="1" noChangeArrowheads="1"/>
                  </pic:cNvPicPr>
                </pic:nvPicPr>
                <pic:blipFill>
                  <a:blip r:embed="rId1"/>
                  <a:stretch>
                    <a:fillRect/>
                  </a:stretch>
                </pic:blipFill>
                <pic:spPr bwMode="auto">
                  <a:xfrm>
                    <a:off x="0" y="0"/>
                    <a:ext cx="5911850" cy="287020"/>
                  </a:xfrm>
                  <a:prstGeom prst="rect">
                    <a:avLst/>
                  </a:prstGeom>
                </pic:spPr>
              </pic:pic>
            </a:graphicData>
          </a:graphic>
        </wp:inline>
      </w:drawing>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jc w:val="both"/>
      <w:rPr/>
    </w:pPr>
    <w:r>
      <w:rPr/>
      <w:drawing>
        <wp:inline distT="0" distB="0" distL="0" distR="0">
          <wp:extent cx="5911850" cy="287020"/>
          <wp:effectExtent l="0" t="0" r="0" b="0"/>
          <wp:docPr id="27" name="图像6"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像6" descr="评估报告内页页眉.jpg"/>
                  <pic:cNvPicPr>
                    <a:picLocks noChangeAspect="1" noChangeArrowheads="1"/>
                  </pic:cNvPicPr>
                </pic:nvPicPr>
                <pic:blipFill>
                  <a:blip r:embed="rId1"/>
                  <a:stretch>
                    <a:fillRect/>
                  </a:stretch>
                </pic:blipFill>
                <pic:spPr bwMode="auto">
                  <a:xfrm>
                    <a:off x="0" y="0"/>
                    <a:ext cx="5911850" cy="287020"/>
                  </a:xfrm>
                  <a:prstGeom prst="rect">
                    <a:avLst/>
                  </a:prstGeom>
                </pic:spPr>
              </pic:pic>
            </a:graphicData>
          </a:graphic>
        </wp:inline>
      </w:drawing>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pBdr>
        <w:bottom w:val="nil"/>
      </w:pBdr>
      <w:rPr/>
    </w:pPr>
    <w:r>
      <w:rPr/>
      <w:drawing>
        <wp:inline distT="0" distB="0" distL="0" distR="0">
          <wp:extent cx="5911850" cy="287020"/>
          <wp:effectExtent l="0" t="0" r="0" b="0"/>
          <wp:docPr id="28" name="图像7"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像7" descr="评估报告内页页眉.jpg"/>
                  <pic:cNvPicPr>
                    <a:picLocks noChangeAspect="1" noChangeArrowheads="1"/>
                  </pic:cNvPicPr>
                </pic:nvPicPr>
                <pic:blipFill>
                  <a:blip r:embed="rId1"/>
                  <a:stretch>
                    <a:fillRect/>
                  </a:stretch>
                </pic:blipFill>
                <pic:spPr bwMode="auto">
                  <a:xfrm>
                    <a:off x="0" y="0"/>
                    <a:ext cx="5911850" cy="287020"/>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4"/>
      <w:numFmt w:val="upperRoman"/>
      <w:lvlText w:val="%1、"/>
      <w:lvlJc w:val="left"/>
      <w:pPr>
        <w:tabs>
          <w:tab w:val="num" w:pos="1605"/>
        </w:tabs>
        <w:ind w:left="1605" w:hanging="1080"/>
      </w:pPr>
      <w:rPr>
        <w:sz w:val="21"/>
        <w:b w:val="false"/>
      </w:rPr>
    </w:lvl>
    <w:lvl w:ilvl="1">
      <w:start w:val="1"/>
      <w:pStyle w:val="3"/>
      <w:numFmt w:val="upperLetter"/>
      <w:lvlText w:val="%2、"/>
      <w:lvlJc w:val="left"/>
      <w:pPr>
        <w:tabs>
          <w:tab w:val="num" w:pos="1740"/>
        </w:tabs>
        <w:ind w:left="1740" w:hanging="72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abstractNum w:abstractNumId="2">
    <w:lvl w:ilvl="0">
      <w:start w:val="1"/>
      <w:numFmt w:val="bullet"/>
      <w:lvlText w:val="—"/>
      <w:lvlJc w:val="left"/>
      <w:pPr>
        <w:ind w:left="360" w:hanging="360"/>
      </w:pPr>
      <w:rPr>
        <w:rFonts w:ascii="微软雅黑" w:hAnsi="微软雅黑" w:cs="微软雅黑" w:hint="default"/>
        <w:sz w:val="21"/>
        <w:b/>
        <w:rFonts w:cs="Times New Roman"/>
      </w:rPr>
    </w:lvl>
    <w:lvl w:ilvl="1">
      <w:start w:val="1"/>
      <w:numFmt w:val="bullet"/>
      <w:lvlText w:val=""/>
      <w:lvlJc w:val="left"/>
      <w:pPr>
        <w:ind w:left="840" w:hanging="420"/>
      </w:pPr>
      <w:rPr>
        <w:rFonts w:ascii="Wingdings" w:hAnsi="Wingdings" w:cs="Wingdings" w:hint="default"/>
        <w:rFonts w:cs="Wingdings"/>
      </w:rPr>
    </w:lvl>
    <w:lvl w:ilvl="2">
      <w:start w:val="1"/>
      <w:numFmt w:val="bullet"/>
      <w:lvlText w:val=""/>
      <w:lvlJc w:val="left"/>
      <w:pPr>
        <w:ind w:left="1260" w:hanging="420"/>
      </w:pPr>
      <w:rPr>
        <w:rFonts w:ascii="Wingdings" w:hAnsi="Wingdings" w:cs="Wingdings" w:hint="default"/>
        <w:rFonts w:cs="Wingdings"/>
      </w:rPr>
    </w:lvl>
    <w:lvl w:ilvl="3">
      <w:start w:val="1"/>
      <w:numFmt w:val="bullet"/>
      <w:lvlText w:val=""/>
      <w:lvlJc w:val="left"/>
      <w:pPr>
        <w:ind w:left="1680" w:hanging="420"/>
      </w:pPr>
      <w:rPr>
        <w:rFonts w:ascii="Wingdings" w:hAnsi="Wingdings" w:cs="Wingdings" w:hint="default"/>
        <w:rFonts w:cs="Wingdings"/>
      </w:rPr>
    </w:lvl>
    <w:lvl w:ilvl="4">
      <w:start w:val="1"/>
      <w:numFmt w:val="bullet"/>
      <w:lvlText w:val=""/>
      <w:lvlJc w:val="left"/>
      <w:pPr>
        <w:ind w:left="2100" w:hanging="420"/>
      </w:pPr>
      <w:rPr>
        <w:rFonts w:ascii="Wingdings" w:hAnsi="Wingdings" w:cs="Wingdings" w:hint="default"/>
        <w:rFonts w:cs="Wingdings"/>
      </w:rPr>
    </w:lvl>
    <w:lvl w:ilvl="5">
      <w:start w:val="1"/>
      <w:numFmt w:val="bullet"/>
      <w:lvlText w:val=""/>
      <w:lvlJc w:val="left"/>
      <w:pPr>
        <w:ind w:left="2520" w:hanging="420"/>
      </w:pPr>
      <w:rPr>
        <w:rFonts w:ascii="Wingdings" w:hAnsi="Wingdings" w:cs="Wingdings" w:hint="default"/>
        <w:rFonts w:cs="Wingdings"/>
      </w:rPr>
    </w:lvl>
    <w:lvl w:ilvl="6">
      <w:start w:val="1"/>
      <w:numFmt w:val="bullet"/>
      <w:lvlText w:val=""/>
      <w:lvlJc w:val="left"/>
      <w:pPr>
        <w:ind w:left="2940" w:hanging="420"/>
      </w:pPr>
      <w:rPr>
        <w:rFonts w:ascii="Wingdings" w:hAnsi="Wingdings" w:cs="Wingdings" w:hint="default"/>
        <w:rFonts w:cs="Wingdings"/>
      </w:rPr>
    </w:lvl>
    <w:lvl w:ilvl="7">
      <w:start w:val="1"/>
      <w:numFmt w:val="bullet"/>
      <w:lvlText w:val=""/>
      <w:lvlJc w:val="left"/>
      <w:pPr>
        <w:ind w:left="3360" w:hanging="420"/>
      </w:pPr>
      <w:rPr>
        <w:rFonts w:ascii="Wingdings" w:hAnsi="Wingdings" w:cs="Wingdings" w:hint="default"/>
        <w:rFonts w:cs="Wingdings"/>
      </w:rPr>
    </w:lvl>
    <w:lvl w:ilvl="8">
      <w:start w:val="1"/>
      <w:numFmt w:val="bullet"/>
      <w:lvlText w:val=""/>
      <w:lvlJc w:val="left"/>
      <w:pPr>
        <w:ind w:left="3780" w:hanging="420"/>
      </w:pPr>
      <w:rPr>
        <w:rFonts w:ascii="Wingdings" w:hAnsi="Wingdings" w:cs="Wingdings" w:hint="default"/>
        <w:rFonts w:cs="Wingdings"/>
      </w:rPr>
    </w:lvl>
  </w:abstractNum>
  <w:abstractNum w:abstractNumId="3">
    <w:lvl w:ilvl="0">
      <w:start w:val="1"/>
      <w:numFmt w:val="decimal"/>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lvl w:ilvl="0">
      <w:start w:val="2"/>
      <w:numFmt w:val="chineseCountingThousand"/>
      <w:lvlText w:val="（%1）"/>
      <w:lvlJc w:val="left"/>
      <w:pPr>
        <w:ind w:left="720" w:hanging="720"/>
      </w:pPr>
      <w:rPr>
        <w:sz w:val="21"/>
        <w:b/>
        <w:rFonts w:ascii="Arial" w:hAnsi="Arial"/>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lvl w:ilvl="0">
      <w:start w:val="1"/>
      <w:numFmt w:val="decimal"/>
      <w:suff w:val="space"/>
      <w:lvlText w:val="%1."/>
      <w:lvlJc w:val="left"/>
      <w:pPr>
        <w:ind w:left="780" w:hanging="36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lvl w:ilvl="0">
      <w:start w:val="1"/>
      <w:numFmt w:val="decimal"/>
      <w:lvlText w:val="%1"/>
      <w:lvlJc w:val="left"/>
      <w:pPr>
        <w:ind w:left="1095" w:hanging="360"/>
      </w:pPr>
    </w:lvl>
    <w:lvl w:ilvl="1">
      <w:start w:val="1"/>
      <w:numFmt w:val="lowerLetter"/>
      <w:lvlText w:val="%2)"/>
      <w:lvlJc w:val="left"/>
      <w:pPr>
        <w:ind w:left="1575" w:hanging="420"/>
      </w:pPr>
    </w:lvl>
    <w:lvl w:ilvl="2">
      <w:start w:val="1"/>
      <w:numFmt w:val="lowerRoman"/>
      <w:lvlText w:val="%3."/>
      <w:lvlJc w:val="right"/>
      <w:pPr>
        <w:ind w:left="1995" w:hanging="420"/>
      </w:pPr>
    </w:lvl>
    <w:lvl w:ilvl="3">
      <w:start w:val="1"/>
      <w:numFmt w:val="decimal"/>
      <w:lvlText w:val="%4."/>
      <w:lvlJc w:val="left"/>
      <w:pPr>
        <w:ind w:left="2415" w:hanging="420"/>
      </w:pPr>
    </w:lvl>
    <w:lvl w:ilvl="4">
      <w:start w:val="1"/>
      <w:numFmt w:val="lowerLetter"/>
      <w:lvlText w:val="%5)"/>
      <w:lvlJc w:val="left"/>
      <w:pPr>
        <w:ind w:left="2835" w:hanging="420"/>
      </w:pPr>
    </w:lvl>
    <w:lvl w:ilvl="5">
      <w:start w:val="1"/>
      <w:numFmt w:val="lowerRoman"/>
      <w:lvlText w:val="%6."/>
      <w:lvlJc w:val="right"/>
      <w:pPr>
        <w:ind w:left="3255" w:hanging="420"/>
      </w:pPr>
    </w:lvl>
    <w:lvl w:ilvl="6">
      <w:start w:val="1"/>
      <w:numFmt w:val="decimal"/>
      <w:lvlText w:val="%7."/>
      <w:lvlJc w:val="left"/>
      <w:pPr>
        <w:ind w:left="3675" w:hanging="420"/>
      </w:pPr>
    </w:lvl>
    <w:lvl w:ilvl="7">
      <w:start w:val="1"/>
      <w:numFmt w:val="lowerLetter"/>
      <w:lvlText w:val="%8)"/>
      <w:lvlJc w:val="left"/>
      <w:pPr>
        <w:ind w:left="4095" w:hanging="420"/>
      </w:pPr>
    </w:lvl>
    <w:lvl w:ilvl="8">
      <w:start w:val="1"/>
      <w:numFmt w:val="lowerRoman"/>
      <w:lvlText w:val="%9."/>
      <w:lvlJc w:val="right"/>
      <w:pPr>
        <w:ind w:left="4515" w:hanging="420"/>
      </w:pPr>
    </w:lvl>
  </w:abstractNum>
  <w:abstractNum w:abstractNumId="7">
    <w:lvl w:ilvl="0">
      <w:start w:val="1"/>
      <w:numFmt w:val="decimal"/>
      <w:lvlText w:val="%1."/>
      <w:lvlJc w:val="left"/>
      <w:pPr>
        <w:ind w:left="84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30"/>
  <w:defaultTabStop w:val="425"/>
  <w:compat>
    <w:doNotExpandShiftReturn/>
  </w:compat>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宋体" w:cs="Times New Roman"/>
        <w:lang w:val="en-US" w:eastAsia="zh-CN" w:bidi="ar-SA"/>
      </w:rPr>
    </w:rPrDefault>
    <w:pPrDefault>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0" w:semiHidden="1" w:qFormat="1"/>
    <w:lsdException w:name="toc 4" w:uiPriority="0" w:semiHidden="1" w:qFormat="1"/>
    <w:lsdException w:name="toc 5" w:uiPriority="0" w:semiHidden="1" w:qFormat="1"/>
    <w:lsdException w:name="toc 6" w:uiPriority="0" w:semiHidden="1" w:qFormat="1"/>
    <w:lsdException w:name="toc 7" w:uiPriority="0" w:semiHidden="1" w:qFormat="1"/>
    <w:lsdException w:name="toc 8" w:uiPriority="0" w:semiHidden="1" w:qFormat="1"/>
    <w:lsdException w:name="toc 9" w:uiPriority="0" w:semiHidden="1" w:qFormat="1"/>
    <w:lsdException w:name="Normal Indent" w:uiPriority="0" w:semiHidden="1" w:qFormat="1"/>
    <w:lsdException w:name="footnote text" w:semiHidden="1" w:unhideWhenUsed="1"/>
    <w:lsdException w:name="annotation text" w:uiPriority="0" w:semiHidden="1" w:qFormat="1"/>
    <w:lsdException w:name="header" w:qFormat="1"/>
    <w:lsdException w:name="footer" w:qFormat="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qFormat="1"/>
    <w:lsdException w:name="Body Text" w:uiPriority="0" w:semiHidden="1" w:qFormat="1"/>
    <w:lsdException w:name="Body Text Indent" w:uiPriority="0" w:semiHidden="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semiHidden="1" w:qFormat="1"/>
    <w:lsdException w:name="Body Text First Indent" w:uiPriority="0" w:semiHidden="1" w:qFormat="1"/>
    <w:lsdException w:name="Body Text First Indent 2" w:semiHidden="1" w:unhideWhenUsed="1"/>
    <w:lsdException w:name="Note Heading" w:semiHidden="1" w:unhideWhenUsed="1"/>
    <w:lsdException w:name="Body Text 2" w:uiPriority="0" w:semiHidden="1" w:qFormat="1"/>
    <w:lsdException w:name="Body Text 3" w:semiHidden="1" w:unhideWhenUsed="1"/>
    <w:lsdException w:name="Body Text Indent 2" w:uiPriority="0" w:semiHidden="1" w:qFormat="1"/>
    <w:lsdException w:name="Body Text Indent 3" w:uiPriority="0" w:semiHidden="1" w:qFormat="1"/>
    <w:lsdException w:name="Block Text" w:semiHidden="1" w:unhideWhenUsed="1"/>
    <w:lsdException w:name="Hyperlink" w:qFormat="1"/>
    <w:lsdException w:name="FollowedHyperlink" w:uiPriority="0" w:semiHidden="1" w:qFormat="1"/>
    <w:lsdException w:name="Strong" w:uiPriority="22" w:qFormat="1"/>
    <w:lsdException w:name="Emphasis" w:uiPriority="20" w:qFormat="1"/>
    <w:lsdException w:name="Document Map" w:uiPriority="0" w:semiHidden="1" w:qFormat="1"/>
    <w:lsdException w:name="Plain Text" w:uiPriority="0" w:semiHidden="1" w:qFormat="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semiHidden="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jc w:val="left"/>
    </w:pPr>
    <w:rPr>
      <w:rFonts w:ascii="Times New Roman" w:hAnsi="Times New Roman" w:eastAsia="宋体" w:cs="Times New Roman"/>
      <w:color w:val="auto"/>
      <w:kern w:val="0"/>
      <w:sz w:val="24"/>
      <w:szCs w:val="24"/>
      <w:lang w:val="en-US" w:eastAsia="zh-CN" w:bidi="ar-SA"/>
    </w:rPr>
  </w:style>
  <w:style w:type="paragraph" w:styleId="1">
    <w:name w:val="Heading 1"/>
    <w:basedOn w:val="Normal"/>
    <w:next w:val="Normal"/>
    <w:link w:val="10"/>
    <w:qFormat/>
    <w:pPr>
      <w:keepNext w:val="true"/>
      <w:widowControl w:val="false"/>
      <w:spacing w:lineRule="auto" w:line="300"/>
      <w:jc w:val="both"/>
      <w:textAlignment w:val="baseline"/>
      <w:outlineLvl w:val="0"/>
    </w:pPr>
    <w:rPr>
      <w:rFonts w:ascii="Arial" w:hAnsi="Arial" w:eastAsia="仿宋_GB2312" w:cs="Arial"/>
      <w:b/>
      <w:sz w:val="28"/>
      <w:szCs w:val="20"/>
    </w:rPr>
  </w:style>
  <w:style w:type="paragraph" w:styleId="2">
    <w:name w:val="Heading 2"/>
    <w:basedOn w:val="Normal"/>
    <w:next w:val="Normal"/>
    <w:qFormat/>
    <w:pPr>
      <w:keepNext w:val="true"/>
      <w:widowControl w:val="false"/>
      <w:spacing w:lineRule="auto" w:line="300"/>
      <w:textAlignment w:val="baseline"/>
    </w:pPr>
    <w:rPr>
      <w:rFonts w:ascii="Arial" w:hAnsi="Arial" w:eastAsia="仿宋_GB2312" w:cs="Arial"/>
      <w:b/>
      <w:bCs/>
      <w:sz w:val="28"/>
      <w:szCs w:val="20"/>
    </w:rPr>
  </w:style>
  <w:style w:type="paragraph" w:styleId="3">
    <w:name w:val="Heading 3"/>
    <w:basedOn w:val="Normal"/>
    <w:next w:val="Normal"/>
    <w:qFormat/>
    <w:pPr>
      <w:keepNext w:val="true"/>
      <w:widowControl w:val="false"/>
      <w:numPr>
        <w:ilvl w:val="1"/>
        <w:numId w:val="1"/>
      </w:numPr>
      <w:tabs>
        <w:tab w:val="clear" w:pos="425"/>
        <w:tab w:val="left" w:pos="0" w:leader="none"/>
        <w:tab w:val="left" w:pos="1200" w:leader="none"/>
      </w:tabs>
      <w:spacing w:lineRule="atLeast" w:line="440"/>
      <w:ind w:left="1320" w:hanging="600"/>
      <w:jc w:val="both"/>
      <w:textAlignment w:val="baseline"/>
      <w:outlineLvl w:val="1"/>
    </w:pPr>
    <w:rPr>
      <w:rFonts w:ascii="仿宋_GB2312" w:hAnsi="仿宋_GB2312" w:eastAsia="仿宋_GB2312" w:cs="Arial"/>
      <w:sz w:val="28"/>
      <w:szCs w:val="20"/>
    </w:rPr>
  </w:style>
  <w:style w:type="paragraph" w:styleId="4">
    <w:name w:val="Heading 4"/>
    <w:basedOn w:val="Normal"/>
    <w:next w:val="Normal"/>
    <w:qFormat/>
    <w:pPr>
      <w:keepNext w:val="true"/>
      <w:widowControl w:val="false"/>
      <w:numPr>
        <w:ilvl w:val="0"/>
        <w:numId w:val="1"/>
      </w:numPr>
      <w:tabs>
        <w:tab w:val="clear" w:pos="425"/>
      </w:tabs>
      <w:spacing w:lineRule="atLeast" w:line="440"/>
      <w:ind w:right="-22" w:hanging="0"/>
      <w:textAlignment w:val="baseline"/>
      <w:outlineLvl w:val="0"/>
    </w:pPr>
    <w:rPr>
      <w:rFonts w:ascii="仿宋_GB2312" w:hAnsi="仿宋_GB2312" w:eastAsia="仿宋_GB2312"/>
      <w:sz w:val="28"/>
      <w:szCs w:val="20"/>
    </w:rPr>
  </w:style>
  <w:style w:type="paragraph" w:styleId="5">
    <w:name w:val="Heading 5"/>
    <w:basedOn w:val="Normal"/>
    <w:next w:val="Normal"/>
    <w:qFormat/>
    <w:pPr>
      <w:keepNext w:val="true"/>
      <w:widowControl w:val="false"/>
      <w:spacing w:lineRule="exact" w:line="500"/>
      <w:jc w:val="center"/>
      <w:textAlignment w:val="baseline"/>
      <w:outlineLvl w:val="4"/>
    </w:pPr>
    <w:rPr>
      <w:rFonts w:ascii="楷体_GB2312" w:hAnsi="楷体_GB2312" w:eastAsia="楷体_GB2312"/>
      <w:color w:val="000000"/>
      <w:sz w:val="28"/>
      <w:szCs w:val="20"/>
    </w:rPr>
  </w:style>
  <w:style w:type="character" w:styleId="DefaultParagraphFont" w:default="1">
    <w:name w:val="Default Paragraph Font"/>
    <w:uiPriority w:val="1"/>
    <w:semiHidden/>
    <w:unhideWhenUsed/>
    <w:qFormat/>
    <w:rPr/>
  </w:style>
  <w:style w:type="character" w:styleId="Strong">
    <w:name w:val="Strong"/>
    <w:uiPriority w:val="22"/>
    <w:qFormat/>
    <w:rPr>
      <w:b/>
      <w:bCs/>
    </w:rPr>
  </w:style>
  <w:style w:type="character" w:styleId="Pagenumber">
    <w:name w:val="page number"/>
    <w:basedOn w:val="DefaultParagraphFont"/>
    <w:qFormat/>
    <w:rPr/>
  </w:style>
  <w:style w:type="character" w:styleId="FollowedHyperlink">
    <w:name w:val="FollowedHyperlink"/>
    <w:semiHidden/>
    <w:qFormat/>
    <w:rPr>
      <w:color w:val="800080"/>
      <w:u w:val="single"/>
    </w:rPr>
  </w:style>
  <w:style w:type="character" w:styleId="Internet">
    <w:name w:val="Internet 链接"/>
    <w:uiPriority w:val="99"/>
    <w:qFormat/>
    <w:rPr>
      <w:color w:val="0000FF"/>
      <w:u w:val="single"/>
    </w:rPr>
  </w:style>
  <w:style w:type="character" w:styleId="Annotationreference">
    <w:name w:val="annotation reference"/>
    <w:uiPriority w:val="99"/>
    <w:semiHidden/>
    <w:qFormat/>
    <w:rPr>
      <w:sz w:val="21"/>
      <w:szCs w:val="21"/>
    </w:rPr>
  </w:style>
  <w:style w:type="character" w:styleId="Text1" w:customStyle="1">
    <w:name w:val="text1"/>
    <w:qFormat/>
    <w:rPr>
      <w:spacing w:val="10"/>
      <w:sz w:val="28"/>
      <w:szCs w:val="28"/>
    </w:rPr>
  </w:style>
  <w:style w:type="character" w:styleId="Unnamed11" w:customStyle="1">
    <w:name w:val="unnamed11"/>
    <w:qFormat/>
    <w:rPr>
      <w:rFonts w:ascii="宋体" w:hAnsi="宋体" w:eastAsia="宋体"/>
      <w:color w:val="000000"/>
      <w:sz w:val="18"/>
      <w:szCs w:val="18"/>
      <w:u w:val="none"/>
    </w:rPr>
  </w:style>
  <w:style w:type="character" w:styleId="T12h291" w:customStyle="1">
    <w:name w:val="t12h291"/>
    <w:qFormat/>
    <w:rPr>
      <w:color w:val="000000"/>
      <w:sz w:val="24"/>
      <w:szCs w:val="24"/>
    </w:rPr>
  </w:style>
  <w:style w:type="character" w:styleId="Nr1" w:customStyle="1">
    <w:name w:val="nr1"/>
    <w:qFormat/>
    <w:rPr>
      <w:rFonts w:ascii="楷体_GB2312" w:hAnsi="楷体_GB2312" w:eastAsia="楷体_GB2312"/>
      <w:color w:val="000000"/>
      <w:sz w:val="24"/>
      <w:szCs w:val="24"/>
    </w:rPr>
  </w:style>
  <w:style w:type="character" w:styleId="5Char" w:customStyle="1">
    <w:name w:val="标题 5 Char"/>
    <w:qFormat/>
    <w:rPr>
      <w:rFonts w:ascii="楷体_GB2312" w:hAnsi="楷体_GB2312" w:eastAsia="楷体_GB2312"/>
      <w:color w:val="000000"/>
      <w:sz w:val="28"/>
    </w:rPr>
  </w:style>
  <w:style w:type="character" w:styleId="Style9" w:customStyle="1">
    <w:name w:val="页脚 字符"/>
    <w:link w:val="ac"/>
    <w:uiPriority w:val="99"/>
    <w:qFormat/>
    <w:rPr>
      <w:sz w:val="18"/>
    </w:rPr>
  </w:style>
  <w:style w:type="character" w:styleId="Style10" w:customStyle="1">
    <w:name w:val="页眉 字符"/>
    <w:link w:val="ae"/>
    <w:uiPriority w:val="99"/>
    <w:qFormat/>
    <w:rPr>
      <w:sz w:val="18"/>
    </w:rPr>
  </w:style>
  <w:style w:type="character" w:styleId="Style11" w:customStyle="1">
    <w:name w:val="文档结构图 字符"/>
    <w:link w:val="a4"/>
    <w:semiHidden/>
    <w:qFormat/>
    <w:rPr>
      <w:sz w:val="24"/>
      <w:shd w:fill="000080" w:val="clear"/>
    </w:rPr>
  </w:style>
  <w:style w:type="character" w:styleId="Style12" w:customStyle="1">
    <w:name w:val="无间隔 字符"/>
    <w:link w:val="afa"/>
    <w:uiPriority w:val="1"/>
    <w:qFormat/>
    <w:rPr>
      <w:rFonts w:ascii="Calibri" w:hAnsi="Calibri"/>
      <w:sz w:val="22"/>
      <w:szCs w:val="22"/>
      <w:lang w:bidi="ar-SA"/>
    </w:rPr>
  </w:style>
  <w:style w:type="character" w:styleId="11" w:customStyle="1">
    <w:name w:val="标题 1 字符"/>
    <w:link w:val="1"/>
    <w:qFormat/>
    <w:rPr>
      <w:rFonts w:ascii="Arial" w:hAnsi="Arial" w:eastAsia="仿宋_GB2312" w:cs="Arial"/>
      <w:b/>
      <w:sz w:val="28"/>
    </w:rPr>
  </w:style>
  <w:style w:type="character" w:styleId="Font31" w:customStyle="1">
    <w:name w:val="font31"/>
    <w:basedOn w:val="DefaultParagraphFont"/>
    <w:qFormat/>
    <w:rPr>
      <w:rFonts w:ascii="微软雅黑" w:hAnsi="微软雅黑" w:eastAsia="微软雅黑" w:cs="微软雅黑"/>
      <w:color w:val="333333"/>
      <w:sz w:val="18"/>
      <w:szCs w:val="18"/>
      <w:u w:val="none"/>
    </w:rPr>
  </w:style>
  <w:style w:type="character" w:styleId="Font11" w:customStyle="1">
    <w:name w:val="font11"/>
    <w:basedOn w:val="DefaultParagraphFont"/>
    <w:qFormat/>
    <w:rPr>
      <w:rFonts w:ascii="Arial" w:hAnsi="Arial" w:cs="Arial"/>
      <w:color w:val="000000"/>
      <w:sz w:val="22"/>
      <w:szCs w:val="22"/>
      <w:u w:val="none"/>
    </w:rPr>
  </w:style>
  <w:style w:type="character" w:styleId="ListLabel1">
    <w:name w:val="ListLabel 1"/>
    <w:qFormat/>
    <w:rPr>
      <w:b w:val="false"/>
    </w:rPr>
  </w:style>
  <w:style w:type="character" w:styleId="ListLabel2">
    <w:name w:val="ListLabel 2"/>
    <w:qFormat/>
    <w:rPr>
      <w:rFonts w:ascii="Arial" w:hAnsi="Arial" w:eastAsia="微软雅黑" w:cs="Times New Roman"/>
      <w:b/>
      <w:sz w:val="21"/>
    </w:rPr>
  </w:style>
  <w:style w:type="character" w:styleId="ListLabel3">
    <w:name w:val="ListLabel 3"/>
    <w:qFormat/>
    <w:rPr>
      <w:rFonts w:ascii="Arial" w:hAnsi="Arial"/>
      <w:b/>
      <w:sz w:val="21"/>
    </w:rPr>
  </w:style>
  <w:style w:type="character" w:styleId="Style13">
    <w:name w:val="索引链接"/>
    <w:qFormat/>
    <w:rPr/>
  </w:style>
  <w:style w:type="character" w:styleId="ListLabel4">
    <w:name w:val="ListLabel 4"/>
    <w:qFormat/>
    <w:rPr>
      <w:b w:val="false"/>
      <w:sz w:val="21"/>
    </w:rPr>
  </w:style>
  <w:style w:type="character" w:styleId="ListLabel5">
    <w:name w:val="ListLabel 5"/>
    <w:qFormat/>
    <w:rPr>
      <w:rFonts w:ascii="Arial" w:hAnsi="Arial" w:cs="Times New Roman"/>
      <w:b/>
      <w:sz w:val="21"/>
    </w:rPr>
  </w:style>
  <w:style w:type="character" w:styleId="ListLabel6">
    <w:name w:val="ListLabel 6"/>
    <w:qFormat/>
    <w:rPr>
      <w:rFonts w:cs="Wingdings"/>
    </w:rPr>
  </w:style>
  <w:style w:type="character" w:styleId="ListLabel7">
    <w:name w:val="ListLabel 7"/>
    <w:qFormat/>
    <w:rPr>
      <w:rFonts w:cs="Wingdings"/>
    </w:rPr>
  </w:style>
  <w:style w:type="character" w:styleId="ListLabel8">
    <w:name w:val="ListLabel 8"/>
    <w:qFormat/>
    <w:rPr>
      <w:rFonts w:cs="Wingdings"/>
    </w:rPr>
  </w:style>
  <w:style w:type="character" w:styleId="ListLabel9">
    <w:name w:val="ListLabel 9"/>
    <w:qFormat/>
    <w:rPr>
      <w:rFonts w:cs="Wingdings"/>
    </w:rPr>
  </w:style>
  <w:style w:type="character" w:styleId="ListLabel10">
    <w:name w:val="ListLabel 10"/>
    <w:qFormat/>
    <w:rPr>
      <w:rFonts w:cs="Wingdings"/>
    </w:rPr>
  </w:style>
  <w:style w:type="character" w:styleId="ListLabel11">
    <w:name w:val="ListLabel 11"/>
    <w:qFormat/>
    <w:rPr>
      <w:rFonts w:cs="Wingdings"/>
    </w:rPr>
  </w:style>
  <w:style w:type="character" w:styleId="ListLabel12">
    <w:name w:val="ListLabel 12"/>
    <w:qFormat/>
    <w:rPr>
      <w:rFonts w:cs="Wingdings"/>
    </w:rPr>
  </w:style>
  <w:style w:type="character" w:styleId="ListLabel13">
    <w:name w:val="ListLabel 13"/>
    <w:qFormat/>
    <w:rPr>
      <w:rFonts w:cs="Wingdings"/>
    </w:rPr>
  </w:style>
  <w:style w:type="character" w:styleId="ListLabel14">
    <w:name w:val="ListLabel 14"/>
    <w:qFormat/>
    <w:rPr>
      <w:rFonts w:ascii="Arial" w:hAnsi="Arial"/>
      <w:b/>
      <w:sz w:val="21"/>
    </w:rPr>
  </w:style>
  <w:style w:type="paragraph" w:styleId="Style14">
    <w:name w:val="标题样式"/>
    <w:basedOn w:val="Normal"/>
    <w:next w:val="Style15"/>
    <w:qFormat/>
    <w:pPr>
      <w:keepNext w:val="true"/>
      <w:spacing w:before="240" w:after="120"/>
    </w:pPr>
    <w:rPr>
      <w:rFonts w:ascii="Liberation Sans" w:hAnsi="Liberation Sans" w:eastAsia="微软雅黑" w:cs="Lucida Sans"/>
      <w:sz w:val="28"/>
      <w:szCs w:val="28"/>
    </w:rPr>
  </w:style>
  <w:style w:type="paragraph" w:styleId="Style15">
    <w:name w:val="Body Text"/>
    <w:basedOn w:val="Normal"/>
    <w:semiHidden/>
    <w:qFormat/>
    <w:pPr>
      <w:widowControl w:val="false"/>
      <w:spacing w:lineRule="atLeast" w:line="360"/>
      <w:textAlignment w:val="baseline"/>
    </w:pPr>
    <w:rPr>
      <w:rFonts w:eastAsia="隶书"/>
      <w:sz w:val="52"/>
      <w:szCs w:val="20"/>
    </w:rPr>
  </w:style>
  <w:style w:type="paragraph" w:styleId="Style16">
    <w:name w:val="List"/>
    <w:basedOn w:val="Style15"/>
    <w:pPr/>
    <w:rPr>
      <w:rFonts w:cs="Lucida Sans"/>
    </w:rPr>
  </w:style>
  <w:style w:type="paragraph" w:styleId="Style17">
    <w:name w:val="Caption"/>
    <w:basedOn w:val="Normal"/>
    <w:qFormat/>
    <w:pPr>
      <w:suppressLineNumbers/>
      <w:spacing w:before="120" w:after="120"/>
    </w:pPr>
    <w:rPr>
      <w:rFonts w:cs="Lucida Sans"/>
      <w:i/>
      <w:iCs/>
      <w:sz w:val="24"/>
      <w:szCs w:val="24"/>
    </w:rPr>
  </w:style>
  <w:style w:type="paragraph" w:styleId="Style18">
    <w:name w:val="索引"/>
    <w:basedOn w:val="Normal"/>
    <w:qFormat/>
    <w:pPr>
      <w:suppressLineNumbers/>
    </w:pPr>
    <w:rPr>
      <w:rFonts w:cs="Lucida Sans"/>
    </w:rPr>
  </w:style>
  <w:style w:type="paragraph" w:styleId="7">
    <w:name w:val="TOC 7"/>
    <w:basedOn w:val="Normal"/>
    <w:next w:val="Normal"/>
    <w:semiHidden/>
    <w:qFormat/>
    <w:pPr>
      <w:widowControl w:val="false"/>
      <w:spacing w:lineRule="atLeast" w:line="360"/>
      <w:ind w:left="2520" w:hanging="0"/>
      <w:textAlignment w:val="baseline"/>
    </w:pPr>
    <w:rPr>
      <w:szCs w:val="20"/>
    </w:rPr>
  </w:style>
  <w:style w:type="paragraph" w:styleId="NormalIndent">
    <w:name w:val="Normal Indent"/>
    <w:basedOn w:val="Normal"/>
    <w:semiHidden/>
    <w:qFormat/>
    <w:pPr>
      <w:widowControl w:val="false"/>
      <w:ind w:firstLine="560"/>
      <w:jc w:val="both"/>
    </w:pPr>
    <w:rPr>
      <w:rFonts w:eastAsia="GungsuhChe"/>
      <w:color w:val="FF0000"/>
      <w:kern w:val="2"/>
      <w:sz w:val="28"/>
    </w:rPr>
  </w:style>
  <w:style w:type="paragraph" w:styleId="DocumentMap">
    <w:name w:val="Document Map"/>
    <w:basedOn w:val="Normal"/>
    <w:link w:val="a5"/>
    <w:semiHidden/>
    <w:qFormat/>
    <w:pPr>
      <w:widowControl w:val="false"/>
      <w:shd w:val="clear" w:color="auto" w:fill="000080"/>
      <w:spacing w:lineRule="atLeast" w:line="360"/>
      <w:textAlignment w:val="baseline"/>
    </w:pPr>
    <w:rPr>
      <w:szCs w:val="20"/>
    </w:rPr>
  </w:style>
  <w:style w:type="paragraph" w:styleId="Annotationtext">
    <w:name w:val="annotation text"/>
    <w:basedOn w:val="Normal"/>
    <w:semiHidden/>
    <w:qFormat/>
    <w:pPr>
      <w:widowControl w:val="false"/>
      <w:spacing w:lineRule="atLeast" w:line="360"/>
      <w:textAlignment w:val="baseline"/>
    </w:pPr>
    <w:rPr>
      <w:szCs w:val="20"/>
    </w:rPr>
  </w:style>
  <w:style w:type="paragraph" w:styleId="Style19">
    <w:name w:val="Body Text Indent"/>
    <w:basedOn w:val="Style15"/>
    <w:semiHidden/>
    <w:qFormat/>
    <w:pPr>
      <w:spacing w:lineRule="auto" w:line="240" w:before="0" w:after="120"/>
      <w:ind w:firstLine="420"/>
      <w:jc w:val="both"/>
      <w:textAlignment w:val="auto"/>
    </w:pPr>
    <w:rPr>
      <w:rFonts w:eastAsia="宋体"/>
      <w:kern w:val="2"/>
      <w:sz w:val="21"/>
    </w:rPr>
  </w:style>
  <w:style w:type="paragraph" w:styleId="51">
    <w:name w:val="TOC 5"/>
    <w:basedOn w:val="Normal"/>
    <w:next w:val="Normal"/>
    <w:semiHidden/>
    <w:qFormat/>
    <w:pPr>
      <w:widowControl w:val="false"/>
      <w:spacing w:lineRule="atLeast" w:line="360"/>
      <w:ind w:left="1680" w:hanging="0"/>
      <w:textAlignment w:val="baseline"/>
    </w:pPr>
    <w:rPr>
      <w:szCs w:val="20"/>
    </w:rPr>
  </w:style>
  <w:style w:type="paragraph" w:styleId="31">
    <w:name w:val="TOC 3"/>
    <w:basedOn w:val="Normal"/>
    <w:next w:val="Normal"/>
    <w:semiHidden/>
    <w:qFormat/>
    <w:pPr>
      <w:widowControl w:val="false"/>
      <w:spacing w:lineRule="atLeast" w:line="360"/>
      <w:ind w:left="840" w:hanging="0"/>
      <w:textAlignment w:val="baseline"/>
    </w:pPr>
    <w:rPr>
      <w:szCs w:val="20"/>
    </w:rPr>
  </w:style>
  <w:style w:type="paragraph" w:styleId="PlainText">
    <w:name w:val="Plain Text"/>
    <w:basedOn w:val="Normal"/>
    <w:semiHidden/>
    <w:qFormat/>
    <w:pPr>
      <w:widowControl w:val="false"/>
      <w:jc w:val="both"/>
    </w:pPr>
    <w:rPr>
      <w:rFonts w:ascii="宋体" w:hAnsi="宋体"/>
      <w:kern w:val="2"/>
      <w:sz w:val="21"/>
      <w:szCs w:val="20"/>
    </w:rPr>
  </w:style>
  <w:style w:type="paragraph" w:styleId="8">
    <w:name w:val="TOC 8"/>
    <w:basedOn w:val="Normal"/>
    <w:next w:val="Normal"/>
    <w:semiHidden/>
    <w:qFormat/>
    <w:pPr>
      <w:widowControl w:val="false"/>
      <w:spacing w:lineRule="atLeast" w:line="360"/>
      <w:ind w:left="2940" w:hanging="0"/>
      <w:textAlignment w:val="baseline"/>
    </w:pPr>
    <w:rPr>
      <w:szCs w:val="20"/>
    </w:rPr>
  </w:style>
  <w:style w:type="paragraph" w:styleId="Date">
    <w:name w:val="Date"/>
    <w:basedOn w:val="Normal"/>
    <w:next w:val="Normal"/>
    <w:semiHidden/>
    <w:qFormat/>
    <w:pPr>
      <w:widowControl w:val="false"/>
      <w:spacing w:lineRule="atLeast" w:line="360"/>
      <w:jc w:val="both"/>
      <w:textAlignment w:val="baseline"/>
    </w:pPr>
    <w:rPr>
      <w:rFonts w:ascii="楷体_GB2312" w:hAnsi="楷体_GB2312" w:eastAsia="楷体_GB2312"/>
      <w:b/>
      <w:sz w:val="28"/>
      <w:szCs w:val="20"/>
    </w:rPr>
  </w:style>
  <w:style w:type="paragraph" w:styleId="BodyTextIndent2">
    <w:name w:val="Body Text Indent 2"/>
    <w:basedOn w:val="Normal"/>
    <w:semiHidden/>
    <w:qFormat/>
    <w:pPr>
      <w:widowControl w:val="false"/>
      <w:spacing w:lineRule="auto" w:line="360" w:before="120" w:after="0"/>
      <w:ind w:left="600" w:firstLine="480"/>
      <w:textAlignment w:val="baseline"/>
    </w:pPr>
    <w:rPr>
      <w:rFonts w:ascii="楷体_GB2312" w:hAnsi="楷体_GB2312" w:eastAsia="楷体_GB2312"/>
      <w:kern w:val="2"/>
      <w:sz w:val="28"/>
      <w:szCs w:val="20"/>
    </w:rPr>
  </w:style>
  <w:style w:type="paragraph" w:styleId="BalloonText">
    <w:name w:val="Balloon Text"/>
    <w:basedOn w:val="Normal"/>
    <w:semiHidden/>
    <w:qFormat/>
    <w:pPr>
      <w:widowControl w:val="false"/>
      <w:spacing w:lineRule="atLeast" w:line="360"/>
      <w:textAlignment w:val="baseline"/>
    </w:pPr>
    <w:rPr>
      <w:sz w:val="18"/>
      <w:szCs w:val="18"/>
    </w:rPr>
  </w:style>
  <w:style w:type="paragraph" w:styleId="Style20">
    <w:name w:val="Footer"/>
    <w:basedOn w:val="Normal"/>
    <w:link w:val="ad"/>
    <w:uiPriority w:val="99"/>
    <w:qFormat/>
    <w:pPr>
      <w:widowControl w:val="false"/>
      <w:tabs>
        <w:tab w:val="clear" w:pos="425"/>
        <w:tab w:val="center" w:pos="4153" w:leader="none"/>
        <w:tab w:val="right" w:pos="8306" w:leader="none"/>
      </w:tabs>
      <w:spacing w:lineRule="atLeast" w:line="240"/>
      <w:textAlignment w:val="baseline"/>
    </w:pPr>
    <w:rPr>
      <w:sz w:val="18"/>
      <w:szCs w:val="20"/>
    </w:rPr>
  </w:style>
  <w:style w:type="paragraph" w:styleId="Style21">
    <w:name w:val="Header"/>
    <w:basedOn w:val="Normal"/>
    <w:link w:val="af"/>
    <w:uiPriority w:val="99"/>
    <w:qFormat/>
    <w:pPr>
      <w:widowControl w:val="false"/>
      <w:pBdr>
        <w:bottom w:val="single" w:sz="6" w:space="1" w:color="000000"/>
      </w:pBdr>
      <w:tabs>
        <w:tab w:val="clear" w:pos="425"/>
        <w:tab w:val="center" w:pos="4153" w:leader="none"/>
        <w:tab w:val="right" w:pos="8306" w:leader="none"/>
      </w:tabs>
      <w:snapToGrid w:val="false"/>
      <w:spacing w:lineRule="atLeast" w:line="240"/>
      <w:jc w:val="center"/>
      <w:textAlignment w:val="baseline"/>
    </w:pPr>
    <w:rPr>
      <w:sz w:val="18"/>
      <w:szCs w:val="20"/>
    </w:rPr>
  </w:style>
  <w:style w:type="paragraph" w:styleId="12">
    <w:name w:val="TOC 1"/>
    <w:basedOn w:val="Normal"/>
    <w:next w:val="Normal"/>
    <w:uiPriority w:val="39"/>
    <w:qFormat/>
    <w:pPr>
      <w:widowControl w:val="false"/>
      <w:tabs>
        <w:tab w:val="clear" w:pos="425"/>
        <w:tab w:val="right" w:pos="9072" w:leader="dot"/>
      </w:tabs>
      <w:spacing w:lineRule="auto" w:line="360"/>
      <w:textAlignment w:val="baseline"/>
    </w:pPr>
    <w:rPr>
      <w:rFonts w:ascii="楷体_GB2312" w:hAnsi="楷体_GB2312" w:eastAsia="楷体_GB2312"/>
      <w:b/>
      <w:bCs/>
      <w:sz w:val="30"/>
      <w:szCs w:val="30"/>
    </w:rPr>
  </w:style>
  <w:style w:type="paragraph" w:styleId="41">
    <w:name w:val="TOC 4"/>
    <w:basedOn w:val="Normal"/>
    <w:next w:val="Normal"/>
    <w:semiHidden/>
    <w:qFormat/>
    <w:pPr>
      <w:widowControl w:val="false"/>
      <w:spacing w:lineRule="atLeast" w:line="360"/>
      <w:ind w:left="1260" w:hanging="0"/>
      <w:textAlignment w:val="baseline"/>
    </w:pPr>
    <w:rPr>
      <w:szCs w:val="20"/>
    </w:rPr>
  </w:style>
  <w:style w:type="paragraph" w:styleId="6">
    <w:name w:val="TOC 6"/>
    <w:basedOn w:val="Normal"/>
    <w:next w:val="Normal"/>
    <w:semiHidden/>
    <w:qFormat/>
    <w:pPr>
      <w:widowControl w:val="false"/>
      <w:spacing w:lineRule="atLeast" w:line="360"/>
      <w:ind w:left="2100" w:hanging="0"/>
      <w:textAlignment w:val="baseline"/>
    </w:pPr>
    <w:rPr>
      <w:szCs w:val="20"/>
    </w:rPr>
  </w:style>
  <w:style w:type="paragraph" w:styleId="BodyTextIndent3">
    <w:name w:val="Body Text Indent 3"/>
    <w:basedOn w:val="Normal"/>
    <w:semiHidden/>
    <w:qFormat/>
    <w:pPr>
      <w:widowControl w:val="false"/>
      <w:spacing w:lineRule="auto" w:line="360"/>
      <w:ind w:left="600" w:firstLine="555"/>
      <w:textAlignment w:val="baseline"/>
      <w:outlineLvl w:val="0"/>
    </w:pPr>
    <w:rPr>
      <w:rFonts w:ascii="楷体_GB2312" w:hAnsi="楷体_GB2312" w:eastAsia="楷体_GB2312"/>
      <w:kern w:val="2"/>
      <w:sz w:val="28"/>
      <w:szCs w:val="20"/>
    </w:rPr>
  </w:style>
  <w:style w:type="paragraph" w:styleId="21">
    <w:name w:val="TOC 2"/>
    <w:basedOn w:val="Normal"/>
    <w:next w:val="Normal"/>
    <w:uiPriority w:val="39"/>
    <w:qFormat/>
    <w:pPr>
      <w:widowControl w:val="false"/>
      <w:tabs>
        <w:tab w:val="clear" w:pos="425"/>
        <w:tab w:val="right" w:pos="9072" w:leader="dot"/>
      </w:tabs>
      <w:spacing w:lineRule="auto" w:line="360"/>
      <w:ind w:left="480" w:hanging="0"/>
      <w:textAlignment w:val="baseline"/>
    </w:pPr>
    <w:rPr>
      <w:rFonts w:eastAsia="楷体_GB2312"/>
      <w:szCs w:val="20"/>
    </w:rPr>
  </w:style>
  <w:style w:type="paragraph" w:styleId="9">
    <w:name w:val="TOC 9"/>
    <w:basedOn w:val="Normal"/>
    <w:next w:val="Normal"/>
    <w:semiHidden/>
    <w:qFormat/>
    <w:pPr>
      <w:widowControl w:val="false"/>
      <w:spacing w:lineRule="atLeast" w:line="360"/>
      <w:ind w:left="3360" w:hanging="0"/>
      <w:textAlignment w:val="baseline"/>
    </w:pPr>
    <w:rPr>
      <w:szCs w:val="20"/>
    </w:rPr>
  </w:style>
  <w:style w:type="paragraph" w:styleId="BodyText2">
    <w:name w:val="Body Text 2"/>
    <w:basedOn w:val="Normal"/>
    <w:semiHidden/>
    <w:qFormat/>
    <w:pPr>
      <w:widowControl w:val="false"/>
      <w:spacing w:lineRule="auto" w:line="360"/>
      <w:ind w:right="2" w:hanging="0"/>
      <w:textAlignment w:val="baseline"/>
    </w:pPr>
    <w:rPr>
      <w:rFonts w:eastAsia="仿宋_GB2312"/>
      <w:sz w:val="28"/>
      <w:szCs w:val="20"/>
    </w:rPr>
  </w:style>
  <w:style w:type="paragraph" w:styleId="NormalWeb">
    <w:name w:val="Normal (Web)"/>
    <w:basedOn w:val="Normal"/>
    <w:uiPriority w:val="99"/>
    <w:semiHidden/>
    <w:qFormat/>
    <w:pPr>
      <w:spacing w:lineRule="auto" w:line="360"/>
    </w:pPr>
    <w:rPr>
      <w:rFonts w:ascii="宋体" w:hAnsi="宋体"/>
      <w:sz w:val="18"/>
      <w:szCs w:val="18"/>
    </w:rPr>
  </w:style>
  <w:style w:type="paragraph" w:styleId="Annotationsubject">
    <w:name w:val="annotation subject"/>
    <w:basedOn w:val="Annotationtext"/>
    <w:next w:val="Annotationtext"/>
    <w:semiHidden/>
    <w:qFormat/>
    <w:pPr/>
    <w:rPr>
      <w:b/>
      <w:bCs/>
    </w:rPr>
  </w:style>
  <w:style w:type="paragraph" w:styleId="13" w:customStyle="1">
    <w:name w:val="正文1"/>
    <w:qFormat/>
    <w:pPr>
      <w:widowControl w:val="false"/>
      <w:bidi w:val="0"/>
      <w:spacing w:lineRule="atLeast" w:line="360"/>
      <w:jc w:val="left"/>
      <w:textAlignment w:val="baseline"/>
    </w:pPr>
    <w:rPr>
      <w:rFonts w:ascii="宋体" w:hAnsi="宋体" w:eastAsia="宋体" w:cs="Times New Roman"/>
      <w:color w:val="auto"/>
      <w:kern w:val="0"/>
      <w:sz w:val="34"/>
      <w:szCs w:val="20"/>
      <w:lang w:val="en-US" w:eastAsia="zh-CN" w:bidi="ar-SA"/>
    </w:rPr>
  </w:style>
  <w:style w:type="paragraph" w:styleId="Xl30" w:customStyle="1">
    <w:name w:val="xl30"/>
    <w:basedOn w:val="Normal"/>
    <w:qFormat/>
    <w:pPr>
      <w:pBdr>
        <w:top w:val="single" w:sz="4" w:space="0" w:color="000000"/>
        <w:left w:val="single" w:sz="4" w:space="0" w:color="000000"/>
        <w:bottom w:val="single" w:sz="4" w:space="0" w:color="000000"/>
      </w:pBdr>
      <w:spacing w:beforeAutospacing="1" w:afterAutospacing="1"/>
      <w:jc w:val="center"/>
    </w:pPr>
    <w:rPr>
      <w:rFonts w:ascii="Arial Unicode MS" w:hAnsi="Arial Unicode MS"/>
      <w:sz w:val="20"/>
      <w:szCs w:val="20"/>
    </w:rPr>
  </w:style>
  <w:style w:type="paragraph" w:styleId="Xl33" w:customStyle="1">
    <w:name w:val="xl33"/>
    <w:basedOn w:val="Normal"/>
    <w:qFormat/>
    <w:pPr>
      <w:pBdr>
        <w:top w:val="single" w:sz="4" w:space="0" w:color="000000"/>
        <w:bottom w:val="single" w:sz="4" w:space="0" w:color="000000"/>
      </w:pBdr>
      <w:spacing w:beforeAutospacing="1" w:afterAutospacing="1"/>
      <w:jc w:val="center"/>
      <w:textAlignment w:val="center"/>
    </w:pPr>
    <w:rPr>
      <w:rFonts w:ascii="Arial Unicode MS" w:hAnsi="Arial Unicode MS"/>
      <w:b/>
      <w:bCs/>
    </w:rPr>
  </w:style>
  <w:style w:type="paragraph" w:styleId="Font5" w:customStyle="1">
    <w:name w:val="font5"/>
    <w:basedOn w:val="Normal"/>
    <w:qFormat/>
    <w:pPr>
      <w:spacing w:beforeAutospacing="1" w:afterAutospacing="1"/>
    </w:pPr>
    <w:rPr>
      <w:rFonts w:ascii="宋体" w:hAnsi="宋体"/>
      <w:sz w:val="18"/>
      <w:szCs w:val="18"/>
    </w:rPr>
  </w:style>
  <w:style w:type="paragraph" w:styleId="Xl28" w:customStyle="1">
    <w:name w:val="xl28"/>
    <w:basedOn w:val="Normal"/>
    <w:qFormat/>
    <w:pPr>
      <w:pBdr>
        <w:left w:val="single" w:sz="4" w:space="0" w:color="000000"/>
        <w:bottom w:val="single" w:sz="4" w:space="0" w:color="000000"/>
        <w:right w:val="single" w:sz="4" w:space="0" w:color="000000"/>
      </w:pBdr>
      <w:spacing w:beforeAutospacing="1" w:afterAutospacing="1"/>
      <w:jc w:val="center"/>
    </w:pPr>
    <w:rPr>
      <w:rFonts w:eastAsia="Arial Unicode MS"/>
    </w:rPr>
  </w:style>
  <w:style w:type="paragraph" w:styleId="CharChar1Char" w:customStyle="1">
    <w:name w:val="Char Char1 Char"/>
    <w:basedOn w:val="Normal"/>
    <w:qFormat/>
    <w:pPr>
      <w:widowControl w:val="false"/>
      <w:jc w:val="both"/>
    </w:pPr>
    <w:rPr>
      <w:rFonts w:ascii="宋体" w:hAnsi="宋体" w:cs="Courier New"/>
      <w:kern w:val="2"/>
      <w:sz w:val="32"/>
      <w:szCs w:val="32"/>
    </w:rPr>
  </w:style>
  <w:style w:type="paragraph" w:styleId="Xl25" w:customStyle="1">
    <w:name w:val="xl25"/>
    <w:basedOn w:val="Normal"/>
    <w:qFormat/>
    <w:pPr>
      <w:spacing w:beforeAutospacing="1" w:afterAutospacing="1"/>
      <w:jc w:val="center"/>
    </w:pPr>
    <w:rPr>
      <w:rFonts w:ascii="宋体" w:hAnsi="宋体"/>
    </w:rPr>
  </w:style>
  <w:style w:type="paragraph" w:styleId="ListParagraph">
    <w:name w:val="List Paragraph"/>
    <w:basedOn w:val="Normal"/>
    <w:uiPriority w:val="1"/>
    <w:qFormat/>
    <w:pPr>
      <w:widowControl w:val="false"/>
      <w:spacing w:lineRule="atLeast" w:line="360"/>
      <w:ind w:firstLine="420"/>
      <w:textAlignment w:val="baseline"/>
    </w:pPr>
    <w:rPr>
      <w:szCs w:val="20"/>
    </w:rPr>
  </w:style>
  <w:style w:type="paragraph" w:styleId="NoSpacing">
    <w:name w:val="No Spacing"/>
    <w:link w:val="afb"/>
    <w:uiPriority w:val="1"/>
    <w:qFormat/>
    <w:pPr>
      <w:widowControl/>
      <w:bidi w:val="0"/>
      <w:jc w:val="left"/>
    </w:pPr>
    <w:rPr>
      <w:rFonts w:ascii="Calibri" w:hAnsi="Calibri" w:eastAsia="宋体" w:cs="Times New Roman"/>
      <w:color w:val="auto"/>
      <w:kern w:val="0"/>
      <w:sz w:val="22"/>
      <w:szCs w:val="22"/>
      <w:lang w:val="en-US" w:eastAsia="zh-CN" w:bidi="ar-SA"/>
    </w:rPr>
  </w:style>
  <w:style w:type="paragraph" w:styleId="111" w:customStyle="1">
    <w:name w:val="正文11"/>
    <w:qFormat/>
    <w:pPr>
      <w:widowControl w:val="false"/>
      <w:bidi w:val="0"/>
      <w:spacing w:lineRule="atLeast" w:line="360"/>
      <w:jc w:val="center"/>
      <w:textAlignment w:val="baseline"/>
    </w:pPr>
    <w:rPr>
      <w:rFonts w:ascii="宋体" w:hAnsi="宋体" w:eastAsia="宋体" w:cs="Times New Roman"/>
      <w:color w:val="auto"/>
      <w:kern w:val="0"/>
      <w:sz w:val="34"/>
      <w:szCs w:val="20"/>
      <w:lang w:val="en-US" w:eastAsia="zh-CN" w:bidi="ar-SA"/>
    </w:rPr>
  </w:style>
  <w:style w:type="paragraph" w:styleId="Default" w:customStyle="1">
    <w:name w:val="Default"/>
    <w:qFormat/>
    <w:pPr>
      <w:widowControl w:val="false"/>
      <w:bidi w:val="0"/>
      <w:jc w:val="left"/>
    </w:pPr>
    <w:rPr>
      <w:rFonts w:ascii="仿宋" w:hAnsi="仿宋" w:eastAsia="仿宋" w:cs="仿宋"/>
      <w:color w:val="000000"/>
      <w:kern w:val="0"/>
      <w:sz w:val="24"/>
      <w:szCs w:val="24"/>
      <w:lang w:val="en-US" w:eastAsia="zh-CN" w:bidi="ar-SA"/>
    </w:rPr>
  </w:style>
  <w:style w:type="paragraph" w:styleId="14" w:customStyle="1">
    <w:name w:val="无间隔1"/>
    <w:qFormat/>
    <w:pPr>
      <w:widowControl w:val="false"/>
      <w:bidi w:val="0"/>
      <w:jc w:val="both"/>
    </w:pPr>
    <w:rPr>
      <w:rFonts w:ascii="Calibri" w:hAnsi="Calibri" w:eastAsia="宋体" w:cs="Times New Roman"/>
      <w:color w:val="auto"/>
      <w:kern w:val="2"/>
      <w:sz w:val="24"/>
      <w:szCs w:val="22"/>
      <w:lang w:val="en-US" w:eastAsia="zh-CN" w:bidi="ar-SA"/>
    </w:rPr>
  </w:style>
  <w:style w:type="paragraph" w:styleId="TableParagraph" w:customStyle="1">
    <w:name w:val="Table Paragraph"/>
    <w:basedOn w:val="Normal"/>
    <w:uiPriority w:val="1"/>
    <w:qFormat/>
    <w:pPr>
      <w:widowControl w:val="false"/>
    </w:pPr>
    <w:rPr>
      <w:rFonts w:ascii="宋体" w:hAnsi="宋体" w:cs="宋体"/>
      <w:sz w:val="22"/>
      <w:szCs w:val="22"/>
      <w:lang w:val="zh-CN" w:bidi="zh-CN"/>
    </w:rPr>
  </w:style>
  <w:style w:type="paragraph" w:styleId="15" w:customStyle="1">
    <w:name w:val="修订1"/>
    <w:uiPriority w:val="99"/>
    <w:semiHidden/>
    <w:qFormat/>
    <w:pPr>
      <w:widowControl/>
      <w:bidi w:val="0"/>
      <w:jc w:val="left"/>
    </w:pPr>
    <w:rPr>
      <w:rFonts w:ascii="Times New Roman" w:hAnsi="Times New Roman" w:eastAsia="宋体" w:cs="Times New Roman"/>
      <w:color w:val="auto"/>
      <w:kern w:val="0"/>
      <w:sz w:val="24"/>
      <w:szCs w:val="20"/>
      <w:lang w:val="en-US" w:eastAsia="zh-CN" w:bidi="ar-SA"/>
    </w:rPr>
  </w:style>
  <w:style w:type="paragraph" w:styleId="22" w:customStyle="1">
    <w:name w:val="正文2"/>
    <w:qFormat/>
    <w:pPr>
      <w:widowControl w:val="false"/>
      <w:bidi w:val="0"/>
      <w:spacing w:lineRule="atLeast" w:line="360"/>
      <w:jc w:val="left"/>
      <w:textAlignment w:val="baseline"/>
    </w:pPr>
    <w:rPr>
      <w:rFonts w:ascii="宋体" w:hAnsi="宋体" w:eastAsia="宋体" w:cs="Times New Roman"/>
      <w:color w:val="auto"/>
      <w:kern w:val="0"/>
      <w:sz w:val="34"/>
      <w:szCs w:val="20"/>
      <w:lang w:val="en-US" w:eastAsia="zh-CN" w:bidi="ar-SA"/>
    </w:rPr>
  </w:style>
  <w:style w:type="paragraph" w:styleId="Style22">
    <w:name w:val="框架内容"/>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3">
    <w:name w:val="Table Grid"/>
    <w:basedOn w:val="a1"/>
    <w:uiPriority w:val="59"/>
    <w:qFormat/>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leNormal">
    <w:name w:val="Table Normal"/>
    <w:uiPriority w:val="2"/>
    <w:semiHidden/>
    <w:qFormat/>
    <w:rPr>
      <w:lang w:eastAsia="en-US"/>
      <w:sz w:val="22"/>
      <w:szCs w:val="22"/>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footer" Target="footer1.xml"/><Relationship Id="rId4" Type="http://schemas.openxmlformats.org/officeDocument/2006/relationships/header" Target="header2.xml"/><Relationship Id="rId5" Type="http://schemas.openxmlformats.org/officeDocument/2006/relationships/footer" Target="footer2.xml"/><Relationship Id="rId6" Type="http://schemas.openxmlformats.org/officeDocument/2006/relationships/header" Target="header3.xml"/><Relationship Id="rId7" Type="http://schemas.openxmlformats.org/officeDocument/2006/relationships/footer" Target="footer3.xml"/><Relationship Id="rId8" Type="http://schemas.openxmlformats.org/officeDocument/2006/relationships/header" Target="header4.xml"/><Relationship Id="rId9" Type="http://schemas.openxmlformats.org/officeDocument/2006/relationships/footer" Target="footer4.xml"/><Relationship Id="rId10" Type="http://schemas.openxmlformats.org/officeDocument/2006/relationships/header" Target="header5.xml"/><Relationship Id="rId11" Type="http://schemas.openxmlformats.org/officeDocument/2006/relationships/footer" Target="footer5.xml"/><Relationship Id="rId12" Type="http://schemas.openxmlformats.org/officeDocument/2006/relationships/image" Target="media/image5.png"/><Relationship Id="rId13" Type="http://schemas.openxmlformats.org/officeDocument/2006/relationships/header" Target="header6.xml"/><Relationship Id="rId14" Type="http://schemas.openxmlformats.org/officeDocument/2006/relationships/footer" Target="footer6.xml"/><Relationship Id="rId15" Type="http://schemas.openxmlformats.org/officeDocument/2006/relationships/chart" Target="charts/chart1.xm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chart" Target="charts/chart2.xml"/><Relationship Id="rId29" Type="http://schemas.openxmlformats.org/officeDocument/2006/relationships/image" Target="media/image19.png"/><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header" Target="header7.xml"/><Relationship Id="rId34" Type="http://schemas.openxmlformats.org/officeDocument/2006/relationships/footer" Target="footer7.xml"/><Relationship Id="rId35" Type="http://schemas.openxmlformats.org/officeDocument/2006/relationships/header" Target="header8.xml"/><Relationship Id="rId36" Type="http://schemas.openxmlformats.org/officeDocument/2006/relationships/footer" Target="footer8.xml"/><Relationship Id="rId37" Type="http://schemas.openxmlformats.org/officeDocument/2006/relationships/comments" Target="comments.xml"/><Relationship Id="rId38" Type="http://schemas.openxmlformats.org/officeDocument/2006/relationships/numbering" Target="numbering.xml"/><Relationship Id="rId39" Type="http://schemas.openxmlformats.org/officeDocument/2006/relationships/fontTable" Target="fontTable.xml"/><Relationship Id="rId40" Type="http://schemas.openxmlformats.org/officeDocument/2006/relationships/settings" Target="settings.xml"/><Relationship Id="rId41" Type="http://schemas.openxmlformats.org/officeDocument/2006/relationships/theme" Target="theme/theme1.xml"/><Relationship Id="rId4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jpeg"/>
</Relationships>
</file>

<file path=word/_rels/header3.xml.rels><?xml version="1.0" encoding="UTF-8"?>
<Relationships xmlns="http://schemas.openxmlformats.org/package/2006/relationships"><Relationship Id="rId1" Type="http://schemas.openxmlformats.org/officeDocument/2006/relationships/image" Target="media/image2.jpeg"/>
</Relationships>
</file>

<file path=word/_rels/header4.xml.rels><?xml version="1.0" encoding="UTF-8"?>
<Relationships xmlns="http://schemas.openxmlformats.org/package/2006/relationships"><Relationship Id="rId1" Type="http://schemas.openxmlformats.org/officeDocument/2006/relationships/image" Target="media/image3.jpeg"/>
</Relationships>
</file>

<file path=word/_rels/header5.xml.rels><?xml version="1.0" encoding="UTF-8"?>
<Relationships xmlns="http://schemas.openxmlformats.org/package/2006/relationships"><Relationship Id="rId1" Type="http://schemas.openxmlformats.org/officeDocument/2006/relationships/image" Target="media/image4.jpeg"/>
</Relationships>
</file>

<file path=word/_rels/header6.xml.rels><?xml version="1.0" encoding="UTF-8"?>
<Relationships xmlns="http://schemas.openxmlformats.org/package/2006/relationships"><Relationship Id="rId1" Type="http://schemas.openxmlformats.org/officeDocument/2006/relationships/image" Target="media/image6.jpeg"/>
</Relationships>
</file>

<file path=word/_rels/header7.xml.rels><?xml version="1.0" encoding="UTF-8"?>
<Relationships xmlns="http://schemas.openxmlformats.org/package/2006/relationships"><Relationship Id="rId1" Type="http://schemas.openxmlformats.org/officeDocument/2006/relationships/image" Target="media/image23.jpeg"/>
</Relationships>
</file>

<file path=word/_rels/header8.xml.rels><?xml version="1.0" encoding="UTF-8"?>
<Relationships xmlns="http://schemas.openxmlformats.org/package/2006/relationships"><Relationship Id="rId1" Type="http://schemas.openxmlformats.org/officeDocument/2006/relationships/image" Target="media/image24.jpeg"/>
</Relationships>
</file>

<file path=word/charts/_rels/chart2.xml.rels><?xml version="1.0" encoding="UTF-8"?>
<Relationships xmlns="http://schemas.openxmlformats.org/package/2006/relationships"><Relationship Id="rId1" Type="http://schemas.openxmlformats.org/officeDocument/2006/relationships/package" Target="../embeddings/Microsoft_Excel_Worksheet.xlsx"/>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plotArea>
      <c:layout>
        <c:manualLayout>
          <c:layoutTarget val="inner"/>
          <c:xMode val="edge"/>
          <c:yMode val="edge"/>
          <c:x val="0.0954375"/>
          <c:y val="0.0902222222222222"/>
          <c:w val="0.7840625"/>
          <c:h val="0.694444444444444"/>
        </c:manualLayout>
      </c:layout>
      <c:barChart>
        <c:barDir val="col"/>
        <c:grouping val="clustered"/>
        <c:varyColors val="0"/>
        <c:ser>
          <c:idx val="0"/>
          <c:order val="0"/>
          <c:tx>
            <c:strRef>
              <c:f>label 0</c:f>
              <c:strCache>
                <c:ptCount val="1"/>
                <c:pt idx="0">
                  <c:v>常住人口总量</c:v>
                </c:pt>
              </c:strCache>
            </c:strRef>
          </c:tx>
          <c:spPr>
            <a:solidFill>
              <a:srgbClr val="4472c4"/>
            </a:solidFill>
            <a:ln>
              <a:noFill/>
            </a:ln>
          </c:spPr>
          <c:invertIfNegative val="0"/>
          <c:dLbls>
            <c:numFmt formatCode="General" sourceLinked="1"/>
            <c:txPr>
              <a:bodyPr/>
              <a:lstStyle/>
              <a:p>
                <a:pPr>
                  <a:defRPr b="0" sz="800" spc="-1" strike="noStrike">
                    <a:solidFill>
                      <a:srgbClr val="000000"/>
                    </a:solidFill>
                    <a:latin typeface="Arial"/>
                    <a:ea typeface="宋体"/>
                  </a:defRPr>
                </a:pPr>
              </a:p>
            </c:txPr>
            <c:dLblPos val="outEnd"/>
            <c:showLegendKey val="0"/>
            <c:showVal val="1"/>
            <c:showCatName val="0"/>
            <c:showSerName val="0"/>
            <c:showPercent val="0"/>
            <c:separator>; </c:separator>
            <c:showLeaderLines val="0"/>
          </c:dLbls>
          <c:trendline>
            <c:spPr>
              <a:ln w="6480">
                <a:solidFill>
                  <a:srgbClr val="000000"/>
                </a:solidFill>
                <a:round/>
              </a:ln>
            </c:spPr>
            <c:trendlineType val="linear"/>
            <c:forward val="0"/>
            <c:backward val="0"/>
            <c:dispRSqr val="0"/>
            <c:dispEq val="0"/>
          </c:trendline>
          <c:cat>
            <c:strRef>
              <c:f>categories</c:f>
              <c:strCache>
                <c:ptCount val="5"/>
                <c:pt idx="0">
                  <c:v>2018年</c:v>
                </c:pt>
                <c:pt idx="1">
                  <c:v>2019年</c:v>
                </c:pt>
                <c:pt idx="2">
                  <c:v>2020年</c:v>
                </c:pt>
                <c:pt idx="3">
                  <c:v>2021年</c:v>
                </c:pt>
                <c:pt idx="4">
                  <c:v>2022年</c:v>
                </c:pt>
              </c:strCache>
            </c:strRef>
          </c:cat>
          <c:val>
            <c:numRef>
              <c:f>0</c:f>
              <c:numCache>
                <c:formatCode>General</c:formatCode>
                <c:ptCount val="5"/>
                <c:pt idx="0">
                  <c:v>2154.2</c:v>
                </c:pt>
                <c:pt idx="1">
                  <c:v>2153.6</c:v>
                </c:pt>
                <c:pt idx="2">
                  <c:v>2189.3</c:v>
                </c:pt>
                <c:pt idx="3">
                  <c:v>2188.6</c:v>
                </c:pt>
                <c:pt idx="4">
                  <c:v>2184.3</c:v>
                </c:pt>
              </c:numCache>
            </c:numRef>
          </c:val>
        </c:ser>
        <c:gapWidth val="150"/>
        <c:overlap val="0"/>
        <c:axId val="12705639"/>
        <c:axId val="82832706"/>
      </c:barChart>
      <c:lineChart>
        <c:grouping val="standard"/>
        <c:varyColors val="0"/>
        <c:ser>
          <c:idx val="1"/>
          <c:order val="1"/>
          <c:tx>
            <c:strRef>
              <c:f>label 1</c:f>
              <c:strCache>
                <c:ptCount val="1"/>
                <c:pt idx="0">
                  <c:v>比上年增长</c:v>
                </c:pt>
              </c:strCache>
            </c:strRef>
          </c:tx>
          <c:spPr>
            <a:solidFill>
              <a:srgbClr val="ed7d31"/>
            </a:solidFill>
            <a:ln w="19080">
              <a:solidFill>
                <a:srgbClr val="ed7d31"/>
              </a:solidFill>
              <a:round/>
            </a:ln>
          </c:spPr>
          <c:marker>
            <c:symbol val="none"/>
          </c:marker>
          <c:dPt>
            <c:idx val="0"/>
            <c:spPr>
              <a:solidFill>
                <a:srgbClr val="ed7d31"/>
              </a:solidFill>
              <a:ln w="19080">
                <a:solidFill>
                  <a:srgbClr val="ed7d31"/>
                </a:solidFill>
                <a:round/>
              </a:ln>
            </c:spPr>
          </c:dPt>
          <c:dPt>
            <c:idx val="1"/>
            <c:spPr>
              <a:solidFill>
                <a:srgbClr val="ed7d31"/>
              </a:solidFill>
              <a:ln w="19080">
                <a:solidFill>
                  <a:srgbClr val="ed7d31"/>
                </a:solidFill>
                <a:round/>
              </a:ln>
            </c:spPr>
          </c:dPt>
          <c:dPt>
            <c:idx val="2"/>
            <c:spPr>
              <a:solidFill>
                <a:srgbClr val="ed7d31"/>
              </a:solidFill>
              <a:ln w="19080">
                <a:solidFill>
                  <a:srgbClr val="ed7d31"/>
                </a:solidFill>
                <a:round/>
              </a:ln>
            </c:spPr>
          </c:dPt>
          <c:dPt>
            <c:idx val="3"/>
            <c:spPr>
              <a:solidFill>
                <a:srgbClr val="ed7d31"/>
              </a:solidFill>
              <a:ln w="19080">
                <a:solidFill>
                  <a:srgbClr val="ed7d31"/>
                </a:solidFill>
                <a:round/>
              </a:ln>
            </c:spPr>
          </c:dPt>
          <c:dPt>
            <c:idx val="4"/>
            <c:spPr>
              <a:solidFill>
                <a:srgbClr val="ed7d31"/>
              </a:solidFill>
              <a:ln w="19080">
                <a:solidFill>
                  <a:srgbClr val="ed7d31"/>
                </a:solidFill>
                <a:round/>
              </a:ln>
            </c:spPr>
          </c:dPt>
          <c:dLbls>
            <c:numFmt formatCode="0.00%" sourceLinked="1"/>
            <c:dLbl>
              <c:idx val="0"/>
              <c:txPr>
                <a:bodyPr/>
                <a:lstStyle/>
                <a:p>
                  <a:pPr>
                    <a:defRPr b="0" sz="800" spc="-1" strike="noStrike">
                      <a:solidFill>
                        <a:srgbClr val="000000"/>
                      </a:solidFill>
                      <a:latin typeface="Arial"/>
                      <a:ea typeface="宋体"/>
                    </a:defRPr>
                  </a:pPr>
                </a:p>
              </c:txPr>
              <c:dLblPos val="t"/>
              <c:showLegendKey val="0"/>
              <c:showVal val="1"/>
              <c:showCatName val="0"/>
              <c:showSerName val="0"/>
              <c:showPercent val="0"/>
              <c:separator>; </c:separator>
            </c:dLbl>
            <c:dLbl>
              <c:idx val="1"/>
              <c:txPr>
                <a:bodyPr/>
                <a:lstStyle/>
                <a:p>
                  <a:pPr>
                    <a:defRPr b="0" sz="800" spc="-1" strike="noStrike">
                      <a:solidFill>
                        <a:srgbClr val="000000"/>
                      </a:solidFill>
                      <a:latin typeface="Arial"/>
                      <a:ea typeface="宋体"/>
                    </a:defRPr>
                  </a:pPr>
                </a:p>
              </c:txPr>
              <c:dLblPos val="t"/>
              <c:showLegendKey val="0"/>
              <c:showVal val="1"/>
              <c:showCatName val="0"/>
              <c:showSerName val="0"/>
              <c:showPercent val="0"/>
              <c:separator>; </c:separator>
            </c:dLbl>
            <c:dLbl>
              <c:idx val="2"/>
              <c:txPr>
                <a:bodyPr/>
                <a:lstStyle/>
                <a:p>
                  <a:pPr>
                    <a:defRPr b="0" sz="800" spc="-1" strike="noStrike">
                      <a:solidFill>
                        <a:srgbClr val="000000"/>
                      </a:solidFill>
                      <a:latin typeface="Arial"/>
                      <a:ea typeface="宋体"/>
                    </a:defRPr>
                  </a:pPr>
                </a:p>
              </c:txPr>
              <c:dLblPos val="t"/>
              <c:showLegendKey val="0"/>
              <c:showVal val="1"/>
              <c:showCatName val="0"/>
              <c:showSerName val="0"/>
              <c:showPercent val="0"/>
              <c:separator>; </c:separator>
            </c:dLbl>
            <c:dLbl>
              <c:idx val="3"/>
              <c:txPr>
                <a:bodyPr/>
                <a:lstStyle/>
                <a:p>
                  <a:pPr>
                    <a:defRPr b="0" sz="800" spc="-1" strike="noStrike">
                      <a:solidFill>
                        <a:srgbClr val="000000"/>
                      </a:solidFill>
                      <a:latin typeface="Arial"/>
                      <a:ea typeface="宋体"/>
                    </a:defRPr>
                  </a:pPr>
                </a:p>
              </c:txPr>
              <c:dLblPos val="t"/>
              <c:showLegendKey val="0"/>
              <c:showVal val="1"/>
              <c:showCatName val="0"/>
              <c:showSerName val="0"/>
              <c:showPercent val="0"/>
              <c:separator>; </c:separator>
            </c:dLbl>
            <c:dLbl>
              <c:idx val="4"/>
              <c:txPr>
                <a:bodyPr/>
                <a:lstStyle/>
                <a:p>
                  <a:pPr>
                    <a:defRPr b="0" sz="800" spc="-1" strike="noStrike">
                      <a:solidFill>
                        <a:srgbClr val="000000"/>
                      </a:solidFill>
                      <a:latin typeface="Arial"/>
                      <a:ea typeface="宋体"/>
                    </a:defRPr>
                  </a:pPr>
                </a:p>
              </c:txPr>
              <c:dLblPos val="t"/>
              <c:showLegendKey val="0"/>
              <c:showVal val="1"/>
              <c:showCatName val="0"/>
              <c:showSerName val="0"/>
              <c:showPercent val="0"/>
              <c:separator>; </c:separator>
            </c:dLbl>
            <c:txPr>
              <a:bodyPr/>
              <a:lstStyle/>
              <a:p>
                <a:pPr>
                  <a:defRPr b="0" sz="800" spc="-1" strike="noStrike">
                    <a:solidFill>
                      <a:srgbClr val="000000"/>
                    </a:solidFill>
                    <a:latin typeface="Arial"/>
                    <a:ea typeface="宋体"/>
                  </a:defRPr>
                </a:pPr>
              </a:p>
            </c:txPr>
            <c:dLblPos val="r"/>
            <c:showLegendKey val="0"/>
            <c:showVal val="1"/>
            <c:showCatName val="0"/>
            <c:showSerName val="0"/>
            <c:showPercent val="0"/>
            <c:separator>; </c:separator>
            <c:showLeaderLines val="0"/>
          </c:dLbls>
          <c:cat>
            <c:strRef>
              <c:f>categories</c:f>
              <c:strCache>
                <c:ptCount val="5"/>
                <c:pt idx="0">
                  <c:v>2018年</c:v>
                </c:pt>
                <c:pt idx="1">
                  <c:v>2019年</c:v>
                </c:pt>
                <c:pt idx="2">
                  <c:v>2020年</c:v>
                </c:pt>
                <c:pt idx="3">
                  <c:v>2021年</c:v>
                </c:pt>
                <c:pt idx="4">
                  <c:v>2022年</c:v>
                </c:pt>
              </c:strCache>
            </c:strRef>
          </c:cat>
          <c:val>
            <c:numRef>
              <c:f>1</c:f>
              <c:numCache>
                <c:formatCode>General</c:formatCode>
                <c:ptCount val="5"/>
                <c:pt idx="0">
                  <c:v>-0.00760123462477547</c:v>
                </c:pt>
                <c:pt idx="1">
                  <c:v>-0.00027852567078257</c:v>
                </c:pt>
                <c:pt idx="2">
                  <c:v>0.0165768945022289</c:v>
                </c:pt>
                <c:pt idx="3">
                  <c:v>-0.000319736902206325</c:v>
                </c:pt>
                <c:pt idx="4">
                  <c:v>-0.00196472630905586</c:v>
                </c:pt>
              </c:numCache>
            </c:numRef>
          </c:val>
          <c:smooth val="0"/>
        </c:ser>
        <c:hiLowLines>
          <c:spPr>
            <a:ln>
              <a:noFill/>
            </a:ln>
          </c:spPr>
        </c:hiLowLines>
        <c:marker val="0"/>
        <c:axId val="92555599"/>
        <c:axId val="58836957"/>
      </c:lineChart>
      <c:catAx>
        <c:axId val="12705639"/>
        <c:scaling>
          <c:orientation val="minMax"/>
        </c:scaling>
        <c:delete val="0"/>
        <c:axPos val="b"/>
        <c:numFmt formatCode="[$-804]YYYY/M/D" sourceLinked="1"/>
        <c:majorTickMark val="none"/>
        <c:minorTickMark val="none"/>
        <c:tickLblPos val="low"/>
        <c:spPr>
          <a:ln w="6480">
            <a:solidFill>
              <a:srgbClr val="8b8b8b"/>
            </a:solidFill>
            <a:round/>
          </a:ln>
        </c:spPr>
        <c:txPr>
          <a:bodyPr/>
          <a:lstStyle/>
          <a:p>
            <a:pPr>
              <a:defRPr b="0" sz="800" spc="-1" strike="noStrike">
                <a:solidFill>
                  <a:srgbClr val="000000"/>
                </a:solidFill>
                <a:latin typeface="Arial"/>
                <a:ea typeface="宋体"/>
              </a:defRPr>
            </a:pPr>
          </a:p>
        </c:txPr>
        <c:crossAx val="82832706"/>
        <c:crosses val="autoZero"/>
        <c:auto val="1"/>
        <c:lblAlgn val="ctr"/>
        <c:lblOffset val="100"/>
      </c:catAx>
      <c:valAx>
        <c:axId val="82832706"/>
        <c:scaling>
          <c:orientation val="minMax"/>
          <c:max val="2500"/>
          <c:min val="-500"/>
        </c:scaling>
        <c:delete val="0"/>
        <c:axPos val="l"/>
        <c:majorGridlines>
          <c:spPr>
            <a:ln w="6480">
              <a:solidFill>
                <a:srgbClr val="8b8b8b"/>
              </a:solidFill>
              <a:round/>
            </a:ln>
          </c:spPr>
        </c:majorGridlines>
        <c:numFmt formatCode="General" sourceLinked="0"/>
        <c:majorTickMark val="out"/>
        <c:minorTickMark val="none"/>
        <c:tickLblPos val="nextTo"/>
        <c:spPr>
          <a:ln w="6480">
            <a:solidFill>
              <a:srgbClr val="8b8b8b"/>
            </a:solidFill>
            <a:round/>
          </a:ln>
        </c:spPr>
        <c:txPr>
          <a:bodyPr/>
          <a:lstStyle/>
          <a:p>
            <a:pPr>
              <a:defRPr b="0" sz="800" spc="-1" strike="noStrike">
                <a:solidFill>
                  <a:srgbClr val="000000"/>
                </a:solidFill>
                <a:latin typeface="Arial"/>
                <a:ea typeface="宋体"/>
              </a:defRPr>
            </a:pPr>
          </a:p>
        </c:txPr>
        <c:crossAx val="12705639"/>
        <c:crosses val="autoZero"/>
        <c:majorUnit val="500"/>
      </c:valAx>
      <c:catAx>
        <c:axId val="92555599"/>
        <c:scaling>
          <c:orientation val="minMax"/>
        </c:scaling>
        <c:delete val="1"/>
        <c:axPos val="t"/>
        <c:numFmt formatCode="[$-804]YYYY/M/D" sourceLinked="1"/>
        <c:majorTickMark val="out"/>
        <c:minorTickMark val="none"/>
        <c:tickLblPos val="nextTo"/>
        <c:spPr>
          <a:ln w="6480">
            <a:solidFill>
              <a:srgbClr val="8b8b8b"/>
            </a:solidFill>
            <a:round/>
          </a:ln>
        </c:spPr>
        <c:txPr>
          <a:bodyPr/>
          <a:lstStyle/>
          <a:p>
            <a:pPr>
              <a:defRPr b="0" sz="800" spc="-1" strike="noStrike">
                <a:solidFill>
                  <a:srgbClr val="000000"/>
                </a:solidFill>
                <a:latin typeface="Arial"/>
                <a:ea typeface="宋体"/>
              </a:defRPr>
            </a:pPr>
          </a:p>
        </c:txPr>
        <c:crossAx val="58836957"/>
        <c:crosses val="autoZero"/>
        <c:auto val="1"/>
        <c:lblAlgn val="ctr"/>
        <c:lblOffset val="100"/>
      </c:catAx>
      <c:valAx>
        <c:axId val="58836957"/>
        <c:scaling>
          <c:orientation val="minMax"/>
          <c:max val="0.05"/>
          <c:min val="-0.01"/>
        </c:scaling>
        <c:delete val="0"/>
        <c:axPos val="r"/>
        <c:numFmt formatCode="0.00%" sourceLinked="0"/>
        <c:majorTickMark val="out"/>
        <c:minorTickMark val="none"/>
        <c:tickLblPos val="nextTo"/>
        <c:spPr>
          <a:ln w="6480">
            <a:solidFill>
              <a:srgbClr val="8b8b8b"/>
            </a:solidFill>
            <a:round/>
          </a:ln>
        </c:spPr>
        <c:txPr>
          <a:bodyPr/>
          <a:lstStyle/>
          <a:p>
            <a:pPr>
              <a:defRPr b="0" sz="800" spc="-1" strike="noStrike">
                <a:solidFill>
                  <a:srgbClr val="000000"/>
                </a:solidFill>
                <a:latin typeface="Arial"/>
                <a:ea typeface="宋体"/>
              </a:defRPr>
            </a:pPr>
          </a:p>
        </c:txPr>
        <c:crossAx val="92555599"/>
        <c:crosses val="max"/>
      </c:valAx>
      <c:spPr>
        <a:solidFill>
          <a:srgbClr val="ffffff"/>
        </a:solidFill>
        <a:ln>
          <a:noFill/>
        </a:ln>
      </c:spPr>
    </c:plotArea>
    <c:legend>
      <c:layout>
        <c:manualLayout>
          <c:xMode val="edge"/>
          <c:yMode val="edge"/>
          <c:x val="0.1110625"/>
          <c:y val="0.893888888888889"/>
          <c:w val="0.744484030251891"/>
          <c:h val="0.0870096677408601"/>
        </c:manualLayout>
      </c:layout>
      <c:spPr>
        <a:noFill/>
        <a:ln>
          <a:noFill/>
        </a:ln>
      </c:spPr>
      <c:txPr>
        <a:bodyPr/>
        <a:lstStyle/>
        <a:p>
          <a:pPr>
            <a:defRPr b="0" sz="800" spc="-1" strike="noStrike">
              <a:solidFill>
                <a:srgbClr val="000000"/>
              </a:solidFill>
              <a:latin typeface="Arial"/>
              <a:ea typeface="宋体"/>
            </a:defRPr>
          </a:pPr>
        </a:p>
      </c:txPr>
    </c:legend>
    <c:plotVisOnly val="1"/>
    <c:dispBlanksAs val="gap"/>
  </c:chart>
  <c:spPr>
    <a:solidFill>
      <a:srgbClr val="ffffff"/>
    </a:solidFill>
    <a:ln>
      <a:noFill/>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plotArea>
      <c:lineChart>
        <c:grouping val="standard"/>
        <c:varyColors val="0"/>
        <c:ser>
          <c:idx val="0"/>
          <c:order val="0"/>
          <c:tx>
            <c:strRef>
              <c:f>label 0</c:f>
              <c:strCache>
                <c:ptCount val="1"/>
                <c:pt idx="0">
                  <c:v>平米租金</c:v>
                </c:pt>
              </c:strCache>
            </c:strRef>
          </c:tx>
          <c:spPr>
            <a:solidFill>
              <a:srgbClr val="305ba6"/>
            </a:solidFill>
            <a:ln w="19080">
              <a:solidFill>
                <a:srgbClr val="305ba6"/>
              </a:solidFill>
              <a:round/>
            </a:ln>
          </c:spPr>
          <c:marker>
            <c:symbol val="circle"/>
            <c:size val="5"/>
            <c:spPr>
              <a:solidFill>
                <a:srgbClr val="305ba6"/>
              </a:solidFill>
            </c:spPr>
          </c:marker>
          <c:dPt>
            <c:idx val="0"/>
            <c:spPr>
              <a:solidFill>
                <a:srgbClr val="305ba6"/>
              </a:solidFill>
              <a:ln w="19080">
                <a:solidFill>
                  <a:srgbClr val="305ba6"/>
                </a:solidFill>
                <a:round/>
              </a:ln>
            </c:spPr>
          </c:dPt>
          <c:dPt>
            <c:idx val="1"/>
            <c:spPr>
              <a:solidFill>
                <a:srgbClr val="305ba6"/>
              </a:solidFill>
              <a:ln w="19080">
                <a:solidFill>
                  <a:srgbClr val="305ba6"/>
                </a:solidFill>
                <a:round/>
              </a:ln>
            </c:spPr>
          </c:dPt>
          <c:dPt>
            <c:idx val="2"/>
            <c:spPr>
              <a:solidFill>
                <a:srgbClr val="305ba6"/>
              </a:solidFill>
              <a:ln w="19080">
                <a:solidFill>
                  <a:srgbClr val="305ba6"/>
                </a:solidFill>
                <a:round/>
              </a:ln>
            </c:spPr>
          </c:dPt>
          <c:dPt>
            <c:idx val="3"/>
            <c:spPr>
              <a:solidFill>
                <a:srgbClr val="305ba6"/>
              </a:solidFill>
              <a:ln w="19080">
                <a:solidFill>
                  <a:srgbClr val="305ba6"/>
                </a:solidFill>
                <a:round/>
              </a:ln>
            </c:spPr>
          </c:dPt>
          <c:dPt>
            <c:idx val="4"/>
            <c:spPr>
              <a:solidFill>
                <a:srgbClr val="305ba6"/>
              </a:solidFill>
              <a:ln w="19080">
                <a:solidFill>
                  <a:srgbClr val="305ba6"/>
                </a:solidFill>
                <a:round/>
              </a:ln>
            </c:spPr>
          </c:dPt>
          <c:dPt>
            <c:idx val="5"/>
            <c:spPr>
              <a:solidFill>
                <a:srgbClr val="305ba6"/>
              </a:solidFill>
              <a:ln w="19080">
                <a:solidFill>
                  <a:srgbClr val="305ba6"/>
                </a:solidFill>
                <a:round/>
              </a:ln>
            </c:spPr>
          </c:dPt>
          <c:dPt>
            <c:idx val="6"/>
            <c:spPr>
              <a:solidFill>
                <a:srgbClr val="305ba6"/>
              </a:solidFill>
              <a:ln w="19080">
                <a:solidFill>
                  <a:srgbClr val="305ba6"/>
                </a:solidFill>
                <a:round/>
              </a:ln>
            </c:spPr>
          </c:dPt>
          <c:dPt>
            <c:idx val="7"/>
            <c:spPr>
              <a:solidFill>
                <a:srgbClr val="305ba6"/>
              </a:solidFill>
              <a:ln w="19080">
                <a:solidFill>
                  <a:srgbClr val="305ba6"/>
                </a:solidFill>
                <a:round/>
              </a:ln>
            </c:spPr>
          </c:dPt>
          <c:dPt>
            <c:idx val="8"/>
            <c:spPr>
              <a:solidFill>
                <a:srgbClr val="305ba6"/>
              </a:solidFill>
              <a:ln w="19080">
                <a:solidFill>
                  <a:srgbClr val="305ba6"/>
                </a:solidFill>
                <a:round/>
              </a:ln>
            </c:spPr>
          </c:dPt>
          <c:dPt>
            <c:idx val="9"/>
            <c:spPr>
              <a:solidFill>
                <a:srgbClr val="305ba6"/>
              </a:solidFill>
              <a:ln w="19080">
                <a:solidFill>
                  <a:srgbClr val="305ba6"/>
                </a:solidFill>
                <a:round/>
              </a:ln>
            </c:spPr>
          </c:dPt>
          <c:dPt>
            <c:idx val="10"/>
            <c:spPr>
              <a:solidFill>
                <a:srgbClr val="305ba6"/>
              </a:solidFill>
              <a:ln w="19080">
                <a:solidFill>
                  <a:srgbClr val="305ba6"/>
                </a:solidFill>
                <a:round/>
              </a:ln>
            </c:spPr>
          </c:dPt>
          <c:dPt>
            <c:idx val="11"/>
            <c:spPr>
              <a:solidFill>
                <a:srgbClr val="305ba6"/>
              </a:solidFill>
              <a:ln w="19080">
                <a:solidFill>
                  <a:srgbClr val="305ba6"/>
                </a:solidFill>
                <a:round/>
              </a:ln>
            </c:spPr>
          </c:dPt>
          <c:dPt>
            <c:idx val="12"/>
            <c:spPr>
              <a:solidFill>
                <a:srgbClr val="305ba6"/>
              </a:solidFill>
              <a:ln w="19080">
                <a:solidFill>
                  <a:srgbClr val="305ba6"/>
                </a:solidFill>
                <a:round/>
              </a:ln>
            </c:spPr>
          </c:dPt>
          <c:dLbls>
            <c:numFmt formatCode="General" sourceLinked="1"/>
            <c:dLbl>
              <c:idx val="0"/>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2"/>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3"/>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4"/>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5"/>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6"/>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7"/>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8"/>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9"/>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0"/>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1"/>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2"/>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showLeaderLines val="0"/>
          </c:dLbls>
          <c:cat>
            <c:strRef>
              <c:f>categories</c:f>
              <c:strCache>
                <c:ptCount val="13"/>
                <c:pt idx="0">
                  <c:v>2022-10</c:v>
                </c:pt>
                <c:pt idx="1">
                  <c:v>2022-11</c:v>
                </c:pt>
                <c:pt idx="2">
                  <c:v>2022-12</c:v>
                </c:pt>
                <c:pt idx="3">
                  <c:v>2023-01</c:v>
                </c:pt>
                <c:pt idx="4">
                  <c:v>2023-02</c:v>
                </c:pt>
                <c:pt idx="5">
                  <c:v>2023-03</c:v>
                </c:pt>
                <c:pt idx="6">
                  <c:v>2023-04</c:v>
                </c:pt>
                <c:pt idx="7">
                  <c:v>2023-05</c:v>
                </c:pt>
                <c:pt idx="8">
                  <c:v>2023-06</c:v>
                </c:pt>
                <c:pt idx="9">
                  <c:v>2023-07</c:v>
                </c:pt>
                <c:pt idx="10">
                  <c:v>2023-08</c:v>
                </c:pt>
                <c:pt idx="11">
                  <c:v>2023-09</c:v>
                </c:pt>
                <c:pt idx="12">
                  <c:v>2023-10</c:v>
                </c:pt>
              </c:strCache>
            </c:strRef>
          </c:cat>
          <c:val>
            <c:numRef>
              <c:f>0</c:f>
              <c:numCache>
                <c:formatCode>General</c:formatCode>
                <c:ptCount val="13"/>
                <c:pt idx="0">
                  <c:v>102</c:v>
                </c:pt>
                <c:pt idx="1">
                  <c:v>101</c:v>
                </c:pt>
                <c:pt idx="2">
                  <c:v>101</c:v>
                </c:pt>
                <c:pt idx="3">
                  <c:v>99</c:v>
                </c:pt>
                <c:pt idx="4">
                  <c:v>100</c:v>
                </c:pt>
                <c:pt idx="5">
                  <c:v>102</c:v>
                </c:pt>
                <c:pt idx="6">
                  <c:v>103</c:v>
                </c:pt>
                <c:pt idx="7">
                  <c:v>103</c:v>
                </c:pt>
                <c:pt idx="8">
                  <c:v>104</c:v>
                </c:pt>
                <c:pt idx="9">
                  <c:v>104</c:v>
                </c:pt>
                <c:pt idx="10">
                  <c:v>103</c:v>
                </c:pt>
                <c:pt idx="11">
                  <c:v>102</c:v>
                </c:pt>
                <c:pt idx="12">
                  <c:v>101</c:v>
                </c:pt>
              </c:numCache>
            </c:numRef>
          </c:val>
          <c:smooth val="1"/>
        </c:ser>
        <c:hiLowLines>
          <c:spPr>
            <a:ln>
              <a:noFill/>
            </a:ln>
          </c:spPr>
        </c:hiLowLines>
        <c:marker val="1"/>
        <c:axId val="54775556"/>
        <c:axId val="97417651"/>
      </c:lineChart>
      <c:lineChart>
        <c:grouping val="standard"/>
        <c:varyColors val="0"/>
        <c:ser>
          <c:idx val="1"/>
          <c:order val="1"/>
          <c:tx>
            <c:strRef>
              <c:f>label 1</c:f>
              <c:strCache>
                <c:ptCount val="1"/>
                <c:pt idx="0">
                  <c:v>套均租金</c:v>
                </c:pt>
              </c:strCache>
            </c:strRef>
          </c:tx>
          <c:spPr>
            <a:solidFill>
              <a:srgbClr val="ffc107"/>
            </a:solidFill>
            <a:ln w="19080">
              <a:solidFill>
                <a:srgbClr val="ffc107"/>
              </a:solidFill>
              <a:round/>
            </a:ln>
          </c:spPr>
          <c:marker>
            <c:symbol val="circle"/>
            <c:size val="5"/>
            <c:spPr>
              <a:solidFill>
                <a:srgbClr val="ffc107"/>
              </a:solidFill>
            </c:spPr>
          </c:marker>
          <c:dPt>
            <c:idx val="0"/>
            <c:spPr>
              <a:solidFill>
                <a:srgbClr val="ffc107"/>
              </a:solidFill>
              <a:ln w="19080">
                <a:solidFill>
                  <a:srgbClr val="ffc107"/>
                </a:solidFill>
                <a:round/>
              </a:ln>
            </c:spPr>
          </c:dPt>
          <c:dPt>
            <c:idx val="1"/>
            <c:spPr>
              <a:solidFill>
                <a:srgbClr val="ffc107"/>
              </a:solidFill>
              <a:ln w="19080">
                <a:solidFill>
                  <a:srgbClr val="ffc107"/>
                </a:solidFill>
                <a:round/>
              </a:ln>
            </c:spPr>
          </c:dPt>
          <c:dPt>
            <c:idx val="2"/>
            <c:spPr>
              <a:solidFill>
                <a:srgbClr val="ffc107"/>
              </a:solidFill>
              <a:ln w="19080">
                <a:solidFill>
                  <a:srgbClr val="ffc107"/>
                </a:solidFill>
                <a:round/>
              </a:ln>
            </c:spPr>
          </c:dPt>
          <c:dPt>
            <c:idx val="3"/>
            <c:spPr>
              <a:solidFill>
                <a:srgbClr val="ffc107"/>
              </a:solidFill>
              <a:ln w="19080">
                <a:solidFill>
                  <a:srgbClr val="ffc107"/>
                </a:solidFill>
                <a:round/>
              </a:ln>
            </c:spPr>
          </c:dPt>
          <c:dPt>
            <c:idx val="4"/>
            <c:spPr>
              <a:solidFill>
                <a:srgbClr val="ffc107"/>
              </a:solidFill>
              <a:ln w="19080">
                <a:solidFill>
                  <a:srgbClr val="ffc107"/>
                </a:solidFill>
                <a:round/>
              </a:ln>
            </c:spPr>
          </c:dPt>
          <c:dPt>
            <c:idx val="5"/>
            <c:spPr>
              <a:solidFill>
                <a:srgbClr val="ffc107"/>
              </a:solidFill>
              <a:ln w="19080">
                <a:solidFill>
                  <a:srgbClr val="ffc107"/>
                </a:solidFill>
                <a:round/>
              </a:ln>
            </c:spPr>
          </c:dPt>
          <c:dPt>
            <c:idx val="6"/>
            <c:spPr>
              <a:solidFill>
                <a:srgbClr val="ffc107"/>
              </a:solidFill>
              <a:ln w="19080">
                <a:solidFill>
                  <a:srgbClr val="ffc107"/>
                </a:solidFill>
                <a:round/>
              </a:ln>
            </c:spPr>
          </c:dPt>
          <c:dPt>
            <c:idx val="7"/>
            <c:spPr>
              <a:solidFill>
                <a:srgbClr val="ffc107"/>
              </a:solidFill>
              <a:ln w="19080">
                <a:solidFill>
                  <a:srgbClr val="ffc107"/>
                </a:solidFill>
                <a:round/>
              </a:ln>
            </c:spPr>
          </c:dPt>
          <c:dPt>
            <c:idx val="8"/>
            <c:spPr>
              <a:solidFill>
                <a:srgbClr val="ffc107"/>
              </a:solidFill>
              <a:ln w="19080">
                <a:solidFill>
                  <a:srgbClr val="ffc107"/>
                </a:solidFill>
                <a:round/>
              </a:ln>
            </c:spPr>
          </c:dPt>
          <c:dPt>
            <c:idx val="9"/>
            <c:spPr>
              <a:solidFill>
                <a:srgbClr val="ffc107"/>
              </a:solidFill>
              <a:ln w="19080">
                <a:solidFill>
                  <a:srgbClr val="ffc107"/>
                </a:solidFill>
                <a:round/>
              </a:ln>
            </c:spPr>
          </c:dPt>
          <c:dPt>
            <c:idx val="10"/>
            <c:spPr>
              <a:solidFill>
                <a:srgbClr val="ffc107"/>
              </a:solidFill>
              <a:ln w="19080">
                <a:solidFill>
                  <a:srgbClr val="ffc107"/>
                </a:solidFill>
                <a:round/>
              </a:ln>
            </c:spPr>
          </c:dPt>
          <c:dPt>
            <c:idx val="11"/>
            <c:spPr>
              <a:solidFill>
                <a:srgbClr val="ffc107"/>
              </a:solidFill>
              <a:ln w="19080">
                <a:solidFill>
                  <a:srgbClr val="ffc107"/>
                </a:solidFill>
                <a:round/>
              </a:ln>
            </c:spPr>
          </c:dPt>
          <c:dPt>
            <c:idx val="12"/>
            <c:spPr>
              <a:solidFill>
                <a:srgbClr val="ffc107"/>
              </a:solidFill>
              <a:ln w="19080">
                <a:solidFill>
                  <a:srgbClr val="ffc107"/>
                </a:solidFill>
                <a:round/>
              </a:ln>
            </c:spPr>
          </c:dPt>
          <c:dLbls>
            <c:numFmt formatCode="General" sourceLinked="1"/>
            <c:dLbl>
              <c:idx val="0"/>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2"/>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3"/>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4"/>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5"/>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6"/>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7"/>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8"/>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9"/>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0"/>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1"/>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dLbl>
              <c:idx val="12"/>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dLbl>
            <c:txPr>
              <a:bodyPr/>
              <a:lstStyle/>
              <a:p>
                <a:pPr>
                  <a:defRPr b="0" sz="900" spc="-1" strike="noStrike">
                    <a:solidFill>
                      <a:srgbClr val="000000"/>
                    </a:solidFill>
                    <a:latin typeface="楷体"/>
                    <a:ea typeface="楷体"/>
                  </a:defRPr>
                </a:pPr>
              </a:p>
            </c:txPr>
            <c:dLblPos val="r"/>
            <c:showLegendKey val="0"/>
            <c:showVal val="0"/>
            <c:showCatName val="0"/>
            <c:showSerName val="0"/>
            <c:showPercent val="0"/>
            <c:separator>; </c:separator>
            <c:showLeaderLines val="0"/>
          </c:dLbls>
          <c:cat>
            <c:strRef>
              <c:f>categories</c:f>
              <c:strCache>
                <c:ptCount val="13"/>
                <c:pt idx="0">
                  <c:v>2022-10</c:v>
                </c:pt>
                <c:pt idx="1">
                  <c:v>2022-11</c:v>
                </c:pt>
                <c:pt idx="2">
                  <c:v>2022-12</c:v>
                </c:pt>
                <c:pt idx="3">
                  <c:v>2023-01</c:v>
                </c:pt>
                <c:pt idx="4">
                  <c:v>2023-02</c:v>
                </c:pt>
                <c:pt idx="5">
                  <c:v>2023-03</c:v>
                </c:pt>
                <c:pt idx="6">
                  <c:v>2023-04</c:v>
                </c:pt>
                <c:pt idx="7">
                  <c:v>2023-05</c:v>
                </c:pt>
                <c:pt idx="8">
                  <c:v>2023-06</c:v>
                </c:pt>
                <c:pt idx="9">
                  <c:v>2023-07</c:v>
                </c:pt>
                <c:pt idx="10">
                  <c:v>2023-08</c:v>
                </c:pt>
                <c:pt idx="11">
                  <c:v>2023-09</c:v>
                </c:pt>
                <c:pt idx="12">
                  <c:v>2023-10</c:v>
                </c:pt>
              </c:strCache>
            </c:strRef>
          </c:cat>
          <c:val>
            <c:numRef>
              <c:f>1</c:f>
              <c:numCache>
                <c:formatCode>General</c:formatCode>
                <c:ptCount val="13"/>
                <c:pt idx="0">
                  <c:v>8991</c:v>
                </c:pt>
                <c:pt idx="1">
                  <c:v>8720</c:v>
                </c:pt>
                <c:pt idx="2">
                  <c:v>8744</c:v>
                </c:pt>
                <c:pt idx="3">
                  <c:v>8549</c:v>
                </c:pt>
                <c:pt idx="4">
                  <c:v>8627</c:v>
                </c:pt>
                <c:pt idx="5">
                  <c:v>8795</c:v>
                </c:pt>
                <c:pt idx="6">
                  <c:v>8814</c:v>
                </c:pt>
                <c:pt idx="7">
                  <c:v>8777</c:v>
                </c:pt>
                <c:pt idx="8">
                  <c:v>8820</c:v>
                </c:pt>
                <c:pt idx="9">
                  <c:v>8908</c:v>
                </c:pt>
                <c:pt idx="10">
                  <c:v>8919</c:v>
                </c:pt>
                <c:pt idx="11">
                  <c:v>8800</c:v>
                </c:pt>
                <c:pt idx="12">
                  <c:v>8693</c:v>
                </c:pt>
              </c:numCache>
            </c:numRef>
          </c:val>
          <c:smooth val="1"/>
        </c:ser>
        <c:hiLowLines>
          <c:spPr>
            <a:ln>
              <a:noFill/>
            </a:ln>
          </c:spPr>
        </c:hiLowLines>
        <c:marker val="1"/>
        <c:axId val="24129274"/>
        <c:axId val="92220068"/>
      </c:lineChart>
      <c:catAx>
        <c:axId val="54775556"/>
        <c:scaling>
          <c:orientation val="minMax"/>
        </c:scaling>
        <c:delete val="0"/>
        <c:axPos val="b"/>
        <c:numFmt formatCode="[$-804]YYYY/M/D" sourceLinked="1"/>
        <c:majorTickMark val="in"/>
        <c:minorTickMark val="none"/>
        <c:tickLblPos val="nextTo"/>
        <c:spPr>
          <a:ln w="6480">
            <a:solidFill>
              <a:srgbClr val="8b8b8b"/>
            </a:solidFill>
            <a:round/>
          </a:ln>
        </c:spPr>
        <c:txPr>
          <a:bodyPr rot="-1800000"/>
          <a:lstStyle/>
          <a:p>
            <a:pPr>
              <a:defRPr b="0" sz="900" spc="-1" strike="noStrike">
                <a:solidFill>
                  <a:srgbClr val="000000"/>
                </a:solidFill>
                <a:latin typeface="楷体"/>
                <a:ea typeface="楷体"/>
              </a:defRPr>
            </a:pPr>
          </a:p>
        </c:txPr>
        <c:crossAx val="97417651"/>
        <c:crosses val="autoZero"/>
        <c:auto val="1"/>
        <c:lblAlgn val="ctr"/>
        <c:lblOffset val="100"/>
      </c:catAx>
      <c:valAx>
        <c:axId val="97417651"/>
        <c:scaling>
          <c:orientation val="minMax"/>
        </c:scaling>
        <c:delete val="0"/>
        <c:axPos val="l"/>
        <c:numFmt formatCode="General" sourceLinked="0"/>
        <c:majorTickMark val="in"/>
        <c:minorTickMark val="none"/>
        <c:tickLblPos val="nextTo"/>
        <c:spPr>
          <a:ln w="6480">
            <a:solidFill>
              <a:srgbClr val="8b8b8b"/>
            </a:solidFill>
            <a:round/>
          </a:ln>
        </c:spPr>
        <c:txPr>
          <a:bodyPr/>
          <a:lstStyle/>
          <a:p>
            <a:pPr>
              <a:defRPr b="0" sz="900" spc="-1" strike="noStrike">
                <a:solidFill>
                  <a:srgbClr val="000000"/>
                </a:solidFill>
                <a:latin typeface="楷体"/>
                <a:ea typeface="楷体"/>
              </a:defRPr>
            </a:pPr>
          </a:p>
        </c:txPr>
        <c:crossAx val="54775556"/>
        <c:crosses val="autoZero"/>
        <c:crossBetween val="midCat"/>
      </c:valAx>
      <c:catAx>
        <c:axId val="24129274"/>
        <c:scaling>
          <c:orientation val="minMax"/>
        </c:scaling>
        <c:delete val="1"/>
        <c:axPos val="t"/>
        <c:numFmt formatCode="[$-804]YYYY/M/D" sourceLinked="1"/>
        <c:majorTickMark val="out"/>
        <c:minorTickMark val="none"/>
        <c:tickLblPos val="nextTo"/>
        <c:spPr>
          <a:ln w="6480">
            <a:solidFill>
              <a:srgbClr val="8b8b8b"/>
            </a:solidFill>
            <a:round/>
          </a:ln>
        </c:spPr>
        <c:txPr>
          <a:bodyPr/>
          <a:lstStyle/>
          <a:p>
            <a:pPr>
              <a:defRPr b="0" sz="900" spc="-1" strike="noStrike">
                <a:solidFill>
                  <a:srgbClr val="000000"/>
                </a:solidFill>
                <a:latin typeface="楷体"/>
                <a:ea typeface="楷体"/>
              </a:defRPr>
            </a:pPr>
          </a:p>
        </c:txPr>
        <c:crossAx val="92220068"/>
        <c:crosses val="autoZero"/>
        <c:auto val="1"/>
        <c:lblAlgn val="ctr"/>
        <c:lblOffset val="100"/>
      </c:catAx>
      <c:valAx>
        <c:axId val="92220068"/>
        <c:scaling>
          <c:orientation val="minMax"/>
        </c:scaling>
        <c:delete val="0"/>
        <c:axPos val="r"/>
        <c:numFmt formatCode="General" sourceLinked="0"/>
        <c:majorTickMark val="in"/>
        <c:minorTickMark val="none"/>
        <c:tickLblPos val="high"/>
        <c:spPr>
          <a:ln w="6480">
            <a:solidFill>
              <a:srgbClr val="8b8b8b"/>
            </a:solidFill>
            <a:round/>
          </a:ln>
        </c:spPr>
        <c:txPr>
          <a:bodyPr/>
          <a:lstStyle/>
          <a:p>
            <a:pPr>
              <a:defRPr b="0" sz="900" spc="-1" strike="noStrike">
                <a:solidFill>
                  <a:srgbClr val="000000"/>
                </a:solidFill>
                <a:latin typeface="楷体"/>
                <a:ea typeface="楷体"/>
              </a:defRPr>
            </a:pPr>
          </a:p>
        </c:txPr>
        <c:crossAx val="24129274"/>
        <c:crosses val="max"/>
        <c:crossBetween val="midCat"/>
      </c:valAx>
      <c:spPr>
        <a:solidFill>
          <a:srgbClr val="ffffff"/>
        </a:solidFill>
        <a:ln>
          <a:noFill/>
        </a:ln>
      </c:spPr>
    </c:plotArea>
    <c:legend>
      <c:legendPos val="b"/>
      <c:overlay val="0"/>
      <c:spPr>
        <a:noFill/>
        <a:ln>
          <a:noFill/>
        </a:ln>
      </c:spPr>
      <c:txPr>
        <a:bodyPr/>
        <a:lstStyle/>
        <a:p>
          <a:pPr>
            <a:defRPr b="0" sz="900" spc="-1" strike="noStrike">
              <a:solidFill>
                <a:srgbClr val="000000"/>
              </a:solidFill>
              <a:latin typeface="楷体"/>
              <a:ea typeface="楷体"/>
            </a:defRPr>
          </a:pPr>
        </a:p>
      </c:txPr>
    </c:legend>
    <c:plotVisOnly val="1"/>
    <c:dispBlanksAs val="zero"/>
  </c:chart>
  <c:spPr>
    <a:solidFill>
      <a:srgbClr val="ffffff"/>
    </a:solidFill>
    <a:ln>
      <a:noFill/>
    </a:ln>
  </c:sp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黑体"/>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宋体"/>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7CB07-1179-4BB0-A41E-D04DBD056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1424</TotalTime>
  <Application>Ultra_Office/6.2.3.2$Windows_x86 LibreOffice_project/</Application>
  <Pages>66</Pages>
  <Words>38073</Words>
  <Characters>45516</Characters>
  <CharactersWithSpaces>45869</CharactersWithSpaces>
  <Paragraphs>2782</Paragraphs>
  <Company>P R C</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2022-05-31T02:53:00Z</dcterms:created>
  <dc:creator>djg</dc:creator>
  <dc:description/>
  <dc:language>zh-CN</dc:language>
  <cp:lastModifiedBy/>
  <cp:lastPrinted>2023-01-17T07:44:00Z</cp:lastPrinted>
  <dcterms:modified xsi:type="dcterms:W3CDTF">2023-12-12T11:23:47Z</dcterms:modified>
  <cp:revision>88</cp:revision>
  <dc:subject/>
  <dc:title>电 话：82253558  传真：82253565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P R C</vt:lpwstr>
  </property>
  <property fmtid="{D5CDD505-2E9C-101B-9397-08002B2CF9AE}" pid="4" name="DocSecurity">
    <vt:i4>0</vt:i4>
  </property>
  <property fmtid="{D5CDD505-2E9C-101B-9397-08002B2CF9AE}" pid="5" name="HyperlinksChanged">
    <vt:bool>0</vt:bool>
  </property>
  <property fmtid="{D5CDD505-2E9C-101B-9397-08002B2CF9AE}" pid="6" name="ICV">
    <vt:lpwstr>6504A4AFE1C04DB484A7CCD64B5729A5_13</vt:lpwstr>
  </property>
  <property fmtid="{D5CDD505-2E9C-101B-9397-08002B2CF9AE}" pid="7" name="KSOProductBuildVer">
    <vt:lpwstr>2052-12.1.0.15374</vt:lpwstr>
  </property>
  <property fmtid="{D5CDD505-2E9C-101B-9397-08002B2CF9AE}" pid="8" name="LinksUpToDate">
    <vt:bool>0</vt:bool>
  </property>
  <property fmtid="{D5CDD505-2E9C-101B-9397-08002B2CF9AE}" pid="9" name="ScaleCrop">
    <vt:bool>0</vt:bool>
  </property>
  <property fmtid="{D5CDD505-2E9C-101B-9397-08002B2CF9AE}" pid="10" name="ShareDoc">
    <vt:bool>0</vt:bool>
  </property>
</Properties>
</file>