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crdownload"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charts/chart14.xml" ContentType="application/vnd.openxmlformats-officedocument.drawingml.chart+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Ids.xml" ContentType="application/vnd.openxmlformats-officedocument.wordprocessingml.commentsIds+xml"/>
  <Override PartName="/word/commentsExtended.xml" ContentType="application/vnd.openxmlformats-officedocument.wordprocessingml.commentsExtended+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E1CB489" w14:textId="77777777" w:rsidR="00770DC3" w:rsidRPr="003B32F6" w:rsidRDefault="00770DC3">
      <w:pPr>
        <w:spacing w:afterLines="100" w:after="240"/>
        <w:jc w:val="right"/>
        <w:rPr>
          <w:rFonts w:ascii="Arial" w:hAnsi="Arial" w:cs="Arial"/>
          <w:snapToGrid w:val="0"/>
        </w:rPr>
      </w:pPr>
      <w:permStart w:id="1653559376" w:edGrp="everyone"/>
      <w:permEnd w:id="1653559376"/>
    </w:p>
    <w:p w14:paraId="6E46C4DB" w14:textId="77777777" w:rsidR="00684159" w:rsidRPr="003B32F6" w:rsidRDefault="00684159" w:rsidP="00684159">
      <w:pPr>
        <w:jc w:val="center"/>
        <w:rPr>
          <w:rFonts w:ascii="Arial" w:eastAsia="隶书" w:hAnsi="Arial" w:cs="Arial"/>
          <w:b/>
          <w:bCs/>
          <w:color w:val="000000"/>
          <w:spacing w:val="20"/>
          <w:sz w:val="48"/>
        </w:rPr>
      </w:pPr>
    </w:p>
    <w:p w14:paraId="2BFB04A3" w14:textId="77777777" w:rsidR="00684159" w:rsidRPr="003B32F6" w:rsidRDefault="00684159" w:rsidP="00684159">
      <w:pPr>
        <w:jc w:val="center"/>
        <w:rPr>
          <w:rFonts w:ascii="Arial" w:eastAsia="隶书" w:hAnsi="Arial" w:cs="Arial"/>
          <w:b/>
          <w:bCs/>
          <w:color w:val="000000"/>
          <w:spacing w:val="20"/>
          <w:sz w:val="48"/>
        </w:rPr>
      </w:pPr>
    </w:p>
    <w:p w14:paraId="57EDBD73" w14:textId="77777777" w:rsidR="00684159" w:rsidRPr="003B32F6" w:rsidRDefault="00684159" w:rsidP="00684159">
      <w:pPr>
        <w:jc w:val="center"/>
        <w:rPr>
          <w:rFonts w:ascii="Arial" w:eastAsia="隶书" w:hAnsi="Arial" w:cs="Arial"/>
          <w:b/>
          <w:bCs/>
          <w:color w:val="000000"/>
          <w:spacing w:val="20"/>
          <w:sz w:val="48"/>
        </w:rPr>
      </w:pPr>
    </w:p>
    <w:p w14:paraId="5689D59E" w14:textId="77777777" w:rsidR="00684159" w:rsidRPr="003B32F6" w:rsidRDefault="00684159" w:rsidP="00684159">
      <w:pPr>
        <w:jc w:val="center"/>
        <w:rPr>
          <w:rFonts w:ascii="Arial" w:eastAsia="隶书" w:hAnsi="Arial" w:cs="Arial"/>
          <w:b/>
          <w:bCs/>
          <w:color w:val="000000"/>
          <w:spacing w:val="20"/>
          <w:sz w:val="48"/>
        </w:rPr>
      </w:pPr>
    </w:p>
    <w:p w14:paraId="00D4FD5F" w14:textId="77777777" w:rsidR="00684159" w:rsidRPr="003B32F6" w:rsidRDefault="00684159" w:rsidP="00684159">
      <w:pPr>
        <w:jc w:val="center"/>
        <w:rPr>
          <w:rFonts w:ascii="Arial" w:eastAsia="隶书" w:hAnsi="Arial" w:cs="Arial"/>
          <w:b/>
          <w:bCs/>
          <w:color w:val="000000"/>
          <w:spacing w:val="20"/>
          <w:sz w:val="48"/>
        </w:rPr>
      </w:pPr>
    </w:p>
    <w:p w14:paraId="0608D95E" w14:textId="77777777" w:rsidR="00684159" w:rsidRPr="003B32F6" w:rsidRDefault="00684159" w:rsidP="00684159">
      <w:pPr>
        <w:snapToGrid w:val="0"/>
        <w:rPr>
          <w:rFonts w:ascii="Arial" w:eastAsia="隶书" w:hAnsi="Arial" w:cs="Arial"/>
          <w:b/>
          <w:bCs/>
          <w:color w:val="000000"/>
          <w:spacing w:val="20"/>
          <w:sz w:val="28"/>
          <w:szCs w:val="28"/>
        </w:rPr>
      </w:pPr>
    </w:p>
    <w:p w14:paraId="1C8792F0" w14:textId="77777777" w:rsidR="00684159" w:rsidRPr="00E05368" w:rsidRDefault="00103670" w:rsidP="00684159">
      <w:pPr>
        <w:jc w:val="center"/>
        <w:rPr>
          <w:rFonts w:ascii="Arial" w:eastAsia="黑体" w:hAnsi="Arial" w:cs="Arial"/>
          <w:bCs/>
          <w:color w:val="000000"/>
          <w:spacing w:val="20"/>
          <w:sz w:val="72"/>
          <w:szCs w:val="72"/>
        </w:rPr>
      </w:pPr>
      <w:r w:rsidRPr="00E05368">
        <w:rPr>
          <w:rFonts w:ascii="Arial" w:eastAsia="黑体" w:hAnsi="Arial" w:cs="Arial"/>
          <w:bCs/>
          <w:color w:val="000000"/>
          <w:spacing w:val="20"/>
          <w:sz w:val="72"/>
          <w:szCs w:val="72"/>
        </w:rPr>
        <w:t>可行性研究报告</w:t>
      </w:r>
    </w:p>
    <w:p w14:paraId="181CD179" w14:textId="77777777" w:rsidR="00684159" w:rsidRPr="00E05368" w:rsidRDefault="00684159" w:rsidP="00684159">
      <w:pPr>
        <w:spacing w:line="280" w:lineRule="exact"/>
        <w:jc w:val="center"/>
        <w:rPr>
          <w:rFonts w:ascii="Arial" w:eastAsia="黑体" w:hAnsi="Arial" w:cs="Arial"/>
          <w:b/>
          <w:bCs/>
          <w:color w:val="000000"/>
          <w:spacing w:val="20"/>
          <w:sz w:val="52"/>
          <w:szCs w:val="52"/>
        </w:rPr>
      </w:pPr>
    </w:p>
    <w:p w14:paraId="249CBFB3" w14:textId="77777777" w:rsidR="00684159" w:rsidRPr="00E05368" w:rsidRDefault="00684159" w:rsidP="00684159">
      <w:pPr>
        <w:spacing w:line="280" w:lineRule="exact"/>
        <w:jc w:val="center"/>
        <w:rPr>
          <w:rFonts w:ascii="Arial" w:eastAsia="黑体" w:hAnsi="Arial" w:cs="Arial"/>
          <w:b/>
          <w:bCs/>
          <w:color w:val="000000"/>
          <w:spacing w:val="20"/>
          <w:sz w:val="52"/>
          <w:szCs w:val="52"/>
        </w:rPr>
      </w:pPr>
    </w:p>
    <w:p w14:paraId="2C7302B8" w14:textId="77777777" w:rsidR="00684159" w:rsidRPr="00E05368" w:rsidRDefault="00684159" w:rsidP="00684159">
      <w:pPr>
        <w:spacing w:line="280" w:lineRule="exact"/>
        <w:jc w:val="center"/>
        <w:rPr>
          <w:rFonts w:ascii="Arial" w:eastAsia="黑体" w:hAnsi="Arial" w:cs="Arial"/>
          <w:b/>
          <w:bCs/>
          <w:color w:val="000000"/>
          <w:spacing w:val="20"/>
          <w:sz w:val="52"/>
          <w:szCs w:val="52"/>
        </w:rPr>
      </w:pPr>
    </w:p>
    <w:p w14:paraId="533C1004" w14:textId="77777777" w:rsidR="00684159" w:rsidRPr="00E05368" w:rsidRDefault="00684159" w:rsidP="00684159">
      <w:pPr>
        <w:spacing w:line="280" w:lineRule="exact"/>
        <w:jc w:val="center"/>
        <w:rPr>
          <w:rFonts w:ascii="Arial" w:eastAsia="黑体" w:hAnsi="Arial" w:cs="Arial"/>
          <w:b/>
          <w:bCs/>
          <w:color w:val="000000"/>
          <w:spacing w:val="20"/>
          <w:sz w:val="52"/>
          <w:szCs w:val="52"/>
        </w:rPr>
      </w:pPr>
    </w:p>
    <w:p w14:paraId="423F505E" w14:textId="77777777" w:rsidR="00684159" w:rsidRPr="00E05368" w:rsidRDefault="00684159" w:rsidP="00684159">
      <w:pPr>
        <w:spacing w:line="280" w:lineRule="exact"/>
        <w:jc w:val="center"/>
        <w:rPr>
          <w:rFonts w:ascii="Arial" w:eastAsia="黑体" w:hAnsi="Arial" w:cs="Arial"/>
          <w:b/>
          <w:bCs/>
          <w:color w:val="000000"/>
          <w:spacing w:val="20"/>
          <w:sz w:val="52"/>
          <w:szCs w:val="52"/>
        </w:rPr>
      </w:pPr>
    </w:p>
    <w:p w14:paraId="11FAFF51" w14:textId="77777777" w:rsidR="00684159" w:rsidRPr="00E05368" w:rsidRDefault="00684159" w:rsidP="00684159">
      <w:pPr>
        <w:spacing w:line="280" w:lineRule="exact"/>
        <w:jc w:val="center"/>
        <w:rPr>
          <w:rFonts w:ascii="Arial" w:eastAsia="黑体" w:hAnsi="Arial" w:cs="Arial"/>
          <w:b/>
          <w:bCs/>
          <w:color w:val="000000"/>
          <w:spacing w:val="20"/>
          <w:sz w:val="52"/>
          <w:szCs w:val="52"/>
        </w:rPr>
      </w:pPr>
    </w:p>
    <w:p w14:paraId="65217FBE" w14:textId="77777777" w:rsidR="00684159" w:rsidRPr="00E05368" w:rsidRDefault="00684159" w:rsidP="00684159">
      <w:pPr>
        <w:spacing w:line="280" w:lineRule="exact"/>
        <w:jc w:val="center"/>
        <w:rPr>
          <w:rFonts w:ascii="Arial" w:eastAsia="Adobe 黑体 Std R" w:hAnsi="Arial" w:cs="Arial"/>
          <w:b/>
          <w:bCs/>
          <w:color w:val="000000"/>
          <w:szCs w:val="21"/>
        </w:rPr>
      </w:pPr>
    </w:p>
    <w:p w14:paraId="512E9A80" w14:textId="77777777" w:rsidR="00684159" w:rsidRPr="00E05368" w:rsidRDefault="00684159" w:rsidP="00684159">
      <w:pPr>
        <w:spacing w:line="280" w:lineRule="exact"/>
        <w:jc w:val="center"/>
        <w:rPr>
          <w:rFonts w:ascii="Arial" w:eastAsia="Adobe 黑体 Std R" w:hAnsi="Arial" w:cs="Arial"/>
          <w:b/>
          <w:bCs/>
          <w:color w:val="000000"/>
          <w:szCs w:val="21"/>
        </w:rPr>
      </w:pPr>
    </w:p>
    <w:p w14:paraId="03EA11B8" w14:textId="61C5DE99" w:rsidR="00094955" w:rsidRPr="00E05368" w:rsidRDefault="005156A6" w:rsidP="00094955">
      <w:pPr>
        <w:snapToGrid w:val="0"/>
        <w:jc w:val="center"/>
        <w:rPr>
          <w:rFonts w:ascii="微软雅黑" w:eastAsia="微软雅黑" w:hAnsi="微软雅黑" w:cs="微软雅黑"/>
          <w:bCs/>
          <w:color w:val="000000"/>
        </w:rPr>
      </w:pPr>
      <w:r>
        <w:rPr>
          <w:rFonts w:ascii="微软雅黑" w:eastAsia="微软雅黑" w:hAnsi="微软雅黑" w:cs="微软雅黑" w:hint="eastAsia"/>
          <w:bCs/>
          <w:color w:val="000000"/>
        </w:rPr>
        <w:t>江苏省南京市雨花台区</w:t>
      </w:r>
      <w:r w:rsidRPr="005156A6">
        <w:rPr>
          <w:rFonts w:ascii="微软雅黑" w:eastAsia="微软雅黑" w:hAnsi="微软雅黑" w:cs="微软雅黑" w:hint="eastAsia"/>
          <w:bCs/>
          <w:color w:val="000000"/>
        </w:rPr>
        <w:t>凤集大道以南、新湖大道以西</w:t>
      </w:r>
      <w:r w:rsidRPr="005156A6">
        <w:rPr>
          <w:rFonts w:ascii="微软雅黑" w:eastAsia="微软雅黑" w:hAnsi="微软雅黑" w:cs="微软雅黑"/>
          <w:bCs/>
          <w:color w:val="000000"/>
        </w:rPr>
        <w:t>NO.2021G35地块</w:t>
      </w:r>
      <w:r w:rsidR="00B94C18" w:rsidRPr="00B94C18">
        <w:rPr>
          <w:rFonts w:ascii="微软雅黑" w:eastAsia="微软雅黑" w:hAnsi="微软雅黑" w:cs="微软雅黑"/>
          <w:bCs/>
          <w:color w:val="000000"/>
        </w:rPr>
        <w:t>居住项目</w:t>
      </w:r>
    </w:p>
    <w:p w14:paraId="45B684ED" w14:textId="7D99E670" w:rsidR="00094955" w:rsidRPr="00E05368" w:rsidRDefault="00094955" w:rsidP="00420053">
      <w:pPr>
        <w:snapToGrid w:val="0"/>
        <w:jc w:val="center"/>
        <w:rPr>
          <w:rFonts w:ascii="微软雅黑" w:eastAsia="微软雅黑" w:hAnsi="微软雅黑" w:cs="微软雅黑"/>
          <w:bCs/>
          <w:color w:val="000000"/>
        </w:rPr>
      </w:pPr>
      <w:r w:rsidRPr="00E05368">
        <w:rPr>
          <w:rFonts w:ascii="微软雅黑" w:eastAsia="微软雅黑" w:hAnsi="微软雅黑" w:cs="微软雅黑" w:hint="eastAsia"/>
          <w:bCs/>
          <w:color w:val="000000"/>
        </w:rPr>
        <w:t>【</w:t>
      </w:r>
      <w:r w:rsidR="00B94C18" w:rsidRPr="00B94C18">
        <w:rPr>
          <w:rFonts w:ascii="微软雅黑" w:eastAsia="微软雅黑" w:hAnsi="微软雅黑" w:cs="微软雅黑" w:hint="eastAsia"/>
          <w:bCs/>
          <w:color w:val="000000"/>
        </w:rPr>
        <w:t>五矿信托</w:t>
      </w:r>
      <w:r w:rsidR="00B94C18" w:rsidRPr="00B94C18">
        <w:rPr>
          <w:rFonts w:ascii="微软雅黑" w:eastAsia="微软雅黑" w:hAnsi="微软雅黑" w:cs="微软雅黑"/>
          <w:bCs/>
          <w:color w:val="000000"/>
        </w:rPr>
        <w:t>-</w:t>
      </w:r>
      <w:r w:rsidR="005156A6" w:rsidRPr="005156A6">
        <w:rPr>
          <w:rFonts w:ascii="微软雅黑" w:eastAsia="微软雅黑" w:hAnsi="微软雅黑" w:cs="微软雅黑" w:hint="eastAsia"/>
          <w:bCs/>
          <w:color w:val="000000"/>
        </w:rPr>
        <w:t>信泽投资集合资金信托计划</w:t>
      </w:r>
      <w:r w:rsidR="005156A6" w:rsidRPr="005156A6">
        <w:rPr>
          <w:rFonts w:ascii="微软雅黑" w:eastAsia="微软雅黑" w:hAnsi="微软雅黑" w:cs="微软雅黑"/>
          <w:bCs/>
          <w:color w:val="000000"/>
        </w:rPr>
        <w:t>-幸福165号集合资金信托计划</w:t>
      </w:r>
      <w:r w:rsidRPr="00E05368">
        <w:rPr>
          <w:rFonts w:ascii="微软雅黑" w:eastAsia="微软雅黑" w:hAnsi="微软雅黑" w:cs="微软雅黑" w:hint="eastAsia"/>
          <w:bCs/>
          <w:color w:val="000000"/>
        </w:rPr>
        <w:t>】</w:t>
      </w:r>
    </w:p>
    <w:p w14:paraId="06166413" w14:textId="77777777" w:rsidR="00684159" w:rsidRPr="00E05368" w:rsidRDefault="00E04276" w:rsidP="00420053">
      <w:pPr>
        <w:snapToGrid w:val="0"/>
        <w:jc w:val="center"/>
        <w:rPr>
          <w:rFonts w:ascii="微软雅黑" w:eastAsia="微软雅黑" w:hAnsi="微软雅黑" w:cs="微软雅黑"/>
          <w:bCs/>
          <w:color w:val="000000"/>
        </w:rPr>
      </w:pPr>
      <w:r w:rsidRPr="00E05368">
        <w:rPr>
          <w:rFonts w:ascii="微软雅黑" w:eastAsia="微软雅黑" w:hAnsi="微软雅黑" w:cs="微软雅黑" w:hint="eastAsia"/>
          <w:bCs/>
          <w:color w:val="000000"/>
        </w:rPr>
        <w:t>可行性研究报告</w:t>
      </w:r>
    </w:p>
    <w:p w14:paraId="2409D691" w14:textId="77777777" w:rsidR="00684159" w:rsidRPr="00E05368" w:rsidRDefault="00684159" w:rsidP="00684159">
      <w:pPr>
        <w:spacing w:line="280" w:lineRule="exact"/>
        <w:jc w:val="center"/>
        <w:rPr>
          <w:rFonts w:ascii="Arial" w:eastAsia="Adobe 黑体 Std R" w:hAnsi="Arial" w:cs="Arial"/>
          <w:b/>
          <w:bCs/>
          <w:color w:val="000000"/>
          <w:spacing w:val="20"/>
        </w:rPr>
      </w:pPr>
    </w:p>
    <w:p w14:paraId="28792BDB" w14:textId="77777777" w:rsidR="00684159" w:rsidRPr="00E05368" w:rsidRDefault="00684159" w:rsidP="00684159">
      <w:pPr>
        <w:spacing w:line="280" w:lineRule="exact"/>
        <w:jc w:val="center"/>
        <w:rPr>
          <w:rFonts w:ascii="Arial" w:eastAsia="Adobe 黑体 Std R" w:hAnsi="Arial" w:cs="Arial"/>
          <w:b/>
          <w:bCs/>
          <w:color w:val="000000"/>
          <w:spacing w:val="20"/>
        </w:rPr>
      </w:pPr>
    </w:p>
    <w:p w14:paraId="4B94265B" w14:textId="77777777" w:rsidR="00684159" w:rsidRPr="00E05368" w:rsidRDefault="00684159" w:rsidP="00684159">
      <w:pPr>
        <w:spacing w:line="280" w:lineRule="exact"/>
        <w:jc w:val="center"/>
        <w:rPr>
          <w:rFonts w:ascii="Arial" w:eastAsia="Adobe 黑体 Std R" w:hAnsi="Arial" w:cs="Arial"/>
          <w:b/>
          <w:bCs/>
          <w:color w:val="000000"/>
          <w:spacing w:val="20"/>
        </w:rPr>
      </w:pPr>
    </w:p>
    <w:p w14:paraId="0D905AF0" w14:textId="05A39A3F" w:rsidR="00684159" w:rsidRPr="00E05368" w:rsidRDefault="00684159" w:rsidP="00094955">
      <w:pPr>
        <w:spacing w:line="280" w:lineRule="exact"/>
        <w:jc w:val="center"/>
        <w:rPr>
          <w:rFonts w:ascii="Arial" w:eastAsia="Adobe 黑体 Std R" w:hAnsi="Arial" w:cs="Arial"/>
          <w:bCs/>
          <w:snapToGrid w:val="0"/>
        </w:rPr>
      </w:pPr>
      <w:proofErr w:type="gramStart"/>
      <w:r w:rsidRPr="0028122D">
        <w:rPr>
          <w:rFonts w:ascii="Arial" w:eastAsia="Adobe 黑体 Std R" w:hAnsi="Arial" w:cs="Arial"/>
          <w:bCs/>
          <w:snapToGrid w:val="0"/>
        </w:rPr>
        <w:t>康正评</w:t>
      </w:r>
      <w:proofErr w:type="gramEnd"/>
      <w:r w:rsidRPr="0028122D">
        <w:rPr>
          <w:rFonts w:ascii="Arial" w:eastAsia="Adobe 黑体 Std R" w:hAnsi="Arial" w:cs="Arial"/>
          <w:bCs/>
          <w:snapToGrid w:val="0"/>
        </w:rPr>
        <w:t>字</w:t>
      </w:r>
      <w:r w:rsidR="0028122D" w:rsidRPr="0028122D">
        <w:rPr>
          <w:rFonts w:ascii="Arial" w:eastAsia="Adobe 黑体 Std R" w:hAnsi="Arial" w:cs="Arial"/>
          <w:bCs/>
          <w:snapToGrid w:val="0"/>
        </w:rPr>
        <w:t>2021-1-0</w:t>
      </w:r>
      <w:r w:rsidR="0028122D" w:rsidRPr="0028122D">
        <w:rPr>
          <w:rFonts w:ascii="Arial" w:eastAsia="Adobe 黑体 Std R" w:hAnsi="Arial" w:cs="Arial" w:hint="eastAsia"/>
          <w:bCs/>
          <w:snapToGrid w:val="0"/>
        </w:rPr>
        <w:t>352</w:t>
      </w:r>
      <w:r w:rsidR="00B94C18" w:rsidRPr="0028122D">
        <w:rPr>
          <w:rFonts w:ascii="Arial" w:eastAsia="Adobe 黑体 Std R" w:hAnsi="Arial" w:cs="Arial"/>
          <w:bCs/>
          <w:snapToGrid w:val="0"/>
        </w:rPr>
        <w:t>-F01KXYJ1</w:t>
      </w:r>
      <w:r w:rsidRPr="0028122D">
        <w:rPr>
          <w:rFonts w:ascii="Arial" w:eastAsia="Adobe 黑体 Std R" w:hAnsi="Arial" w:cs="Arial"/>
          <w:bCs/>
          <w:snapToGrid w:val="0"/>
        </w:rPr>
        <w:t>号</w:t>
      </w:r>
    </w:p>
    <w:p w14:paraId="75FD4F8C" w14:textId="77777777" w:rsidR="00684159" w:rsidRPr="00301706" w:rsidRDefault="00684159" w:rsidP="00684159">
      <w:pPr>
        <w:spacing w:line="280" w:lineRule="exact"/>
        <w:jc w:val="center"/>
        <w:rPr>
          <w:rFonts w:ascii="Arial" w:eastAsia="Adobe 黑体 Std R" w:hAnsi="Arial" w:cs="Arial"/>
          <w:b/>
          <w:bCs/>
          <w:snapToGrid w:val="0"/>
        </w:rPr>
      </w:pPr>
    </w:p>
    <w:p w14:paraId="11E1AE11" w14:textId="77777777" w:rsidR="00684159" w:rsidRPr="00E05368" w:rsidRDefault="00684159" w:rsidP="00684159">
      <w:pPr>
        <w:spacing w:line="280" w:lineRule="exact"/>
        <w:jc w:val="center"/>
        <w:rPr>
          <w:rFonts w:ascii="Arial" w:eastAsia="Adobe 黑体 Std R" w:hAnsi="Arial" w:cs="Arial"/>
          <w:b/>
          <w:bCs/>
          <w:snapToGrid w:val="0"/>
        </w:rPr>
      </w:pPr>
    </w:p>
    <w:p w14:paraId="19DF6D90" w14:textId="77777777" w:rsidR="00684159" w:rsidRPr="00E05368" w:rsidRDefault="00684159" w:rsidP="00684159">
      <w:pPr>
        <w:spacing w:line="280" w:lineRule="exact"/>
        <w:jc w:val="center"/>
        <w:rPr>
          <w:rFonts w:ascii="Arial" w:eastAsia="Adobe 黑体 Std R" w:hAnsi="Arial" w:cs="Arial"/>
          <w:b/>
          <w:bCs/>
          <w:snapToGrid w:val="0"/>
        </w:rPr>
      </w:pPr>
    </w:p>
    <w:p w14:paraId="2B7AE74F" w14:textId="77777777" w:rsidR="00684159" w:rsidRPr="00E05368" w:rsidRDefault="00684159" w:rsidP="00684159">
      <w:pPr>
        <w:spacing w:line="280" w:lineRule="exact"/>
        <w:jc w:val="center"/>
        <w:rPr>
          <w:rFonts w:ascii="Arial" w:eastAsia="Adobe 黑体 Std R" w:hAnsi="Arial" w:cs="Arial"/>
        </w:rPr>
      </w:pPr>
      <w:proofErr w:type="gramStart"/>
      <w:r w:rsidRPr="00E05368">
        <w:rPr>
          <w:rFonts w:ascii="Arial" w:eastAsia="Adobe 黑体 Std R" w:hAnsi="Arial" w:cs="Arial"/>
        </w:rPr>
        <w:t>北京康正宏</w:t>
      </w:r>
      <w:proofErr w:type="gramEnd"/>
      <w:r w:rsidRPr="00E05368">
        <w:rPr>
          <w:rFonts w:ascii="Arial" w:eastAsia="Adobe 黑体 Std R" w:hAnsi="Arial" w:cs="Arial"/>
        </w:rPr>
        <w:t>基房地产评估有限公司</w:t>
      </w:r>
    </w:p>
    <w:p w14:paraId="25088BCE" w14:textId="77777777" w:rsidR="00684159" w:rsidRPr="00E05368" w:rsidRDefault="00684159" w:rsidP="00684159">
      <w:pPr>
        <w:spacing w:line="280" w:lineRule="exact"/>
        <w:jc w:val="center"/>
        <w:rPr>
          <w:rFonts w:ascii="Arial" w:eastAsia="Adobe 黑体 Std R" w:hAnsi="Arial" w:cs="Arial"/>
        </w:rPr>
      </w:pPr>
    </w:p>
    <w:p w14:paraId="53E829F6" w14:textId="77777777" w:rsidR="00684159" w:rsidRPr="00E05368" w:rsidRDefault="00684159" w:rsidP="00684159">
      <w:pPr>
        <w:spacing w:line="280" w:lineRule="exact"/>
        <w:jc w:val="center"/>
        <w:rPr>
          <w:rFonts w:ascii="Arial" w:eastAsia="Adobe 黑体 Std R" w:hAnsi="Arial" w:cs="Arial"/>
        </w:rPr>
      </w:pPr>
    </w:p>
    <w:p w14:paraId="0C9EB131" w14:textId="77777777" w:rsidR="00684159" w:rsidRPr="00E05368" w:rsidRDefault="00684159" w:rsidP="00684159">
      <w:pPr>
        <w:spacing w:line="280" w:lineRule="exact"/>
        <w:jc w:val="center"/>
        <w:rPr>
          <w:rFonts w:ascii="Arial" w:eastAsia="Adobe 黑体 Std R" w:hAnsi="Arial" w:cs="Arial"/>
        </w:rPr>
      </w:pPr>
    </w:p>
    <w:p w14:paraId="3F004AB7" w14:textId="378AD80B" w:rsidR="00770DC3" w:rsidRPr="00E05368" w:rsidRDefault="00684159" w:rsidP="009B0B0F">
      <w:pPr>
        <w:spacing w:line="280" w:lineRule="exact"/>
        <w:jc w:val="center"/>
        <w:rPr>
          <w:rFonts w:ascii="Arial" w:eastAsia="Adobe 黑体 Std R" w:hAnsi="Arial" w:cs="Arial"/>
        </w:rPr>
      </w:pPr>
      <w:r w:rsidRPr="00E05368">
        <w:rPr>
          <w:rFonts w:ascii="Arial" w:eastAsia="Adobe 黑体 Std R" w:hAnsi="Arial" w:cs="Arial"/>
        </w:rPr>
        <w:t>20</w:t>
      </w:r>
      <w:r w:rsidR="00420053" w:rsidRPr="00E05368">
        <w:rPr>
          <w:rFonts w:ascii="Arial" w:eastAsia="Adobe 黑体 Std R" w:hAnsi="Arial" w:cs="Arial"/>
        </w:rPr>
        <w:t>2</w:t>
      </w:r>
      <w:r w:rsidR="00B94C18">
        <w:rPr>
          <w:rFonts w:ascii="Arial" w:eastAsia="Adobe 黑体 Std R" w:hAnsi="Arial" w:cs="Arial" w:hint="eastAsia"/>
        </w:rPr>
        <w:t>1</w:t>
      </w:r>
      <w:r w:rsidRPr="00E05368">
        <w:rPr>
          <w:rFonts w:ascii="Arial" w:eastAsia="Adobe 黑体 Std R" w:hAnsi="Arial" w:cs="Arial"/>
        </w:rPr>
        <w:t>年</w:t>
      </w:r>
      <w:r w:rsidR="005156A6">
        <w:rPr>
          <w:rFonts w:ascii="Arial" w:eastAsia="Adobe 黑体 Std R" w:hAnsi="Arial" w:cs="Arial" w:hint="eastAsia"/>
        </w:rPr>
        <w:t>6</w:t>
      </w:r>
      <w:r w:rsidRPr="00E05368">
        <w:rPr>
          <w:rFonts w:ascii="Arial" w:eastAsia="Adobe 黑体 Std R" w:hAnsi="Arial" w:cs="Arial"/>
        </w:rPr>
        <w:t>月</w:t>
      </w:r>
    </w:p>
    <w:p w14:paraId="3DB290C0" w14:textId="6164603B" w:rsidR="00B43603" w:rsidRDefault="00500171" w:rsidP="00EC5712">
      <w:pPr>
        <w:spacing w:before="240" w:line="312" w:lineRule="auto"/>
        <w:ind w:firstLine="600"/>
        <w:rPr>
          <w:rFonts w:ascii="Arial" w:hAnsi="Arial" w:cs="Arial"/>
          <w:color w:val="000000"/>
          <w:szCs w:val="21"/>
        </w:rPr>
      </w:pPr>
      <w:r w:rsidRPr="00E05368">
        <w:rPr>
          <w:rFonts w:ascii="Arial" w:hAnsi="Arial" w:cs="Arial"/>
          <w:color w:val="000000"/>
          <w:sz w:val="30"/>
        </w:rPr>
        <w:br w:type="page"/>
      </w:r>
    </w:p>
    <w:p w14:paraId="093F24E0" w14:textId="28B1C650" w:rsidR="00770DC3" w:rsidRPr="00E05368" w:rsidRDefault="002106D5" w:rsidP="00EC5712">
      <w:pPr>
        <w:spacing w:before="240" w:line="312" w:lineRule="auto"/>
        <w:ind w:firstLine="600"/>
        <w:rPr>
          <w:rFonts w:ascii="Arial" w:hAnsi="Arial" w:cs="Arial"/>
          <w:color w:val="000000"/>
          <w:szCs w:val="21"/>
        </w:rPr>
      </w:pPr>
      <w:proofErr w:type="gramStart"/>
      <w:r>
        <w:rPr>
          <w:rFonts w:ascii="Arial" w:hAnsi="Arial" w:cs="Arial" w:hint="eastAsia"/>
          <w:color w:val="000000"/>
          <w:szCs w:val="21"/>
        </w:rPr>
        <w:lastRenderedPageBreak/>
        <w:t>包</w:t>
      </w:r>
      <w:r w:rsidR="00770DC3" w:rsidRPr="00E05368">
        <w:rPr>
          <w:rFonts w:ascii="Arial" w:hAnsi="Arial" w:cs="Arial"/>
          <w:color w:val="000000"/>
          <w:szCs w:val="21"/>
        </w:rPr>
        <w:t>告编制</w:t>
      </w:r>
      <w:proofErr w:type="gramEnd"/>
      <w:r w:rsidR="00770DC3" w:rsidRPr="00E05368">
        <w:rPr>
          <w:rFonts w:ascii="Arial" w:hAnsi="Arial" w:cs="Arial"/>
          <w:color w:val="000000"/>
          <w:szCs w:val="21"/>
        </w:rPr>
        <w:t>单位</w:t>
      </w:r>
      <w:r w:rsidR="00770DC3" w:rsidRPr="00E05368">
        <w:rPr>
          <w:rFonts w:ascii="Arial" w:hAnsi="Arial" w:cs="Arial"/>
          <w:color w:val="000000"/>
          <w:szCs w:val="21"/>
        </w:rPr>
        <w:t>:</w:t>
      </w:r>
      <w:proofErr w:type="gramStart"/>
      <w:r w:rsidR="00770DC3" w:rsidRPr="00E05368">
        <w:rPr>
          <w:rFonts w:ascii="Arial" w:hAnsi="Arial" w:cs="Arial"/>
          <w:color w:val="000000"/>
          <w:szCs w:val="21"/>
        </w:rPr>
        <w:t>北京康正宏</w:t>
      </w:r>
      <w:proofErr w:type="gramEnd"/>
      <w:r w:rsidR="00770DC3" w:rsidRPr="00E05368">
        <w:rPr>
          <w:rFonts w:ascii="Arial" w:hAnsi="Arial" w:cs="Arial"/>
          <w:color w:val="000000"/>
          <w:szCs w:val="21"/>
        </w:rPr>
        <w:t>基房地产评估有限公司</w:t>
      </w:r>
    </w:p>
    <w:p w14:paraId="56766969" w14:textId="77777777" w:rsidR="00770DC3" w:rsidRPr="00E05368" w:rsidRDefault="00770DC3" w:rsidP="007C6E54">
      <w:pPr>
        <w:spacing w:before="240" w:line="480" w:lineRule="auto"/>
        <w:ind w:firstLine="600"/>
        <w:jc w:val="center"/>
        <w:rPr>
          <w:rFonts w:ascii="Arial" w:hAnsi="Arial" w:cs="Arial"/>
          <w:color w:val="000000"/>
          <w:szCs w:val="21"/>
        </w:rPr>
      </w:pPr>
      <w:r w:rsidRPr="00E05368">
        <w:rPr>
          <w:rFonts w:ascii="Arial" w:hAnsi="Arial" w:cs="Arial"/>
          <w:color w:val="000000"/>
          <w:szCs w:val="21"/>
        </w:rPr>
        <w:t xml:space="preserve"> </w:t>
      </w:r>
    </w:p>
    <w:p w14:paraId="17B6B84A" w14:textId="77777777" w:rsidR="00770DC3" w:rsidRPr="00E05368" w:rsidRDefault="00770DC3" w:rsidP="007C6E54">
      <w:pPr>
        <w:spacing w:before="240" w:line="480" w:lineRule="auto"/>
        <w:ind w:firstLine="600"/>
        <w:rPr>
          <w:rFonts w:ascii="Arial" w:hAnsi="Arial" w:cs="Arial"/>
          <w:color w:val="000000"/>
          <w:szCs w:val="21"/>
        </w:rPr>
      </w:pPr>
    </w:p>
    <w:p w14:paraId="57C8ABE0" w14:textId="77777777" w:rsidR="00770DC3" w:rsidRPr="00E05368" w:rsidRDefault="00770DC3" w:rsidP="007C6E54">
      <w:pPr>
        <w:spacing w:before="240" w:line="480" w:lineRule="auto"/>
        <w:ind w:firstLine="600"/>
        <w:rPr>
          <w:rFonts w:ascii="Arial" w:hAnsi="Arial" w:cs="Arial"/>
          <w:color w:val="000000"/>
          <w:szCs w:val="21"/>
        </w:rPr>
      </w:pPr>
      <w:r w:rsidRPr="00E05368">
        <w:rPr>
          <w:rFonts w:ascii="Arial" w:hAnsi="Arial" w:cs="Arial"/>
          <w:color w:val="000000"/>
          <w:szCs w:val="21"/>
        </w:rPr>
        <w:t>法人代表</w:t>
      </w:r>
      <w:r w:rsidRPr="00E05368">
        <w:rPr>
          <w:rFonts w:ascii="Arial" w:hAnsi="Arial" w:cs="Arial"/>
          <w:color w:val="000000"/>
          <w:szCs w:val="21"/>
        </w:rPr>
        <w:t xml:space="preserve">:     </w:t>
      </w:r>
      <w:r w:rsidRPr="00E05368">
        <w:rPr>
          <w:rFonts w:ascii="Arial" w:hAnsi="Arial" w:cs="Arial"/>
          <w:color w:val="000000"/>
          <w:szCs w:val="21"/>
        </w:rPr>
        <w:t>齐</w:t>
      </w:r>
      <w:r w:rsidRPr="00E05368">
        <w:rPr>
          <w:rFonts w:ascii="Arial" w:hAnsi="Arial" w:cs="Arial"/>
          <w:color w:val="000000"/>
          <w:szCs w:val="21"/>
        </w:rPr>
        <w:t xml:space="preserve">    </w:t>
      </w:r>
      <w:r w:rsidRPr="00E05368">
        <w:rPr>
          <w:rFonts w:ascii="Arial" w:hAnsi="Arial" w:cs="Arial"/>
          <w:color w:val="000000"/>
          <w:szCs w:val="21"/>
        </w:rPr>
        <w:t>宏</w:t>
      </w:r>
      <w:r w:rsidRPr="00E05368">
        <w:rPr>
          <w:rFonts w:ascii="Arial" w:hAnsi="Arial" w:cs="Arial"/>
          <w:color w:val="000000"/>
          <w:szCs w:val="21"/>
        </w:rPr>
        <w:t xml:space="preserve">       </w:t>
      </w:r>
      <w:r w:rsidRPr="00E05368">
        <w:rPr>
          <w:rFonts w:ascii="Arial" w:hAnsi="Arial" w:cs="Arial"/>
          <w:color w:val="000000"/>
          <w:szCs w:val="21"/>
        </w:rPr>
        <w:t>高级经济师</w:t>
      </w:r>
    </w:p>
    <w:p w14:paraId="487684AB" w14:textId="77777777" w:rsidR="00770DC3" w:rsidRPr="00E05368" w:rsidRDefault="00770DC3" w:rsidP="007C6E54">
      <w:pPr>
        <w:spacing w:before="240" w:line="480" w:lineRule="auto"/>
        <w:ind w:firstLine="600"/>
        <w:rPr>
          <w:rFonts w:ascii="Arial" w:hAnsi="Arial" w:cs="Arial"/>
          <w:color w:val="000000"/>
          <w:szCs w:val="21"/>
        </w:rPr>
      </w:pPr>
      <w:r w:rsidRPr="00E05368">
        <w:rPr>
          <w:rFonts w:ascii="Arial" w:hAnsi="Arial" w:cs="Arial"/>
          <w:color w:val="000000"/>
          <w:szCs w:val="21"/>
        </w:rPr>
        <w:t xml:space="preserve">                             </w:t>
      </w:r>
      <w:r w:rsidR="00233764" w:rsidRPr="00E05368">
        <w:rPr>
          <w:rFonts w:ascii="Arial" w:hAnsi="Arial" w:cs="Arial"/>
          <w:color w:val="000000"/>
          <w:szCs w:val="21"/>
        </w:rPr>
        <w:t>注册房地产估价师</w:t>
      </w:r>
    </w:p>
    <w:p w14:paraId="05CC7B3A" w14:textId="77777777" w:rsidR="00770DC3" w:rsidRPr="00E05368" w:rsidRDefault="00770DC3" w:rsidP="007C6E54">
      <w:pPr>
        <w:spacing w:before="240" w:line="480" w:lineRule="auto"/>
        <w:ind w:firstLine="600"/>
        <w:rPr>
          <w:rFonts w:ascii="Arial" w:hAnsi="Arial" w:cs="Arial"/>
          <w:color w:val="000000"/>
          <w:szCs w:val="21"/>
        </w:rPr>
      </w:pPr>
      <w:r w:rsidRPr="00E05368">
        <w:rPr>
          <w:rFonts w:ascii="Arial" w:hAnsi="Arial" w:cs="Arial"/>
          <w:color w:val="000000"/>
          <w:szCs w:val="21"/>
        </w:rPr>
        <w:t>项目负责人</w:t>
      </w:r>
      <w:r w:rsidRPr="00E05368">
        <w:rPr>
          <w:rFonts w:ascii="Arial" w:hAnsi="Arial" w:cs="Arial"/>
          <w:color w:val="000000"/>
          <w:szCs w:val="21"/>
        </w:rPr>
        <w:t xml:space="preserve">:   </w:t>
      </w:r>
      <w:r w:rsidR="002A077E" w:rsidRPr="00E05368">
        <w:rPr>
          <w:rFonts w:ascii="Arial" w:hAnsi="Arial" w:cs="Arial"/>
          <w:color w:val="000000"/>
          <w:szCs w:val="21"/>
        </w:rPr>
        <w:t>王</w:t>
      </w:r>
      <w:r w:rsidR="002A077E" w:rsidRPr="00E05368">
        <w:rPr>
          <w:rFonts w:ascii="Arial" w:hAnsi="Arial" w:cs="Arial"/>
          <w:color w:val="000000"/>
          <w:szCs w:val="21"/>
        </w:rPr>
        <w:t xml:space="preserve">    </w:t>
      </w:r>
      <w:r w:rsidR="002A077E" w:rsidRPr="00E05368">
        <w:rPr>
          <w:rFonts w:ascii="Arial" w:hAnsi="Arial" w:cs="Arial"/>
          <w:color w:val="000000"/>
          <w:szCs w:val="21"/>
        </w:rPr>
        <w:t>鹏</w:t>
      </w:r>
      <w:r w:rsidRPr="00E05368">
        <w:rPr>
          <w:rFonts w:ascii="Arial" w:hAnsi="Arial" w:cs="Arial"/>
          <w:color w:val="000000"/>
          <w:szCs w:val="21"/>
        </w:rPr>
        <w:t xml:space="preserve">       </w:t>
      </w:r>
      <w:r w:rsidR="00233764" w:rsidRPr="00E05368">
        <w:rPr>
          <w:rFonts w:ascii="Arial" w:hAnsi="Arial" w:cs="Arial"/>
          <w:color w:val="000000"/>
          <w:szCs w:val="21"/>
        </w:rPr>
        <w:t>注册房地产估价师</w:t>
      </w:r>
    </w:p>
    <w:p w14:paraId="10A01127" w14:textId="77777777" w:rsidR="00770DC3" w:rsidRPr="00E05368" w:rsidRDefault="00770DC3" w:rsidP="00B82767">
      <w:pPr>
        <w:tabs>
          <w:tab w:val="left" w:pos="2552"/>
          <w:tab w:val="left" w:pos="2835"/>
          <w:tab w:val="left" w:pos="7552"/>
        </w:tabs>
        <w:spacing w:before="240" w:line="480" w:lineRule="auto"/>
        <w:ind w:firstLine="600"/>
        <w:rPr>
          <w:rFonts w:ascii="Arial" w:hAnsi="Arial" w:cs="Arial"/>
          <w:color w:val="000000"/>
          <w:szCs w:val="21"/>
        </w:rPr>
      </w:pPr>
      <w:r w:rsidRPr="00E05368">
        <w:rPr>
          <w:rFonts w:ascii="Arial" w:hAnsi="Arial" w:cs="Arial"/>
          <w:color w:val="000000"/>
          <w:szCs w:val="21"/>
        </w:rPr>
        <w:t xml:space="preserve">                             </w:t>
      </w:r>
      <w:r w:rsidRPr="00E05368">
        <w:rPr>
          <w:rFonts w:ascii="Arial" w:hAnsi="Arial" w:cs="Arial"/>
          <w:color w:val="000000"/>
          <w:szCs w:val="21"/>
        </w:rPr>
        <w:t>注册土地估价师</w:t>
      </w:r>
    </w:p>
    <w:p w14:paraId="67BEB7AB" w14:textId="77777777" w:rsidR="00684159" w:rsidRPr="00E05368" w:rsidRDefault="00770DC3" w:rsidP="007C6E54">
      <w:pPr>
        <w:spacing w:before="240" w:line="480" w:lineRule="auto"/>
        <w:ind w:firstLine="600"/>
        <w:rPr>
          <w:rFonts w:ascii="Arial" w:hAnsi="Arial" w:cs="Arial"/>
          <w:color w:val="000000"/>
          <w:szCs w:val="21"/>
        </w:rPr>
      </w:pPr>
      <w:r w:rsidRPr="00E05368">
        <w:rPr>
          <w:rFonts w:ascii="Arial" w:hAnsi="Arial" w:cs="Arial"/>
          <w:color w:val="000000"/>
          <w:szCs w:val="21"/>
        </w:rPr>
        <w:t>项目参加人员</w:t>
      </w:r>
      <w:r w:rsidRPr="00E05368">
        <w:rPr>
          <w:rFonts w:ascii="Arial" w:hAnsi="Arial" w:cs="Arial"/>
          <w:color w:val="000000"/>
          <w:szCs w:val="21"/>
        </w:rPr>
        <w:t xml:space="preserve">: </w:t>
      </w:r>
      <w:r w:rsidR="00B42880" w:rsidRPr="00E05368">
        <w:rPr>
          <w:rFonts w:ascii="Arial" w:hAnsi="Arial" w:cs="Arial"/>
          <w:color w:val="000000"/>
          <w:szCs w:val="21"/>
        </w:rPr>
        <w:t>郑</w:t>
      </w:r>
      <w:r w:rsidR="00B42880" w:rsidRPr="00E05368">
        <w:rPr>
          <w:rFonts w:ascii="Arial" w:hAnsi="Arial" w:cs="Arial"/>
          <w:color w:val="000000"/>
          <w:szCs w:val="21"/>
        </w:rPr>
        <w:t xml:space="preserve">    </w:t>
      </w:r>
      <w:r w:rsidR="00B42880" w:rsidRPr="00E05368">
        <w:rPr>
          <w:rFonts w:ascii="Arial" w:hAnsi="Arial" w:cs="Arial"/>
          <w:color w:val="000000"/>
          <w:szCs w:val="21"/>
        </w:rPr>
        <w:t>燚</w:t>
      </w:r>
      <w:r w:rsidR="00684159" w:rsidRPr="00E05368">
        <w:rPr>
          <w:rFonts w:ascii="Arial" w:hAnsi="Arial" w:cs="Arial"/>
          <w:color w:val="000000"/>
          <w:szCs w:val="21"/>
        </w:rPr>
        <w:t xml:space="preserve">       </w:t>
      </w:r>
      <w:r w:rsidR="00233764" w:rsidRPr="00E05368">
        <w:rPr>
          <w:rFonts w:ascii="Arial" w:hAnsi="Arial" w:cs="Arial"/>
          <w:color w:val="000000"/>
          <w:szCs w:val="21"/>
        </w:rPr>
        <w:t>注册房地产估价师</w:t>
      </w:r>
    </w:p>
    <w:p w14:paraId="1A99054C" w14:textId="77777777" w:rsidR="00684159" w:rsidRPr="00E05368" w:rsidRDefault="00684159" w:rsidP="007C6E54">
      <w:pPr>
        <w:spacing w:before="240" w:line="480" w:lineRule="auto"/>
        <w:ind w:firstLine="600"/>
        <w:rPr>
          <w:rFonts w:ascii="Arial" w:hAnsi="Arial" w:cs="Arial"/>
          <w:color w:val="000000"/>
          <w:szCs w:val="21"/>
        </w:rPr>
      </w:pPr>
      <w:r w:rsidRPr="00E05368">
        <w:rPr>
          <w:rFonts w:ascii="Arial" w:hAnsi="Arial" w:cs="Arial"/>
          <w:color w:val="000000"/>
          <w:szCs w:val="21"/>
        </w:rPr>
        <w:t xml:space="preserve">                             </w:t>
      </w:r>
      <w:r w:rsidRPr="00E05368">
        <w:rPr>
          <w:rFonts w:ascii="Arial" w:hAnsi="Arial" w:cs="Arial"/>
          <w:color w:val="000000"/>
          <w:szCs w:val="21"/>
        </w:rPr>
        <w:t>注册土地估价师</w:t>
      </w:r>
    </w:p>
    <w:p w14:paraId="7B6CF6D8" w14:textId="2BE9EE5E" w:rsidR="00B42880" w:rsidRPr="00E05368" w:rsidRDefault="00B42880" w:rsidP="007C6E54">
      <w:pPr>
        <w:tabs>
          <w:tab w:val="left" w:pos="3402"/>
          <w:tab w:val="left" w:pos="3544"/>
          <w:tab w:val="left" w:pos="3686"/>
        </w:tabs>
        <w:spacing w:before="240" w:line="480" w:lineRule="auto"/>
        <w:ind w:firstLine="600"/>
        <w:rPr>
          <w:rFonts w:ascii="Arial" w:hAnsi="Arial" w:cs="Arial"/>
          <w:color w:val="000000"/>
          <w:szCs w:val="21"/>
        </w:rPr>
      </w:pPr>
      <w:r w:rsidRPr="00E05368">
        <w:rPr>
          <w:rFonts w:ascii="Arial" w:hAnsi="Arial" w:cs="Arial"/>
          <w:color w:val="000000"/>
          <w:szCs w:val="21"/>
        </w:rPr>
        <w:t xml:space="preserve">              </w:t>
      </w:r>
      <w:r w:rsidR="008553DC" w:rsidRPr="00E05368">
        <w:rPr>
          <w:rFonts w:ascii="Arial" w:hAnsi="Arial" w:cs="Arial" w:hint="eastAsia"/>
          <w:color w:val="000000"/>
          <w:szCs w:val="21"/>
        </w:rPr>
        <w:t>赵</w:t>
      </w:r>
      <w:r w:rsidR="008553DC" w:rsidRPr="00E05368">
        <w:rPr>
          <w:rFonts w:ascii="Arial" w:hAnsi="Arial" w:cs="Arial"/>
          <w:color w:val="000000"/>
          <w:szCs w:val="21"/>
        </w:rPr>
        <w:t xml:space="preserve">    </w:t>
      </w:r>
      <w:proofErr w:type="gramStart"/>
      <w:r w:rsidR="008553DC" w:rsidRPr="00E05368">
        <w:rPr>
          <w:rFonts w:ascii="Arial" w:hAnsi="Arial" w:cs="Arial" w:hint="eastAsia"/>
          <w:color w:val="000000"/>
          <w:szCs w:val="21"/>
        </w:rPr>
        <w:t>雯</w:t>
      </w:r>
      <w:proofErr w:type="gramEnd"/>
      <w:r w:rsidRPr="00E05368">
        <w:rPr>
          <w:rFonts w:ascii="Arial" w:hAnsi="Arial" w:cs="Arial"/>
          <w:color w:val="000000"/>
          <w:szCs w:val="21"/>
        </w:rPr>
        <w:t xml:space="preserve">       </w:t>
      </w:r>
      <w:r w:rsidR="00AE7841" w:rsidRPr="00E05368">
        <w:rPr>
          <w:rFonts w:ascii="Arial" w:hAnsi="Arial" w:cs="Arial"/>
          <w:color w:val="000000"/>
          <w:szCs w:val="21"/>
        </w:rPr>
        <w:t>注册土地估价师</w:t>
      </w:r>
    </w:p>
    <w:p w14:paraId="1E46AC30" w14:textId="77777777" w:rsidR="00770DC3" w:rsidRPr="00E05368" w:rsidRDefault="00770DC3" w:rsidP="007C6E54">
      <w:pPr>
        <w:spacing w:line="480" w:lineRule="auto"/>
        <w:ind w:firstLineChars="180" w:firstLine="434"/>
        <w:rPr>
          <w:rFonts w:ascii="Arial" w:hAnsi="Arial" w:cs="Arial"/>
          <w:b/>
          <w:color w:val="000000"/>
          <w:szCs w:val="21"/>
        </w:rPr>
      </w:pPr>
    </w:p>
    <w:p w14:paraId="184880B0" w14:textId="2F58A696" w:rsidR="00770DC3" w:rsidRPr="00E05368" w:rsidRDefault="00EA4DBD" w:rsidP="007C6E54">
      <w:pPr>
        <w:spacing w:line="480" w:lineRule="auto"/>
        <w:ind w:firstLineChars="180" w:firstLine="432"/>
        <w:rPr>
          <w:rFonts w:ascii="Arial" w:hAnsi="Arial" w:cs="Arial"/>
          <w:color w:val="000000"/>
          <w:szCs w:val="21"/>
        </w:rPr>
      </w:pPr>
      <w:r w:rsidRPr="00E05368">
        <w:rPr>
          <w:rFonts w:ascii="Arial" w:hAnsi="Arial" w:cs="Arial"/>
          <w:color w:val="000000"/>
          <w:szCs w:val="21"/>
        </w:rPr>
        <w:t xml:space="preserve">               </w:t>
      </w:r>
      <w:proofErr w:type="gramStart"/>
      <w:r w:rsidR="009F50D6">
        <w:rPr>
          <w:rFonts w:ascii="Arial" w:hAnsi="Arial" w:cs="Arial" w:hint="eastAsia"/>
          <w:color w:val="000000"/>
          <w:szCs w:val="21"/>
        </w:rPr>
        <w:t>邢</w:t>
      </w:r>
      <w:proofErr w:type="gramEnd"/>
      <w:r w:rsidR="009F50D6">
        <w:rPr>
          <w:rFonts w:ascii="Arial" w:hAnsi="Arial" w:cs="Arial" w:hint="eastAsia"/>
          <w:color w:val="000000"/>
          <w:szCs w:val="21"/>
        </w:rPr>
        <w:t xml:space="preserve">    </w:t>
      </w:r>
      <w:proofErr w:type="gramStart"/>
      <w:r w:rsidR="009F50D6">
        <w:rPr>
          <w:rFonts w:ascii="Arial" w:hAnsi="Arial" w:cs="Arial" w:hint="eastAsia"/>
          <w:color w:val="000000"/>
          <w:szCs w:val="21"/>
        </w:rPr>
        <w:t>轲</w:t>
      </w:r>
      <w:proofErr w:type="gramEnd"/>
      <w:r w:rsidR="00F94A2D" w:rsidRPr="00E05368">
        <w:rPr>
          <w:rFonts w:ascii="Arial" w:hAnsi="Arial" w:cs="Arial" w:hint="eastAsia"/>
          <w:color w:val="000000"/>
          <w:szCs w:val="21"/>
        </w:rPr>
        <w:t xml:space="preserve">   </w:t>
      </w:r>
      <w:r w:rsidR="008553DC" w:rsidRPr="00E05368">
        <w:rPr>
          <w:rFonts w:ascii="Arial" w:hAnsi="Arial" w:cs="Arial"/>
          <w:color w:val="000000"/>
          <w:szCs w:val="21"/>
        </w:rPr>
        <w:t xml:space="preserve">   </w:t>
      </w:r>
    </w:p>
    <w:p w14:paraId="307D8BD9" w14:textId="77777777" w:rsidR="00A76C10" w:rsidRPr="00E05368" w:rsidRDefault="00A76C10" w:rsidP="007C6E54">
      <w:pPr>
        <w:spacing w:line="480" w:lineRule="auto"/>
        <w:ind w:firstLineChars="180" w:firstLine="432"/>
        <w:rPr>
          <w:rFonts w:ascii="Arial" w:hAnsi="Arial" w:cs="Arial"/>
          <w:color w:val="000000"/>
          <w:szCs w:val="21"/>
        </w:rPr>
      </w:pPr>
    </w:p>
    <w:p w14:paraId="2A90C625" w14:textId="77777777" w:rsidR="00EE6570" w:rsidRPr="00E05368" w:rsidRDefault="00EE6570" w:rsidP="007C6E54">
      <w:pPr>
        <w:spacing w:line="480" w:lineRule="auto"/>
        <w:ind w:firstLineChars="180" w:firstLine="432"/>
        <w:rPr>
          <w:rFonts w:ascii="Arial" w:hAnsi="Arial" w:cs="Arial"/>
          <w:color w:val="000000"/>
          <w:szCs w:val="21"/>
        </w:rPr>
      </w:pPr>
    </w:p>
    <w:p w14:paraId="0F0E4832" w14:textId="77777777" w:rsidR="00EE6570" w:rsidRPr="00E05368" w:rsidRDefault="00EE6570" w:rsidP="007C6E54">
      <w:pPr>
        <w:spacing w:line="480" w:lineRule="auto"/>
        <w:ind w:firstLineChars="180" w:firstLine="432"/>
        <w:rPr>
          <w:rFonts w:ascii="Arial" w:hAnsi="Arial" w:cs="Arial"/>
          <w:color w:val="000000"/>
          <w:szCs w:val="21"/>
        </w:rPr>
      </w:pPr>
    </w:p>
    <w:p w14:paraId="31F455F8" w14:textId="77777777" w:rsidR="00EE6570" w:rsidRPr="00E05368" w:rsidRDefault="00EE6570" w:rsidP="007C6E54">
      <w:pPr>
        <w:spacing w:line="480" w:lineRule="auto"/>
        <w:ind w:firstLineChars="180" w:firstLine="432"/>
        <w:rPr>
          <w:rFonts w:ascii="Arial" w:hAnsi="Arial" w:cs="Arial"/>
          <w:color w:val="000000"/>
          <w:szCs w:val="21"/>
        </w:rPr>
      </w:pPr>
    </w:p>
    <w:p w14:paraId="0592E097" w14:textId="76834AE5" w:rsidR="00770DC3" w:rsidRPr="00E05368" w:rsidRDefault="00770DC3" w:rsidP="009B0B0F">
      <w:pPr>
        <w:spacing w:line="480" w:lineRule="auto"/>
        <w:jc w:val="center"/>
        <w:rPr>
          <w:rFonts w:ascii="Arial" w:hAnsi="Arial" w:cs="Arial"/>
          <w:color w:val="000000"/>
          <w:szCs w:val="21"/>
        </w:rPr>
      </w:pPr>
      <w:r w:rsidRPr="00E05368">
        <w:rPr>
          <w:rFonts w:ascii="Arial" w:hAnsi="Arial" w:cs="Arial"/>
          <w:color w:val="000000"/>
          <w:szCs w:val="21"/>
        </w:rPr>
        <w:t>编制时间</w:t>
      </w:r>
      <w:r w:rsidR="00F646FA" w:rsidRPr="00E05368">
        <w:rPr>
          <w:rFonts w:ascii="Arial" w:hAnsi="Arial" w:cs="Arial" w:hint="eastAsia"/>
          <w:color w:val="000000"/>
          <w:szCs w:val="21"/>
        </w:rPr>
        <w:t>：</w:t>
      </w:r>
      <w:r w:rsidR="005156A6">
        <w:rPr>
          <w:rFonts w:ascii="Arial" w:hAnsi="Arial" w:cs="Arial"/>
          <w:color w:val="000000"/>
          <w:szCs w:val="21"/>
        </w:rPr>
        <w:t>202</w:t>
      </w:r>
      <w:r w:rsidR="005156A6">
        <w:rPr>
          <w:rFonts w:ascii="Arial" w:hAnsi="Arial" w:cs="Arial" w:hint="eastAsia"/>
          <w:color w:val="000000"/>
          <w:szCs w:val="21"/>
        </w:rPr>
        <w:t>1</w:t>
      </w:r>
      <w:r w:rsidR="008553DC" w:rsidRPr="00F03F57">
        <w:rPr>
          <w:rFonts w:ascii="Arial" w:hAnsi="Arial" w:cs="Arial"/>
          <w:color w:val="000000"/>
          <w:szCs w:val="21"/>
        </w:rPr>
        <w:t>年</w:t>
      </w:r>
      <w:r w:rsidR="005156A6">
        <w:rPr>
          <w:rFonts w:ascii="Arial" w:hAnsi="Arial" w:cs="Arial" w:hint="eastAsia"/>
          <w:color w:val="000000"/>
          <w:szCs w:val="21"/>
        </w:rPr>
        <w:t>6</w:t>
      </w:r>
      <w:r w:rsidR="008553DC" w:rsidRPr="00F03F57">
        <w:rPr>
          <w:rFonts w:ascii="Arial" w:hAnsi="Arial" w:cs="Arial"/>
          <w:color w:val="000000"/>
          <w:szCs w:val="21"/>
        </w:rPr>
        <w:t>月</w:t>
      </w:r>
      <w:r w:rsidR="005156A6">
        <w:rPr>
          <w:rFonts w:ascii="Arial" w:hAnsi="Arial" w:cs="Arial" w:hint="eastAsia"/>
          <w:color w:val="000000"/>
          <w:szCs w:val="21"/>
        </w:rPr>
        <w:t>7</w:t>
      </w:r>
      <w:r w:rsidR="008553DC" w:rsidRPr="00F03F57">
        <w:rPr>
          <w:rFonts w:ascii="Arial" w:hAnsi="Arial" w:cs="Arial"/>
          <w:color w:val="000000"/>
          <w:szCs w:val="21"/>
        </w:rPr>
        <w:t>日</w:t>
      </w:r>
      <w:r w:rsidRPr="0025235A">
        <w:rPr>
          <w:rFonts w:ascii="Arial" w:hAnsi="Arial" w:cs="Arial"/>
          <w:color w:val="000000"/>
          <w:szCs w:val="21"/>
        </w:rPr>
        <w:t>至</w:t>
      </w:r>
      <w:r w:rsidR="00C076B9" w:rsidRPr="0025235A">
        <w:rPr>
          <w:rFonts w:ascii="Arial" w:hAnsi="Arial" w:cs="Arial"/>
          <w:color w:val="000000"/>
          <w:szCs w:val="21"/>
        </w:rPr>
        <w:t>202</w:t>
      </w:r>
      <w:r w:rsidR="00B94C18" w:rsidRPr="0025235A">
        <w:rPr>
          <w:rFonts w:ascii="Arial" w:hAnsi="Arial" w:cs="Arial" w:hint="eastAsia"/>
          <w:color w:val="000000"/>
          <w:szCs w:val="21"/>
        </w:rPr>
        <w:t>1</w:t>
      </w:r>
      <w:r w:rsidR="00C076B9" w:rsidRPr="0025235A">
        <w:rPr>
          <w:rFonts w:ascii="Arial" w:hAnsi="Arial" w:cs="Arial"/>
          <w:color w:val="000000"/>
          <w:szCs w:val="21"/>
        </w:rPr>
        <w:t>年</w:t>
      </w:r>
      <w:r w:rsidR="005156A6" w:rsidRPr="0025235A">
        <w:rPr>
          <w:rFonts w:ascii="Arial" w:hAnsi="Arial" w:cs="Arial" w:hint="eastAsia"/>
          <w:color w:val="000000"/>
          <w:szCs w:val="21"/>
        </w:rPr>
        <w:t>6</w:t>
      </w:r>
      <w:r w:rsidR="00C076B9" w:rsidRPr="0025235A">
        <w:rPr>
          <w:rFonts w:ascii="Arial" w:hAnsi="Arial" w:cs="Arial"/>
          <w:color w:val="000000"/>
          <w:szCs w:val="21"/>
        </w:rPr>
        <w:t>月</w:t>
      </w:r>
      <w:r w:rsidR="0025235A" w:rsidRPr="0025235A">
        <w:rPr>
          <w:rFonts w:ascii="Arial" w:hAnsi="Arial" w:cs="Arial" w:hint="eastAsia"/>
          <w:color w:val="000000"/>
          <w:szCs w:val="21"/>
        </w:rPr>
        <w:t>15</w:t>
      </w:r>
      <w:r w:rsidR="00C076B9" w:rsidRPr="0025235A">
        <w:rPr>
          <w:rFonts w:ascii="Arial" w:hAnsi="Arial" w:cs="Arial"/>
          <w:color w:val="000000"/>
          <w:szCs w:val="21"/>
        </w:rPr>
        <w:t>日</w:t>
      </w:r>
    </w:p>
    <w:p w14:paraId="6EBEBDFF" w14:textId="77777777" w:rsidR="009B0B0F" w:rsidRPr="005F7BA5" w:rsidRDefault="009B0B0F" w:rsidP="009B0B0F">
      <w:pPr>
        <w:pStyle w:val="10"/>
        <w:sectPr w:rsidR="009B0B0F" w:rsidRPr="005F7BA5" w:rsidSect="009B0B0F">
          <w:headerReference w:type="even" r:id="rId9"/>
          <w:headerReference w:type="default" r:id="rId10"/>
          <w:footerReference w:type="default" r:id="rId11"/>
          <w:headerReference w:type="first" r:id="rId12"/>
          <w:footerReference w:type="first" r:id="rId13"/>
          <w:type w:val="continuous"/>
          <w:pgSz w:w="11906" w:h="16838" w:code="9"/>
          <w:pgMar w:top="1843" w:right="1304" w:bottom="1134" w:left="1304" w:header="1134" w:footer="907" w:gutter="0"/>
          <w:cols w:space="425"/>
          <w:titlePg/>
          <w:docGrid w:linePitch="312"/>
        </w:sectPr>
      </w:pPr>
      <w:bookmarkStart w:id="0" w:name="_Toc118196874"/>
      <w:bookmarkStart w:id="1" w:name="_Toc118196995"/>
      <w:bookmarkStart w:id="2" w:name="_Toc118513505"/>
      <w:bookmarkStart w:id="3" w:name="_Toc118794435"/>
    </w:p>
    <w:bookmarkEnd w:id="0"/>
    <w:bookmarkEnd w:id="1"/>
    <w:bookmarkEnd w:id="2"/>
    <w:bookmarkEnd w:id="3"/>
    <w:p w14:paraId="190C6337" w14:textId="77777777" w:rsidR="00337064" w:rsidRDefault="00337064" w:rsidP="00337064">
      <w:pPr>
        <w:pStyle w:val="10"/>
      </w:pPr>
      <w:r w:rsidRPr="002B533B">
        <w:lastRenderedPageBreak/>
        <w:t>目</w:t>
      </w:r>
      <w:r w:rsidRPr="002B533B">
        <w:t xml:space="preserve">  </w:t>
      </w:r>
      <w:r w:rsidRPr="002B533B">
        <w:t>录</w:t>
      </w:r>
      <w:r w:rsidRPr="002B533B">
        <w:fldChar w:fldCharType="begin"/>
      </w:r>
      <w:r w:rsidRPr="002B533B">
        <w:instrText xml:space="preserve"> TOC \o "1-3" \h \z </w:instrText>
      </w:r>
      <w:r w:rsidRPr="002B533B">
        <w:fldChar w:fldCharType="separate"/>
      </w:r>
    </w:p>
    <w:p w14:paraId="0B46FAD1" w14:textId="77777777" w:rsidR="00337064" w:rsidRPr="00337064" w:rsidRDefault="00337064">
      <w:pPr>
        <w:pStyle w:val="10"/>
        <w:rPr>
          <w:rStyle w:val="a7"/>
          <w:rFonts w:eastAsia="方正黑体简体"/>
        </w:rPr>
      </w:pPr>
      <w:hyperlink w:anchor="_Toc74662878" w:history="1">
        <w:r w:rsidRPr="00156CE0">
          <w:rPr>
            <w:rStyle w:val="a7"/>
            <w:rFonts w:eastAsia="方正黑体简体" w:hint="eastAsia"/>
          </w:rPr>
          <w:t>〔内容提要〕</w:t>
        </w:r>
        <w:r w:rsidRPr="00337064">
          <w:rPr>
            <w:rStyle w:val="a7"/>
            <w:rFonts w:eastAsia="方正黑体简体"/>
            <w:webHidden/>
          </w:rPr>
          <w:tab/>
        </w:r>
        <w:r w:rsidRPr="00337064">
          <w:rPr>
            <w:rStyle w:val="a7"/>
            <w:rFonts w:eastAsia="方正黑体简体"/>
            <w:webHidden/>
          </w:rPr>
          <w:fldChar w:fldCharType="begin"/>
        </w:r>
        <w:r w:rsidRPr="00337064">
          <w:rPr>
            <w:rStyle w:val="a7"/>
            <w:rFonts w:eastAsia="方正黑体简体"/>
            <w:webHidden/>
          </w:rPr>
          <w:instrText xml:space="preserve"> PAGEREF _Toc74662878 \h </w:instrText>
        </w:r>
        <w:r w:rsidRPr="00337064">
          <w:rPr>
            <w:rStyle w:val="a7"/>
            <w:rFonts w:eastAsia="方正黑体简体"/>
            <w:webHidden/>
          </w:rPr>
        </w:r>
        <w:r w:rsidRPr="00337064">
          <w:rPr>
            <w:rStyle w:val="a7"/>
            <w:rFonts w:eastAsia="方正黑体简体"/>
            <w:webHidden/>
          </w:rPr>
          <w:fldChar w:fldCharType="separate"/>
        </w:r>
        <w:r w:rsidR="00FA1E1B">
          <w:rPr>
            <w:rStyle w:val="a7"/>
            <w:rFonts w:eastAsia="方正黑体简体"/>
            <w:webHidden/>
          </w:rPr>
          <w:t>1</w:t>
        </w:r>
        <w:r w:rsidRPr="00337064">
          <w:rPr>
            <w:rStyle w:val="a7"/>
            <w:rFonts w:eastAsia="方正黑体简体"/>
            <w:webHidden/>
          </w:rPr>
          <w:fldChar w:fldCharType="end"/>
        </w:r>
      </w:hyperlink>
    </w:p>
    <w:p w14:paraId="3D10E27E" w14:textId="77777777" w:rsidR="00337064" w:rsidRDefault="00337064">
      <w:pPr>
        <w:pStyle w:val="10"/>
        <w:rPr>
          <w:rFonts w:asciiTheme="minorHAnsi" w:eastAsiaTheme="minorEastAsia" w:hAnsiTheme="minorHAnsi" w:cstheme="minorBidi"/>
          <w:b w:val="0"/>
          <w:bCs w:val="0"/>
          <w:caps w:val="0"/>
          <w:kern w:val="2"/>
          <w:sz w:val="21"/>
          <w:szCs w:val="22"/>
        </w:rPr>
      </w:pPr>
      <w:hyperlink w:anchor="_Toc74662879" w:history="1">
        <w:r w:rsidRPr="00156CE0">
          <w:rPr>
            <w:rStyle w:val="a7"/>
            <w:rFonts w:eastAsia="方正黑体简体" w:hint="eastAsia"/>
          </w:rPr>
          <w:t>第一章</w:t>
        </w:r>
        <w:r w:rsidRPr="00156CE0">
          <w:rPr>
            <w:rStyle w:val="a7"/>
            <w:rFonts w:eastAsia="方正黑体简体"/>
          </w:rPr>
          <w:t xml:space="preserve">  </w:t>
        </w:r>
        <w:r w:rsidRPr="00156CE0">
          <w:rPr>
            <w:rStyle w:val="a7"/>
            <w:rFonts w:eastAsia="方正黑体简体" w:hint="eastAsia"/>
          </w:rPr>
          <w:t>可行性研究说明</w:t>
        </w:r>
        <w:r w:rsidRPr="00337064">
          <w:rPr>
            <w:rStyle w:val="a7"/>
            <w:rFonts w:eastAsia="方正黑体简体"/>
            <w:webHidden/>
          </w:rPr>
          <w:tab/>
        </w:r>
        <w:r w:rsidRPr="00337064">
          <w:rPr>
            <w:rStyle w:val="a7"/>
            <w:rFonts w:eastAsia="方正黑体简体"/>
            <w:webHidden/>
          </w:rPr>
          <w:fldChar w:fldCharType="begin"/>
        </w:r>
        <w:r w:rsidRPr="00337064">
          <w:rPr>
            <w:rStyle w:val="a7"/>
            <w:rFonts w:eastAsia="方正黑体简体"/>
            <w:webHidden/>
          </w:rPr>
          <w:instrText xml:space="preserve"> PAGEREF _Toc74662879 \h </w:instrText>
        </w:r>
        <w:r w:rsidRPr="00337064">
          <w:rPr>
            <w:rStyle w:val="a7"/>
            <w:rFonts w:eastAsia="方正黑体简体"/>
            <w:webHidden/>
          </w:rPr>
        </w:r>
        <w:r w:rsidRPr="00337064">
          <w:rPr>
            <w:rStyle w:val="a7"/>
            <w:rFonts w:eastAsia="方正黑体简体"/>
            <w:webHidden/>
          </w:rPr>
          <w:fldChar w:fldCharType="separate"/>
        </w:r>
        <w:r w:rsidR="00FA1E1B">
          <w:rPr>
            <w:rStyle w:val="a7"/>
            <w:rFonts w:eastAsia="方正黑体简体"/>
            <w:webHidden/>
          </w:rPr>
          <w:t>3</w:t>
        </w:r>
        <w:r w:rsidRPr="00337064">
          <w:rPr>
            <w:rStyle w:val="a7"/>
            <w:rFonts w:eastAsia="方正黑体简体"/>
            <w:webHidden/>
          </w:rPr>
          <w:fldChar w:fldCharType="end"/>
        </w:r>
      </w:hyperlink>
    </w:p>
    <w:p w14:paraId="4BCDC8F3" w14:textId="77777777" w:rsidR="00337064" w:rsidRPr="00337064" w:rsidRDefault="00337064">
      <w:pPr>
        <w:pStyle w:val="20"/>
        <w:rPr>
          <w:rStyle w:val="a7"/>
          <w:rFonts w:ascii="Arial" w:eastAsia="宋体" w:hAnsi="Arial" w:cs="Arial"/>
        </w:rPr>
      </w:pPr>
      <w:hyperlink w:anchor="_Toc74662880" w:history="1">
        <w:r w:rsidRPr="00337064">
          <w:rPr>
            <w:rStyle w:val="a7"/>
            <w:rFonts w:ascii="Arial" w:eastAsia="宋体" w:hAnsi="Arial" w:cs="Arial" w:hint="eastAsia"/>
          </w:rPr>
          <w:t>一、委托单位</w:t>
        </w:r>
        <w:r w:rsidRPr="00337064">
          <w:rPr>
            <w:rStyle w:val="a7"/>
            <w:rFonts w:ascii="Arial" w:eastAsia="宋体" w:hAnsi="Arial" w:cs="Arial"/>
            <w:webHidden/>
          </w:rPr>
          <w:tab/>
        </w:r>
        <w:r w:rsidRPr="00337064">
          <w:rPr>
            <w:rStyle w:val="a7"/>
            <w:rFonts w:ascii="Arial" w:eastAsia="宋体" w:hAnsi="Arial" w:cs="Arial"/>
            <w:webHidden/>
          </w:rPr>
          <w:fldChar w:fldCharType="begin"/>
        </w:r>
        <w:r w:rsidRPr="00337064">
          <w:rPr>
            <w:rStyle w:val="a7"/>
            <w:rFonts w:ascii="Arial" w:eastAsia="宋体" w:hAnsi="Arial" w:cs="Arial"/>
            <w:webHidden/>
          </w:rPr>
          <w:instrText xml:space="preserve"> PAGEREF _Toc74662880 \h </w:instrText>
        </w:r>
        <w:r w:rsidRPr="00337064">
          <w:rPr>
            <w:rStyle w:val="a7"/>
            <w:rFonts w:ascii="Arial" w:eastAsia="宋体" w:hAnsi="Arial" w:cs="Arial"/>
            <w:webHidden/>
          </w:rPr>
        </w:r>
        <w:r w:rsidRPr="00337064">
          <w:rPr>
            <w:rStyle w:val="a7"/>
            <w:rFonts w:ascii="Arial" w:eastAsia="宋体" w:hAnsi="Arial" w:cs="Arial"/>
            <w:webHidden/>
          </w:rPr>
          <w:fldChar w:fldCharType="separate"/>
        </w:r>
        <w:r w:rsidR="00FA1E1B">
          <w:rPr>
            <w:rStyle w:val="a7"/>
            <w:rFonts w:ascii="Arial" w:eastAsia="宋体" w:hAnsi="Arial" w:cs="Arial"/>
            <w:webHidden/>
          </w:rPr>
          <w:t>3</w:t>
        </w:r>
        <w:r w:rsidRPr="00337064">
          <w:rPr>
            <w:rStyle w:val="a7"/>
            <w:rFonts w:ascii="Arial" w:eastAsia="宋体" w:hAnsi="Arial" w:cs="Arial"/>
            <w:webHidden/>
          </w:rPr>
          <w:fldChar w:fldCharType="end"/>
        </w:r>
      </w:hyperlink>
    </w:p>
    <w:p w14:paraId="30A2EF90" w14:textId="77777777" w:rsidR="00337064" w:rsidRPr="00337064" w:rsidRDefault="00337064">
      <w:pPr>
        <w:pStyle w:val="20"/>
        <w:rPr>
          <w:rStyle w:val="a7"/>
          <w:rFonts w:ascii="Arial" w:eastAsia="宋体" w:hAnsi="Arial" w:cs="Arial"/>
        </w:rPr>
      </w:pPr>
      <w:hyperlink w:anchor="_Toc74662881" w:history="1">
        <w:r w:rsidRPr="00337064">
          <w:rPr>
            <w:rStyle w:val="a7"/>
            <w:rFonts w:ascii="Arial" w:eastAsia="宋体" w:hAnsi="Arial" w:cs="Arial" w:hint="eastAsia"/>
          </w:rPr>
          <w:t>二、编制单位</w:t>
        </w:r>
        <w:r w:rsidRPr="00337064">
          <w:rPr>
            <w:rStyle w:val="a7"/>
            <w:rFonts w:ascii="Arial" w:eastAsia="宋体" w:hAnsi="Arial" w:cs="Arial"/>
            <w:webHidden/>
          </w:rPr>
          <w:tab/>
        </w:r>
        <w:r w:rsidRPr="00337064">
          <w:rPr>
            <w:rStyle w:val="a7"/>
            <w:rFonts w:ascii="Arial" w:eastAsia="宋体" w:hAnsi="Arial" w:cs="Arial"/>
            <w:webHidden/>
          </w:rPr>
          <w:fldChar w:fldCharType="begin"/>
        </w:r>
        <w:r w:rsidRPr="00337064">
          <w:rPr>
            <w:rStyle w:val="a7"/>
            <w:rFonts w:ascii="Arial" w:eastAsia="宋体" w:hAnsi="Arial" w:cs="Arial"/>
            <w:webHidden/>
          </w:rPr>
          <w:instrText xml:space="preserve"> PAGEREF _Toc74662881 \h </w:instrText>
        </w:r>
        <w:r w:rsidRPr="00337064">
          <w:rPr>
            <w:rStyle w:val="a7"/>
            <w:rFonts w:ascii="Arial" w:eastAsia="宋体" w:hAnsi="Arial" w:cs="Arial"/>
            <w:webHidden/>
          </w:rPr>
        </w:r>
        <w:r w:rsidRPr="00337064">
          <w:rPr>
            <w:rStyle w:val="a7"/>
            <w:rFonts w:ascii="Arial" w:eastAsia="宋体" w:hAnsi="Arial" w:cs="Arial"/>
            <w:webHidden/>
          </w:rPr>
          <w:fldChar w:fldCharType="separate"/>
        </w:r>
        <w:r w:rsidR="00FA1E1B">
          <w:rPr>
            <w:rStyle w:val="a7"/>
            <w:rFonts w:ascii="Arial" w:eastAsia="宋体" w:hAnsi="Arial" w:cs="Arial"/>
            <w:webHidden/>
          </w:rPr>
          <w:t>3</w:t>
        </w:r>
        <w:r w:rsidRPr="00337064">
          <w:rPr>
            <w:rStyle w:val="a7"/>
            <w:rFonts w:ascii="Arial" w:eastAsia="宋体" w:hAnsi="Arial" w:cs="Arial"/>
            <w:webHidden/>
          </w:rPr>
          <w:fldChar w:fldCharType="end"/>
        </w:r>
      </w:hyperlink>
    </w:p>
    <w:p w14:paraId="75CD469E" w14:textId="77777777" w:rsidR="00337064" w:rsidRPr="00337064" w:rsidRDefault="00337064">
      <w:pPr>
        <w:pStyle w:val="20"/>
        <w:rPr>
          <w:rStyle w:val="a7"/>
          <w:rFonts w:ascii="Arial" w:eastAsia="宋体" w:hAnsi="Arial" w:cs="Arial"/>
        </w:rPr>
      </w:pPr>
      <w:hyperlink w:anchor="_Toc74662882" w:history="1">
        <w:r w:rsidRPr="00337064">
          <w:rPr>
            <w:rStyle w:val="a7"/>
            <w:rFonts w:ascii="Arial" w:eastAsia="宋体" w:hAnsi="Arial" w:cs="Arial" w:hint="eastAsia"/>
          </w:rPr>
          <w:t>三、编制目的</w:t>
        </w:r>
        <w:r w:rsidRPr="00337064">
          <w:rPr>
            <w:rStyle w:val="a7"/>
            <w:rFonts w:ascii="Arial" w:eastAsia="宋体" w:hAnsi="Arial" w:cs="Arial"/>
            <w:webHidden/>
          </w:rPr>
          <w:tab/>
        </w:r>
        <w:r w:rsidRPr="00337064">
          <w:rPr>
            <w:rStyle w:val="a7"/>
            <w:rFonts w:ascii="Arial" w:eastAsia="宋体" w:hAnsi="Arial" w:cs="Arial"/>
            <w:webHidden/>
          </w:rPr>
          <w:fldChar w:fldCharType="begin"/>
        </w:r>
        <w:r w:rsidRPr="00337064">
          <w:rPr>
            <w:rStyle w:val="a7"/>
            <w:rFonts w:ascii="Arial" w:eastAsia="宋体" w:hAnsi="Arial" w:cs="Arial"/>
            <w:webHidden/>
          </w:rPr>
          <w:instrText xml:space="preserve"> PAGEREF _Toc74662882 \h </w:instrText>
        </w:r>
        <w:r w:rsidRPr="00337064">
          <w:rPr>
            <w:rStyle w:val="a7"/>
            <w:rFonts w:ascii="Arial" w:eastAsia="宋体" w:hAnsi="Arial" w:cs="Arial"/>
            <w:webHidden/>
          </w:rPr>
        </w:r>
        <w:r w:rsidRPr="00337064">
          <w:rPr>
            <w:rStyle w:val="a7"/>
            <w:rFonts w:ascii="Arial" w:eastAsia="宋体" w:hAnsi="Arial" w:cs="Arial"/>
            <w:webHidden/>
          </w:rPr>
          <w:fldChar w:fldCharType="separate"/>
        </w:r>
        <w:r w:rsidR="00FA1E1B">
          <w:rPr>
            <w:rStyle w:val="a7"/>
            <w:rFonts w:ascii="Arial" w:eastAsia="宋体" w:hAnsi="Arial" w:cs="Arial"/>
            <w:webHidden/>
          </w:rPr>
          <w:t>3</w:t>
        </w:r>
        <w:r w:rsidRPr="00337064">
          <w:rPr>
            <w:rStyle w:val="a7"/>
            <w:rFonts w:ascii="Arial" w:eastAsia="宋体" w:hAnsi="Arial" w:cs="Arial"/>
            <w:webHidden/>
          </w:rPr>
          <w:fldChar w:fldCharType="end"/>
        </w:r>
      </w:hyperlink>
    </w:p>
    <w:p w14:paraId="5F1B1D66" w14:textId="77777777" w:rsidR="00337064" w:rsidRPr="00337064" w:rsidRDefault="00337064">
      <w:pPr>
        <w:pStyle w:val="20"/>
        <w:rPr>
          <w:rStyle w:val="a7"/>
          <w:rFonts w:ascii="Arial" w:eastAsia="宋体" w:hAnsi="Arial" w:cs="Arial"/>
        </w:rPr>
      </w:pPr>
      <w:hyperlink w:anchor="_Toc74662883" w:history="1">
        <w:r w:rsidRPr="00337064">
          <w:rPr>
            <w:rStyle w:val="a7"/>
            <w:rFonts w:ascii="Arial" w:eastAsia="宋体" w:hAnsi="Arial" w:cs="Arial" w:hint="eastAsia"/>
          </w:rPr>
          <w:t>四、可行性研究的主要内容</w:t>
        </w:r>
        <w:r w:rsidRPr="00337064">
          <w:rPr>
            <w:rStyle w:val="a7"/>
            <w:rFonts w:ascii="Arial" w:eastAsia="宋体" w:hAnsi="Arial" w:cs="Arial"/>
            <w:webHidden/>
          </w:rPr>
          <w:tab/>
        </w:r>
        <w:r w:rsidRPr="00337064">
          <w:rPr>
            <w:rStyle w:val="a7"/>
            <w:rFonts w:ascii="Arial" w:eastAsia="宋体" w:hAnsi="Arial" w:cs="Arial"/>
            <w:webHidden/>
          </w:rPr>
          <w:fldChar w:fldCharType="begin"/>
        </w:r>
        <w:r w:rsidRPr="00337064">
          <w:rPr>
            <w:rStyle w:val="a7"/>
            <w:rFonts w:ascii="Arial" w:eastAsia="宋体" w:hAnsi="Arial" w:cs="Arial"/>
            <w:webHidden/>
          </w:rPr>
          <w:instrText xml:space="preserve"> PAGEREF _Toc74662883 \h </w:instrText>
        </w:r>
        <w:r w:rsidRPr="00337064">
          <w:rPr>
            <w:rStyle w:val="a7"/>
            <w:rFonts w:ascii="Arial" w:eastAsia="宋体" w:hAnsi="Arial" w:cs="Arial"/>
            <w:webHidden/>
          </w:rPr>
        </w:r>
        <w:r w:rsidRPr="00337064">
          <w:rPr>
            <w:rStyle w:val="a7"/>
            <w:rFonts w:ascii="Arial" w:eastAsia="宋体" w:hAnsi="Arial" w:cs="Arial"/>
            <w:webHidden/>
          </w:rPr>
          <w:fldChar w:fldCharType="separate"/>
        </w:r>
        <w:r w:rsidR="00FA1E1B">
          <w:rPr>
            <w:rStyle w:val="a7"/>
            <w:rFonts w:ascii="Arial" w:eastAsia="宋体" w:hAnsi="Arial" w:cs="Arial"/>
            <w:webHidden/>
          </w:rPr>
          <w:t>3</w:t>
        </w:r>
        <w:r w:rsidRPr="00337064">
          <w:rPr>
            <w:rStyle w:val="a7"/>
            <w:rFonts w:ascii="Arial" w:eastAsia="宋体" w:hAnsi="Arial" w:cs="Arial"/>
            <w:webHidden/>
          </w:rPr>
          <w:fldChar w:fldCharType="end"/>
        </w:r>
      </w:hyperlink>
    </w:p>
    <w:p w14:paraId="2E43B197" w14:textId="77777777" w:rsidR="00337064" w:rsidRPr="00337064" w:rsidRDefault="00337064">
      <w:pPr>
        <w:pStyle w:val="20"/>
        <w:rPr>
          <w:rStyle w:val="a7"/>
          <w:rFonts w:ascii="Arial" w:eastAsia="宋体" w:hAnsi="Arial" w:cs="Arial"/>
        </w:rPr>
      </w:pPr>
      <w:hyperlink w:anchor="_Toc74662884" w:history="1">
        <w:r w:rsidRPr="00337064">
          <w:rPr>
            <w:rStyle w:val="a7"/>
            <w:rFonts w:ascii="Arial" w:eastAsia="宋体" w:hAnsi="Arial" w:cs="Arial" w:hint="eastAsia"/>
          </w:rPr>
          <w:t>五、编制日期</w:t>
        </w:r>
        <w:r w:rsidRPr="00337064">
          <w:rPr>
            <w:rStyle w:val="a7"/>
            <w:rFonts w:ascii="Arial" w:eastAsia="宋体" w:hAnsi="Arial" w:cs="Arial"/>
            <w:webHidden/>
          </w:rPr>
          <w:tab/>
        </w:r>
        <w:r w:rsidRPr="00337064">
          <w:rPr>
            <w:rStyle w:val="a7"/>
            <w:rFonts w:ascii="Arial" w:eastAsia="宋体" w:hAnsi="Arial" w:cs="Arial"/>
            <w:webHidden/>
          </w:rPr>
          <w:fldChar w:fldCharType="begin"/>
        </w:r>
        <w:r w:rsidRPr="00337064">
          <w:rPr>
            <w:rStyle w:val="a7"/>
            <w:rFonts w:ascii="Arial" w:eastAsia="宋体" w:hAnsi="Arial" w:cs="Arial"/>
            <w:webHidden/>
          </w:rPr>
          <w:instrText xml:space="preserve"> PAGEREF _Toc74662884 \h </w:instrText>
        </w:r>
        <w:r w:rsidRPr="00337064">
          <w:rPr>
            <w:rStyle w:val="a7"/>
            <w:rFonts w:ascii="Arial" w:eastAsia="宋体" w:hAnsi="Arial" w:cs="Arial"/>
            <w:webHidden/>
          </w:rPr>
        </w:r>
        <w:r w:rsidRPr="00337064">
          <w:rPr>
            <w:rStyle w:val="a7"/>
            <w:rFonts w:ascii="Arial" w:eastAsia="宋体" w:hAnsi="Arial" w:cs="Arial"/>
            <w:webHidden/>
          </w:rPr>
          <w:fldChar w:fldCharType="separate"/>
        </w:r>
        <w:r w:rsidR="00FA1E1B">
          <w:rPr>
            <w:rStyle w:val="a7"/>
            <w:rFonts w:ascii="Arial" w:eastAsia="宋体" w:hAnsi="Arial" w:cs="Arial"/>
            <w:webHidden/>
          </w:rPr>
          <w:t>4</w:t>
        </w:r>
        <w:r w:rsidRPr="00337064">
          <w:rPr>
            <w:rStyle w:val="a7"/>
            <w:rFonts w:ascii="Arial" w:eastAsia="宋体" w:hAnsi="Arial" w:cs="Arial"/>
            <w:webHidden/>
          </w:rPr>
          <w:fldChar w:fldCharType="end"/>
        </w:r>
      </w:hyperlink>
    </w:p>
    <w:p w14:paraId="7600B808" w14:textId="77777777" w:rsidR="00337064" w:rsidRPr="00337064" w:rsidRDefault="00337064">
      <w:pPr>
        <w:pStyle w:val="20"/>
        <w:rPr>
          <w:rStyle w:val="a7"/>
          <w:rFonts w:ascii="Arial" w:eastAsia="宋体" w:hAnsi="Arial" w:cs="Arial"/>
        </w:rPr>
      </w:pPr>
      <w:hyperlink w:anchor="_Toc74662885" w:history="1">
        <w:r w:rsidRPr="00337064">
          <w:rPr>
            <w:rStyle w:val="a7"/>
            <w:rFonts w:ascii="Arial" w:eastAsia="宋体" w:hAnsi="Arial" w:cs="Arial" w:hint="eastAsia"/>
          </w:rPr>
          <w:t>六、本报告编制依据和说明</w:t>
        </w:r>
        <w:r w:rsidRPr="00337064">
          <w:rPr>
            <w:rStyle w:val="a7"/>
            <w:rFonts w:ascii="Arial" w:eastAsia="宋体" w:hAnsi="Arial" w:cs="Arial"/>
            <w:webHidden/>
          </w:rPr>
          <w:tab/>
        </w:r>
        <w:r w:rsidRPr="00337064">
          <w:rPr>
            <w:rStyle w:val="a7"/>
            <w:rFonts w:ascii="Arial" w:eastAsia="宋体" w:hAnsi="Arial" w:cs="Arial"/>
            <w:webHidden/>
          </w:rPr>
          <w:fldChar w:fldCharType="begin"/>
        </w:r>
        <w:r w:rsidRPr="00337064">
          <w:rPr>
            <w:rStyle w:val="a7"/>
            <w:rFonts w:ascii="Arial" w:eastAsia="宋体" w:hAnsi="Arial" w:cs="Arial"/>
            <w:webHidden/>
          </w:rPr>
          <w:instrText xml:space="preserve"> PAGEREF _Toc74662885 \h </w:instrText>
        </w:r>
        <w:r w:rsidRPr="00337064">
          <w:rPr>
            <w:rStyle w:val="a7"/>
            <w:rFonts w:ascii="Arial" w:eastAsia="宋体" w:hAnsi="Arial" w:cs="Arial"/>
            <w:webHidden/>
          </w:rPr>
        </w:r>
        <w:r w:rsidRPr="00337064">
          <w:rPr>
            <w:rStyle w:val="a7"/>
            <w:rFonts w:ascii="Arial" w:eastAsia="宋体" w:hAnsi="Arial" w:cs="Arial"/>
            <w:webHidden/>
          </w:rPr>
          <w:fldChar w:fldCharType="separate"/>
        </w:r>
        <w:r w:rsidR="00FA1E1B">
          <w:rPr>
            <w:rStyle w:val="a7"/>
            <w:rFonts w:ascii="Arial" w:eastAsia="宋体" w:hAnsi="Arial" w:cs="Arial"/>
            <w:webHidden/>
          </w:rPr>
          <w:t>4</w:t>
        </w:r>
        <w:r w:rsidRPr="00337064">
          <w:rPr>
            <w:rStyle w:val="a7"/>
            <w:rFonts w:ascii="Arial" w:eastAsia="宋体" w:hAnsi="Arial" w:cs="Arial"/>
            <w:webHidden/>
          </w:rPr>
          <w:fldChar w:fldCharType="end"/>
        </w:r>
      </w:hyperlink>
    </w:p>
    <w:p w14:paraId="14A1045E" w14:textId="77777777" w:rsidR="00337064" w:rsidRPr="00337064" w:rsidRDefault="00337064">
      <w:pPr>
        <w:pStyle w:val="20"/>
        <w:rPr>
          <w:rStyle w:val="a7"/>
          <w:rFonts w:ascii="Arial" w:eastAsia="宋体" w:hAnsi="Arial" w:cs="Arial"/>
        </w:rPr>
      </w:pPr>
      <w:hyperlink w:anchor="_Toc74662886" w:history="1">
        <w:r w:rsidRPr="00337064">
          <w:rPr>
            <w:rStyle w:val="a7"/>
            <w:rFonts w:ascii="Arial" w:eastAsia="宋体" w:hAnsi="Arial" w:cs="Arial" w:hint="eastAsia"/>
          </w:rPr>
          <w:t>（一）报告编制依据</w:t>
        </w:r>
        <w:r w:rsidRPr="00337064">
          <w:rPr>
            <w:rStyle w:val="a7"/>
            <w:rFonts w:ascii="Arial" w:eastAsia="宋体" w:hAnsi="Arial" w:cs="Arial"/>
            <w:webHidden/>
          </w:rPr>
          <w:tab/>
        </w:r>
        <w:r w:rsidRPr="00337064">
          <w:rPr>
            <w:rStyle w:val="a7"/>
            <w:rFonts w:ascii="Arial" w:eastAsia="宋体" w:hAnsi="Arial" w:cs="Arial"/>
            <w:webHidden/>
          </w:rPr>
          <w:fldChar w:fldCharType="begin"/>
        </w:r>
        <w:r w:rsidRPr="00337064">
          <w:rPr>
            <w:rStyle w:val="a7"/>
            <w:rFonts w:ascii="Arial" w:eastAsia="宋体" w:hAnsi="Arial" w:cs="Arial"/>
            <w:webHidden/>
          </w:rPr>
          <w:instrText xml:space="preserve"> PAGEREF _Toc74662886 \h </w:instrText>
        </w:r>
        <w:r w:rsidRPr="00337064">
          <w:rPr>
            <w:rStyle w:val="a7"/>
            <w:rFonts w:ascii="Arial" w:eastAsia="宋体" w:hAnsi="Arial" w:cs="Arial"/>
            <w:webHidden/>
          </w:rPr>
        </w:r>
        <w:r w:rsidRPr="00337064">
          <w:rPr>
            <w:rStyle w:val="a7"/>
            <w:rFonts w:ascii="Arial" w:eastAsia="宋体" w:hAnsi="Arial" w:cs="Arial"/>
            <w:webHidden/>
          </w:rPr>
          <w:fldChar w:fldCharType="separate"/>
        </w:r>
        <w:r w:rsidR="00FA1E1B">
          <w:rPr>
            <w:rStyle w:val="a7"/>
            <w:rFonts w:ascii="Arial" w:eastAsia="宋体" w:hAnsi="Arial" w:cs="Arial"/>
            <w:webHidden/>
          </w:rPr>
          <w:t>4</w:t>
        </w:r>
        <w:r w:rsidRPr="00337064">
          <w:rPr>
            <w:rStyle w:val="a7"/>
            <w:rFonts w:ascii="Arial" w:eastAsia="宋体" w:hAnsi="Arial" w:cs="Arial"/>
            <w:webHidden/>
          </w:rPr>
          <w:fldChar w:fldCharType="end"/>
        </w:r>
      </w:hyperlink>
    </w:p>
    <w:p w14:paraId="00314E90" w14:textId="77777777" w:rsidR="00337064" w:rsidRPr="00337064" w:rsidRDefault="00337064">
      <w:pPr>
        <w:pStyle w:val="20"/>
        <w:rPr>
          <w:rStyle w:val="a7"/>
          <w:rFonts w:ascii="Arial" w:eastAsia="宋体" w:hAnsi="Arial" w:cs="Arial"/>
        </w:rPr>
      </w:pPr>
      <w:hyperlink w:anchor="_Toc74662887" w:history="1">
        <w:r w:rsidRPr="00337064">
          <w:rPr>
            <w:rStyle w:val="a7"/>
            <w:rFonts w:ascii="Arial" w:eastAsia="宋体" w:hAnsi="Arial" w:cs="Arial" w:hint="eastAsia"/>
          </w:rPr>
          <w:t>（二）报告编制说明</w:t>
        </w:r>
        <w:r w:rsidRPr="00337064">
          <w:rPr>
            <w:rStyle w:val="a7"/>
            <w:rFonts w:ascii="Arial" w:eastAsia="宋体" w:hAnsi="Arial" w:cs="Arial"/>
            <w:webHidden/>
          </w:rPr>
          <w:tab/>
        </w:r>
        <w:r w:rsidRPr="00337064">
          <w:rPr>
            <w:rStyle w:val="a7"/>
            <w:rFonts w:ascii="Arial" w:eastAsia="宋体" w:hAnsi="Arial" w:cs="Arial"/>
            <w:webHidden/>
          </w:rPr>
          <w:fldChar w:fldCharType="begin"/>
        </w:r>
        <w:r w:rsidRPr="00337064">
          <w:rPr>
            <w:rStyle w:val="a7"/>
            <w:rFonts w:ascii="Arial" w:eastAsia="宋体" w:hAnsi="Arial" w:cs="Arial"/>
            <w:webHidden/>
          </w:rPr>
          <w:instrText xml:space="preserve"> PAGEREF _Toc74662887 \h </w:instrText>
        </w:r>
        <w:r w:rsidRPr="00337064">
          <w:rPr>
            <w:rStyle w:val="a7"/>
            <w:rFonts w:ascii="Arial" w:eastAsia="宋体" w:hAnsi="Arial" w:cs="Arial"/>
            <w:webHidden/>
          </w:rPr>
        </w:r>
        <w:r w:rsidRPr="00337064">
          <w:rPr>
            <w:rStyle w:val="a7"/>
            <w:rFonts w:ascii="Arial" w:eastAsia="宋体" w:hAnsi="Arial" w:cs="Arial"/>
            <w:webHidden/>
          </w:rPr>
          <w:fldChar w:fldCharType="separate"/>
        </w:r>
        <w:r w:rsidR="00FA1E1B">
          <w:rPr>
            <w:rStyle w:val="a7"/>
            <w:rFonts w:ascii="Arial" w:eastAsia="宋体" w:hAnsi="Arial" w:cs="Arial"/>
            <w:webHidden/>
          </w:rPr>
          <w:t>4</w:t>
        </w:r>
        <w:r w:rsidRPr="00337064">
          <w:rPr>
            <w:rStyle w:val="a7"/>
            <w:rFonts w:ascii="Arial" w:eastAsia="宋体" w:hAnsi="Arial" w:cs="Arial"/>
            <w:webHidden/>
          </w:rPr>
          <w:fldChar w:fldCharType="end"/>
        </w:r>
      </w:hyperlink>
    </w:p>
    <w:p w14:paraId="7E9F9791" w14:textId="77777777" w:rsidR="00337064" w:rsidRPr="00337064" w:rsidRDefault="00337064">
      <w:pPr>
        <w:pStyle w:val="20"/>
        <w:rPr>
          <w:rStyle w:val="a7"/>
          <w:rFonts w:ascii="Arial" w:eastAsia="宋体" w:hAnsi="Arial" w:cs="Arial"/>
        </w:rPr>
      </w:pPr>
      <w:hyperlink w:anchor="_Toc74662888" w:history="1">
        <w:r w:rsidRPr="00337064">
          <w:rPr>
            <w:rStyle w:val="a7"/>
            <w:rFonts w:ascii="Arial" w:eastAsia="宋体" w:hAnsi="Arial" w:cs="Arial" w:hint="eastAsia"/>
          </w:rPr>
          <w:t>七、本报告使用说明</w:t>
        </w:r>
        <w:r w:rsidRPr="00337064">
          <w:rPr>
            <w:rStyle w:val="a7"/>
            <w:rFonts w:ascii="Arial" w:eastAsia="宋体" w:hAnsi="Arial" w:cs="Arial"/>
            <w:webHidden/>
          </w:rPr>
          <w:tab/>
        </w:r>
        <w:r w:rsidRPr="00337064">
          <w:rPr>
            <w:rStyle w:val="a7"/>
            <w:rFonts w:ascii="Arial" w:eastAsia="宋体" w:hAnsi="Arial" w:cs="Arial"/>
            <w:webHidden/>
          </w:rPr>
          <w:fldChar w:fldCharType="begin"/>
        </w:r>
        <w:r w:rsidRPr="00337064">
          <w:rPr>
            <w:rStyle w:val="a7"/>
            <w:rFonts w:ascii="Arial" w:eastAsia="宋体" w:hAnsi="Arial" w:cs="Arial"/>
            <w:webHidden/>
          </w:rPr>
          <w:instrText xml:space="preserve"> PAGEREF _Toc74662888 \h </w:instrText>
        </w:r>
        <w:r w:rsidRPr="00337064">
          <w:rPr>
            <w:rStyle w:val="a7"/>
            <w:rFonts w:ascii="Arial" w:eastAsia="宋体" w:hAnsi="Arial" w:cs="Arial"/>
            <w:webHidden/>
          </w:rPr>
        </w:r>
        <w:r w:rsidRPr="00337064">
          <w:rPr>
            <w:rStyle w:val="a7"/>
            <w:rFonts w:ascii="Arial" w:eastAsia="宋体" w:hAnsi="Arial" w:cs="Arial"/>
            <w:webHidden/>
          </w:rPr>
          <w:fldChar w:fldCharType="separate"/>
        </w:r>
        <w:r w:rsidR="00FA1E1B">
          <w:rPr>
            <w:rStyle w:val="a7"/>
            <w:rFonts w:ascii="Arial" w:eastAsia="宋体" w:hAnsi="Arial" w:cs="Arial"/>
            <w:webHidden/>
          </w:rPr>
          <w:t>4</w:t>
        </w:r>
        <w:r w:rsidRPr="00337064">
          <w:rPr>
            <w:rStyle w:val="a7"/>
            <w:rFonts w:ascii="Arial" w:eastAsia="宋体" w:hAnsi="Arial" w:cs="Arial"/>
            <w:webHidden/>
          </w:rPr>
          <w:fldChar w:fldCharType="end"/>
        </w:r>
      </w:hyperlink>
    </w:p>
    <w:p w14:paraId="4B868ACA" w14:textId="77777777" w:rsidR="00337064" w:rsidRDefault="00337064">
      <w:pPr>
        <w:pStyle w:val="10"/>
        <w:rPr>
          <w:rFonts w:asciiTheme="minorHAnsi" w:eastAsiaTheme="minorEastAsia" w:hAnsiTheme="minorHAnsi" w:cstheme="minorBidi"/>
          <w:b w:val="0"/>
          <w:bCs w:val="0"/>
          <w:caps w:val="0"/>
          <w:kern w:val="2"/>
          <w:sz w:val="21"/>
          <w:szCs w:val="22"/>
        </w:rPr>
      </w:pPr>
      <w:hyperlink w:anchor="_Toc74662889" w:history="1">
        <w:r w:rsidRPr="00156CE0">
          <w:rPr>
            <w:rStyle w:val="a7"/>
            <w:rFonts w:eastAsia="方正黑体简体" w:hint="eastAsia"/>
          </w:rPr>
          <w:t>第二章</w:t>
        </w:r>
        <w:r w:rsidRPr="00156CE0">
          <w:rPr>
            <w:rStyle w:val="a7"/>
            <w:rFonts w:eastAsia="方正黑体简体"/>
          </w:rPr>
          <w:t xml:space="preserve">  </w:t>
        </w:r>
        <w:r w:rsidRPr="00156CE0">
          <w:rPr>
            <w:rStyle w:val="a7"/>
            <w:rFonts w:eastAsia="方正黑体简体" w:hint="eastAsia"/>
          </w:rPr>
          <w:t>项目建设条件评价</w:t>
        </w:r>
        <w:r>
          <w:rPr>
            <w:webHidden/>
          </w:rPr>
          <w:tab/>
        </w:r>
        <w:r>
          <w:rPr>
            <w:webHidden/>
          </w:rPr>
          <w:fldChar w:fldCharType="begin"/>
        </w:r>
        <w:r>
          <w:rPr>
            <w:webHidden/>
          </w:rPr>
          <w:instrText xml:space="preserve"> PAGEREF _Toc74662889 \h </w:instrText>
        </w:r>
        <w:r>
          <w:rPr>
            <w:webHidden/>
          </w:rPr>
        </w:r>
        <w:r>
          <w:rPr>
            <w:webHidden/>
          </w:rPr>
          <w:fldChar w:fldCharType="separate"/>
        </w:r>
        <w:r w:rsidR="00FA1E1B">
          <w:rPr>
            <w:webHidden/>
          </w:rPr>
          <w:t>6</w:t>
        </w:r>
        <w:r>
          <w:rPr>
            <w:webHidden/>
          </w:rPr>
          <w:fldChar w:fldCharType="end"/>
        </w:r>
      </w:hyperlink>
    </w:p>
    <w:p w14:paraId="03874BDE" w14:textId="77777777" w:rsidR="00337064" w:rsidRPr="00337064" w:rsidRDefault="00337064">
      <w:pPr>
        <w:pStyle w:val="20"/>
        <w:rPr>
          <w:rStyle w:val="a7"/>
          <w:rFonts w:ascii="Arial" w:eastAsia="宋体" w:hAnsi="Arial" w:cs="Arial"/>
        </w:rPr>
      </w:pPr>
      <w:hyperlink w:anchor="_Toc74662890" w:history="1">
        <w:r w:rsidRPr="00337064">
          <w:rPr>
            <w:rStyle w:val="a7"/>
            <w:rFonts w:ascii="Arial" w:eastAsia="宋体" w:hAnsi="Arial" w:cs="Arial" w:hint="eastAsia"/>
          </w:rPr>
          <w:t>一、项目建设内容、规模和建设方案</w:t>
        </w:r>
        <w:r w:rsidRPr="00337064">
          <w:rPr>
            <w:rStyle w:val="a7"/>
            <w:rFonts w:ascii="Arial" w:eastAsia="宋体" w:hAnsi="Arial" w:cs="Arial"/>
            <w:webHidden/>
          </w:rPr>
          <w:tab/>
        </w:r>
        <w:r w:rsidRPr="00337064">
          <w:rPr>
            <w:rStyle w:val="a7"/>
            <w:rFonts w:ascii="Arial" w:eastAsia="宋体" w:hAnsi="Arial" w:cs="Arial"/>
            <w:webHidden/>
          </w:rPr>
          <w:fldChar w:fldCharType="begin"/>
        </w:r>
        <w:r w:rsidRPr="00337064">
          <w:rPr>
            <w:rStyle w:val="a7"/>
            <w:rFonts w:ascii="Arial" w:eastAsia="宋体" w:hAnsi="Arial" w:cs="Arial"/>
            <w:webHidden/>
          </w:rPr>
          <w:instrText xml:space="preserve"> PAGEREF _Toc74662890 \h </w:instrText>
        </w:r>
        <w:r w:rsidRPr="00337064">
          <w:rPr>
            <w:rStyle w:val="a7"/>
            <w:rFonts w:ascii="Arial" w:eastAsia="宋体" w:hAnsi="Arial" w:cs="Arial"/>
            <w:webHidden/>
          </w:rPr>
        </w:r>
        <w:r w:rsidRPr="00337064">
          <w:rPr>
            <w:rStyle w:val="a7"/>
            <w:rFonts w:ascii="Arial" w:eastAsia="宋体" w:hAnsi="Arial" w:cs="Arial"/>
            <w:webHidden/>
          </w:rPr>
          <w:fldChar w:fldCharType="separate"/>
        </w:r>
        <w:r w:rsidR="00FA1E1B">
          <w:rPr>
            <w:rStyle w:val="a7"/>
            <w:rFonts w:ascii="Arial" w:eastAsia="宋体" w:hAnsi="Arial" w:cs="Arial"/>
            <w:webHidden/>
          </w:rPr>
          <w:t>6</w:t>
        </w:r>
        <w:r w:rsidRPr="00337064">
          <w:rPr>
            <w:rStyle w:val="a7"/>
            <w:rFonts w:ascii="Arial" w:eastAsia="宋体" w:hAnsi="Arial" w:cs="Arial"/>
            <w:webHidden/>
          </w:rPr>
          <w:fldChar w:fldCharType="end"/>
        </w:r>
      </w:hyperlink>
    </w:p>
    <w:p w14:paraId="78762703" w14:textId="77777777" w:rsidR="00337064" w:rsidRPr="00337064" w:rsidRDefault="00337064">
      <w:pPr>
        <w:pStyle w:val="20"/>
        <w:rPr>
          <w:rStyle w:val="a7"/>
          <w:rFonts w:ascii="Arial" w:eastAsia="宋体" w:hAnsi="Arial" w:cs="Arial"/>
        </w:rPr>
      </w:pPr>
      <w:hyperlink w:anchor="_Toc74662891" w:history="1">
        <w:r w:rsidRPr="00337064">
          <w:rPr>
            <w:rStyle w:val="a7"/>
            <w:rFonts w:ascii="Arial" w:eastAsia="宋体" w:hAnsi="Arial" w:cs="Arial" w:hint="eastAsia"/>
          </w:rPr>
          <w:t>（一）项目建设地点</w:t>
        </w:r>
        <w:r w:rsidRPr="00337064">
          <w:rPr>
            <w:rStyle w:val="a7"/>
            <w:rFonts w:ascii="Arial" w:eastAsia="宋体" w:hAnsi="Arial" w:cs="Arial"/>
            <w:webHidden/>
          </w:rPr>
          <w:tab/>
        </w:r>
        <w:r w:rsidRPr="00337064">
          <w:rPr>
            <w:rStyle w:val="a7"/>
            <w:rFonts w:ascii="Arial" w:eastAsia="宋体" w:hAnsi="Arial" w:cs="Arial"/>
            <w:webHidden/>
          </w:rPr>
          <w:fldChar w:fldCharType="begin"/>
        </w:r>
        <w:r w:rsidRPr="00337064">
          <w:rPr>
            <w:rStyle w:val="a7"/>
            <w:rFonts w:ascii="Arial" w:eastAsia="宋体" w:hAnsi="Arial" w:cs="Arial"/>
            <w:webHidden/>
          </w:rPr>
          <w:instrText xml:space="preserve"> PAGEREF _Toc74662891 \h </w:instrText>
        </w:r>
        <w:r w:rsidRPr="00337064">
          <w:rPr>
            <w:rStyle w:val="a7"/>
            <w:rFonts w:ascii="Arial" w:eastAsia="宋体" w:hAnsi="Arial" w:cs="Arial"/>
            <w:webHidden/>
          </w:rPr>
        </w:r>
        <w:r w:rsidRPr="00337064">
          <w:rPr>
            <w:rStyle w:val="a7"/>
            <w:rFonts w:ascii="Arial" w:eastAsia="宋体" w:hAnsi="Arial" w:cs="Arial"/>
            <w:webHidden/>
          </w:rPr>
          <w:fldChar w:fldCharType="separate"/>
        </w:r>
        <w:r w:rsidR="00FA1E1B">
          <w:rPr>
            <w:rStyle w:val="a7"/>
            <w:rFonts w:ascii="Arial" w:eastAsia="宋体" w:hAnsi="Arial" w:cs="Arial"/>
            <w:webHidden/>
          </w:rPr>
          <w:t>6</w:t>
        </w:r>
        <w:r w:rsidRPr="00337064">
          <w:rPr>
            <w:rStyle w:val="a7"/>
            <w:rFonts w:ascii="Arial" w:eastAsia="宋体" w:hAnsi="Arial" w:cs="Arial"/>
            <w:webHidden/>
          </w:rPr>
          <w:fldChar w:fldCharType="end"/>
        </w:r>
      </w:hyperlink>
    </w:p>
    <w:p w14:paraId="67C3941A" w14:textId="77777777" w:rsidR="00337064" w:rsidRPr="00337064" w:rsidRDefault="00337064">
      <w:pPr>
        <w:pStyle w:val="20"/>
        <w:rPr>
          <w:rStyle w:val="a7"/>
          <w:rFonts w:ascii="Arial" w:eastAsia="宋体" w:hAnsi="Arial" w:cs="Arial"/>
        </w:rPr>
      </w:pPr>
      <w:hyperlink w:anchor="_Toc74662892" w:history="1">
        <w:r w:rsidRPr="00337064">
          <w:rPr>
            <w:rStyle w:val="a7"/>
            <w:rFonts w:ascii="Arial" w:eastAsia="宋体" w:hAnsi="Arial" w:cs="Arial" w:hint="eastAsia"/>
          </w:rPr>
          <w:t>（二）项目建设规模及建造标准</w:t>
        </w:r>
        <w:r w:rsidRPr="00337064">
          <w:rPr>
            <w:rStyle w:val="a7"/>
            <w:rFonts w:ascii="Arial" w:eastAsia="宋体" w:hAnsi="Arial" w:cs="Arial"/>
            <w:webHidden/>
          </w:rPr>
          <w:tab/>
        </w:r>
        <w:bookmarkStart w:id="4" w:name="_GoBack"/>
        <w:bookmarkEnd w:id="4"/>
        <w:r w:rsidRPr="00337064">
          <w:rPr>
            <w:rStyle w:val="a7"/>
            <w:rFonts w:ascii="Arial" w:eastAsia="宋体" w:hAnsi="Arial" w:cs="Arial"/>
            <w:webHidden/>
          </w:rPr>
          <w:fldChar w:fldCharType="begin"/>
        </w:r>
        <w:r w:rsidRPr="00337064">
          <w:rPr>
            <w:rStyle w:val="a7"/>
            <w:rFonts w:ascii="Arial" w:eastAsia="宋体" w:hAnsi="Arial" w:cs="Arial"/>
            <w:webHidden/>
          </w:rPr>
          <w:instrText xml:space="preserve"> PAGEREF _Toc74662892 \h </w:instrText>
        </w:r>
        <w:r w:rsidRPr="00337064">
          <w:rPr>
            <w:rStyle w:val="a7"/>
            <w:rFonts w:ascii="Arial" w:eastAsia="宋体" w:hAnsi="Arial" w:cs="Arial"/>
            <w:webHidden/>
          </w:rPr>
        </w:r>
        <w:r w:rsidRPr="00337064">
          <w:rPr>
            <w:rStyle w:val="a7"/>
            <w:rFonts w:ascii="Arial" w:eastAsia="宋体" w:hAnsi="Arial" w:cs="Arial"/>
            <w:webHidden/>
          </w:rPr>
          <w:fldChar w:fldCharType="separate"/>
        </w:r>
        <w:r w:rsidR="00FA1E1B">
          <w:rPr>
            <w:rStyle w:val="a7"/>
            <w:rFonts w:ascii="Arial" w:eastAsia="宋体" w:hAnsi="Arial" w:cs="Arial"/>
            <w:webHidden/>
          </w:rPr>
          <w:t>10</w:t>
        </w:r>
        <w:r w:rsidRPr="00337064">
          <w:rPr>
            <w:rStyle w:val="a7"/>
            <w:rFonts w:ascii="Arial" w:eastAsia="宋体" w:hAnsi="Arial" w:cs="Arial"/>
            <w:webHidden/>
          </w:rPr>
          <w:fldChar w:fldCharType="end"/>
        </w:r>
      </w:hyperlink>
    </w:p>
    <w:p w14:paraId="55158695" w14:textId="77777777" w:rsidR="00337064" w:rsidRPr="00337064" w:rsidRDefault="00337064">
      <w:pPr>
        <w:pStyle w:val="20"/>
        <w:rPr>
          <w:rStyle w:val="a7"/>
          <w:rFonts w:ascii="Arial" w:eastAsia="宋体" w:hAnsi="Arial" w:cs="Arial"/>
        </w:rPr>
      </w:pPr>
      <w:hyperlink w:anchor="_Toc74662893" w:history="1">
        <w:r w:rsidRPr="00337064">
          <w:rPr>
            <w:rStyle w:val="a7"/>
            <w:rFonts w:ascii="Arial" w:eastAsia="宋体" w:hAnsi="Arial" w:cs="Arial" w:hint="eastAsia"/>
          </w:rPr>
          <w:t>二、项目工程建设进程评价</w:t>
        </w:r>
        <w:r w:rsidRPr="00337064">
          <w:rPr>
            <w:rStyle w:val="a7"/>
            <w:rFonts w:ascii="Arial" w:eastAsia="宋体" w:hAnsi="Arial" w:cs="Arial"/>
            <w:webHidden/>
          </w:rPr>
          <w:tab/>
        </w:r>
        <w:r w:rsidRPr="00337064">
          <w:rPr>
            <w:rStyle w:val="a7"/>
            <w:rFonts w:ascii="Arial" w:eastAsia="宋体" w:hAnsi="Arial" w:cs="Arial"/>
            <w:webHidden/>
          </w:rPr>
          <w:fldChar w:fldCharType="begin"/>
        </w:r>
        <w:r w:rsidRPr="00337064">
          <w:rPr>
            <w:rStyle w:val="a7"/>
            <w:rFonts w:ascii="Arial" w:eastAsia="宋体" w:hAnsi="Arial" w:cs="Arial"/>
            <w:webHidden/>
          </w:rPr>
          <w:instrText xml:space="preserve"> PAGEREF _Toc74662893 \h </w:instrText>
        </w:r>
        <w:r w:rsidRPr="00337064">
          <w:rPr>
            <w:rStyle w:val="a7"/>
            <w:rFonts w:ascii="Arial" w:eastAsia="宋体" w:hAnsi="Arial" w:cs="Arial"/>
            <w:webHidden/>
          </w:rPr>
        </w:r>
        <w:r w:rsidRPr="00337064">
          <w:rPr>
            <w:rStyle w:val="a7"/>
            <w:rFonts w:ascii="Arial" w:eastAsia="宋体" w:hAnsi="Arial" w:cs="Arial"/>
            <w:webHidden/>
          </w:rPr>
          <w:fldChar w:fldCharType="separate"/>
        </w:r>
        <w:r w:rsidR="00FA1E1B">
          <w:rPr>
            <w:rStyle w:val="a7"/>
            <w:rFonts w:ascii="Arial" w:eastAsia="宋体" w:hAnsi="Arial" w:cs="Arial"/>
            <w:webHidden/>
          </w:rPr>
          <w:t>11</w:t>
        </w:r>
        <w:r w:rsidRPr="00337064">
          <w:rPr>
            <w:rStyle w:val="a7"/>
            <w:rFonts w:ascii="Arial" w:eastAsia="宋体" w:hAnsi="Arial" w:cs="Arial"/>
            <w:webHidden/>
          </w:rPr>
          <w:fldChar w:fldCharType="end"/>
        </w:r>
      </w:hyperlink>
    </w:p>
    <w:p w14:paraId="35D8D381" w14:textId="77777777" w:rsidR="00337064" w:rsidRPr="00337064" w:rsidRDefault="00337064">
      <w:pPr>
        <w:pStyle w:val="20"/>
        <w:rPr>
          <w:rStyle w:val="a7"/>
          <w:rFonts w:ascii="Arial" w:eastAsia="宋体" w:hAnsi="Arial" w:cs="Arial"/>
        </w:rPr>
      </w:pPr>
      <w:hyperlink w:anchor="_Toc74662894" w:history="1">
        <w:r w:rsidRPr="00337064">
          <w:rPr>
            <w:rStyle w:val="a7"/>
            <w:rFonts w:ascii="Arial" w:eastAsia="宋体" w:hAnsi="Arial" w:cs="Arial" w:hint="eastAsia"/>
          </w:rPr>
          <w:t>三、项目建设条件评价</w:t>
        </w:r>
        <w:r w:rsidRPr="00337064">
          <w:rPr>
            <w:rStyle w:val="a7"/>
            <w:rFonts w:ascii="Arial" w:eastAsia="宋体" w:hAnsi="Arial" w:cs="Arial"/>
            <w:webHidden/>
          </w:rPr>
          <w:tab/>
        </w:r>
        <w:r w:rsidRPr="00337064">
          <w:rPr>
            <w:rStyle w:val="a7"/>
            <w:rFonts w:ascii="Arial" w:eastAsia="宋体" w:hAnsi="Arial" w:cs="Arial"/>
            <w:webHidden/>
          </w:rPr>
          <w:fldChar w:fldCharType="begin"/>
        </w:r>
        <w:r w:rsidRPr="00337064">
          <w:rPr>
            <w:rStyle w:val="a7"/>
            <w:rFonts w:ascii="Arial" w:eastAsia="宋体" w:hAnsi="Arial" w:cs="Arial"/>
            <w:webHidden/>
          </w:rPr>
          <w:instrText xml:space="preserve"> PAGEREF _Toc74662894 \h </w:instrText>
        </w:r>
        <w:r w:rsidRPr="00337064">
          <w:rPr>
            <w:rStyle w:val="a7"/>
            <w:rFonts w:ascii="Arial" w:eastAsia="宋体" w:hAnsi="Arial" w:cs="Arial"/>
            <w:webHidden/>
          </w:rPr>
        </w:r>
        <w:r w:rsidRPr="00337064">
          <w:rPr>
            <w:rStyle w:val="a7"/>
            <w:rFonts w:ascii="Arial" w:eastAsia="宋体" w:hAnsi="Arial" w:cs="Arial"/>
            <w:webHidden/>
          </w:rPr>
          <w:fldChar w:fldCharType="separate"/>
        </w:r>
        <w:r w:rsidR="00FA1E1B">
          <w:rPr>
            <w:rStyle w:val="a7"/>
            <w:rFonts w:ascii="Arial" w:eastAsia="宋体" w:hAnsi="Arial" w:cs="Arial"/>
            <w:webHidden/>
          </w:rPr>
          <w:t>12</w:t>
        </w:r>
        <w:r w:rsidRPr="00337064">
          <w:rPr>
            <w:rStyle w:val="a7"/>
            <w:rFonts w:ascii="Arial" w:eastAsia="宋体" w:hAnsi="Arial" w:cs="Arial"/>
            <w:webHidden/>
          </w:rPr>
          <w:fldChar w:fldCharType="end"/>
        </w:r>
      </w:hyperlink>
    </w:p>
    <w:p w14:paraId="5A36B961" w14:textId="77777777" w:rsidR="00337064" w:rsidRPr="00337064" w:rsidRDefault="00337064">
      <w:pPr>
        <w:pStyle w:val="20"/>
        <w:rPr>
          <w:rStyle w:val="a7"/>
          <w:rFonts w:ascii="Arial" w:eastAsia="宋体" w:hAnsi="Arial" w:cs="Arial"/>
        </w:rPr>
      </w:pPr>
      <w:hyperlink w:anchor="_Toc74662895" w:history="1">
        <w:r w:rsidRPr="00337064">
          <w:rPr>
            <w:rStyle w:val="a7"/>
            <w:rFonts w:ascii="Arial" w:eastAsia="宋体" w:hAnsi="Arial" w:cs="Arial" w:hint="eastAsia"/>
          </w:rPr>
          <w:t>四、施工、监理单位资质评价</w:t>
        </w:r>
        <w:r w:rsidRPr="00337064">
          <w:rPr>
            <w:rStyle w:val="a7"/>
            <w:rFonts w:ascii="Arial" w:eastAsia="宋体" w:hAnsi="Arial" w:cs="Arial"/>
            <w:webHidden/>
          </w:rPr>
          <w:tab/>
        </w:r>
        <w:r w:rsidRPr="00337064">
          <w:rPr>
            <w:rStyle w:val="a7"/>
            <w:rFonts w:ascii="Arial" w:eastAsia="宋体" w:hAnsi="Arial" w:cs="Arial"/>
            <w:webHidden/>
          </w:rPr>
          <w:fldChar w:fldCharType="begin"/>
        </w:r>
        <w:r w:rsidRPr="00337064">
          <w:rPr>
            <w:rStyle w:val="a7"/>
            <w:rFonts w:ascii="Arial" w:eastAsia="宋体" w:hAnsi="Arial" w:cs="Arial"/>
            <w:webHidden/>
          </w:rPr>
          <w:instrText xml:space="preserve"> PAGEREF _Toc74662895 \h </w:instrText>
        </w:r>
        <w:r w:rsidRPr="00337064">
          <w:rPr>
            <w:rStyle w:val="a7"/>
            <w:rFonts w:ascii="Arial" w:eastAsia="宋体" w:hAnsi="Arial" w:cs="Arial"/>
            <w:webHidden/>
          </w:rPr>
        </w:r>
        <w:r w:rsidRPr="00337064">
          <w:rPr>
            <w:rStyle w:val="a7"/>
            <w:rFonts w:ascii="Arial" w:eastAsia="宋体" w:hAnsi="Arial" w:cs="Arial"/>
            <w:webHidden/>
          </w:rPr>
          <w:fldChar w:fldCharType="separate"/>
        </w:r>
        <w:r w:rsidR="00FA1E1B">
          <w:rPr>
            <w:rStyle w:val="a7"/>
            <w:rFonts w:ascii="Arial" w:eastAsia="宋体" w:hAnsi="Arial" w:cs="Arial"/>
            <w:webHidden/>
          </w:rPr>
          <w:t>12</w:t>
        </w:r>
        <w:r w:rsidRPr="00337064">
          <w:rPr>
            <w:rStyle w:val="a7"/>
            <w:rFonts w:ascii="Arial" w:eastAsia="宋体" w:hAnsi="Arial" w:cs="Arial"/>
            <w:webHidden/>
          </w:rPr>
          <w:fldChar w:fldCharType="end"/>
        </w:r>
      </w:hyperlink>
    </w:p>
    <w:p w14:paraId="00729CF4" w14:textId="77777777" w:rsidR="00337064" w:rsidRPr="00337064" w:rsidRDefault="00337064">
      <w:pPr>
        <w:pStyle w:val="20"/>
        <w:rPr>
          <w:rStyle w:val="a7"/>
          <w:rFonts w:ascii="Arial" w:eastAsia="宋体" w:hAnsi="Arial" w:cs="Arial"/>
        </w:rPr>
      </w:pPr>
      <w:hyperlink w:anchor="_Toc74662896" w:history="1">
        <w:r w:rsidRPr="00337064">
          <w:rPr>
            <w:rStyle w:val="a7"/>
            <w:rFonts w:ascii="Arial" w:eastAsia="宋体" w:hAnsi="Arial" w:cs="Arial" w:hint="eastAsia"/>
          </w:rPr>
          <w:t>五、环境保护评价</w:t>
        </w:r>
        <w:r w:rsidRPr="00337064">
          <w:rPr>
            <w:rStyle w:val="a7"/>
            <w:rFonts w:ascii="Arial" w:eastAsia="宋体" w:hAnsi="Arial" w:cs="Arial"/>
            <w:webHidden/>
          </w:rPr>
          <w:tab/>
        </w:r>
        <w:r w:rsidRPr="00337064">
          <w:rPr>
            <w:rStyle w:val="a7"/>
            <w:rFonts w:ascii="Arial" w:eastAsia="宋体" w:hAnsi="Arial" w:cs="Arial"/>
            <w:webHidden/>
          </w:rPr>
          <w:fldChar w:fldCharType="begin"/>
        </w:r>
        <w:r w:rsidRPr="00337064">
          <w:rPr>
            <w:rStyle w:val="a7"/>
            <w:rFonts w:ascii="Arial" w:eastAsia="宋体" w:hAnsi="Arial" w:cs="Arial"/>
            <w:webHidden/>
          </w:rPr>
          <w:instrText xml:space="preserve"> PAGEREF _Toc74662896 \h </w:instrText>
        </w:r>
        <w:r w:rsidRPr="00337064">
          <w:rPr>
            <w:rStyle w:val="a7"/>
            <w:rFonts w:ascii="Arial" w:eastAsia="宋体" w:hAnsi="Arial" w:cs="Arial"/>
            <w:webHidden/>
          </w:rPr>
        </w:r>
        <w:r w:rsidRPr="00337064">
          <w:rPr>
            <w:rStyle w:val="a7"/>
            <w:rFonts w:ascii="Arial" w:eastAsia="宋体" w:hAnsi="Arial" w:cs="Arial"/>
            <w:webHidden/>
          </w:rPr>
          <w:fldChar w:fldCharType="separate"/>
        </w:r>
        <w:r w:rsidR="00FA1E1B">
          <w:rPr>
            <w:rStyle w:val="a7"/>
            <w:rFonts w:ascii="Arial" w:eastAsia="宋体" w:hAnsi="Arial" w:cs="Arial"/>
            <w:webHidden/>
          </w:rPr>
          <w:t>12</w:t>
        </w:r>
        <w:r w:rsidRPr="00337064">
          <w:rPr>
            <w:rStyle w:val="a7"/>
            <w:rFonts w:ascii="Arial" w:eastAsia="宋体" w:hAnsi="Arial" w:cs="Arial"/>
            <w:webHidden/>
          </w:rPr>
          <w:fldChar w:fldCharType="end"/>
        </w:r>
      </w:hyperlink>
    </w:p>
    <w:p w14:paraId="47FBE088" w14:textId="77777777" w:rsidR="00337064" w:rsidRDefault="00337064">
      <w:pPr>
        <w:pStyle w:val="10"/>
        <w:rPr>
          <w:rFonts w:asciiTheme="minorHAnsi" w:eastAsiaTheme="minorEastAsia" w:hAnsiTheme="minorHAnsi" w:cstheme="minorBidi"/>
          <w:b w:val="0"/>
          <w:bCs w:val="0"/>
          <w:caps w:val="0"/>
          <w:kern w:val="2"/>
          <w:sz w:val="21"/>
          <w:szCs w:val="22"/>
        </w:rPr>
      </w:pPr>
      <w:hyperlink w:anchor="_Toc74662897" w:history="1">
        <w:r w:rsidRPr="00156CE0">
          <w:rPr>
            <w:rStyle w:val="a7"/>
            <w:rFonts w:eastAsia="方正黑体简体" w:hint="eastAsia"/>
          </w:rPr>
          <w:t>第三章</w:t>
        </w:r>
        <w:r w:rsidRPr="00156CE0">
          <w:rPr>
            <w:rStyle w:val="a7"/>
            <w:rFonts w:eastAsia="方正黑体简体"/>
          </w:rPr>
          <w:t xml:space="preserve">  </w:t>
        </w:r>
        <w:r w:rsidRPr="00156CE0">
          <w:rPr>
            <w:rStyle w:val="a7"/>
            <w:rFonts w:eastAsia="方正黑体简体" w:hint="eastAsia"/>
          </w:rPr>
          <w:t>市场评估</w:t>
        </w:r>
        <w:r>
          <w:rPr>
            <w:webHidden/>
          </w:rPr>
          <w:tab/>
        </w:r>
        <w:r>
          <w:rPr>
            <w:webHidden/>
          </w:rPr>
          <w:fldChar w:fldCharType="begin"/>
        </w:r>
        <w:r>
          <w:rPr>
            <w:webHidden/>
          </w:rPr>
          <w:instrText xml:space="preserve"> PAGEREF _Toc74662897 \h </w:instrText>
        </w:r>
        <w:r>
          <w:rPr>
            <w:webHidden/>
          </w:rPr>
        </w:r>
        <w:r>
          <w:rPr>
            <w:webHidden/>
          </w:rPr>
          <w:fldChar w:fldCharType="separate"/>
        </w:r>
        <w:r w:rsidR="00FA1E1B">
          <w:rPr>
            <w:webHidden/>
          </w:rPr>
          <w:t>13</w:t>
        </w:r>
        <w:r>
          <w:rPr>
            <w:webHidden/>
          </w:rPr>
          <w:fldChar w:fldCharType="end"/>
        </w:r>
      </w:hyperlink>
    </w:p>
    <w:p w14:paraId="24E19B79" w14:textId="77777777" w:rsidR="00337064" w:rsidRPr="00337064" w:rsidRDefault="00337064">
      <w:pPr>
        <w:pStyle w:val="20"/>
        <w:rPr>
          <w:rStyle w:val="a7"/>
          <w:rFonts w:ascii="Arial" w:eastAsia="宋体" w:hAnsi="Arial" w:cs="Arial"/>
        </w:rPr>
      </w:pPr>
      <w:hyperlink w:anchor="_Toc74662898" w:history="1">
        <w:r w:rsidRPr="00337064">
          <w:rPr>
            <w:rStyle w:val="a7"/>
            <w:rFonts w:ascii="Arial" w:eastAsia="宋体" w:hAnsi="Arial" w:cs="Arial" w:hint="eastAsia"/>
          </w:rPr>
          <w:t>一、市场环境评价</w:t>
        </w:r>
        <w:r w:rsidRPr="00337064">
          <w:rPr>
            <w:rStyle w:val="a7"/>
            <w:rFonts w:ascii="Arial" w:eastAsia="宋体" w:hAnsi="Arial" w:cs="Arial"/>
            <w:webHidden/>
          </w:rPr>
          <w:tab/>
        </w:r>
        <w:r w:rsidRPr="00337064">
          <w:rPr>
            <w:rStyle w:val="a7"/>
            <w:rFonts w:ascii="Arial" w:eastAsia="宋体" w:hAnsi="Arial" w:cs="Arial"/>
            <w:webHidden/>
          </w:rPr>
          <w:fldChar w:fldCharType="begin"/>
        </w:r>
        <w:r w:rsidRPr="00337064">
          <w:rPr>
            <w:rStyle w:val="a7"/>
            <w:rFonts w:ascii="Arial" w:eastAsia="宋体" w:hAnsi="Arial" w:cs="Arial"/>
            <w:webHidden/>
          </w:rPr>
          <w:instrText xml:space="preserve"> PAGEREF _Toc74662898 \h </w:instrText>
        </w:r>
        <w:r w:rsidRPr="00337064">
          <w:rPr>
            <w:rStyle w:val="a7"/>
            <w:rFonts w:ascii="Arial" w:eastAsia="宋体" w:hAnsi="Arial" w:cs="Arial"/>
            <w:webHidden/>
          </w:rPr>
        </w:r>
        <w:r w:rsidRPr="00337064">
          <w:rPr>
            <w:rStyle w:val="a7"/>
            <w:rFonts w:ascii="Arial" w:eastAsia="宋体" w:hAnsi="Arial" w:cs="Arial"/>
            <w:webHidden/>
          </w:rPr>
          <w:fldChar w:fldCharType="separate"/>
        </w:r>
        <w:r w:rsidR="00FA1E1B">
          <w:rPr>
            <w:rStyle w:val="a7"/>
            <w:rFonts w:ascii="Arial" w:eastAsia="宋体" w:hAnsi="Arial" w:cs="Arial"/>
            <w:webHidden/>
          </w:rPr>
          <w:t>13</w:t>
        </w:r>
        <w:r w:rsidRPr="00337064">
          <w:rPr>
            <w:rStyle w:val="a7"/>
            <w:rFonts w:ascii="Arial" w:eastAsia="宋体" w:hAnsi="Arial" w:cs="Arial"/>
            <w:webHidden/>
          </w:rPr>
          <w:fldChar w:fldCharType="end"/>
        </w:r>
      </w:hyperlink>
    </w:p>
    <w:p w14:paraId="7E163CA2" w14:textId="77777777" w:rsidR="00337064" w:rsidRPr="00337064" w:rsidRDefault="00337064">
      <w:pPr>
        <w:pStyle w:val="20"/>
        <w:rPr>
          <w:rStyle w:val="a7"/>
          <w:rFonts w:ascii="Arial" w:eastAsia="宋体" w:hAnsi="Arial" w:cs="Arial"/>
        </w:rPr>
      </w:pPr>
      <w:hyperlink w:anchor="_Toc74662899" w:history="1">
        <w:r w:rsidRPr="00337064">
          <w:rPr>
            <w:rStyle w:val="a7"/>
            <w:rFonts w:ascii="Arial" w:eastAsia="宋体" w:hAnsi="Arial" w:cs="Arial" w:hint="eastAsia"/>
          </w:rPr>
          <w:t>（一）城市概况</w:t>
        </w:r>
        <w:r w:rsidRPr="00337064">
          <w:rPr>
            <w:rStyle w:val="a7"/>
            <w:rFonts w:ascii="Arial" w:eastAsia="宋体" w:hAnsi="Arial" w:cs="Arial"/>
            <w:webHidden/>
          </w:rPr>
          <w:tab/>
        </w:r>
        <w:r w:rsidRPr="00337064">
          <w:rPr>
            <w:rStyle w:val="a7"/>
            <w:rFonts w:ascii="Arial" w:eastAsia="宋体" w:hAnsi="Arial" w:cs="Arial"/>
            <w:webHidden/>
          </w:rPr>
          <w:fldChar w:fldCharType="begin"/>
        </w:r>
        <w:r w:rsidRPr="00337064">
          <w:rPr>
            <w:rStyle w:val="a7"/>
            <w:rFonts w:ascii="Arial" w:eastAsia="宋体" w:hAnsi="Arial" w:cs="Arial"/>
            <w:webHidden/>
          </w:rPr>
          <w:instrText xml:space="preserve"> PAGEREF _Toc74662899 \h </w:instrText>
        </w:r>
        <w:r w:rsidRPr="00337064">
          <w:rPr>
            <w:rStyle w:val="a7"/>
            <w:rFonts w:ascii="Arial" w:eastAsia="宋体" w:hAnsi="Arial" w:cs="Arial"/>
            <w:webHidden/>
          </w:rPr>
        </w:r>
        <w:r w:rsidRPr="00337064">
          <w:rPr>
            <w:rStyle w:val="a7"/>
            <w:rFonts w:ascii="Arial" w:eastAsia="宋体" w:hAnsi="Arial" w:cs="Arial"/>
            <w:webHidden/>
          </w:rPr>
          <w:fldChar w:fldCharType="separate"/>
        </w:r>
        <w:r w:rsidR="00FA1E1B">
          <w:rPr>
            <w:rStyle w:val="a7"/>
            <w:rFonts w:ascii="Arial" w:eastAsia="宋体" w:hAnsi="Arial" w:cs="Arial"/>
            <w:webHidden/>
          </w:rPr>
          <w:t>13</w:t>
        </w:r>
        <w:r w:rsidRPr="00337064">
          <w:rPr>
            <w:rStyle w:val="a7"/>
            <w:rFonts w:ascii="Arial" w:eastAsia="宋体" w:hAnsi="Arial" w:cs="Arial"/>
            <w:webHidden/>
          </w:rPr>
          <w:fldChar w:fldCharType="end"/>
        </w:r>
      </w:hyperlink>
    </w:p>
    <w:p w14:paraId="3620FE3A" w14:textId="77777777" w:rsidR="00337064" w:rsidRPr="00337064" w:rsidRDefault="00337064">
      <w:pPr>
        <w:pStyle w:val="20"/>
        <w:rPr>
          <w:rStyle w:val="a7"/>
          <w:rFonts w:ascii="Arial" w:eastAsia="宋体" w:hAnsi="Arial" w:cs="Arial"/>
        </w:rPr>
      </w:pPr>
      <w:hyperlink w:anchor="_Toc74662900" w:history="1">
        <w:r w:rsidRPr="00337064">
          <w:rPr>
            <w:rStyle w:val="a7"/>
            <w:rFonts w:ascii="Arial" w:eastAsia="宋体" w:hAnsi="Arial" w:cs="Arial" w:hint="eastAsia"/>
          </w:rPr>
          <w:t>（二）经济运行概况（</w:t>
        </w:r>
        <w:r w:rsidRPr="00337064">
          <w:rPr>
            <w:rStyle w:val="a7"/>
            <w:rFonts w:ascii="Arial" w:eastAsia="宋体" w:hAnsi="Arial" w:cs="Arial"/>
          </w:rPr>
          <w:t>2020</w:t>
        </w:r>
        <w:r w:rsidRPr="00337064">
          <w:rPr>
            <w:rStyle w:val="a7"/>
            <w:rFonts w:ascii="Arial" w:eastAsia="宋体" w:hAnsi="Arial" w:cs="Arial" w:hint="eastAsia"/>
          </w:rPr>
          <w:t>年至</w:t>
        </w:r>
        <w:r w:rsidRPr="00337064">
          <w:rPr>
            <w:rStyle w:val="a7"/>
            <w:rFonts w:ascii="Arial" w:eastAsia="宋体" w:hAnsi="Arial" w:cs="Arial"/>
          </w:rPr>
          <w:t>2021</w:t>
        </w:r>
        <w:r w:rsidRPr="00337064">
          <w:rPr>
            <w:rStyle w:val="a7"/>
            <w:rFonts w:ascii="Arial" w:eastAsia="宋体" w:hAnsi="Arial" w:cs="Arial" w:hint="eastAsia"/>
          </w:rPr>
          <w:t>年</w:t>
        </w:r>
        <w:r w:rsidRPr="00337064">
          <w:rPr>
            <w:rStyle w:val="a7"/>
            <w:rFonts w:ascii="Arial" w:eastAsia="宋体" w:hAnsi="Arial" w:cs="Arial"/>
          </w:rPr>
          <w:t>1</w:t>
        </w:r>
        <w:r w:rsidRPr="00337064">
          <w:rPr>
            <w:rStyle w:val="a7"/>
            <w:rFonts w:ascii="Arial" w:eastAsia="宋体" w:hAnsi="Arial" w:cs="Arial" w:hint="eastAsia"/>
          </w:rPr>
          <w:t>季度）</w:t>
        </w:r>
        <w:r w:rsidRPr="00337064">
          <w:rPr>
            <w:rStyle w:val="a7"/>
            <w:rFonts w:ascii="Arial" w:eastAsia="宋体" w:hAnsi="Arial" w:cs="Arial"/>
            <w:webHidden/>
          </w:rPr>
          <w:tab/>
        </w:r>
        <w:r w:rsidRPr="00337064">
          <w:rPr>
            <w:rStyle w:val="a7"/>
            <w:rFonts w:ascii="Arial" w:eastAsia="宋体" w:hAnsi="Arial" w:cs="Arial"/>
            <w:webHidden/>
          </w:rPr>
          <w:fldChar w:fldCharType="begin"/>
        </w:r>
        <w:r w:rsidRPr="00337064">
          <w:rPr>
            <w:rStyle w:val="a7"/>
            <w:rFonts w:ascii="Arial" w:eastAsia="宋体" w:hAnsi="Arial" w:cs="Arial"/>
            <w:webHidden/>
          </w:rPr>
          <w:instrText xml:space="preserve"> PAGEREF _Toc74662900 \h </w:instrText>
        </w:r>
        <w:r w:rsidRPr="00337064">
          <w:rPr>
            <w:rStyle w:val="a7"/>
            <w:rFonts w:ascii="Arial" w:eastAsia="宋体" w:hAnsi="Arial" w:cs="Arial"/>
            <w:webHidden/>
          </w:rPr>
        </w:r>
        <w:r w:rsidRPr="00337064">
          <w:rPr>
            <w:rStyle w:val="a7"/>
            <w:rFonts w:ascii="Arial" w:eastAsia="宋体" w:hAnsi="Arial" w:cs="Arial"/>
            <w:webHidden/>
          </w:rPr>
          <w:fldChar w:fldCharType="separate"/>
        </w:r>
        <w:r w:rsidR="00FA1E1B">
          <w:rPr>
            <w:rStyle w:val="a7"/>
            <w:rFonts w:ascii="Arial" w:eastAsia="宋体" w:hAnsi="Arial" w:cs="Arial"/>
            <w:webHidden/>
          </w:rPr>
          <w:t>14</w:t>
        </w:r>
        <w:r w:rsidRPr="00337064">
          <w:rPr>
            <w:rStyle w:val="a7"/>
            <w:rFonts w:ascii="Arial" w:eastAsia="宋体" w:hAnsi="Arial" w:cs="Arial"/>
            <w:webHidden/>
          </w:rPr>
          <w:fldChar w:fldCharType="end"/>
        </w:r>
      </w:hyperlink>
    </w:p>
    <w:p w14:paraId="2AC5B5C9" w14:textId="77777777" w:rsidR="00337064" w:rsidRPr="00337064" w:rsidRDefault="00337064">
      <w:pPr>
        <w:pStyle w:val="20"/>
        <w:rPr>
          <w:rStyle w:val="a7"/>
          <w:rFonts w:ascii="Arial" w:eastAsia="宋体" w:hAnsi="Arial" w:cs="Arial"/>
        </w:rPr>
      </w:pPr>
      <w:hyperlink w:anchor="_Toc74662901" w:history="1">
        <w:r w:rsidRPr="00337064">
          <w:rPr>
            <w:rStyle w:val="a7"/>
            <w:rFonts w:ascii="Arial" w:eastAsia="宋体" w:hAnsi="Arial" w:cs="Arial" w:hint="eastAsia"/>
          </w:rPr>
          <w:t>（四）土地市场概况</w:t>
        </w:r>
        <w:r w:rsidRPr="00337064">
          <w:rPr>
            <w:rStyle w:val="a7"/>
            <w:rFonts w:ascii="Arial" w:eastAsia="宋体" w:hAnsi="Arial" w:cs="Arial"/>
            <w:webHidden/>
          </w:rPr>
          <w:tab/>
        </w:r>
        <w:r w:rsidRPr="00337064">
          <w:rPr>
            <w:rStyle w:val="a7"/>
            <w:rFonts w:ascii="Arial" w:eastAsia="宋体" w:hAnsi="Arial" w:cs="Arial"/>
            <w:webHidden/>
          </w:rPr>
          <w:fldChar w:fldCharType="begin"/>
        </w:r>
        <w:r w:rsidRPr="00337064">
          <w:rPr>
            <w:rStyle w:val="a7"/>
            <w:rFonts w:ascii="Arial" w:eastAsia="宋体" w:hAnsi="Arial" w:cs="Arial"/>
            <w:webHidden/>
          </w:rPr>
          <w:instrText xml:space="preserve"> PAGEREF _Toc74662901 \h </w:instrText>
        </w:r>
        <w:r w:rsidRPr="00337064">
          <w:rPr>
            <w:rStyle w:val="a7"/>
            <w:rFonts w:ascii="Arial" w:eastAsia="宋体" w:hAnsi="Arial" w:cs="Arial"/>
            <w:webHidden/>
          </w:rPr>
        </w:r>
        <w:r w:rsidRPr="00337064">
          <w:rPr>
            <w:rStyle w:val="a7"/>
            <w:rFonts w:ascii="Arial" w:eastAsia="宋体" w:hAnsi="Arial" w:cs="Arial"/>
            <w:webHidden/>
          </w:rPr>
          <w:fldChar w:fldCharType="separate"/>
        </w:r>
        <w:r w:rsidR="00FA1E1B">
          <w:rPr>
            <w:rStyle w:val="a7"/>
            <w:rFonts w:ascii="Arial" w:eastAsia="宋体" w:hAnsi="Arial" w:cs="Arial"/>
            <w:webHidden/>
          </w:rPr>
          <w:t>27</w:t>
        </w:r>
        <w:r w:rsidRPr="00337064">
          <w:rPr>
            <w:rStyle w:val="a7"/>
            <w:rFonts w:ascii="Arial" w:eastAsia="宋体" w:hAnsi="Arial" w:cs="Arial"/>
            <w:webHidden/>
          </w:rPr>
          <w:fldChar w:fldCharType="end"/>
        </w:r>
      </w:hyperlink>
    </w:p>
    <w:p w14:paraId="7DDBBB21" w14:textId="77777777" w:rsidR="00337064" w:rsidRPr="00337064" w:rsidRDefault="00337064">
      <w:pPr>
        <w:pStyle w:val="20"/>
        <w:rPr>
          <w:rStyle w:val="a7"/>
          <w:rFonts w:ascii="Arial" w:eastAsia="宋体" w:hAnsi="Arial" w:cs="Arial"/>
        </w:rPr>
      </w:pPr>
      <w:hyperlink w:anchor="_Toc74662902" w:history="1">
        <w:r w:rsidRPr="00337064">
          <w:rPr>
            <w:rStyle w:val="a7"/>
            <w:rFonts w:ascii="Arial" w:eastAsia="宋体" w:hAnsi="Arial" w:cs="Arial" w:hint="eastAsia"/>
          </w:rPr>
          <w:t>（五）房地产市场概况</w:t>
        </w:r>
        <w:r w:rsidRPr="00337064">
          <w:rPr>
            <w:rStyle w:val="a7"/>
            <w:rFonts w:ascii="Arial" w:eastAsia="宋体" w:hAnsi="Arial" w:cs="Arial"/>
            <w:webHidden/>
          </w:rPr>
          <w:tab/>
        </w:r>
        <w:r w:rsidRPr="00337064">
          <w:rPr>
            <w:rStyle w:val="a7"/>
            <w:rFonts w:ascii="Arial" w:eastAsia="宋体" w:hAnsi="Arial" w:cs="Arial"/>
            <w:webHidden/>
          </w:rPr>
          <w:fldChar w:fldCharType="begin"/>
        </w:r>
        <w:r w:rsidRPr="00337064">
          <w:rPr>
            <w:rStyle w:val="a7"/>
            <w:rFonts w:ascii="Arial" w:eastAsia="宋体" w:hAnsi="Arial" w:cs="Arial"/>
            <w:webHidden/>
          </w:rPr>
          <w:instrText xml:space="preserve"> PAGEREF _Toc74662902 \h </w:instrText>
        </w:r>
        <w:r w:rsidRPr="00337064">
          <w:rPr>
            <w:rStyle w:val="a7"/>
            <w:rFonts w:ascii="Arial" w:eastAsia="宋体" w:hAnsi="Arial" w:cs="Arial"/>
            <w:webHidden/>
          </w:rPr>
        </w:r>
        <w:r w:rsidRPr="00337064">
          <w:rPr>
            <w:rStyle w:val="a7"/>
            <w:rFonts w:ascii="Arial" w:eastAsia="宋体" w:hAnsi="Arial" w:cs="Arial"/>
            <w:webHidden/>
          </w:rPr>
          <w:fldChar w:fldCharType="separate"/>
        </w:r>
        <w:r w:rsidR="00FA1E1B">
          <w:rPr>
            <w:rStyle w:val="a7"/>
            <w:rFonts w:ascii="Arial" w:eastAsia="宋体" w:hAnsi="Arial" w:cs="Arial"/>
            <w:webHidden/>
          </w:rPr>
          <w:t>31</w:t>
        </w:r>
        <w:r w:rsidRPr="00337064">
          <w:rPr>
            <w:rStyle w:val="a7"/>
            <w:rFonts w:ascii="Arial" w:eastAsia="宋体" w:hAnsi="Arial" w:cs="Arial"/>
            <w:webHidden/>
          </w:rPr>
          <w:fldChar w:fldCharType="end"/>
        </w:r>
      </w:hyperlink>
    </w:p>
    <w:p w14:paraId="71A6DC64" w14:textId="77777777" w:rsidR="00337064" w:rsidRPr="00337064" w:rsidRDefault="00337064">
      <w:pPr>
        <w:pStyle w:val="20"/>
        <w:rPr>
          <w:rStyle w:val="a7"/>
          <w:rFonts w:ascii="Arial" w:eastAsia="宋体" w:hAnsi="Arial" w:cs="Arial"/>
        </w:rPr>
      </w:pPr>
      <w:hyperlink w:anchor="_Toc74662903" w:history="1">
        <w:r w:rsidRPr="00337064">
          <w:rPr>
            <w:rStyle w:val="a7"/>
            <w:rFonts w:ascii="Arial" w:eastAsia="宋体" w:hAnsi="Arial" w:cs="Arial" w:hint="eastAsia"/>
          </w:rPr>
          <w:t>（六）房地产政策</w:t>
        </w:r>
        <w:r w:rsidRPr="00337064">
          <w:rPr>
            <w:rStyle w:val="a7"/>
            <w:rFonts w:ascii="Arial" w:eastAsia="宋体" w:hAnsi="Arial" w:cs="Arial"/>
            <w:webHidden/>
          </w:rPr>
          <w:tab/>
        </w:r>
        <w:r w:rsidRPr="00337064">
          <w:rPr>
            <w:rStyle w:val="a7"/>
            <w:rFonts w:ascii="Arial" w:eastAsia="宋体" w:hAnsi="Arial" w:cs="Arial"/>
            <w:webHidden/>
          </w:rPr>
          <w:fldChar w:fldCharType="begin"/>
        </w:r>
        <w:r w:rsidRPr="00337064">
          <w:rPr>
            <w:rStyle w:val="a7"/>
            <w:rFonts w:ascii="Arial" w:eastAsia="宋体" w:hAnsi="Arial" w:cs="Arial"/>
            <w:webHidden/>
          </w:rPr>
          <w:instrText xml:space="preserve"> PAGEREF _Toc74662903 \h </w:instrText>
        </w:r>
        <w:r w:rsidRPr="00337064">
          <w:rPr>
            <w:rStyle w:val="a7"/>
            <w:rFonts w:ascii="Arial" w:eastAsia="宋体" w:hAnsi="Arial" w:cs="Arial"/>
            <w:webHidden/>
          </w:rPr>
        </w:r>
        <w:r w:rsidRPr="00337064">
          <w:rPr>
            <w:rStyle w:val="a7"/>
            <w:rFonts w:ascii="Arial" w:eastAsia="宋体" w:hAnsi="Arial" w:cs="Arial"/>
            <w:webHidden/>
          </w:rPr>
          <w:fldChar w:fldCharType="separate"/>
        </w:r>
        <w:r w:rsidR="00FA1E1B">
          <w:rPr>
            <w:rStyle w:val="a7"/>
            <w:rFonts w:ascii="Arial" w:eastAsia="宋体" w:hAnsi="Arial" w:cs="Arial"/>
            <w:webHidden/>
          </w:rPr>
          <w:t>34</w:t>
        </w:r>
        <w:r w:rsidRPr="00337064">
          <w:rPr>
            <w:rStyle w:val="a7"/>
            <w:rFonts w:ascii="Arial" w:eastAsia="宋体" w:hAnsi="Arial" w:cs="Arial"/>
            <w:webHidden/>
          </w:rPr>
          <w:fldChar w:fldCharType="end"/>
        </w:r>
      </w:hyperlink>
    </w:p>
    <w:p w14:paraId="2961EED3" w14:textId="77777777" w:rsidR="00337064" w:rsidRPr="00337064" w:rsidRDefault="00337064">
      <w:pPr>
        <w:pStyle w:val="20"/>
        <w:rPr>
          <w:rStyle w:val="a7"/>
          <w:rFonts w:ascii="Arial" w:eastAsia="宋体" w:hAnsi="Arial" w:cs="Arial"/>
        </w:rPr>
      </w:pPr>
      <w:hyperlink w:anchor="_Toc74662904" w:history="1">
        <w:r w:rsidRPr="00337064">
          <w:rPr>
            <w:rStyle w:val="a7"/>
            <w:rFonts w:ascii="Arial" w:eastAsia="宋体" w:hAnsi="Arial" w:cs="Arial" w:hint="eastAsia"/>
          </w:rPr>
          <w:t>（七）区域市场分析</w:t>
        </w:r>
        <w:r w:rsidRPr="00337064">
          <w:rPr>
            <w:rStyle w:val="a7"/>
            <w:rFonts w:ascii="Arial" w:eastAsia="宋体" w:hAnsi="Arial" w:cs="Arial"/>
            <w:webHidden/>
          </w:rPr>
          <w:tab/>
        </w:r>
        <w:r w:rsidRPr="00337064">
          <w:rPr>
            <w:rStyle w:val="a7"/>
            <w:rFonts w:ascii="Arial" w:eastAsia="宋体" w:hAnsi="Arial" w:cs="Arial"/>
            <w:webHidden/>
          </w:rPr>
          <w:fldChar w:fldCharType="begin"/>
        </w:r>
        <w:r w:rsidRPr="00337064">
          <w:rPr>
            <w:rStyle w:val="a7"/>
            <w:rFonts w:ascii="Arial" w:eastAsia="宋体" w:hAnsi="Arial" w:cs="Arial"/>
            <w:webHidden/>
          </w:rPr>
          <w:instrText xml:space="preserve"> PAGEREF _Toc74662904 \h </w:instrText>
        </w:r>
        <w:r w:rsidRPr="00337064">
          <w:rPr>
            <w:rStyle w:val="a7"/>
            <w:rFonts w:ascii="Arial" w:eastAsia="宋体" w:hAnsi="Arial" w:cs="Arial"/>
            <w:webHidden/>
          </w:rPr>
        </w:r>
        <w:r w:rsidRPr="00337064">
          <w:rPr>
            <w:rStyle w:val="a7"/>
            <w:rFonts w:ascii="Arial" w:eastAsia="宋体" w:hAnsi="Arial" w:cs="Arial"/>
            <w:webHidden/>
          </w:rPr>
          <w:fldChar w:fldCharType="separate"/>
        </w:r>
        <w:r w:rsidR="00FA1E1B">
          <w:rPr>
            <w:rStyle w:val="a7"/>
            <w:rFonts w:ascii="Arial" w:eastAsia="宋体" w:hAnsi="Arial" w:cs="Arial"/>
            <w:webHidden/>
          </w:rPr>
          <w:t>36</w:t>
        </w:r>
        <w:r w:rsidRPr="00337064">
          <w:rPr>
            <w:rStyle w:val="a7"/>
            <w:rFonts w:ascii="Arial" w:eastAsia="宋体" w:hAnsi="Arial" w:cs="Arial"/>
            <w:webHidden/>
          </w:rPr>
          <w:fldChar w:fldCharType="end"/>
        </w:r>
      </w:hyperlink>
    </w:p>
    <w:p w14:paraId="2D13F04B" w14:textId="77777777" w:rsidR="00337064" w:rsidRPr="00337064" w:rsidRDefault="00337064">
      <w:pPr>
        <w:pStyle w:val="20"/>
        <w:rPr>
          <w:rStyle w:val="a7"/>
          <w:rFonts w:ascii="Arial" w:eastAsia="宋体" w:hAnsi="Arial" w:cs="Arial"/>
        </w:rPr>
      </w:pPr>
      <w:hyperlink w:anchor="_Toc74662905" w:history="1">
        <w:r w:rsidRPr="00337064">
          <w:rPr>
            <w:rStyle w:val="a7"/>
            <w:rFonts w:ascii="Arial" w:eastAsia="宋体" w:hAnsi="Arial" w:cs="Arial" w:hint="eastAsia"/>
          </w:rPr>
          <w:t>二、项目市场竞争能力分析</w:t>
        </w:r>
        <w:r w:rsidRPr="00337064">
          <w:rPr>
            <w:rStyle w:val="a7"/>
            <w:rFonts w:ascii="Arial" w:eastAsia="宋体" w:hAnsi="Arial" w:cs="Arial"/>
            <w:webHidden/>
          </w:rPr>
          <w:tab/>
        </w:r>
        <w:r w:rsidRPr="00337064">
          <w:rPr>
            <w:rStyle w:val="a7"/>
            <w:rFonts w:ascii="Arial" w:eastAsia="宋体" w:hAnsi="Arial" w:cs="Arial"/>
            <w:webHidden/>
          </w:rPr>
          <w:fldChar w:fldCharType="begin"/>
        </w:r>
        <w:r w:rsidRPr="00337064">
          <w:rPr>
            <w:rStyle w:val="a7"/>
            <w:rFonts w:ascii="Arial" w:eastAsia="宋体" w:hAnsi="Arial" w:cs="Arial"/>
            <w:webHidden/>
          </w:rPr>
          <w:instrText xml:space="preserve"> PAGEREF _Toc74662905 \h </w:instrText>
        </w:r>
        <w:r w:rsidRPr="00337064">
          <w:rPr>
            <w:rStyle w:val="a7"/>
            <w:rFonts w:ascii="Arial" w:eastAsia="宋体" w:hAnsi="Arial" w:cs="Arial"/>
            <w:webHidden/>
          </w:rPr>
        </w:r>
        <w:r w:rsidRPr="00337064">
          <w:rPr>
            <w:rStyle w:val="a7"/>
            <w:rFonts w:ascii="Arial" w:eastAsia="宋体" w:hAnsi="Arial" w:cs="Arial"/>
            <w:webHidden/>
          </w:rPr>
          <w:fldChar w:fldCharType="separate"/>
        </w:r>
        <w:r w:rsidR="00FA1E1B">
          <w:rPr>
            <w:rStyle w:val="a7"/>
            <w:rFonts w:ascii="Arial" w:eastAsia="宋体" w:hAnsi="Arial" w:cs="Arial"/>
            <w:webHidden/>
          </w:rPr>
          <w:t>50</w:t>
        </w:r>
        <w:r w:rsidRPr="00337064">
          <w:rPr>
            <w:rStyle w:val="a7"/>
            <w:rFonts w:ascii="Arial" w:eastAsia="宋体" w:hAnsi="Arial" w:cs="Arial"/>
            <w:webHidden/>
          </w:rPr>
          <w:fldChar w:fldCharType="end"/>
        </w:r>
      </w:hyperlink>
    </w:p>
    <w:p w14:paraId="70F62657" w14:textId="77777777" w:rsidR="00337064" w:rsidRPr="00337064" w:rsidRDefault="00337064">
      <w:pPr>
        <w:pStyle w:val="20"/>
        <w:rPr>
          <w:rStyle w:val="a7"/>
          <w:rFonts w:ascii="Arial" w:eastAsia="宋体" w:hAnsi="Arial" w:cs="Arial"/>
        </w:rPr>
      </w:pPr>
      <w:hyperlink w:anchor="_Toc74662906" w:history="1">
        <w:r w:rsidRPr="00337064">
          <w:rPr>
            <w:rStyle w:val="a7"/>
            <w:rFonts w:ascii="Arial" w:eastAsia="宋体" w:hAnsi="Arial" w:cs="Arial" w:hint="eastAsia"/>
          </w:rPr>
          <w:t>（一）优势</w:t>
        </w:r>
        <w:r w:rsidRPr="00337064">
          <w:rPr>
            <w:rStyle w:val="a7"/>
            <w:rFonts w:ascii="Arial" w:eastAsia="宋体" w:hAnsi="Arial" w:cs="Arial"/>
            <w:webHidden/>
          </w:rPr>
          <w:tab/>
        </w:r>
        <w:r w:rsidRPr="00337064">
          <w:rPr>
            <w:rStyle w:val="a7"/>
            <w:rFonts w:ascii="Arial" w:eastAsia="宋体" w:hAnsi="Arial" w:cs="Arial"/>
            <w:webHidden/>
          </w:rPr>
          <w:fldChar w:fldCharType="begin"/>
        </w:r>
        <w:r w:rsidRPr="00337064">
          <w:rPr>
            <w:rStyle w:val="a7"/>
            <w:rFonts w:ascii="Arial" w:eastAsia="宋体" w:hAnsi="Arial" w:cs="Arial"/>
            <w:webHidden/>
          </w:rPr>
          <w:instrText xml:space="preserve"> PAGEREF _Toc74662906 \h </w:instrText>
        </w:r>
        <w:r w:rsidRPr="00337064">
          <w:rPr>
            <w:rStyle w:val="a7"/>
            <w:rFonts w:ascii="Arial" w:eastAsia="宋体" w:hAnsi="Arial" w:cs="Arial"/>
            <w:webHidden/>
          </w:rPr>
        </w:r>
        <w:r w:rsidRPr="00337064">
          <w:rPr>
            <w:rStyle w:val="a7"/>
            <w:rFonts w:ascii="Arial" w:eastAsia="宋体" w:hAnsi="Arial" w:cs="Arial"/>
            <w:webHidden/>
          </w:rPr>
          <w:fldChar w:fldCharType="separate"/>
        </w:r>
        <w:r w:rsidR="00FA1E1B">
          <w:rPr>
            <w:rStyle w:val="a7"/>
            <w:rFonts w:ascii="Arial" w:eastAsia="宋体" w:hAnsi="Arial" w:cs="Arial"/>
            <w:webHidden/>
          </w:rPr>
          <w:t>50</w:t>
        </w:r>
        <w:r w:rsidRPr="00337064">
          <w:rPr>
            <w:rStyle w:val="a7"/>
            <w:rFonts w:ascii="Arial" w:eastAsia="宋体" w:hAnsi="Arial" w:cs="Arial"/>
            <w:webHidden/>
          </w:rPr>
          <w:fldChar w:fldCharType="end"/>
        </w:r>
      </w:hyperlink>
    </w:p>
    <w:p w14:paraId="2E29C12E" w14:textId="77777777" w:rsidR="00337064" w:rsidRPr="00337064" w:rsidRDefault="00337064">
      <w:pPr>
        <w:pStyle w:val="20"/>
        <w:rPr>
          <w:rStyle w:val="a7"/>
          <w:rFonts w:ascii="Arial" w:eastAsia="宋体" w:hAnsi="Arial" w:cs="Arial"/>
        </w:rPr>
      </w:pPr>
      <w:hyperlink w:anchor="_Toc74662907" w:history="1">
        <w:r w:rsidRPr="00337064">
          <w:rPr>
            <w:rStyle w:val="a7"/>
            <w:rFonts w:ascii="Arial" w:eastAsia="宋体" w:hAnsi="Arial" w:cs="Arial" w:hint="eastAsia"/>
          </w:rPr>
          <w:t>（二）劣势</w:t>
        </w:r>
        <w:r w:rsidRPr="00337064">
          <w:rPr>
            <w:rStyle w:val="a7"/>
            <w:rFonts w:ascii="Arial" w:eastAsia="宋体" w:hAnsi="Arial" w:cs="Arial"/>
            <w:webHidden/>
          </w:rPr>
          <w:tab/>
        </w:r>
        <w:r w:rsidRPr="00337064">
          <w:rPr>
            <w:rStyle w:val="a7"/>
            <w:rFonts w:ascii="Arial" w:eastAsia="宋体" w:hAnsi="Arial" w:cs="Arial"/>
            <w:webHidden/>
          </w:rPr>
          <w:fldChar w:fldCharType="begin"/>
        </w:r>
        <w:r w:rsidRPr="00337064">
          <w:rPr>
            <w:rStyle w:val="a7"/>
            <w:rFonts w:ascii="Arial" w:eastAsia="宋体" w:hAnsi="Arial" w:cs="Arial"/>
            <w:webHidden/>
          </w:rPr>
          <w:instrText xml:space="preserve"> PAGEREF _Toc74662907 \h </w:instrText>
        </w:r>
        <w:r w:rsidRPr="00337064">
          <w:rPr>
            <w:rStyle w:val="a7"/>
            <w:rFonts w:ascii="Arial" w:eastAsia="宋体" w:hAnsi="Arial" w:cs="Arial"/>
            <w:webHidden/>
          </w:rPr>
        </w:r>
        <w:r w:rsidRPr="00337064">
          <w:rPr>
            <w:rStyle w:val="a7"/>
            <w:rFonts w:ascii="Arial" w:eastAsia="宋体" w:hAnsi="Arial" w:cs="Arial"/>
            <w:webHidden/>
          </w:rPr>
          <w:fldChar w:fldCharType="separate"/>
        </w:r>
        <w:r w:rsidR="00FA1E1B">
          <w:rPr>
            <w:rStyle w:val="a7"/>
            <w:rFonts w:ascii="Arial" w:eastAsia="宋体" w:hAnsi="Arial" w:cs="Arial"/>
            <w:webHidden/>
          </w:rPr>
          <w:t>50</w:t>
        </w:r>
        <w:r w:rsidRPr="00337064">
          <w:rPr>
            <w:rStyle w:val="a7"/>
            <w:rFonts w:ascii="Arial" w:eastAsia="宋体" w:hAnsi="Arial" w:cs="Arial"/>
            <w:webHidden/>
          </w:rPr>
          <w:fldChar w:fldCharType="end"/>
        </w:r>
      </w:hyperlink>
    </w:p>
    <w:p w14:paraId="12E4D901" w14:textId="77777777" w:rsidR="00337064" w:rsidRPr="00337064" w:rsidRDefault="00337064">
      <w:pPr>
        <w:pStyle w:val="20"/>
        <w:rPr>
          <w:rStyle w:val="a7"/>
          <w:rFonts w:ascii="Arial" w:eastAsia="宋体" w:hAnsi="Arial" w:cs="Arial"/>
        </w:rPr>
      </w:pPr>
      <w:hyperlink w:anchor="_Toc74662908" w:history="1">
        <w:r w:rsidRPr="00337064">
          <w:rPr>
            <w:rStyle w:val="a7"/>
            <w:rFonts w:ascii="Arial" w:eastAsia="宋体" w:hAnsi="Arial" w:cs="Arial" w:hint="eastAsia"/>
          </w:rPr>
          <w:t>（三）机会</w:t>
        </w:r>
        <w:r w:rsidRPr="00337064">
          <w:rPr>
            <w:rStyle w:val="a7"/>
            <w:rFonts w:ascii="Arial" w:eastAsia="宋体" w:hAnsi="Arial" w:cs="Arial"/>
            <w:webHidden/>
          </w:rPr>
          <w:tab/>
        </w:r>
        <w:r w:rsidRPr="00337064">
          <w:rPr>
            <w:rStyle w:val="a7"/>
            <w:rFonts w:ascii="Arial" w:eastAsia="宋体" w:hAnsi="Arial" w:cs="Arial"/>
            <w:webHidden/>
          </w:rPr>
          <w:fldChar w:fldCharType="begin"/>
        </w:r>
        <w:r w:rsidRPr="00337064">
          <w:rPr>
            <w:rStyle w:val="a7"/>
            <w:rFonts w:ascii="Arial" w:eastAsia="宋体" w:hAnsi="Arial" w:cs="Arial"/>
            <w:webHidden/>
          </w:rPr>
          <w:instrText xml:space="preserve"> PAGEREF _Toc74662908 \h </w:instrText>
        </w:r>
        <w:r w:rsidRPr="00337064">
          <w:rPr>
            <w:rStyle w:val="a7"/>
            <w:rFonts w:ascii="Arial" w:eastAsia="宋体" w:hAnsi="Arial" w:cs="Arial"/>
            <w:webHidden/>
          </w:rPr>
        </w:r>
        <w:r w:rsidRPr="00337064">
          <w:rPr>
            <w:rStyle w:val="a7"/>
            <w:rFonts w:ascii="Arial" w:eastAsia="宋体" w:hAnsi="Arial" w:cs="Arial"/>
            <w:webHidden/>
          </w:rPr>
          <w:fldChar w:fldCharType="separate"/>
        </w:r>
        <w:r w:rsidR="00FA1E1B">
          <w:rPr>
            <w:rStyle w:val="a7"/>
            <w:rFonts w:ascii="Arial" w:eastAsia="宋体" w:hAnsi="Arial" w:cs="Arial"/>
            <w:webHidden/>
          </w:rPr>
          <w:t>50</w:t>
        </w:r>
        <w:r w:rsidRPr="00337064">
          <w:rPr>
            <w:rStyle w:val="a7"/>
            <w:rFonts w:ascii="Arial" w:eastAsia="宋体" w:hAnsi="Arial" w:cs="Arial"/>
            <w:webHidden/>
          </w:rPr>
          <w:fldChar w:fldCharType="end"/>
        </w:r>
      </w:hyperlink>
    </w:p>
    <w:p w14:paraId="7065C64A" w14:textId="77777777" w:rsidR="00337064" w:rsidRPr="00337064" w:rsidRDefault="00337064">
      <w:pPr>
        <w:pStyle w:val="20"/>
        <w:rPr>
          <w:rStyle w:val="a7"/>
          <w:rFonts w:ascii="Arial" w:eastAsia="宋体" w:hAnsi="Arial" w:cs="Arial"/>
        </w:rPr>
      </w:pPr>
      <w:hyperlink w:anchor="_Toc74662909" w:history="1">
        <w:r w:rsidRPr="00337064">
          <w:rPr>
            <w:rStyle w:val="a7"/>
            <w:rFonts w:ascii="Arial" w:eastAsia="宋体" w:hAnsi="Arial" w:cs="Arial" w:hint="eastAsia"/>
          </w:rPr>
          <w:t>（四）威胁</w:t>
        </w:r>
        <w:r w:rsidRPr="00337064">
          <w:rPr>
            <w:rStyle w:val="a7"/>
            <w:rFonts w:ascii="Arial" w:eastAsia="宋体" w:hAnsi="Arial" w:cs="Arial"/>
            <w:webHidden/>
          </w:rPr>
          <w:tab/>
        </w:r>
        <w:r w:rsidRPr="00337064">
          <w:rPr>
            <w:rStyle w:val="a7"/>
            <w:rFonts w:ascii="Arial" w:eastAsia="宋体" w:hAnsi="Arial" w:cs="Arial"/>
            <w:webHidden/>
          </w:rPr>
          <w:fldChar w:fldCharType="begin"/>
        </w:r>
        <w:r w:rsidRPr="00337064">
          <w:rPr>
            <w:rStyle w:val="a7"/>
            <w:rFonts w:ascii="Arial" w:eastAsia="宋体" w:hAnsi="Arial" w:cs="Arial"/>
            <w:webHidden/>
          </w:rPr>
          <w:instrText xml:space="preserve"> PAGEREF _Toc74662909 \h </w:instrText>
        </w:r>
        <w:r w:rsidRPr="00337064">
          <w:rPr>
            <w:rStyle w:val="a7"/>
            <w:rFonts w:ascii="Arial" w:eastAsia="宋体" w:hAnsi="Arial" w:cs="Arial"/>
            <w:webHidden/>
          </w:rPr>
        </w:r>
        <w:r w:rsidRPr="00337064">
          <w:rPr>
            <w:rStyle w:val="a7"/>
            <w:rFonts w:ascii="Arial" w:eastAsia="宋体" w:hAnsi="Arial" w:cs="Arial"/>
            <w:webHidden/>
          </w:rPr>
          <w:fldChar w:fldCharType="separate"/>
        </w:r>
        <w:r w:rsidR="00FA1E1B">
          <w:rPr>
            <w:rStyle w:val="a7"/>
            <w:rFonts w:ascii="Arial" w:eastAsia="宋体" w:hAnsi="Arial" w:cs="Arial"/>
            <w:webHidden/>
          </w:rPr>
          <w:t>50</w:t>
        </w:r>
        <w:r w:rsidRPr="00337064">
          <w:rPr>
            <w:rStyle w:val="a7"/>
            <w:rFonts w:ascii="Arial" w:eastAsia="宋体" w:hAnsi="Arial" w:cs="Arial"/>
            <w:webHidden/>
          </w:rPr>
          <w:fldChar w:fldCharType="end"/>
        </w:r>
      </w:hyperlink>
    </w:p>
    <w:p w14:paraId="0B74F74D" w14:textId="77777777" w:rsidR="00337064" w:rsidRPr="00337064" w:rsidRDefault="00337064">
      <w:pPr>
        <w:pStyle w:val="20"/>
        <w:rPr>
          <w:rStyle w:val="a7"/>
          <w:rFonts w:ascii="Arial" w:eastAsia="宋体" w:hAnsi="Arial" w:cs="Arial"/>
        </w:rPr>
      </w:pPr>
      <w:hyperlink w:anchor="_Toc74662910" w:history="1">
        <w:r w:rsidRPr="00337064">
          <w:rPr>
            <w:rStyle w:val="a7"/>
            <w:rFonts w:ascii="Arial" w:eastAsia="宋体" w:hAnsi="Arial" w:cs="Arial" w:hint="eastAsia"/>
          </w:rPr>
          <w:t>三、市场前景预测</w:t>
        </w:r>
        <w:r w:rsidRPr="00337064">
          <w:rPr>
            <w:rStyle w:val="a7"/>
            <w:rFonts w:ascii="Arial" w:eastAsia="宋体" w:hAnsi="Arial" w:cs="Arial"/>
            <w:webHidden/>
          </w:rPr>
          <w:tab/>
        </w:r>
        <w:r w:rsidRPr="00337064">
          <w:rPr>
            <w:rStyle w:val="a7"/>
            <w:rFonts w:ascii="Arial" w:eastAsia="宋体" w:hAnsi="Arial" w:cs="Arial"/>
            <w:webHidden/>
          </w:rPr>
          <w:fldChar w:fldCharType="begin"/>
        </w:r>
        <w:r w:rsidRPr="00337064">
          <w:rPr>
            <w:rStyle w:val="a7"/>
            <w:rFonts w:ascii="Arial" w:eastAsia="宋体" w:hAnsi="Arial" w:cs="Arial"/>
            <w:webHidden/>
          </w:rPr>
          <w:instrText xml:space="preserve"> PAGEREF _Toc74662910 \h </w:instrText>
        </w:r>
        <w:r w:rsidRPr="00337064">
          <w:rPr>
            <w:rStyle w:val="a7"/>
            <w:rFonts w:ascii="Arial" w:eastAsia="宋体" w:hAnsi="Arial" w:cs="Arial"/>
            <w:webHidden/>
          </w:rPr>
        </w:r>
        <w:r w:rsidRPr="00337064">
          <w:rPr>
            <w:rStyle w:val="a7"/>
            <w:rFonts w:ascii="Arial" w:eastAsia="宋体" w:hAnsi="Arial" w:cs="Arial"/>
            <w:webHidden/>
          </w:rPr>
          <w:fldChar w:fldCharType="separate"/>
        </w:r>
        <w:r w:rsidR="00FA1E1B">
          <w:rPr>
            <w:rStyle w:val="a7"/>
            <w:rFonts w:ascii="Arial" w:eastAsia="宋体" w:hAnsi="Arial" w:cs="Arial"/>
            <w:webHidden/>
          </w:rPr>
          <w:t>51</w:t>
        </w:r>
        <w:r w:rsidRPr="00337064">
          <w:rPr>
            <w:rStyle w:val="a7"/>
            <w:rFonts w:ascii="Arial" w:eastAsia="宋体" w:hAnsi="Arial" w:cs="Arial"/>
            <w:webHidden/>
          </w:rPr>
          <w:fldChar w:fldCharType="end"/>
        </w:r>
      </w:hyperlink>
    </w:p>
    <w:p w14:paraId="2140068A" w14:textId="77777777" w:rsidR="00337064" w:rsidRPr="00337064" w:rsidRDefault="00337064">
      <w:pPr>
        <w:pStyle w:val="20"/>
        <w:rPr>
          <w:rStyle w:val="a7"/>
          <w:rFonts w:ascii="Arial" w:eastAsia="宋体" w:hAnsi="Arial" w:cs="Arial"/>
        </w:rPr>
      </w:pPr>
      <w:hyperlink w:anchor="_Toc74662911" w:history="1">
        <w:r w:rsidRPr="00337064">
          <w:rPr>
            <w:rStyle w:val="a7"/>
            <w:rFonts w:ascii="Arial" w:eastAsia="宋体" w:hAnsi="Arial" w:cs="Arial" w:hint="eastAsia"/>
          </w:rPr>
          <w:t>（一）项目定位分析</w:t>
        </w:r>
        <w:r w:rsidRPr="00337064">
          <w:rPr>
            <w:rStyle w:val="a7"/>
            <w:rFonts w:ascii="Arial" w:eastAsia="宋体" w:hAnsi="Arial" w:cs="Arial"/>
            <w:webHidden/>
          </w:rPr>
          <w:tab/>
        </w:r>
        <w:r w:rsidRPr="00337064">
          <w:rPr>
            <w:rStyle w:val="a7"/>
            <w:rFonts w:ascii="Arial" w:eastAsia="宋体" w:hAnsi="Arial" w:cs="Arial"/>
            <w:webHidden/>
          </w:rPr>
          <w:fldChar w:fldCharType="begin"/>
        </w:r>
        <w:r w:rsidRPr="00337064">
          <w:rPr>
            <w:rStyle w:val="a7"/>
            <w:rFonts w:ascii="Arial" w:eastAsia="宋体" w:hAnsi="Arial" w:cs="Arial"/>
            <w:webHidden/>
          </w:rPr>
          <w:instrText xml:space="preserve"> PAGEREF _Toc74662911 \h </w:instrText>
        </w:r>
        <w:r w:rsidRPr="00337064">
          <w:rPr>
            <w:rStyle w:val="a7"/>
            <w:rFonts w:ascii="Arial" w:eastAsia="宋体" w:hAnsi="Arial" w:cs="Arial"/>
            <w:webHidden/>
          </w:rPr>
        </w:r>
        <w:r w:rsidRPr="00337064">
          <w:rPr>
            <w:rStyle w:val="a7"/>
            <w:rFonts w:ascii="Arial" w:eastAsia="宋体" w:hAnsi="Arial" w:cs="Arial"/>
            <w:webHidden/>
          </w:rPr>
          <w:fldChar w:fldCharType="separate"/>
        </w:r>
        <w:r w:rsidR="00FA1E1B">
          <w:rPr>
            <w:rStyle w:val="a7"/>
            <w:rFonts w:ascii="Arial" w:eastAsia="宋体" w:hAnsi="Arial" w:cs="Arial"/>
            <w:webHidden/>
          </w:rPr>
          <w:t>51</w:t>
        </w:r>
        <w:r w:rsidRPr="00337064">
          <w:rPr>
            <w:rStyle w:val="a7"/>
            <w:rFonts w:ascii="Arial" w:eastAsia="宋体" w:hAnsi="Arial" w:cs="Arial"/>
            <w:webHidden/>
          </w:rPr>
          <w:fldChar w:fldCharType="end"/>
        </w:r>
      </w:hyperlink>
    </w:p>
    <w:p w14:paraId="30478D23" w14:textId="77777777" w:rsidR="00337064" w:rsidRPr="00337064" w:rsidRDefault="00337064">
      <w:pPr>
        <w:pStyle w:val="20"/>
        <w:rPr>
          <w:rStyle w:val="a7"/>
          <w:rFonts w:ascii="Arial" w:eastAsia="宋体" w:hAnsi="Arial" w:cs="Arial"/>
        </w:rPr>
      </w:pPr>
      <w:hyperlink w:anchor="_Toc74662912" w:history="1">
        <w:r w:rsidRPr="00337064">
          <w:rPr>
            <w:rStyle w:val="a7"/>
            <w:rFonts w:ascii="Arial" w:eastAsia="宋体" w:hAnsi="Arial" w:cs="Arial" w:hint="eastAsia"/>
          </w:rPr>
          <w:t>（二）项目销售价格定位分析</w:t>
        </w:r>
        <w:r w:rsidRPr="00337064">
          <w:rPr>
            <w:rStyle w:val="a7"/>
            <w:rFonts w:ascii="Arial" w:eastAsia="宋体" w:hAnsi="Arial" w:cs="Arial"/>
            <w:webHidden/>
          </w:rPr>
          <w:tab/>
        </w:r>
        <w:r w:rsidRPr="00337064">
          <w:rPr>
            <w:rStyle w:val="a7"/>
            <w:rFonts w:ascii="Arial" w:eastAsia="宋体" w:hAnsi="Arial" w:cs="Arial"/>
            <w:webHidden/>
          </w:rPr>
          <w:fldChar w:fldCharType="begin"/>
        </w:r>
        <w:r w:rsidRPr="00337064">
          <w:rPr>
            <w:rStyle w:val="a7"/>
            <w:rFonts w:ascii="Arial" w:eastAsia="宋体" w:hAnsi="Arial" w:cs="Arial"/>
            <w:webHidden/>
          </w:rPr>
          <w:instrText xml:space="preserve"> PAGEREF _Toc74662912 \h </w:instrText>
        </w:r>
        <w:r w:rsidRPr="00337064">
          <w:rPr>
            <w:rStyle w:val="a7"/>
            <w:rFonts w:ascii="Arial" w:eastAsia="宋体" w:hAnsi="Arial" w:cs="Arial"/>
            <w:webHidden/>
          </w:rPr>
        </w:r>
        <w:r w:rsidRPr="00337064">
          <w:rPr>
            <w:rStyle w:val="a7"/>
            <w:rFonts w:ascii="Arial" w:eastAsia="宋体" w:hAnsi="Arial" w:cs="Arial"/>
            <w:webHidden/>
          </w:rPr>
          <w:fldChar w:fldCharType="separate"/>
        </w:r>
        <w:r w:rsidR="00FA1E1B">
          <w:rPr>
            <w:rStyle w:val="a7"/>
            <w:rFonts w:ascii="Arial" w:eastAsia="宋体" w:hAnsi="Arial" w:cs="Arial"/>
            <w:webHidden/>
          </w:rPr>
          <w:t>51</w:t>
        </w:r>
        <w:r w:rsidRPr="00337064">
          <w:rPr>
            <w:rStyle w:val="a7"/>
            <w:rFonts w:ascii="Arial" w:eastAsia="宋体" w:hAnsi="Arial" w:cs="Arial"/>
            <w:webHidden/>
          </w:rPr>
          <w:fldChar w:fldCharType="end"/>
        </w:r>
      </w:hyperlink>
    </w:p>
    <w:p w14:paraId="43FE499D" w14:textId="77777777" w:rsidR="00337064" w:rsidRDefault="00337064">
      <w:pPr>
        <w:pStyle w:val="10"/>
        <w:rPr>
          <w:rFonts w:asciiTheme="minorHAnsi" w:eastAsiaTheme="minorEastAsia" w:hAnsiTheme="minorHAnsi" w:cstheme="minorBidi"/>
          <w:b w:val="0"/>
          <w:bCs w:val="0"/>
          <w:caps w:val="0"/>
          <w:kern w:val="2"/>
          <w:sz w:val="21"/>
          <w:szCs w:val="22"/>
        </w:rPr>
      </w:pPr>
      <w:hyperlink w:anchor="_Toc74662913" w:history="1">
        <w:r w:rsidRPr="00156CE0">
          <w:rPr>
            <w:rStyle w:val="a7"/>
            <w:rFonts w:eastAsia="方正黑体简体" w:hint="eastAsia"/>
          </w:rPr>
          <w:t>第四章</w:t>
        </w:r>
        <w:r w:rsidRPr="00156CE0">
          <w:rPr>
            <w:rStyle w:val="a7"/>
            <w:rFonts w:eastAsia="方正黑体简体"/>
          </w:rPr>
          <w:t xml:space="preserve">  </w:t>
        </w:r>
        <w:r w:rsidRPr="00156CE0">
          <w:rPr>
            <w:rStyle w:val="a7"/>
            <w:rFonts w:eastAsia="方正黑体简体" w:hint="eastAsia"/>
          </w:rPr>
          <w:t>投资估算和筹资评价</w:t>
        </w:r>
        <w:r>
          <w:rPr>
            <w:webHidden/>
          </w:rPr>
          <w:tab/>
        </w:r>
        <w:r>
          <w:rPr>
            <w:webHidden/>
          </w:rPr>
          <w:fldChar w:fldCharType="begin"/>
        </w:r>
        <w:r>
          <w:rPr>
            <w:webHidden/>
          </w:rPr>
          <w:instrText xml:space="preserve"> PAGEREF _Toc74662913 \h </w:instrText>
        </w:r>
        <w:r>
          <w:rPr>
            <w:webHidden/>
          </w:rPr>
        </w:r>
        <w:r>
          <w:rPr>
            <w:webHidden/>
          </w:rPr>
          <w:fldChar w:fldCharType="separate"/>
        </w:r>
        <w:r w:rsidR="00FA1E1B">
          <w:rPr>
            <w:webHidden/>
          </w:rPr>
          <w:t>52</w:t>
        </w:r>
        <w:r>
          <w:rPr>
            <w:webHidden/>
          </w:rPr>
          <w:fldChar w:fldCharType="end"/>
        </w:r>
      </w:hyperlink>
    </w:p>
    <w:p w14:paraId="0D5AD3F8" w14:textId="77777777" w:rsidR="00337064" w:rsidRPr="00337064" w:rsidRDefault="00337064">
      <w:pPr>
        <w:pStyle w:val="20"/>
        <w:rPr>
          <w:rStyle w:val="a7"/>
          <w:rFonts w:ascii="Arial" w:eastAsia="宋体" w:hAnsi="Arial" w:cs="Arial"/>
        </w:rPr>
      </w:pPr>
      <w:hyperlink w:anchor="_Toc74662914" w:history="1">
        <w:r w:rsidRPr="00337064">
          <w:rPr>
            <w:rStyle w:val="a7"/>
            <w:rFonts w:ascii="Arial" w:eastAsia="宋体" w:hAnsi="Arial" w:cs="Arial" w:hint="eastAsia"/>
          </w:rPr>
          <w:t>一、投资估算</w:t>
        </w:r>
        <w:r w:rsidRPr="00337064">
          <w:rPr>
            <w:rStyle w:val="a7"/>
            <w:rFonts w:ascii="Arial" w:eastAsia="宋体" w:hAnsi="Arial" w:cs="Arial"/>
            <w:webHidden/>
          </w:rPr>
          <w:tab/>
        </w:r>
        <w:r w:rsidRPr="00337064">
          <w:rPr>
            <w:rStyle w:val="a7"/>
            <w:rFonts w:ascii="Arial" w:eastAsia="宋体" w:hAnsi="Arial" w:cs="Arial"/>
            <w:webHidden/>
          </w:rPr>
          <w:fldChar w:fldCharType="begin"/>
        </w:r>
        <w:r w:rsidRPr="00337064">
          <w:rPr>
            <w:rStyle w:val="a7"/>
            <w:rFonts w:ascii="Arial" w:eastAsia="宋体" w:hAnsi="Arial" w:cs="Arial"/>
            <w:webHidden/>
          </w:rPr>
          <w:instrText xml:space="preserve"> PAGEREF _Toc74662914 \h </w:instrText>
        </w:r>
        <w:r w:rsidRPr="00337064">
          <w:rPr>
            <w:rStyle w:val="a7"/>
            <w:rFonts w:ascii="Arial" w:eastAsia="宋体" w:hAnsi="Arial" w:cs="Arial"/>
            <w:webHidden/>
          </w:rPr>
        </w:r>
        <w:r w:rsidRPr="00337064">
          <w:rPr>
            <w:rStyle w:val="a7"/>
            <w:rFonts w:ascii="Arial" w:eastAsia="宋体" w:hAnsi="Arial" w:cs="Arial"/>
            <w:webHidden/>
          </w:rPr>
          <w:fldChar w:fldCharType="separate"/>
        </w:r>
        <w:r w:rsidR="00FA1E1B">
          <w:rPr>
            <w:rStyle w:val="a7"/>
            <w:rFonts w:ascii="Arial" w:eastAsia="宋体" w:hAnsi="Arial" w:cs="Arial"/>
            <w:webHidden/>
          </w:rPr>
          <w:t>52</w:t>
        </w:r>
        <w:r w:rsidRPr="00337064">
          <w:rPr>
            <w:rStyle w:val="a7"/>
            <w:rFonts w:ascii="Arial" w:eastAsia="宋体" w:hAnsi="Arial" w:cs="Arial"/>
            <w:webHidden/>
          </w:rPr>
          <w:fldChar w:fldCharType="end"/>
        </w:r>
      </w:hyperlink>
    </w:p>
    <w:p w14:paraId="708292F4" w14:textId="77777777" w:rsidR="00337064" w:rsidRPr="00337064" w:rsidRDefault="00337064">
      <w:pPr>
        <w:pStyle w:val="20"/>
        <w:rPr>
          <w:rStyle w:val="a7"/>
          <w:rFonts w:ascii="Arial" w:eastAsia="宋体" w:hAnsi="Arial" w:cs="Arial"/>
        </w:rPr>
      </w:pPr>
      <w:hyperlink w:anchor="_Toc74662915" w:history="1">
        <w:r w:rsidRPr="00337064">
          <w:rPr>
            <w:rStyle w:val="a7"/>
            <w:rFonts w:ascii="Arial" w:eastAsia="宋体" w:hAnsi="Arial" w:cs="Arial" w:hint="eastAsia"/>
          </w:rPr>
          <w:t>（一）估算原则</w:t>
        </w:r>
        <w:r w:rsidRPr="00337064">
          <w:rPr>
            <w:rStyle w:val="a7"/>
            <w:rFonts w:ascii="Arial" w:eastAsia="宋体" w:hAnsi="Arial" w:cs="Arial"/>
            <w:webHidden/>
          </w:rPr>
          <w:tab/>
        </w:r>
        <w:r w:rsidRPr="00337064">
          <w:rPr>
            <w:rStyle w:val="a7"/>
            <w:rFonts w:ascii="Arial" w:eastAsia="宋体" w:hAnsi="Arial" w:cs="Arial"/>
            <w:webHidden/>
          </w:rPr>
          <w:fldChar w:fldCharType="begin"/>
        </w:r>
        <w:r w:rsidRPr="00337064">
          <w:rPr>
            <w:rStyle w:val="a7"/>
            <w:rFonts w:ascii="Arial" w:eastAsia="宋体" w:hAnsi="Arial" w:cs="Arial"/>
            <w:webHidden/>
          </w:rPr>
          <w:instrText xml:space="preserve"> PAGEREF _Toc74662915 \h </w:instrText>
        </w:r>
        <w:r w:rsidRPr="00337064">
          <w:rPr>
            <w:rStyle w:val="a7"/>
            <w:rFonts w:ascii="Arial" w:eastAsia="宋体" w:hAnsi="Arial" w:cs="Arial"/>
            <w:webHidden/>
          </w:rPr>
        </w:r>
        <w:r w:rsidRPr="00337064">
          <w:rPr>
            <w:rStyle w:val="a7"/>
            <w:rFonts w:ascii="Arial" w:eastAsia="宋体" w:hAnsi="Arial" w:cs="Arial"/>
            <w:webHidden/>
          </w:rPr>
          <w:fldChar w:fldCharType="separate"/>
        </w:r>
        <w:r w:rsidR="00FA1E1B">
          <w:rPr>
            <w:rStyle w:val="a7"/>
            <w:rFonts w:ascii="Arial" w:eastAsia="宋体" w:hAnsi="Arial" w:cs="Arial"/>
            <w:webHidden/>
          </w:rPr>
          <w:t>52</w:t>
        </w:r>
        <w:r w:rsidRPr="00337064">
          <w:rPr>
            <w:rStyle w:val="a7"/>
            <w:rFonts w:ascii="Arial" w:eastAsia="宋体" w:hAnsi="Arial" w:cs="Arial"/>
            <w:webHidden/>
          </w:rPr>
          <w:fldChar w:fldCharType="end"/>
        </w:r>
      </w:hyperlink>
    </w:p>
    <w:p w14:paraId="5C4C8DE1" w14:textId="77777777" w:rsidR="00337064" w:rsidRPr="00337064" w:rsidRDefault="00337064">
      <w:pPr>
        <w:pStyle w:val="20"/>
        <w:rPr>
          <w:rStyle w:val="a7"/>
          <w:rFonts w:ascii="Arial" w:eastAsia="宋体" w:hAnsi="Arial" w:cs="Arial"/>
        </w:rPr>
      </w:pPr>
      <w:hyperlink w:anchor="_Toc74662916" w:history="1">
        <w:r w:rsidRPr="00337064">
          <w:rPr>
            <w:rStyle w:val="a7"/>
            <w:rFonts w:ascii="Arial" w:eastAsia="宋体" w:hAnsi="Arial" w:cs="Arial" w:hint="eastAsia"/>
          </w:rPr>
          <w:t>（二）投资构成及估算依据</w:t>
        </w:r>
        <w:r w:rsidRPr="00337064">
          <w:rPr>
            <w:rStyle w:val="a7"/>
            <w:rFonts w:ascii="Arial" w:eastAsia="宋体" w:hAnsi="Arial" w:cs="Arial"/>
            <w:webHidden/>
          </w:rPr>
          <w:tab/>
        </w:r>
        <w:r w:rsidRPr="00337064">
          <w:rPr>
            <w:rStyle w:val="a7"/>
            <w:rFonts w:ascii="Arial" w:eastAsia="宋体" w:hAnsi="Arial" w:cs="Arial"/>
            <w:webHidden/>
          </w:rPr>
          <w:fldChar w:fldCharType="begin"/>
        </w:r>
        <w:r w:rsidRPr="00337064">
          <w:rPr>
            <w:rStyle w:val="a7"/>
            <w:rFonts w:ascii="Arial" w:eastAsia="宋体" w:hAnsi="Arial" w:cs="Arial"/>
            <w:webHidden/>
          </w:rPr>
          <w:instrText xml:space="preserve"> PAGEREF _Toc74662916 \h </w:instrText>
        </w:r>
        <w:r w:rsidRPr="00337064">
          <w:rPr>
            <w:rStyle w:val="a7"/>
            <w:rFonts w:ascii="Arial" w:eastAsia="宋体" w:hAnsi="Arial" w:cs="Arial"/>
            <w:webHidden/>
          </w:rPr>
        </w:r>
        <w:r w:rsidRPr="00337064">
          <w:rPr>
            <w:rStyle w:val="a7"/>
            <w:rFonts w:ascii="Arial" w:eastAsia="宋体" w:hAnsi="Arial" w:cs="Arial"/>
            <w:webHidden/>
          </w:rPr>
          <w:fldChar w:fldCharType="separate"/>
        </w:r>
        <w:r w:rsidR="00FA1E1B">
          <w:rPr>
            <w:rStyle w:val="a7"/>
            <w:rFonts w:ascii="Arial" w:eastAsia="宋体" w:hAnsi="Arial" w:cs="Arial"/>
            <w:webHidden/>
          </w:rPr>
          <w:t>52</w:t>
        </w:r>
        <w:r w:rsidRPr="00337064">
          <w:rPr>
            <w:rStyle w:val="a7"/>
            <w:rFonts w:ascii="Arial" w:eastAsia="宋体" w:hAnsi="Arial" w:cs="Arial"/>
            <w:webHidden/>
          </w:rPr>
          <w:fldChar w:fldCharType="end"/>
        </w:r>
      </w:hyperlink>
    </w:p>
    <w:p w14:paraId="7FEBD883" w14:textId="77777777" w:rsidR="00337064" w:rsidRPr="00337064" w:rsidRDefault="00337064">
      <w:pPr>
        <w:pStyle w:val="20"/>
        <w:rPr>
          <w:rStyle w:val="a7"/>
          <w:rFonts w:ascii="Arial" w:eastAsia="宋体" w:hAnsi="Arial" w:cs="Arial"/>
        </w:rPr>
      </w:pPr>
      <w:hyperlink w:anchor="_Toc74662917" w:history="1">
        <w:r w:rsidRPr="00337064">
          <w:rPr>
            <w:rStyle w:val="a7"/>
            <w:rFonts w:ascii="Arial" w:eastAsia="宋体" w:hAnsi="Arial" w:cs="Arial" w:hint="eastAsia"/>
          </w:rPr>
          <w:t>二、筹资评价</w:t>
        </w:r>
        <w:r w:rsidRPr="00337064">
          <w:rPr>
            <w:rStyle w:val="a7"/>
            <w:rFonts w:ascii="Arial" w:eastAsia="宋体" w:hAnsi="Arial" w:cs="Arial"/>
            <w:webHidden/>
          </w:rPr>
          <w:tab/>
        </w:r>
        <w:r w:rsidRPr="00337064">
          <w:rPr>
            <w:rStyle w:val="a7"/>
            <w:rFonts w:ascii="Arial" w:eastAsia="宋体" w:hAnsi="Arial" w:cs="Arial"/>
            <w:webHidden/>
          </w:rPr>
          <w:fldChar w:fldCharType="begin"/>
        </w:r>
        <w:r w:rsidRPr="00337064">
          <w:rPr>
            <w:rStyle w:val="a7"/>
            <w:rFonts w:ascii="Arial" w:eastAsia="宋体" w:hAnsi="Arial" w:cs="Arial"/>
            <w:webHidden/>
          </w:rPr>
          <w:instrText xml:space="preserve"> PAGEREF _Toc74662917 \h </w:instrText>
        </w:r>
        <w:r w:rsidRPr="00337064">
          <w:rPr>
            <w:rStyle w:val="a7"/>
            <w:rFonts w:ascii="Arial" w:eastAsia="宋体" w:hAnsi="Arial" w:cs="Arial"/>
            <w:webHidden/>
          </w:rPr>
        </w:r>
        <w:r w:rsidRPr="00337064">
          <w:rPr>
            <w:rStyle w:val="a7"/>
            <w:rFonts w:ascii="Arial" w:eastAsia="宋体" w:hAnsi="Arial" w:cs="Arial"/>
            <w:webHidden/>
          </w:rPr>
          <w:fldChar w:fldCharType="separate"/>
        </w:r>
        <w:r w:rsidR="00FA1E1B">
          <w:rPr>
            <w:rStyle w:val="a7"/>
            <w:rFonts w:ascii="Arial" w:eastAsia="宋体" w:hAnsi="Arial" w:cs="Arial"/>
            <w:webHidden/>
          </w:rPr>
          <w:t>55</w:t>
        </w:r>
        <w:r w:rsidRPr="00337064">
          <w:rPr>
            <w:rStyle w:val="a7"/>
            <w:rFonts w:ascii="Arial" w:eastAsia="宋体" w:hAnsi="Arial" w:cs="Arial"/>
            <w:webHidden/>
          </w:rPr>
          <w:fldChar w:fldCharType="end"/>
        </w:r>
      </w:hyperlink>
    </w:p>
    <w:p w14:paraId="15DE0963" w14:textId="77777777" w:rsidR="00337064" w:rsidRPr="00337064" w:rsidRDefault="00337064">
      <w:pPr>
        <w:pStyle w:val="20"/>
        <w:rPr>
          <w:rStyle w:val="a7"/>
          <w:rFonts w:ascii="Arial" w:eastAsia="宋体" w:hAnsi="Arial" w:cs="Arial"/>
        </w:rPr>
      </w:pPr>
      <w:hyperlink w:anchor="_Toc74662918" w:history="1">
        <w:r w:rsidRPr="00337064">
          <w:rPr>
            <w:rStyle w:val="a7"/>
            <w:rFonts w:ascii="Arial" w:eastAsia="宋体" w:hAnsi="Arial" w:cs="Arial" w:hint="eastAsia"/>
          </w:rPr>
          <w:t>三、投资计划安排</w:t>
        </w:r>
        <w:r w:rsidRPr="00337064">
          <w:rPr>
            <w:rStyle w:val="a7"/>
            <w:rFonts w:ascii="Arial" w:eastAsia="宋体" w:hAnsi="Arial" w:cs="Arial"/>
            <w:webHidden/>
          </w:rPr>
          <w:tab/>
        </w:r>
        <w:r w:rsidRPr="00337064">
          <w:rPr>
            <w:rStyle w:val="a7"/>
            <w:rFonts w:ascii="Arial" w:eastAsia="宋体" w:hAnsi="Arial" w:cs="Arial"/>
            <w:webHidden/>
          </w:rPr>
          <w:fldChar w:fldCharType="begin"/>
        </w:r>
        <w:r w:rsidRPr="00337064">
          <w:rPr>
            <w:rStyle w:val="a7"/>
            <w:rFonts w:ascii="Arial" w:eastAsia="宋体" w:hAnsi="Arial" w:cs="Arial"/>
            <w:webHidden/>
          </w:rPr>
          <w:instrText xml:space="preserve"> PAGEREF _Toc74662918 \h </w:instrText>
        </w:r>
        <w:r w:rsidRPr="00337064">
          <w:rPr>
            <w:rStyle w:val="a7"/>
            <w:rFonts w:ascii="Arial" w:eastAsia="宋体" w:hAnsi="Arial" w:cs="Arial"/>
            <w:webHidden/>
          </w:rPr>
        </w:r>
        <w:r w:rsidRPr="00337064">
          <w:rPr>
            <w:rStyle w:val="a7"/>
            <w:rFonts w:ascii="Arial" w:eastAsia="宋体" w:hAnsi="Arial" w:cs="Arial"/>
            <w:webHidden/>
          </w:rPr>
          <w:fldChar w:fldCharType="separate"/>
        </w:r>
        <w:r w:rsidR="00FA1E1B">
          <w:rPr>
            <w:rStyle w:val="a7"/>
            <w:rFonts w:ascii="Arial" w:eastAsia="宋体" w:hAnsi="Arial" w:cs="Arial"/>
            <w:webHidden/>
          </w:rPr>
          <w:t>55</w:t>
        </w:r>
        <w:r w:rsidRPr="00337064">
          <w:rPr>
            <w:rStyle w:val="a7"/>
            <w:rFonts w:ascii="Arial" w:eastAsia="宋体" w:hAnsi="Arial" w:cs="Arial"/>
            <w:webHidden/>
          </w:rPr>
          <w:fldChar w:fldCharType="end"/>
        </w:r>
      </w:hyperlink>
    </w:p>
    <w:p w14:paraId="021ACEBF" w14:textId="77777777" w:rsidR="00337064" w:rsidRDefault="00337064">
      <w:pPr>
        <w:pStyle w:val="10"/>
        <w:rPr>
          <w:rFonts w:asciiTheme="minorHAnsi" w:eastAsiaTheme="minorEastAsia" w:hAnsiTheme="minorHAnsi" w:cstheme="minorBidi"/>
          <w:b w:val="0"/>
          <w:bCs w:val="0"/>
          <w:caps w:val="0"/>
          <w:kern w:val="2"/>
          <w:sz w:val="21"/>
          <w:szCs w:val="22"/>
        </w:rPr>
      </w:pPr>
      <w:hyperlink w:anchor="_Toc74662919" w:history="1">
        <w:r w:rsidRPr="00156CE0">
          <w:rPr>
            <w:rStyle w:val="a7"/>
            <w:rFonts w:eastAsia="方正黑体简体" w:hint="eastAsia"/>
          </w:rPr>
          <w:t>第五章</w:t>
        </w:r>
        <w:r w:rsidRPr="00156CE0">
          <w:rPr>
            <w:rStyle w:val="a7"/>
            <w:rFonts w:eastAsia="方正黑体简体"/>
          </w:rPr>
          <w:t xml:space="preserve">  </w:t>
        </w:r>
        <w:r w:rsidRPr="00156CE0">
          <w:rPr>
            <w:rStyle w:val="a7"/>
            <w:rFonts w:eastAsia="方正黑体简体" w:hint="eastAsia"/>
          </w:rPr>
          <w:t>项目效益</w:t>
        </w:r>
        <w:r>
          <w:rPr>
            <w:webHidden/>
          </w:rPr>
          <w:tab/>
        </w:r>
        <w:r>
          <w:rPr>
            <w:webHidden/>
          </w:rPr>
          <w:fldChar w:fldCharType="begin"/>
        </w:r>
        <w:r>
          <w:rPr>
            <w:webHidden/>
          </w:rPr>
          <w:instrText xml:space="preserve"> PAGEREF _Toc74662919 \h </w:instrText>
        </w:r>
        <w:r>
          <w:rPr>
            <w:webHidden/>
          </w:rPr>
        </w:r>
        <w:r>
          <w:rPr>
            <w:webHidden/>
          </w:rPr>
          <w:fldChar w:fldCharType="separate"/>
        </w:r>
        <w:r w:rsidR="00FA1E1B">
          <w:rPr>
            <w:webHidden/>
          </w:rPr>
          <w:t>57</w:t>
        </w:r>
        <w:r>
          <w:rPr>
            <w:webHidden/>
          </w:rPr>
          <w:fldChar w:fldCharType="end"/>
        </w:r>
      </w:hyperlink>
    </w:p>
    <w:p w14:paraId="597A1634" w14:textId="77777777" w:rsidR="00337064" w:rsidRPr="00337064" w:rsidRDefault="00337064">
      <w:pPr>
        <w:pStyle w:val="20"/>
        <w:rPr>
          <w:rStyle w:val="a7"/>
          <w:rFonts w:ascii="Arial" w:eastAsia="宋体" w:hAnsi="Arial" w:cs="Arial"/>
        </w:rPr>
      </w:pPr>
      <w:hyperlink w:anchor="_Toc74662920" w:history="1">
        <w:r w:rsidRPr="00337064">
          <w:rPr>
            <w:rStyle w:val="a7"/>
            <w:rFonts w:ascii="Arial" w:eastAsia="宋体" w:hAnsi="Arial" w:cs="Arial" w:hint="eastAsia"/>
          </w:rPr>
          <w:t>一、测算原则及考虑因素</w:t>
        </w:r>
        <w:r w:rsidRPr="00337064">
          <w:rPr>
            <w:rStyle w:val="a7"/>
            <w:rFonts w:ascii="Arial" w:eastAsia="宋体" w:hAnsi="Arial" w:cs="Arial"/>
            <w:webHidden/>
          </w:rPr>
          <w:tab/>
        </w:r>
        <w:r w:rsidRPr="00337064">
          <w:rPr>
            <w:rStyle w:val="a7"/>
            <w:rFonts w:ascii="Arial" w:eastAsia="宋体" w:hAnsi="Arial" w:cs="Arial"/>
            <w:webHidden/>
          </w:rPr>
          <w:fldChar w:fldCharType="begin"/>
        </w:r>
        <w:r w:rsidRPr="00337064">
          <w:rPr>
            <w:rStyle w:val="a7"/>
            <w:rFonts w:ascii="Arial" w:eastAsia="宋体" w:hAnsi="Arial" w:cs="Arial"/>
            <w:webHidden/>
          </w:rPr>
          <w:instrText xml:space="preserve"> PAGEREF _Toc74662920 \h </w:instrText>
        </w:r>
        <w:r w:rsidRPr="00337064">
          <w:rPr>
            <w:rStyle w:val="a7"/>
            <w:rFonts w:ascii="Arial" w:eastAsia="宋体" w:hAnsi="Arial" w:cs="Arial"/>
            <w:webHidden/>
          </w:rPr>
        </w:r>
        <w:r w:rsidRPr="00337064">
          <w:rPr>
            <w:rStyle w:val="a7"/>
            <w:rFonts w:ascii="Arial" w:eastAsia="宋体" w:hAnsi="Arial" w:cs="Arial"/>
            <w:webHidden/>
          </w:rPr>
          <w:fldChar w:fldCharType="separate"/>
        </w:r>
        <w:r w:rsidR="00FA1E1B">
          <w:rPr>
            <w:rStyle w:val="a7"/>
            <w:rFonts w:ascii="Arial" w:eastAsia="宋体" w:hAnsi="Arial" w:cs="Arial"/>
            <w:webHidden/>
          </w:rPr>
          <w:t>57</w:t>
        </w:r>
        <w:r w:rsidRPr="00337064">
          <w:rPr>
            <w:rStyle w:val="a7"/>
            <w:rFonts w:ascii="Arial" w:eastAsia="宋体" w:hAnsi="Arial" w:cs="Arial"/>
            <w:webHidden/>
          </w:rPr>
          <w:fldChar w:fldCharType="end"/>
        </w:r>
      </w:hyperlink>
    </w:p>
    <w:p w14:paraId="3BB2B829" w14:textId="77777777" w:rsidR="00337064" w:rsidRPr="00337064" w:rsidRDefault="00337064">
      <w:pPr>
        <w:pStyle w:val="20"/>
        <w:rPr>
          <w:rStyle w:val="a7"/>
          <w:rFonts w:ascii="Arial" w:eastAsia="宋体" w:hAnsi="Arial" w:cs="Arial"/>
        </w:rPr>
      </w:pPr>
      <w:hyperlink w:anchor="_Toc74662921" w:history="1">
        <w:r w:rsidRPr="00337064">
          <w:rPr>
            <w:rStyle w:val="a7"/>
            <w:rFonts w:ascii="Arial" w:eastAsia="宋体" w:hAnsi="Arial" w:cs="Arial" w:hint="eastAsia"/>
          </w:rPr>
          <w:t>二、预测数据的计取</w:t>
        </w:r>
        <w:r w:rsidRPr="00337064">
          <w:rPr>
            <w:rStyle w:val="a7"/>
            <w:rFonts w:ascii="Arial" w:eastAsia="宋体" w:hAnsi="Arial" w:cs="Arial"/>
            <w:webHidden/>
          </w:rPr>
          <w:tab/>
        </w:r>
        <w:r w:rsidRPr="00337064">
          <w:rPr>
            <w:rStyle w:val="a7"/>
            <w:rFonts w:ascii="Arial" w:eastAsia="宋体" w:hAnsi="Arial" w:cs="Arial"/>
            <w:webHidden/>
          </w:rPr>
          <w:fldChar w:fldCharType="begin"/>
        </w:r>
        <w:r w:rsidRPr="00337064">
          <w:rPr>
            <w:rStyle w:val="a7"/>
            <w:rFonts w:ascii="Arial" w:eastAsia="宋体" w:hAnsi="Arial" w:cs="Arial"/>
            <w:webHidden/>
          </w:rPr>
          <w:instrText xml:space="preserve"> PAGEREF _Toc74662921 \h </w:instrText>
        </w:r>
        <w:r w:rsidRPr="00337064">
          <w:rPr>
            <w:rStyle w:val="a7"/>
            <w:rFonts w:ascii="Arial" w:eastAsia="宋体" w:hAnsi="Arial" w:cs="Arial"/>
            <w:webHidden/>
          </w:rPr>
        </w:r>
        <w:r w:rsidRPr="00337064">
          <w:rPr>
            <w:rStyle w:val="a7"/>
            <w:rFonts w:ascii="Arial" w:eastAsia="宋体" w:hAnsi="Arial" w:cs="Arial"/>
            <w:webHidden/>
          </w:rPr>
          <w:fldChar w:fldCharType="separate"/>
        </w:r>
        <w:r w:rsidR="00FA1E1B">
          <w:rPr>
            <w:rStyle w:val="a7"/>
            <w:rFonts w:ascii="Arial" w:eastAsia="宋体" w:hAnsi="Arial" w:cs="Arial"/>
            <w:webHidden/>
          </w:rPr>
          <w:t>57</w:t>
        </w:r>
        <w:r w:rsidRPr="00337064">
          <w:rPr>
            <w:rStyle w:val="a7"/>
            <w:rFonts w:ascii="Arial" w:eastAsia="宋体" w:hAnsi="Arial" w:cs="Arial"/>
            <w:webHidden/>
          </w:rPr>
          <w:fldChar w:fldCharType="end"/>
        </w:r>
      </w:hyperlink>
    </w:p>
    <w:p w14:paraId="524FE39F" w14:textId="77777777" w:rsidR="00337064" w:rsidRPr="00337064" w:rsidRDefault="00337064">
      <w:pPr>
        <w:pStyle w:val="20"/>
        <w:rPr>
          <w:rStyle w:val="a7"/>
          <w:rFonts w:ascii="Arial" w:eastAsia="宋体" w:hAnsi="Arial" w:cs="Arial"/>
        </w:rPr>
      </w:pPr>
      <w:hyperlink w:anchor="_Toc74662922" w:history="1">
        <w:r w:rsidRPr="00337064">
          <w:rPr>
            <w:rStyle w:val="a7"/>
            <w:rFonts w:ascii="Arial" w:eastAsia="宋体" w:hAnsi="Arial" w:cs="Arial" w:hint="eastAsia"/>
          </w:rPr>
          <w:t>（一）收入测算</w:t>
        </w:r>
        <w:r w:rsidRPr="00337064">
          <w:rPr>
            <w:rStyle w:val="a7"/>
            <w:rFonts w:ascii="Arial" w:eastAsia="宋体" w:hAnsi="Arial" w:cs="Arial"/>
            <w:webHidden/>
          </w:rPr>
          <w:tab/>
        </w:r>
        <w:r w:rsidRPr="00337064">
          <w:rPr>
            <w:rStyle w:val="a7"/>
            <w:rFonts w:ascii="Arial" w:eastAsia="宋体" w:hAnsi="Arial" w:cs="Arial"/>
            <w:webHidden/>
          </w:rPr>
          <w:fldChar w:fldCharType="begin"/>
        </w:r>
        <w:r w:rsidRPr="00337064">
          <w:rPr>
            <w:rStyle w:val="a7"/>
            <w:rFonts w:ascii="Arial" w:eastAsia="宋体" w:hAnsi="Arial" w:cs="Arial"/>
            <w:webHidden/>
          </w:rPr>
          <w:instrText xml:space="preserve"> PAGEREF _Toc74662922 \h </w:instrText>
        </w:r>
        <w:r w:rsidRPr="00337064">
          <w:rPr>
            <w:rStyle w:val="a7"/>
            <w:rFonts w:ascii="Arial" w:eastAsia="宋体" w:hAnsi="Arial" w:cs="Arial"/>
            <w:webHidden/>
          </w:rPr>
        </w:r>
        <w:r w:rsidRPr="00337064">
          <w:rPr>
            <w:rStyle w:val="a7"/>
            <w:rFonts w:ascii="Arial" w:eastAsia="宋体" w:hAnsi="Arial" w:cs="Arial"/>
            <w:webHidden/>
          </w:rPr>
          <w:fldChar w:fldCharType="separate"/>
        </w:r>
        <w:r w:rsidR="00FA1E1B">
          <w:rPr>
            <w:rStyle w:val="a7"/>
            <w:rFonts w:ascii="Arial" w:eastAsia="宋体" w:hAnsi="Arial" w:cs="Arial"/>
            <w:webHidden/>
          </w:rPr>
          <w:t>57</w:t>
        </w:r>
        <w:r w:rsidRPr="00337064">
          <w:rPr>
            <w:rStyle w:val="a7"/>
            <w:rFonts w:ascii="Arial" w:eastAsia="宋体" w:hAnsi="Arial" w:cs="Arial"/>
            <w:webHidden/>
          </w:rPr>
          <w:fldChar w:fldCharType="end"/>
        </w:r>
      </w:hyperlink>
    </w:p>
    <w:p w14:paraId="5DDC25B9" w14:textId="77777777" w:rsidR="00337064" w:rsidRPr="00337064" w:rsidRDefault="00337064">
      <w:pPr>
        <w:pStyle w:val="20"/>
        <w:rPr>
          <w:rStyle w:val="a7"/>
          <w:rFonts w:ascii="Arial" w:eastAsia="宋体" w:hAnsi="Arial" w:cs="Arial"/>
        </w:rPr>
      </w:pPr>
      <w:hyperlink w:anchor="_Toc74662923" w:history="1">
        <w:r w:rsidRPr="00337064">
          <w:rPr>
            <w:rStyle w:val="a7"/>
            <w:rFonts w:ascii="Arial" w:eastAsia="宋体" w:hAnsi="Arial" w:cs="Arial" w:hint="eastAsia"/>
          </w:rPr>
          <w:t>（二）开发成本</w:t>
        </w:r>
        <w:r w:rsidRPr="00337064">
          <w:rPr>
            <w:rStyle w:val="a7"/>
            <w:rFonts w:ascii="Arial" w:eastAsia="宋体" w:hAnsi="Arial" w:cs="Arial"/>
            <w:webHidden/>
          </w:rPr>
          <w:tab/>
        </w:r>
        <w:r w:rsidRPr="00337064">
          <w:rPr>
            <w:rStyle w:val="a7"/>
            <w:rFonts w:ascii="Arial" w:eastAsia="宋体" w:hAnsi="Arial" w:cs="Arial"/>
            <w:webHidden/>
          </w:rPr>
          <w:fldChar w:fldCharType="begin"/>
        </w:r>
        <w:r w:rsidRPr="00337064">
          <w:rPr>
            <w:rStyle w:val="a7"/>
            <w:rFonts w:ascii="Arial" w:eastAsia="宋体" w:hAnsi="Arial" w:cs="Arial"/>
            <w:webHidden/>
          </w:rPr>
          <w:instrText xml:space="preserve"> PAGEREF _Toc74662923 \h </w:instrText>
        </w:r>
        <w:r w:rsidRPr="00337064">
          <w:rPr>
            <w:rStyle w:val="a7"/>
            <w:rFonts w:ascii="Arial" w:eastAsia="宋体" w:hAnsi="Arial" w:cs="Arial"/>
            <w:webHidden/>
          </w:rPr>
        </w:r>
        <w:r w:rsidRPr="00337064">
          <w:rPr>
            <w:rStyle w:val="a7"/>
            <w:rFonts w:ascii="Arial" w:eastAsia="宋体" w:hAnsi="Arial" w:cs="Arial"/>
            <w:webHidden/>
          </w:rPr>
          <w:fldChar w:fldCharType="separate"/>
        </w:r>
        <w:r w:rsidR="00FA1E1B">
          <w:rPr>
            <w:rStyle w:val="a7"/>
            <w:rFonts w:ascii="Arial" w:eastAsia="宋体" w:hAnsi="Arial" w:cs="Arial"/>
            <w:webHidden/>
          </w:rPr>
          <w:t>58</w:t>
        </w:r>
        <w:r w:rsidRPr="00337064">
          <w:rPr>
            <w:rStyle w:val="a7"/>
            <w:rFonts w:ascii="Arial" w:eastAsia="宋体" w:hAnsi="Arial" w:cs="Arial"/>
            <w:webHidden/>
          </w:rPr>
          <w:fldChar w:fldCharType="end"/>
        </w:r>
      </w:hyperlink>
    </w:p>
    <w:p w14:paraId="61A017AD" w14:textId="77777777" w:rsidR="00337064" w:rsidRPr="00337064" w:rsidRDefault="00337064">
      <w:pPr>
        <w:pStyle w:val="20"/>
        <w:rPr>
          <w:rStyle w:val="a7"/>
          <w:rFonts w:ascii="Arial" w:eastAsia="宋体" w:hAnsi="Arial" w:cs="Arial"/>
        </w:rPr>
      </w:pPr>
      <w:hyperlink w:anchor="_Toc74662924" w:history="1">
        <w:r w:rsidRPr="00337064">
          <w:rPr>
            <w:rStyle w:val="a7"/>
            <w:rFonts w:ascii="Arial" w:eastAsia="宋体" w:hAnsi="Arial" w:cs="Arial" w:hint="eastAsia"/>
          </w:rPr>
          <w:t>（三）利润分配</w:t>
        </w:r>
        <w:r w:rsidRPr="00337064">
          <w:rPr>
            <w:rStyle w:val="a7"/>
            <w:rFonts w:ascii="Arial" w:eastAsia="宋体" w:hAnsi="Arial" w:cs="Arial"/>
            <w:webHidden/>
          </w:rPr>
          <w:tab/>
        </w:r>
        <w:r w:rsidRPr="00337064">
          <w:rPr>
            <w:rStyle w:val="a7"/>
            <w:rFonts w:ascii="Arial" w:eastAsia="宋体" w:hAnsi="Arial" w:cs="Arial"/>
            <w:webHidden/>
          </w:rPr>
          <w:fldChar w:fldCharType="begin"/>
        </w:r>
        <w:r w:rsidRPr="00337064">
          <w:rPr>
            <w:rStyle w:val="a7"/>
            <w:rFonts w:ascii="Arial" w:eastAsia="宋体" w:hAnsi="Arial" w:cs="Arial"/>
            <w:webHidden/>
          </w:rPr>
          <w:instrText xml:space="preserve"> PAGEREF _Toc74662924 \h </w:instrText>
        </w:r>
        <w:r w:rsidRPr="00337064">
          <w:rPr>
            <w:rStyle w:val="a7"/>
            <w:rFonts w:ascii="Arial" w:eastAsia="宋体" w:hAnsi="Arial" w:cs="Arial"/>
            <w:webHidden/>
          </w:rPr>
        </w:r>
        <w:r w:rsidRPr="00337064">
          <w:rPr>
            <w:rStyle w:val="a7"/>
            <w:rFonts w:ascii="Arial" w:eastAsia="宋体" w:hAnsi="Arial" w:cs="Arial"/>
            <w:webHidden/>
          </w:rPr>
          <w:fldChar w:fldCharType="separate"/>
        </w:r>
        <w:r w:rsidR="00FA1E1B">
          <w:rPr>
            <w:rStyle w:val="a7"/>
            <w:rFonts w:ascii="Arial" w:eastAsia="宋体" w:hAnsi="Arial" w:cs="Arial"/>
            <w:webHidden/>
          </w:rPr>
          <w:t>58</w:t>
        </w:r>
        <w:r w:rsidRPr="00337064">
          <w:rPr>
            <w:rStyle w:val="a7"/>
            <w:rFonts w:ascii="Arial" w:eastAsia="宋体" w:hAnsi="Arial" w:cs="Arial"/>
            <w:webHidden/>
          </w:rPr>
          <w:fldChar w:fldCharType="end"/>
        </w:r>
      </w:hyperlink>
    </w:p>
    <w:p w14:paraId="55B93026" w14:textId="77777777" w:rsidR="00337064" w:rsidRPr="00337064" w:rsidRDefault="00337064">
      <w:pPr>
        <w:pStyle w:val="20"/>
        <w:rPr>
          <w:rStyle w:val="a7"/>
          <w:rFonts w:ascii="Arial" w:eastAsia="宋体" w:hAnsi="Arial" w:cs="Arial"/>
        </w:rPr>
      </w:pPr>
      <w:hyperlink w:anchor="_Toc74662925" w:history="1">
        <w:r w:rsidRPr="00337064">
          <w:rPr>
            <w:rStyle w:val="a7"/>
            <w:rFonts w:ascii="Arial" w:eastAsia="宋体" w:hAnsi="Arial" w:cs="Arial" w:hint="eastAsia"/>
          </w:rPr>
          <w:t>三、项目财务效益测算</w:t>
        </w:r>
        <w:r w:rsidRPr="00337064">
          <w:rPr>
            <w:rStyle w:val="a7"/>
            <w:rFonts w:ascii="Arial" w:eastAsia="宋体" w:hAnsi="Arial" w:cs="Arial"/>
            <w:webHidden/>
          </w:rPr>
          <w:tab/>
        </w:r>
        <w:r w:rsidRPr="00337064">
          <w:rPr>
            <w:rStyle w:val="a7"/>
            <w:rFonts w:ascii="Arial" w:eastAsia="宋体" w:hAnsi="Arial" w:cs="Arial"/>
            <w:webHidden/>
          </w:rPr>
          <w:fldChar w:fldCharType="begin"/>
        </w:r>
        <w:r w:rsidRPr="00337064">
          <w:rPr>
            <w:rStyle w:val="a7"/>
            <w:rFonts w:ascii="Arial" w:eastAsia="宋体" w:hAnsi="Arial" w:cs="Arial"/>
            <w:webHidden/>
          </w:rPr>
          <w:instrText xml:space="preserve"> PAGEREF _Toc74662925 \h </w:instrText>
        </w:r>
        <w:r w:rsidRPr="00337064">
          <w:rPr>
            <w:rStyle w:val="a7"/>
            <w:rFonts w:ascii="Arial" w:eastAsia="宋体" w:hAnsi="Arial" w:cs="Arial"/>
            <w:webHidden/>
          </w:rPr>
        </w:r>
        <w:r w:rsidRPr="00337064">
          <w:rPr>
            <w:rStyle w:val="a7"/>
            <w:rFonts w:ascii="Arial" w:eastAsia="宋体" w:hAnsi="Arial" w:cs="Arial"/>
            <w:webHidden/>
          </w:rPr>
          <w:fldChar w:fldCharType="separate"/>
        </w:r>
        <w:r w:rsidR="00FA1E1B">
          <w:rPr>
            <w:rStyle w:val="a7"/>
            <w:rFonts w:ascii="Arial" w:eastAsia="宋体" w:hAnsi="Arial" w:cs="Arial"/>
            <w:webHidden/>
          </w:rPr>
          <w:t>58</w:t>
        </w:r>
        <w:r w:rsidRPr="00337064">
          <w:rPr>
            <w:rStyle w:val="a7"/>
            <w:rFonts w:ascii="Arial" w:eastAsia="宋体" w:hAnsi="Arial" w:cs="Arial"/>
            <w:webHidden/>
          </w:rPr>
          <w:fldChar w:fldCharType="end"/>
        </w:r>
      </w:hyperlink>
    </w:p>
    <w:p w14:paraId="3C78F5A6" w14:textId="77777777" w:rsidR="00337064" w:rsidRPr="00337064" w:rsidRDefault="00337064">
      <w:pPr>
        <w:pStyle w:val="20"/>
        <w:rPr>
          <w:rStyle w:val="a7"/>
          <w:rFonts w:ascii="Arial" w:eastAsia="宋体" w:hAnsi="Arial" w:cs="Arial"/>
        </w:rPr>
      </w:pPr>
      <w:hyperlink w:anchor="_Toc74662926" w:history="1">
        <w:r w:rsidRPr="00337064">
          <w:rPr>
            <w:rStyle w:val="a7"/>
            <w:rFonts w:ascii="Arial" w:eastAsia="宋体" w:hAnsi="Arial" w:cs="Arial" w:hint="eastAsia"/>
          </w:rPr>
          <w:t>（一）项目盈利能力预测</w:t>
        </w:r>
        <w:r w:rsidRPr="00337064">
          <w:rPr>
            <w:rStyle w:val="a7"/>
            <w:rFonts w:ascii="Arial" w:eastAsia="宋体" w:hAnsi="Arial" w:cs="Arial"/>
            <w:webHidden/>
          </w:rPr>
          <w:tab/>
        </w:r>
        <w:r w:rsidRPr="00337064">
          <w:rPr>
            <w:rStyle w:val="a7"/>
            <w:rFonts w:ascii="Arial" w:eastAsia="宋体" w:hAnsi="Arial" w:cs="Arial"/>
            <w:webHidden/>
          </w:rPr>
          <w:fldChar w:fldCharType="begin"/>
        </w:r>
        <w:r w:rsidRPr="00337064">
          <w:rPr>
            <w:rStyle w:val="a7"/>
            <w:rFonts w:ascii="Arial" w:eastAsia="宋体" w:hAnsi="Arial" w:cs="Arial"/>
            <w:webHidden/>
          </w:rPr>
          <w:instrText xml:space="preserve"> PAGEREF _Toc74662926 \h </w:instrText>
        </w:r>
        <w:r w:rsidRPr="00337064">
          <w:rPr>
            <w:rStyle w:val="a7"/>
            <w:rFonts w:ascii="Arial" w:eastAsia="宋体" w:hAnsi="Arial" w:cs="Arial"/>
            <w:webHidden/>
          </w:rPr>
        </w:r>
        <w:r w:rsidRPr="00337064">
          <w:rPr>
            <w:rStyle w:val="a7"/>
            <w:rFonts w:ascii="Arial" w:eastAsia="宋体" w:hAnsi="Arial" w:cs="Arial"/>
            <w:webHidden/>
          </w:rPr>
          <w:fldChar w:fldCharType="separate"/>
        </w:r>
        <w:r w:rsidR="00FA1E1B">
          <w:rPr>
            <w:rStyle w:val="a7"/>
            <w:rFonts w:ascii="Arial" w:eastAsia="宋体" w:hAnsi="Arial" w:cs="Arial"/>
            <w:webHidden/>
          </w:rPr>
          <w:t>58</w:t>
        </w:r>
        <w:r w:rsidRPr="00337064">
          <w:rPr>
            <w:rStyle w:val="a7"/>
            <w:rFonts w:ascii="Arial" w:eastAsia="宋体" w:hAnsi="Arial" w:cs="Arial"/>
            <w:webHidden/>
          </w:rPr>
          <w:fldChar w:fldCharType="end"/>
        </w:r>
      </w:hyperlink>
    </w:p>
    <w:p w14:paraId="0774C4F7" w14:textId="77777777" w:rsidR="00337064" w:rsidRPr="00337064" w:rsidRDefault="00337064">
      <w:pPr>
        <w:pStyle w:val="20"/>
        <w:rPr>
          <w:rStyle w:val="a7"/>
          <w:rFonts w:ascii="Arial" w:eastAsia="宋体" w:hAnsi="Arial" w:cs="Arial"/>
        </w:rPr>
      </w:pPr>
      <w:hyperlink w:anchor="_Toc74662927" w:history="1">
        <w:r w:rsidRPr="00337064">
          <w:rPr>
            <w:rStyle w:val="a7"/>
            <w:rFonts w:ascii="Arial" w:eastAsia="宋体" w:hAnsi="Arial" w:cs="Arial" w:hint="eastAsia"/>
          </w:rPr>
          <w:t>（二）项目财务效益预测</w:t>
        </w:r>
        <w:r w:rsidRPr="00337064">
          <w:rPr>
            <w:rStyle w:val="a7"/>
            <w:rFonts w:ascii="Arial" w:eastAsia="宋体" w:hAnsi="Arial" w:cs="Arial"/>
            <w:webHidden/>
          </w:rPr>
          <w:tab/>
        </w:r>
        <w:r w:rsidRPr="00337064">
          <w:rPr>
            <w:rStyle w:val="a7"/>
            <w:rFonts w:ascii="Arial" w:eastAsia="宋体" w:hAnsi="Arial" w:cs="Arial"/>
            <w:webHidden/>
          </w:rPr>
          <w:fldChar w:fldCharType="begin"/>
        </w:r>
        <w:r w:rsidRPr="00337064">
          <w:rPr>
            <w:rStyle w:val="a7"/>
            <w:rFonts w:ascii="Arial" w:eastAsia="宋体" w:hAnsi="Arial" w:cs="Arial"/>
            <w:webHidden/>
          </w:rPr>
          <w:instrText xml:space="preserve"> PAGEREF _Toc74662927 \h </w:instrText>
        </w:r>
        <w:r w:rsidRPr="00337064">
          <w:rPr>
            <w:rStyle w:val="a7"/>
            <w:rFonts w:ascii="Arial" w:eastAsia="宋体" w:hAnsi="Arial" w:cs="Arial"/>
            <w:webHidden/>
          </w:rPr>
        </w:r>
        <w:r w:rsidRPr="00337064">
          <w:rPr>
            <w:rStyle w:val="a7"/>
            <w:rFonts w:ascii="Arial" w:eastAsia="宋体" w:hAnsi="Arial" w:cs="Arial"/>
            <w:webHidden/>
          </w:rPr>
          <w:fldChar w:fldCharType="separate"/>
        </w:r>
        <w:r w:rsidR="00FA1E1B">
          <w:rPr>
            <w:rStyle w:val="a7"/>
            <w:rFonts w:ascii="Arial" w:eastAsia="宋体" w:hAnsi="Arial" w:cs="Arial"/>
            <w:webHidden/>
          </w:rPr>
          <w:t>58</w:t>
        </w:r>
        <w:r w:rsidRPr="00337064">
          <w:rPr>
            <w:rStyle w:val="a7"/>
            <w:rFonts w:ascii="Arial" w:eastAsia="宋体" w:hAnsi="Arial" w:cs="Arial"/>
            <w:webHidden/>
          </w:rPr>
          <w:fldChar w:fldCharType="end"/>
        </w:r>
      </w:hyperlink>
    </w:p>
    <w:p w14:paraId="25B4DB2C" w14:textId="77777777" w:rsidR="00337064" w:rsidRPr="00337064" w:rsidRDefault="00337064">
      <w:pPr>
        <w:pStyle w:val="20"/>
        <w:rPr>
          <w:rStyle w:val="a7"/>
          <w:rFonts w:ascii="Arial" w:eastAsia="宋体" w:hAnsi="Arial" w:cs="Arial"/>
        </w:rPr>
      </w:pPr>
      <w:hyperlink w:anchor="_Toc74662928" w:history="1">
        <w:r w:rsidRPr="00337064">
          <w:rPr>
            <w:rStyle w:val="a7"/>
            <w:rFonts w:ascii="Arial" w:eastAsia="宋体" w:hAnsi="Arial" w:cs="Arial" w:hint="eastAsia"/>
          </w:rPr>
          <w:t>（三）不确定性分析</w:t>
        </w:r>
        <w:r w:rsidRPr="00337064">
          <w:rPr>
            <w:rStyle w:val="a7"/>
            <w:rFonts w:ascii="Arial" w:eastAsia="宋体" w:hAnsi="Arial" w:cs="Arial"/>
            <w:webHidden/>
          </w:rPr>
          <w:tab/>
        </w:r>
        <w:r w:rsidRPr="00337064">
          <w:rPr>
            <w:rStyle w:val="a7"/>
            <w:rFonts w:ascii="Arial" w:eastAsia="宋体" w:hAnsi="Arial" w:cs="Arial"/>
            <w:webHidden/>
          </w:rPr>
          <w:fldChar w:fldCharType="begin"/>
        </w:r>
        <w:r w:rsidRPr="00337064">
          <w:rPr>
            <w:rStyle w:val="a7"/>
            <w:rFonts w:ascii="Arial" w:eastAsia="宋体" w:hAnsi="Arial" w:cs="Arial"/>
            <w:webHidden/>
          </w:rPr>
          <w:instrText xml:space="preserve"> PAGEREF _Toc74662928 \h </w:instrText>
        </w:r>
        <w:r w:rsidRPr="00337064">
          <w:rPr>
            <w:rStyle w:val="a7"/>
            <w:rFonts w:ascii="Arial" w:eastAsia="宋体" w:hAnsi="Arial" w:cs="Arial"/>
            <w:webHidden/>
          </w:rPr>
        </w:r>
        <w:r w:rsidRPr="00337064">
          <w:rPr>
            <w:rStyle w:val="a7"/>
            <w:rFonts w:ascii="Arial" w:eastAsia="宋体" w:hAnsi="Arial" w:cs="Arial"/>
            <w:webHidden/>
          </w:rPr>
          <w:fldChar w:fldCharType="separate"/>
        </w:r>
        <w:r w:rsidR="00FA1E1B">
          <w:rPr>
            <w:rStyle w:val="a7"/>
            <w:rFonts w:ascii="Arial" w:eastAsia="宋体" w:hAnsi="Arial" w:cs="Arial"/>
            <w:webHidden/>
          </w:rPr>
          <w:t>58</w:t>
        </w:r>
        <w:r w:rsidRPr="00337064">
          <w:rPr>
            <w:rStyle w:val="a7"/>
            <w:rFonts w:ascii="Arial" w:eastAsia="宋体" w:hAnsi="Arial" w:cs="Arial"/>
            <w:webHidden/>
          </w:rPr>
          <w:fldChar w:fldCharType="end"/>
        </w:r>
      </w:hyperlink>
    </w:p>
    <w:p w14:paraId="2648FD9A" w14:textId="77777777" w:rsidR="00337064" w:rsidRDefault="00337064">
      <w:pPr>
        <w:pStyle w:val="10"/>
        <w:rPr>
          <w:rFonts w:asciiTheme="minorHAnsi" w:eastAsiaTheme="minorEastAsia" w:hAnsiTheme="minorHAnsi" w:cstheme="minorBidi"/>
          <w:b w:val="0"/>
          <w:bCs w:val="0"/>
          <w:caps w:val="0"/>
          <w:kern w:val="2"/>
          <w:sz w:val="21"/>
          <w:szCs w:val="22"/>
        </w:rPr>
      </w:pPr>
      <w:hyperlink w:anchor="_Toc74662929" w:history="1">
        <w:r w:rsidRPr="00156CE0">
          <w:rPr>
            <w:rStyle w:val="a7"/>
            <w:rFonts w:eastAsia="方正黑体简体" w:hint="eastAsia"/>
          </w:rPr>
          <w:t>第六章</w:t>
        </w:r>
        <w:r w:rsidRPr="00156CE0">
          <w:rPr>
            <w:rStyle w:val="a7"/>
            <w:rFonts w:eastAsia="方正黑体简体"/>
          </w:rPr>
          <w:t xml:space="preserve">  </w:t>
        </w:r>
        <w:r w:rsidRPr="00156CE0">
          <w:rPr>
            <w:rStyle w:val="a7"/>
            <w:rFonts w:eastAsia="方正黑体简体" w:hint="eastAsia"/>
          </w:rPr>
          <w:t>项目效应与风险评价</w:t>
        </w:r>
        <w:r>
          <w:rPr>
            <w:webHidden/>
          </w:rPr>
          <w:tab/>
        </w:r>
        <w:r>
          <w:rPr>
            <w:webHidden/>
          </w:rPr>
          <w:fldChar w:fldCharType="begin"/>
        </w:r>
        <w:r>
          <w:rPr>
            <w:webHidden/>
          </w:rPr>
          <w:instrText xml:space="preserve"> PAGEREF _Toc74662929 \h </w:instrText>
        </w:r>
        <w:r>
          <w:rPr>
            <w:webHidden/>
          </w:rPr>
        </w:r>
        <w:r>
          <w:rPr>
            <w:webHidden/>
          </w:rPr>
          <w:fldChar w:fldCharType="separate"/>
        </w:r>
        <w:r w:rsidR="00FA1E1B">
          <w:rPr>
            <w:webHidden/>
          </w:rPr>
          <w:t>60</w:t>
        </w:r>
        <w:r>
          <w:rPr>
            <w:webHidden/>
          </w:rPr>
          <w:fldChar w:fldCharType="end"/>
        </w:r>
      </w:hyperlink>
    </w:p>
    <w:p w14:paraId="5935D5E2" w14:textId="77777777" w:rsidR="00337064" w:rsidRPr="00337064" w:rsidRDefault="00337064">
      <w:pPr>
        <w:pStyle w:val="20"/>
        <w:rPr>
          <w:rStyle w:val="a7"/>
          <w:rFonts w:ascii="Arial" w:eastAsia="宋体" w:hAnsi="Arial" w:cs="Arial"/>
        </w:rPr>
      </w:pPr>
      <w:hyperlink w:anchor="_Toc74662930" w:history="1">
        <w:r w:rsidRPr="00337064">
          <w:rPr>
            <w:rStyle w:val="a7"/>
            <w:rFonts w:ascii="Arial" w:eastAsia="宋体" w:hAnsi="Arial" w:cs="Arial" w:hint="eastAsia"/>
          </w:rPr>
          <w:t>一、风险评价及防范措施</w:t>
        </w:r>
        <w:r w:rsidRPr="00337064">
          <w:rPr>
            <w:rStyle w:val="a7"/>
            <w:rFonts w:ascii="Arial" w:eastAsia="宋体" w:hAnsi="Arial" w:cs="Arial"/>
            <w:webHidden/>
          </w:rPr>
          <w:tab/>
        </w:r>
        <w:r w:rsidRPr="00337064">
          <w:rPr>
            <w:rStyle w:val="a7"/>
            <w:rFonts w:ascii="Arial" w:eastAsia="宋体" w:hAnsi="Arial" w:cs="Arial"/>
            <w:webHidden/>
          </w:rPr>
          <w:fldChar w:fldCharType="begin"/>
        </w:r>
        <w:r w:rsidRPr="00337064">
          <w:rPr>
            <w:rStyle w:val="a7"/>
            <w:rFonts w:ascii="Arial" w:eastAsia="宋体" w:hAnsi="Arial" w:cs="Arial"/>
            <w:webHidden/>
          </w:rPr>
          <w:instrText xml:space="preserve"> PAGEREF _Toc74662930 \h </w:instrText>
        </w:r>
        <w:r w:rsidRPr="00337064">
          <w:rPr>
            <w:rStyle w:val="a7"/>
            <w:rFonts w:ascii="Arial" w:eastAsia="宋体" w:hAnsi="Arial" w:cs="Arial"/>
            <w:webHidden/>
          </w:rPr>
        </w:r>
        <w:r w:rsidRPr="00337064">
          <w:rPr>
            <w:rStyle w:val="a7"/>
            <w:rFonts w:ascii="Arial" w:eastAsia="宋体" w:hAnsi="Arial" w:cs="Arial"/>
            <w:webHidden/>
          </w:rPr>
          <w:fldChar w:fldCharType="separate"/>
        </w:r>
        <w:r w:rsidR="00FA1E1B">
          <w:rPr>
            <w:rStyle w:val="a7"/>
            <w:rFonts w:ascii="Arial" w:eastAsia="宋体" w:hAnsi="Arial" w:cs="Arial"/>
            <w:webHidden/>
          </w:rPr>
          <w:t>60</w:t>
        </w:r>
        <w:r w:rsidRPr="00337064">
          <w:rPr>
            <w:rStyle w:val="a7"/>
            <w:rFonts w:ascii="Arial" w:eastAsia="宋体" w:hAnsi="Arial" w:cs="Arial"/>
            <w:webHidden/>
          </w:rPr>
          <w:fldChar w:fldCharType="end"/>
        </w:r>
      </w:hyperlink>
    </w:p>
    <w:p w14:paraId="015B303F" w14:textId="77777777" w:rsidR="00337064" w:rsidRPr="00337064" w:rsidRDefault="00337064">
      <w:pPr>
        <w:pStyle w:val="20"/>
        <w:rPr>
          <w:rStyle w:val="a7"/>
          <w:rFonts w:ascii="Arial" w:eastAsia="宋体" w:hAnsi="Arial" w:cs="Arial"/>
        </w:rPr>
      </w:pPr>
      <w:hyperlink w:anchor="_Toc74662931" w:history="1">
        <w:r w:rsidRPr="00337064">
          <w:rPr>
            <w:rStyle w:val="a7"/>
            <w:rFonts w:ascii="Arial" w:eastAsia="宋体" w:hAnsi="Arial" w:cs="Arial" w:hint="eastAsia"/>
          </w:rPr>
          <w:t>二、项目效应评价</w:t>
        </w:r>
        <w:r w:rsidRPr="00337064">
          <w:rPr>
            <w:rStyle w:val="a7"/>
            <w:rFonts w:ascii="Arial" w:eastAsia="宋体" w:hAnsi="Arial" w:cs="Arial"/>
            <w:webHidden/>
          </w:rPr>
          <w:tab/>
        </w:r>
        <w:r w:rsidRPr="00337064">
          <w:rPr>
            <w:rStyle w:val="a7"/>
            <w:rFonts w:ascii="Arial" w:eastAsia="宋体" w:hAnsi="Arial" w:cs="Arial"/>
            <w:webHidden/>
          </w:rPr>
          <w:fldChar w:fldCharType="begin"/>
        </w:r>
        <w:r w:rsidRPr="00337064">
          <w:rPr>
            <w:rStyle w:val="a7"/>
            <w:rFonts w:ascii="Arial" w:eastAsia="宋体" w:hAnsi="Arial" w:cs="Arial"/>
            <w:webHidden/>
          </w:rPr>
          <w:instrText xml:space="preserve"> PAGEREF _Toc74662931 \h </w:instrText>
        </w:r>
        <w:r w:rsidRPr="00337064">
          <w:rPr>
            <w:rStyle w:val="a7"/>
            <w:rFonts w:ascii="Arial" w:eastAsia="宋体" w:hAnsi="Arial" w:cs="Arial"/>
            <w:webHidden/>
          </w:rPr>
        </w:r>
        <w:r w:rsidRPr="00337064">
          <w:rPr>
            <w:rStyle w:val="a7"/>
            <w:rFonts w:ascii="Arial" w:eastAsia="宋体" w:hAnsi="Arial" w:cs="Arial"/>
            <w:webHidden/>
          </w:rPr>
          <w:fldChar w:fldCharType="separate"/>
        </w:r>
        <w:r w:rsidR="00FA1E1B">
          <w:rPr>
            <w:rStyle w:val="a7"/>
            <w:rFonts w:ascii="Arial" w:eastAsia="宋体" w:hAnsi="Arial" w:cs="Arial"/>
            <w:webHidden/>
          </w:rPr>
          <w:t>61</w:t>
        </w:r>
        <w:r w:rsidRPr="00337064">
          <w:rPr>
            <w:rStyle w:val="a7"/>
            <w:rFonts w:ascii="Arial" w:eastAsia="宋体" w:hAnsi="Arial" w:cs="Arial"/>
            <w:webHidden/>
          </w:rPr>
          <w:fldChar w:fldCharType="end"/>
        </w:r>
      </w:hyperlink>
    </w:p>
    <w:p w14:paraId="22569F01" w14:textId="77777777" w:rsidR="00337064" w:rsidRDefault="00337064">
      <w:pPr>
        <w:pStyle w:val="10"/>
        <w:rPr>
          <w:rFonts w:asciiTheme="minorHAnsi" w:eastAsiaTheme="minorEastAsia" w:hAnsiTheme="minorHAnsi" w:cstheme="minorBidi"/>
          <w:b w:val="0"/>
          <w:bCs w:val="0"/>
          <w:caps w:val="0"/>
          <w:kern w:val="2"/>
          <w:sz w:val="21"/>
          <w:szCs w:val="22"/>
        </w:rPr>
      </w:pPr>
      <w:hyperlink w:anchor="_Toc74662932" w:history="1">
        <w:r w:rsidRPr="00156CE0">
          <w:rPr>
            <w:rStyle w:val="a7"/>
            <w:rFonts w:eastAsia="方正黑体简体" w:hint="eastAsia"/>
          </w:rPr>
          <w:t>第七章</w:t>
        </w:r>
        <w:r w:rsidRPr="00156CE0">
          <w:rPr>
            <w:rStyle w:val="a7"/>
            <w:rFonts w:eastAsia="方正黑体简体"/>
          </w:rPr>
          <w:t xml:space="preserve">  </w:t>
        </w:r>
        <w:r w:rsidRPr="00156CE0">
          <w:rPr>
            <w:rStyle w:val="a7"/>
            <w:rFonts w:eastAsia="方正黑体简体" w:hint="eastAsia"/>
          </w:rPr>
          <w:t>结论</w:t>
        </w:r>
        <w:r>
          <w:rPr>
            <w:webHidden/>
          </w:rPr>
          <w:tab/>
        </w:r>
        <w:r>
          <w:rPr>
            <w:webHidden/>
          </w:rPr>
          <w:fldChar w:fldCharType="begin"/>
        </w:r>
        <w:r>
          <w:rPr>
            <w:webHidden/>
          </w:rPr>
          <w:instrText xml:space="preserve"> PAGEREF _Toc74662932 \h </w:instrText>
        </w:r>
        <w:r>
          <w:rPr>
            <w:webHidden/>
          </w:rPr>
        </w:r>
        <w:r>
          <w:rPr>
            <w:webHidden/>
          </w:rPr>
          <w:fldChar w:fldCharType="separate"/>
        </w:r>
        <w:r w:rsidR="00FA1E1B">
          <w:rPr>
            <w:webHidden/>
          </w:rPr>
          <w:t>62</w:t>
        </w:r>
        <w:r>
          <w:rPr>
            <w:webHidden/>
          </w:rPr>
          <w:fldChar w:fldCharType="end"/>
        </w:r>
      </w:hyperlink>
    </w:p>
    <w:p w14:paraId="701EB317" w14:textId="77777777" w:rsidR="00337064" w:rsidRPr="00337064" w:rsidRDefault="00337064">
      <w:pPr>
        <w:pStyle w:val="20"/>
        <w:rPr>
          <w:rStyle w:val="a7"/>
          <w:rFonts w:ascii="Arial" w:eastAsia="宋体" w:hAnsi="Arial" w:cs="Arial"/>
        </w:rPr>
      </w:pPr>
      <w:hyperlink w:anchor="_Toc74662933" w:history="1">
        <w:r w:rsidRPr="00337064">
          <w:rPr>
            <w:rStyle w:val="a7"/>
            <w:rFonts w:ascii="Arial" w:eastAsia="宋体" w:hAnsi="Arial" w:cs="Arial" w:hint="eastAsia"/>
          </w:rPr>
          <w:t>附件：</w:t>
        </w:r>
        <w:r w:rsidRPr="00337064">
          <w:rPr>
            <w:rStyle w:val="a7"/>
            <w:rFonts w:ascii="Arial" w:eastAsia="宋体" w:hAnsi="Arial" w:cs="Arial"/>
            <w:webHidden/>
          </w:rPr>
          <w:tab/>
        </w:r>
        <w:r w:rsidRPr="00337064">
          <w:rPr>
            <w:rStyle w:val="a7"/>
            <w:rFonts w:ascii="Arial" w:eastAsia="宋体" w:hAnsi="Arial" w:cs="Arial"/>
            <w:webHidden/>
          </w:rPr>
          <w:fldChar w:fldCharType="begin"/>
        </w:r>
        <w:r w:rsidRPr="00337064">
          <w:rPr>
            <w:rStyle w:val="a7"/>
            <w:rFonts w:ascii="Arial" w:eastAsia="宋体" w:hAnsi="Arial" w:cs="Arial"/>
            <w:webHidden/>
          </w:rPr>
          <w:instrText xml:space="preserve"> PAGEREF _Toc74662933 \h </w:instrText>
        </w:r>
        <w:r w:rsidRPr="00337064">
          <w:rPr>
            <w:rStyle w:val="a7"/>
            <w:rFonts w:ascii="Arial" w:eastAsia="宋体" w:hAnsi="Arial" w:cs="Arial"/>
            <w:webHidden/>
          </w:rPr>
        </w:r>
        <w:r w:rsidRPr="00337064">
          <w:rPr>
            <w:rStyle w:val="a7"/>
            <w:rFonts w:ascii="Arial" w:eastAsia="宋体" w:hAnsi="Arial" w:cs="Arial"/>
            <w:webHidden/>
          </w:rPr>
          <w:fldChar w:fldCharType="separate"/>
        </w:r>
        <w:r w:rsidR="00FA1E1B">
          <w:rPr>
            <w:rStyle w:val="a7"/>
            <w:rFonts w:ascii="Arial" w:eastAsia="宋体" w:hAnsi="Arial" w:cs="Arial"/>
            <w:webHidden/>
          </w:rPr>
          <w:t>63</w:t>
        </w:r>
        <w:r w:rsidRPr="00337064">
          <w:rPr>
            <w:rStyle w:val="a7"/>
            <w:rFonts w:ascii="Arial" w:eastAsia="宋体" w:hAnsi="Arial" w:cs="Arial"/>
            <w:webHidden/>
          </w:rPr>
          <w:fldChar w:fldCharType="end"/>
        </w:r>
      </w:hyperlink>
    </w:p>
    <w:p w14:paraId="10A8C856" w14:textId="74B25B2F" w:rsidR="00770DC3" w:rsidRPr="00E05368" w:rsidRDefault="00337064" w:rsidP="00337064">
      <w:pPr>
        <w:pStyle w:val="10"/>
        <w:rPr>
          <w:sz w:val="28"/>
          <w:szCs w:val="28"/>
        </w:rPr>
        <w:sectPr w:rsidR="00770DC3" w:rsidRPr="00E05368" w:rsidSect="009B0B0F">
          <w:headerReference w:type="even" r:id="rId14"/>
          <w:headerReference w:type="first" r:id="rId15"/>
          <w:pgSz w:w="11906" w:h="16838" w:code="9"/>
          <w:pgMar w:top="1843" w:right="1304" w:bottom="1134" w:left="1304" w:header="1134" w:footer="907" w:gutter="0"/>
          <w:cols w:space="425"/>
          <w:titlePg/>
          <w:docGrid w:linePitch="312"/>
        </w:sectPr>
      </w:pPr>
      <w:r w:rsidRPr="002B533B">
        <w:rPr>
          <w:b w:val="0"/>
          <w:kern w:val="44"/>
        </w:rPr>
        <w:fldChar w:fldCharType="end"/>
      </w:r>
    </w:p>
    <w:p w14:paraId="361A5340" w14:textId="77777777" w:rsidR="009B0B0F" w:rsidRPr="00E05368" w:rsidRDefault="009B0B0F" w:rsidP="009B0B0F">
      <w:pPr>
        <w:pStyle w:val="af"/>
        <w:adjustRightInd w:val="0"/>
        <w:snapToGrid w:val="0"/>
        <w:spacing w:line="360" w:lineRule="auto"/>
        <w:jc w:val="center"/>
        <w:rPr>
          <w:rFonts w:ascii="Arial" w:hAnsi="Arial" w:cs="Arial"/>
          <w:b/>
          <w:bCs/>
          <w:sz w:val="36"/>
          <w:szCs w:val="36"/>
        </w:rPr>
      </w:pPr>
      <w:bookmarkStart w:id="5" w:name="_Toc23442386"/>
      <w:bookmarkStart w:id="6" w:name="_Toc44300246"/>
    </w:p>
    <w:p w14:paraId="7C23EE9B" w14:textId="6BF5C03C" w:rsidR="00E03EB1" w:rsidRPr="00E05368" w:rsidRDefault="00EF6767" w:rsidP="00E03EB1">
      <w:pPr>
        <w:pStyle w:val="af"/>
        <w:adjustRightInd w:val="0"/>
        <w:spacing w:line="360" w:lineRule="auto"/>
        <w:jc w:val="center"/>
        <w:rPr>
          <w:rFonts w:ascii="Arial" w:hAnsi="Arial" w:cs="Arial"/>
          <w:b/>
          <w:bCs/>
          <w:sz w:val="36"/>
          <w:szCs w:val="36"/>
        </w:rPr>
      </w:pPr>
      <w:bookmarkStart w:id="7" w:name="_Toc23442387"/>
      <w:bookmarkStart w:id="8" w:name="_Toc121717481"/>
      <w:bookmarkStart w:id="9" w:name="_Toc121717650"/>
      <w:bookmarkStart w:id="10" w:name="_Toc121755304"/>
      <w:bookmarkStart w:id="11" w:name="_Toc122491988"/>
      <w:bookmarkStart w:id="12" w:name="_Toc122492077"/>
      <w:bookmarkStart w:id="13" w:name="_Toc128908939"/>
      <w:bookmarkStart w:id="14" w:name="_Toc129679597"/>
      <w:bookmarkStart w:id="15" w:name="_Toc129679652"/>
      <w:bookmarkStart w:id="16" w:name="_Toc130630780"/>
      <w:bookmarkStart w:id="17" w:name="_Toc130630838"/>
      <w:bookmarkStart w:id="18" w:name="_Toc130630902"/>
      <w:bookmarkStart w:id="19" w:name="_Toc130631258"/>
      <w:bookmarkStart w:id="20" w:name="_Toc130704487"/>
      <w:bookmarkStart w:id="21" w:name="_Toc130707120"/>
      <w:bookmarkStart w:id="22" w:name="_Toc130797594"/>
      <w:bookmarkEnd w:id="5"/>
      <w:bookmarkEnd w:id="6"/>
      <w:r>
        <w:rPr>
          <w:rFonts w:ascii="Arial" w:hAnsi="Arial" w:cs="Arial" w:hint="eastAsia"/>
          <w:b/>
          <w:bCs/>
          <w:sz w:val="36"/>
          <w:szCs w:val="36"/>
        </w:rPr>
        <w:t>江苏省南京市雨花台区凤集大道以南、新湖大道以西</w:t>
      </w:r>
      <w:r>
        <w:rPr>
          <w:rFonts w:ascii="Arial" w:hAnsi="Arial" w:cs="Arial" w:hint="eastAsia"/>
          <w:b/>
          <w:bCs/>
          <w:sz w:val="36"/>
          <w:szCs w:val="36"/>
        </w:rPr>
        <w:t>NO.2021G35</w:t>
      </w:r>
      <w:r>
        <w:rPr>
          <w:rFonts w:ascii="Arial" w:hAnsi="Arial" w:cs="Arial" w:hint="eastAsia"/>
          <w:b/>
          <w:bCs/>
          <w:sz w:val="36"/>
          <w:szCs w:val="36"/>
        </w:rPr>
        <w:t>地块</w:t>
      </w:r>
      <w:r w:rsidR="00097BFE" w:rsidRPr="00097BFE">
        <w:rPr>
          <w:rFonts w:ascii="Arial" w:hAnsi="Arial" w:cs="Arial"/>
          <w:b/>
          <w:bCs/>
          <w:sz w:val="36"/>
          <w:szCs w:val="36"/>
        </w:rPr>
        <w:t>居住项目</w:t>
      </w:r>
    </w:p>
    <w:p w14:paraId="0985A713" w14:textId="77777777" w:rsidR="00E03EB1" w:rsidRPr="00E05368" w:rsidRDefault="00E03EB1" w:rsidP="00E03EB1">
      <w:pPr>
        <w:pStyle w:val="af"/>
        <w:adjustRightInd w:val="0"/>
        <w:snapToGrid w:val="0"/>
        <w:spacing w:line="360" w:lineRule="auto"/>
        <w:jc w:val="center"/>
        <w:rPr>
          <w:rFonts w:ascii="Arial" w:hAnsi="Arial" w:cs="Arial"/>
          <w:b/>
          <w:bCs/>
          <w:sz w:val="36"/>
          <w:szCs w:val="36"/>
        </w:rPr>
      </w:pPr>
      <w:r w:rsidRPr="00E05368">
        <w:rPr>
          <w:rFonts w:ascii="Arial" w:hAnsi="Arial" w:cs="Arial" w:hint="eastAsia"/>
          <w:b/>
          <w:bCs/>
          <w:sz w:val="36"/>
          <w:szCs w:val="36"/>
        </w:rPr>
        <w:t>可行性研究报告</w:t>
      </w:r>
      <w:bookmarkEnd w:id="7"/>
    </w:p>
    <w:p w14:paraId="676733A1" w14:textId="77777777" w:rsidR="00E03EB1" w:rsidRPr="00E05368" w:rsidRDefault="00E03EB1" w:rsidP="00E03EB1">
      <w:pPr>
        <w:pStyle w:val="1"/>
        <w:spacing w:before="240" w:line="240" w:lineRule="auto"/>
        <w:rPr>
          <w:rFonts w:ascii="Arial" w:eastAsia="方正黑体简体" w:hAnsi="Arial" w:cs="Arial"/>
          <w:b w:val="0"/>
          <w:bCs/>
          <w:sz w:val="32"/>
          <w:szCs w:val="32"/>
        </w:rPr>
      </w:pPr>
      <w:bookmarkStart w:id="23" w:name="_Toc514769665"/>
      <w:bookmarkStart w:id="24" w:name="_Toc514916923"/>
      <w:bookmarkStart w:id="25" w:name="_Toc514917276"/>
      <w:bookmarkStart w:id="26" w:name="_Toc514917348"/>
      <w:bookmarkStart w:id="27" w:name="_Toc23442388"/>
      <w:bookmarkStart w:id="28" w:name="_Toc74250048"/>
      <w:bookmarkStart w:id="29" w:name="_Toc74662878"/>
      <w:r w:rsidRPr="00E05368">
        <w:rPr>
          <w:rFonts w:ascii="Arial" w:eastAsia="方正黑体简体" w:hAnsi="Arial" w:cs="Arial"/>
          <w:b w:val="0"/>
          <w:bCs/>
          <w:sz w:val="32"/>
          <w:szCs w:val="32"/>
        </w:rPr>
        <w:t>〔内容提要〕</w:t>
      </w:r>
      <w:bookmarkEnd w:id="23"/>
      <w:bookmarkEnd w:id="24"/>
      <w:bookmarkEnd w:id="25"/>
      <w:bookmarkEnd w:id="26"/>
      <w:bookmarkEnd w:id="27"/>
      <w:bookmarkEnd w:id="28"/>
      <w:bookmarkEnd w:id="29"/>
    </w:p>
    <w:p w14:paraId="7D349C5F" w14:textId="77777777" w:rsidR="00E03EB1" w:rsidRPr="00E05368" w:rsidRDefault="00E03EB1" w:rsidP="00E03EB1">
      <w:pPr>
        <w:pStyle w:val="af"/>
        <w:spacing w:line="480" w:lineRule="auto"/>
        <w:rPr>
          <w:rFonts w:ascii="Arial" w:hAnsi="Arial" w:cs="Arial"/>
          <w:b/>
          <w:bCs/>
        </w:rPr>
      </w:pPr>
      <w:bookmarkStart w:id="30" w:name="_Toc133693353"/>
      <w:bookmarkStart w:id="31" w:name="_Toc111622538"/>
      <w:bookmarkStart w:id="32" w:name="_Toc415468956"/>
      <w:bookmarkStart w:id="33" w:name="_Toc76889704"/>
      <w:r w:rsidRPr="00E05368">
        <w:rPr>
          <w:rFonts w:ascii="Arial" w:hAnsi="Arial" w:cs="Arial" w:hint="eastAsia"/>
          <w:b/>
          <w:bCs/>
        </w:rPr>
        <w:t>五</w:t>
      </w:r>
      <w:proofErr w:type="gramStart"/>
      <w:r w:rsidRPr="00E05368">
        <w:rPr>
          <w:rFonts w:ascii="Arial" w:hAnsi="Arial" w:cs="Arial" w:hint="eastAsia"/>
          <w:b/>
          <w:bCs/>
        </w:rPr>
        <w:t>矿国际</w:t>
      </w:r>
      <w:proofErr w:type="gramEnd"/>
      <w:r w:rsidRPr="00E05368">
        <w:rPr>
          <w:rFonts w:ascii="Arial" w:hAnsi="Arial" w:cs="Arial" w:hint="eastAsia"/>
          <w:b/>
          <w:bCs/>
        </w:rPr>
        <w:t>信托有限公司：</w:t>
      </w:r>
      <w:bookmarkEnd w:id="30"/>
    </w:p>
    <w:p w14:paraId="665FF680" w14:textId="25CB7645" w:rsidR="00E03EB1" w:rsidRPr="00E05368" w:rsidRDefault="00E03EB1" w:rsidP="00D11CB8">
      <w:pPr>
        <w:pStyle w:val="af"/>
        <w:adjustRightInd w:val="0"/>
        <w:snapToGrid w:val="0"/>
        <w:spacing w:line="480" w:lineRule="auto"/>
        <w:ind w:firstLineChars="196" w:firstLine="472"/>
        <w:jc w:val="both"/>
        <w:rPr>
          <w:rFonts w:ascii="Arial" w:hAnsi="Arial" w:cs="Arial"/>
          <w:b/>
          <w:bCs/>
          <w:szCs w:val="24"/>
        </w:rPr>
      </w:pPr>
      <w:r w:rsidRPr="00E05368">
        <w:rPr>
          <w:rFonts w:ascii="Arial" w:hAnsi="Arial" w:cs="Arial" w:hint="eastAsia"/>
          <w:b/>
          <w:bCs/>
          <w:szCs w:val="24"/>
        </w:rPr>
        <w:t>受贵公司委托，我公司对</w:t>
      </w:r>
      <w:r w:rsidR="00EF6767">
        <w:rPr>
          <w:rFonts w:ascii="Arial" w:hAnsi="Arial" w:cs="Arial" w:hint="eastAsia"/>
          <w:b/>
          <w:bCs/>
          <w:szCs w:val="24"/>
        </w:rPr>
        <w:t>江苏省南京市雨花台区凤集大道以南、新湖大道以西</w:t>
      </w:r>
      <w:r w:rsidR="00EF6767">
        <w:rPr>
          <w:rFonts w:ascii="Arial" w:hAnsi="Arial" w:cs="Arial" w:hint="eastAsia"/>
          <w:b/>
          <w:bCs/>
          <w:szCs w:val="24"/>
        </w:rPr>
        <w:t>NO.2021G35</w:t>
      </w:r>
      <w:r w:rsidR="00EF6767">
        <w:rPr>
          <w:rFonts w:ascii="Arial" w:hAnsi="Arial" w:cs="Arial" w:hint="eastAsia"/>
          <w:b/>
          <w:bCs/>
          <w:szCs w:val="24"/>
        </w:rPr>
        <w:t>地块</w:t>
      </w:r>
      <w:r w:rsidR="00097BFE" w:rsidRPr="00097BFE">
        <w:rPr>
          <w:rFonts w:ascii="Arial" w:hAnsi="Arial" w:cs="Arial"/>
          <w:b/>
          <w:bCs/>
          <w:szCs w:val="24"/>
        </w:rPr>
        <w:t>居住项目</w:t>
      </w:r>
      <w:r w:rsidRPr="00E05368">
        <w:rPr>
          <w:rFonts w:ascii="Arial" w:hAnsi="Arial" w:cs="Arial" w:hint="eastAsia"/>
          <w:b/>
          <w:bCs/>
          <w:szCs w:val="24"/>
        </w:rPr>
        <w:t>进行了调查分析，形成了房地产开发项目可行性研究报告。本</w:t>
      </w:r>
      <w:r w:rsidRPr="00E05368">
        <w:rPr>
          <w:rFonts w:ascii="Arial" w:hAnsi="Arial" w:cs="Arial"/>
          <w:b/>
          <w:bCs/>
          <w:szCs w:val="24"/>
        </w:rPr>
        <w:t>报告从项目概况、项目投资环境、房地产市场分析、项目投资估算、项目经济效益分析、项目风险分析等方面进行了较为全面的分析研究，主要内容摘录如下：</w:t>
      </w:r>
    </w:p>
    <w:p w14:paraId="6AB35BF2" w14:textId="24EF24AC" w:rsidR="00B639D8" w:rsidRPr="00E05368" w:rsidRDefault="00E03EB1" w:rsidP="00B639D8">
      <w:pPr>
        <w:adjustRightInd w:val="0"/>
        <w:snapToGrid w:val="0"/>
        <w:spacing w:line="480" w:lineRule="auto"/>
        <w:ind w:firstLineChars="200" w:firstLine="482"/>
        <w:jc w:val="both"/>
        <w:rPr>
          <w:rFonts w:ascii="Arial" w:hAnsi="Arial" w:cs="Arial"/>
          <w:b/>
          <w:bCs/>
        </w:rPr>
      </w:pPr>
      <w:r w:rsidRPr="00E05368">
        <w:rPr>
          <w:rFonts w:ascii="Arial" w:hAnsi="Arial" w:cs="Arial"/>
          <w:b/>
          <w:bCs/>
        </w:rPr>
        <w:t>建设项目为</w:t>
      </w:r>
      <w:r w:rsidR="00EF6767">
        <w:rPr>
          <w:rFonts w:ascii="Arial" w:hAnsi="Arial" w:cs="Arial" w:hint="eastAsia"/>
          <w:b/>
          <w:bCs/>
        </w:rPr>
        <w:t>江苏省南京市雨花台区凤集大道以南、新湖大道以西</w:t>
      </w:r>
      <w:r w:rsidR="00EF6767">
        <w:rPr>
          <w:rFonts w:ascii="Arial" w:hAnsi="Arial" w:cs="Arial" w:hint="eastAsia"/>
          <w:b/>
          <w:bCs/>
        </w:rPr>
        <w:t>NO.2021G35</w:t>
      </w:r>
      <w:r w:rsidR="00EF6767">
        <w:rPr>
          <w:rFonts w:ascii="Arial" w:hAnsi="Arial" w:cs="Arial" w:hint="eastAsia"/>
          <w:b/>
          <w:bCs/>
        </w:rPr>
        <w:t>地块</w:t>
      </w:r>
      <w:r w:rsidR="00097BFE" w:rsidRPr="00097BFE">
        <w:rPr>
          <w:rFonts w:ascii="Arial" w:hAnsi="Arial" w:cs="Arial"/>
          <w:b/>
          <w:bCs/>
        </w:rPr>
        <w:t>居住项目</w:t>
      </w:r>
      <w:r w:rsidRPr="00E05368">
        <w:rPr>
          <w:rFonts w:ascii="Arial" w:hAnsi="Arial" w:cs="Arial" w:hint="eastAsia"/>
          <w:b/>
          <w:bCs/>
        </w:rPr>
        <w:t>，该项目</w:t>
      </w:r>
      <w:proofErr w:type="gramStart"/>
      <w:r w:rsidRPr="00E05368">
        <w:rPr>
          <w:rFonts w:ascii="Arial" w:hAnsi="Arial" w:cs="Arial"/>
          <w:b/>
          <w:bCs/>
        </w:rPr>
        <w:t>由</w:t>
      </w:r>
      <w:r w:rsidR="00EF6767" w:rsidRPr="00EF6767">
        <w:rPr>
          <w:rFonts w:ascii="Arial" w:hAnsi="Arial" w:cs="Arial" w:hint="eastAsia"/>
          <w:b/>
          <w:bCs/>
        </w:rPr>
        <w:t>中冶置业</w:t>
      </w:r>
      <w:proofErr w:type="gramEnd"/>
      <w:r w:rsidR="00EF6767" w:rsidRPr="00EF6767">
        <w:rPr>
          <w:rFonts w:ascii="Arial" w:hAnsi="Arial" w:cs="Arial" w:hint="eastAsia"/>
          <w:b/>
          <w:bCs/>
        </w:rPr>
        <w:t>集团有限公司</w:t>
      </w:r>
      <w:r w:rsidRPr="00E05368">
        <w:rPr>
          <w:rFonts w:ascii="Arial" w:hAnsi="Arial" w:cs="Arial" w:hint="eastAsia"/>
          <w:b/>
          <w:bCs/>
        </w:rPr>
        <w:t>（以下简称“建设单位”）</w:t>
      </w:r>
      <w:r w:rsidRPr="00E05368">
        <w:rPr>
          <w:rFonts w:ascii="Arial" w:hAnsi="Arial" w:cs="Arial"/>
          <w:b/>
          <w:bCs/>
        </w:rPr>
        <w:t>开</w:t>
      </w:r>
      <w:r w:rsidRPr="00FC2126">
        <w:rPr>
          <w:rFonts w:ascii="Arial" w:hAnsi="Arial" w:cs="Arial"/>
          <w:b/>
          <w:bCs/>
        </w:rPr>
        <w:t>发建设</w:t>
      </w:r>
      <w:r w:rsidRPr="00FC2126">
        <w:rPr>
          <w:rFonts w:ascii="Arial" w:hAnsi="Arial" w:cs="Arial" w:hint="eastAsia"/>
          <w:b/>
          <w:bCs/>
        </w:rPr>
        <w:t>。</w:t>
      </w:r>
      <w:r w:rsidR="006A4498" w:rsidRPr="00FC2126">
        <w:rPr>
          <w:rFonts w:ascii="Arial" w:hAnsi="Arial" w:cs="Arial"/>
          <w:b/>
          <w:bCs/>
        </w:rPr>
        <w:t>截至</w:t>
      </w:r>
      <w:r w:rsidR="006A4498" w:rsidRPr="00FC2126">
        <w:rPr>
          <w:rFonts w:ascii="Arial" w:hAnsi="Arial" w:cs="Arial" w:hint="eastAsia"/>
          <w:b/>
          <w:bCs/>
        </w:rPr>
        <w:t>本</w:t>
      </w:r>
      <w:r w:rsidR="006A4498" w:rsidRPr="00FC2126">
        <w:rPr>
          <w:rFonts w:ascii="Arial" w:hAnsi="Arial" w:cs="Arial"/>
          <w:b/>
          <w:bCs/>
        </w:rPr>
        <w:t>报告出具日，</w:t>
      </w:r>
      <w:r w:rsidR="006A4498" w:rsidRPr="00FC2126">
        <w:rPr>
          <w:rFonts w:ascii="Arial" w:hAnsi="Arial" w:cs="Arial" w:hint="eastAsia"/>
          <w:b/>
          <w:bCs/>
        </w:rPr>
        <w:t>建设单位已</w:t>
      </w:r>
      <w:r w:rsidR="00FC2126" w:rsidRPr="00FC2126">
        <w:rPr>
          <w:rFonts w:ascii="Arial" w:hAnsi="Arial" w:cs="Arial" w:hint="eastAsia"/>
          <w:b/>
          <w:bCs/>
        </w:rPr>
        <w:t>初步取得</w:t>
      </w:r>
      <w:r w:rsidR="00FC2126" w:rsidRPr="00FC2126">
        <w:rPr>
          <w:rFonts w:ascii="Arial" w:hAnsi="Arial" w:cs="Arial"/>
          <w:b/>
          <w:bCs/>
        </w:rPr>
        <w:t>NO.2021G35</w:t>
      </w:r>
      <w:r w:rsidR="00FC2126" w:rsidRPr="00FC2126">
        <w:rPr>
          <w:rFonts w:ascii="Arial" w:hAnsi="Arial" w:cs="Arial"/>
          <w:b/>
          <w:bCs/>
        </w:rPr>
        <w:t>地块</w:t>
      </w:r>
      <w:r w:rsidR="00193F01">
        <w:rPr>
          <w:rFonts w:ascii="Arial" w:hAnsi="Arial" w:cs="Arial" w:hint="eastAsia"/>
          <w:b/>
          <w:bCs/>
        </w:rPr>
        <w:t>出让</w:t>
      </w:r>
      <w:r w:rsidR="00193F01">
        <w:rPr>
          <w:rFonts w:ascii="Arial" w:hAnsi="Arial" w:cs="Arial"/>
          <w:b/>
          <w:bCs/>
        </w:rPr>
        <w:t>国有建设用地使用权</w:t>
      </w:r>
      <w:r w:rsidR="00FC2126" w:rsidRPr="00FC2126">
        <w:rPr>
          <w:rFonts w:ascii="Arial" w:hAnsi="Arial" w:cs="Arial" w:hint="eastAsia"/>
          <w:b/>
          <w:bCs/>
        </w:rPr>
        <w:t>，</w:t>
      </w:r>
      <w:r w:rsidR="00193F01">
        <w:rPr>
          <w:rFonts w:ascii="Arial" w:hAnsi="Arial" w:cs="Arial" w:hint="eastAsia"/>
          <w:b/>
          <w:bCs/>
        </w:rPr>
        <w:t>但</w:t>
      </w:r>
      <w:r w:rsidR="00FC2126" w:rsidRPr="00FC2126">
        <w:rPr>
          <w:rFonts w:ascii="Arial" w:hAnsi="Arial" w:cs="Arial" w:hint="eastAsia"/>
          <w:b/>
          <w:bCs/>
        </w:rPr>
        <w:t>尚未</w:t>
      </w:r>
      <w:r w:rsidR="00193F01">
        <w:rPr>
          <w:rFonts w:ascii="Arial" w:hAnsi="Arial" w:cs="Arial" w:hint="eastAsia"/>
          <w:b/>
          <w:bCs/>
        </w:rPr>
        <w:t>签订</w:t>
      </w:r>
      <w:r w:rsidR="006A4498" w:rsidRPr="00FC2126">
        <w:rPr>
          <w:rFonts w:ascii="Arial" w:hAnsi="Arial" w:cs="Arial"/>
          <w:b/>
          <w:bCs/>
        </w:rPr>
        <w:t>《</w:t>
      </w:r>
      <w:r w:rsidR="00097BFE" w:rsidRPr="00FC2126">
        <w:rPr>
          <w:rFonts w:ascii="Arial" w:hAnsi="Arial" w:cs="Arial" w:hint="eastAsia"/>
          <w:b/>
          <w:bCs/>
        </w:rPr>
        <w:t>国有建设用地使用权出让合同</w:t>
      </w:r>
      <w:r w:rsidR="006A4498" w:rsidRPr="00FC2126">
        <w:rPr>
          <w:rFonts w:ascii="Arial" w:hAnsi="Arial" w:cs="Arial"/>
          <w:b/>
          <w:bCs/>
        </w:rPr>
        <w:t>》</w:t>
      </w:r>
      <w:r w:rsidR="00193F01">
        <w:rPr>
          <w:rFonts w:ascii="Arial" w:hAnsi="Arial" w:cs="Arial" w:hint="eastAsia"/>
          <w:b/>
          <w:bCs/>
        </w:rPr>
        <w:t>，尚未</w:t>
      </w:r>
      <w:r w:rsidR="00193F01">
        <w:rPr>
          <w:rFonts w:ascii="Arial" w:hAnsi="Arial" w:cs="Arial"/>
          <w:b/>
          <w:bCs/>
        </w:rPr>
        <w:t>取得</w:t>
      </w:r>
      <w:r w:rsidR="00FC2126" w:rsidRPr="00FC2126">
        <w:rPr>
          <w:rFonts w:ascii="Arial" w:hAnsi="Arial" w:cs="Arial" w:hint="eastAsia"/>
          <w:b/>
          <w:bCs/>
        </w:rPr>
        <w:t>《不动产权证书》</w:t>
      </w:r>
      <w:r w:rsidR="00193F01">
        <w:rPr>
          <w:rFonts w:ascii="Arial" w:hAnsi="Arial" w:cs="Arial" w:hint="eastAsia"/>
          <w:b/>
          <w:bCs/>
        </w:rPr>
        <w:t>。截至本</w:t>
      </w:r>
      <w:r w:rsidR="00193F01">
        <w:rPr>
          <w:rFonts w:ascii="Arial" w:hAnsi="Arial" w:cs="Arial"/>
          <w:b/>
          <w:bCs/>
        </w:rPr>
        <w:t>报告出具日</w:t>
      </w:r>
      <w:r w:rsidR="00193F01">
        <w:rPr>
          <w:rFonts w:ascii="Arial" w:hAnsi="Arial" w:cs="Arial" w:hint="eastAsia"/>
          <w:b/>
          <w:bCs/>
        </w:rPr>
        <w:t>，</w:t>
      </w:r>
      <w:r w:rsidR="00FC2126" w:rsidRPr="00FC2126">
        <w:rPr>
          <w:rFonts w:ascii="Arial" w:hAnsi="Arial" w:cs="Arial" w:hint="eastAsia"/>
          <w:b/>
          <w:bCs/>
        </w:rPr>
        <w:t>已缴纳</w:t>
      </w:r>
      <w:r w:rsidR="00FC2126" w:rsidRPr="00FC2126">
        <w:rPr>
          <w:rFonts w:ascii="Arial" w:hAnsi="Arial" w:cs="Arial" w:hint="eastAsia"/>
          <w:b/>
          <w:bCs/>
        </w:rPr>
        <w:t>20%</w:t>
      </w:r>
      <w:r w:rsidR="00FC2126" w:rsidRPr="00FC2126">
        <w:rPr>
          <w:rFonts w:ascii="Arial" w:hAnsi="Arial" w:cs="Arial" w:hint="eastAsia"/>
          <w:b/>
          <w:bCs/>
        </w:rPr>
        <w:t>保证金</w:t>
      </w:r>
      <w:r w:rsidR="00B639D8" w:rsidRPr="00FC2126">
        <w:rPr>
          <w:rFonts w:ascii="Arial" w:hAnsi="Arial" w:cs="Arial" w:hint="eastAsia"/>
          <w:b/>
          <w:bCs/>
        </w:rPr>
        <w:t>。</w:t>
      </w:r>
    </w:p>
    <w:p w14:paraId="398B9968" w14:textId="1EF29720" w:rsidR="00F3596F" w:rsidRDefault="00E03EB1" w:rsidP="002E39D4">
      <w:pPr>
        <w:adjustRightInd w:val="0"/>
        <w:snapToGrid w:val="0"/>
        <w:spacing w:line="480" w:lineRule="auto"/>
        <w:ind w:firstLineChars="200" w:firstLine="482"/>
        <w:jc w:val="both"/>
        <w:rPr>
          <w:rFonts w:ascii="Arial" w:hAnsi="Arial" w:cs="Arial"/>
          <w:b/>
          <w:bCs/>
        </w:rPr>
      </w:pPr>
      <w:r w:rsidRPr="00E05368">
        <w:rPr>
          <w:rFonts w:ascii="Arial" w:hAnsi="Arial" w:cs="Arial"/>
          <w:b/>
          <w:bCs/>
        </w:rPr>
        <w:t>根据建设单位提供的</w:t>
      </w:r>
      <w:r w:rsidR="00FC2126">
        <w:rPr>
          <w:rFonts w:ascii="Arial" w:hAnsi="Arial" w:cs="Arial" w:hint="eastAsia"/>
          <w:b/>
          <w:bCs/>
        </w:rPr>
        <w:t>资料</w:t>
      </w:r>
      <w:r w:rsidRPr="00E05368">
        <w:rPr>
          <w:rFonts w:ascii="Arial" w:hAnsi="Arial" w:cs="Arial"/>
          <w:b/>
          <w:bCs/>
        </w:rPr>
        <w:t>，</w:t>
      </w:r>
      <w:r w:rsidR="00F3596F">
        <w:rPr>
          <w:rFonts w:ascii="Arial" w:hAnsi="Arial" w:cs="Arial" w:hint="eastAsia"/>
          <w:b/>
          <w:bCs/>
        </w:rPr>
        <w:t>该项目地块出让宗地面积为</w:t>
      </w:r>
      <w:r w:rsidR="00F3596F" w:rsidRPr="00F3596F">
        <w:rPr>
          <w:rFonts w:ascii="Arial" w:hAnsi="Arial" w:cs="Arial"/>
          <w:b/>
          <w:bCs/>
        </w:rPr>
        <w:t>59471.42</w:t>
      </w:r>
      <w:r w:rsidR="00F3596F">
        <w:rPr>
          <w:rFonts w:ascii="Arial" w:hAnsi="Arial" w:cs="Arial" w:hint="eastAsia"/>
          <w:b/>
          <w:bCs/>
        </w:rPr>
        <w:t>平方米，规划总建筑面积为</w:t>
      </w:r>
      <w:r w:rsidR="00F3596F" w:rsidRPr="00F3596F">
        <w:rPr>
          <w:rFonts w:ascii="Arial" w:hAnsi="Arial" w:cs="Arial"/>
          <w:b/>
          <w:bCs/>
        </w:rPr>
        <w:t>208085</w:t>
      </w:r>
      <w:r w:rsidR="00F3596F">
        <w:rPr>
          <w:rFonts w:ascii="Arial" w:hAnsi="Arial" w:cs="Arial" w:hint="eastAsia"/>
          <w:b/>
          <w:bCs/>
        </w:rPr>
        <w:t>平方米，其中地</w:t>
      </w:r>
      <w:proofErr w:type="gramStart"/>
      <w:r w:rsidR="00F3596F">
        <w:rPr>
          <w:rFonts w:ascii="Arial" w:hAnsi="Arial" w:cs="Arial" w:hint="eastAsia"/>
          <w:b/>
          <w:bCs/>
        </w:rPr>
        <w:t>上计容总建筑面积</w:t>
      </w:r>
      <w:proofErr w:type="gramEnd"/>
      <w:r w:rsidR="00F3596F">
        <w:rPr>
          <w:rFonts w:ascii="Arial" w:hAnsi="Arial" w:cs="Arial" w:hint="eastAsia"/>
          <w:b/>
          <w:bCs/>
        </w:rPr>
        <w:t>为</w:t>
      </w:r>
      <w:r w:rsidR="00F3596F" w:rsidRPr="00F3596F">
        <w:rPr>
          <w:rFonts w:ascii="Arial" w:hAnsi="Arial" w:cs="Arial"/>
          <w:b/>
          <w:bCs/>
        </w:rPr>
        <w:t>154625</w:t>
      </w:r>
      <w:r w:rsidR="00F3596F">
        <w:rPr>
          <w:rFonts w:ascii="Arial" w:hAnsi="Arial" w:cs="Arial" w:hint="eastAsia"/>
          <w:b/>
          <w:bCs/>
        </w:rPr>
        <w:t>平方米（其中：住宅</w:t>
      </w:r>
      <w:r w:rsidR="00F3596F" w:rsidRPr="00F3596F">
        <w:rPr>
          <w:rFonts w:ascii="Arial" w:hAnsi="Arial" w:cs="Arial"/>
          <w:b/>
          <w:bCs/>
        </w:rPr>
        <w:t>137461</w:t>
      </w:r>
      <w:r w:rsidR="00F3596F">
        <w:rPr>
          <w:rFonts w:ascii="Arial" w:hAnsi="Arial" w:cs="Arial" w:hint="eastAsia"/>
          <w:b/>
          <w:bCs/>
        </w:rPr>
        <w:t>平方米、租赁用房</w:t>
      </w:r>
      <w:r w:rsidR="00F3596F">
        <w:rPr>
          <w:rFonts w:ascii="Arial" w:hAnsi="Arial" w:cs="Arial" w:hint="eastAsia"/>
          <w:b/>
          <w:bCs/>
        </w:rPr>
        <w:t>7</w:t>
      </w:r>
      <w:r w:rsidR="00F3596F">
        <w:rPr>
          <w:rFonts w:ascii="Arial" w:hAnsi="Arial" w:cs="Arial"/>
          <w:b/>
          <w:bCs/>
        </w:rPr>
        <w:t>731</w:t>
      </w:r>
      <w:r w:rsidR="00F3596F">
        <w:rPr>
          <w:rFonts w:ascii="Arial" w:hAnsi="Arial" w:cs="Arial" w:hint="eastAsia"/>
          <w:b/>
          <w:bCs/>
        </w:rPr>
        <w:t>平方米、商业</w:t>
      </w:r>
      <w:r w:rsidR="00F3596F">
        <w:rPr>
          <w:rFonts w:ascii="Arial" w:hAnsi="Arial" w:cs="Arial" w:hint="eastAsia"/>
          <w:b/>
          <w:bCs/>
        </w:rPr>
        <w:t>7</w:t>
      </w:r>
      <w:r w:rsidR="00F3596F">
        <w:rPr>
          <w:rFonts w:ascii="Arial" w:hAnsi="Arial" w:cs="Arial"/>
          <w:b/>
          <w:bCs/>
        </w:rPr>
        <w:t>500</w:t>
      </w:r>
      <w:r w:rsidR="00F3596F">
        <w:rPr>
          <w:rFonts w:ascii="Arial" w:hAnsi="Arial" w:cs="Arial" w:hint="eastAsia"/>
          <w:b/>
          <w:bCs/>
        </w:rPr>
        <w:t>平方米、配套用房</w:t>
      </w:r>
      <w:r w:rsidR="00F3596F">
        <w:rPr>
          <w:rFonts w:ascii="Arial" w:hAnsi="Arial" w:cs="Arial" w:hint="eastAsia"/>
          <w:b/>
          <w:bCs/>
        </w:rPr>
        <w:t>1</w:t>
      </w:r>
      <w:r w:rsidR="00F3596F">
        <w:rPr>
          <w:rFonts w:ascii="Arial" w:hAnsi="Arial" w:cs="Arial"/>
          <w:b/>
          <w:bCs/>
        </w:rPr>
        <w:t>933</w:t>
      </w:r>
      <w:r w:rsidR="00F3596F">
        <w:rPr>
          <w:rFonts w:ascii="Arial" w:hAnsi="Arial" w:cs="Arial" w:hint="eastAsia"/>
          <w:b/>
          <w:bCs/>
        </w:rPr>
        <w:t>平方米）；地下总建筑面积为</w:t>
      </w:r>
      <w:r w:rsidR="00F3596F">
        <w:rPr>
          <w:rFonts w:ascii="Arial" w:hAnsi="Arial" w:cs="Arial"/>
          <w:b/>
          <w:bCs/>
        </w:rPr>
        <w:t>53460</w:t>
      </w:r>
      <w:r w:rsidR="00F3596F">
        <w:rPr>
          <w:rFonts w:ascii="Arial" w:hAnsi="Arial" w:cs="Arial" w:hint="eastAsia"/>
          <w:b/>
          <w:bCs/>
        </w:rPr>
        <w:t>平方米，规划为地下车库、设备及人防，其中非人防地下车库</w:t>
      </w:r>
      <w:r w:rsidR="00F3596F" w:rsidRPr="00F3596F">
        <w:rPr>
          <w:rFonts w:ascii="Arial" w:hAnsi="Arial" w:cs="Arial"/>
          <w:b/>
          <w:bCs/>
        </w:rPr>
        <w:t>34560</w:t>
      </w:r>
      <w:r w:rsidR="00F3596F">
        <w:rPr>
          <w:rFonts w:ascii="Arial" w:hAnsi="Arial" w:cs="Arial" w:hint="eastAsia"/>
          <w:b/>
          <w:bCs/>
        </w:rPr>
        <w:t>平方米，人防及设备</w:t>
      </w:r>
      <w:r w:rsidR="00F3596F">
        <w:rPr>
          <w:rFonts w:ascii="Arial" w:hAnsi="Arial" w:cs="Arial" w:hint="eastAsia"/>
          <w:b/>
          <w:bCs/>
        </w:rPr>
        <w:t>1</w:t>
      </w:r>
      <w:r w:rsidR="00F3596F">
        <w:rPr>
          <w:rFonts w:ascii="Arial" w:hAnsi="Arial" w:cs="Arial"/>
          <w:b/>
          <w:bCs/>
        </w:rPr>
        <w:t>8900</w:t>
      </w:r>
      <w:r w:rsidR="00F3596F">
        <w:rPr>
          <w:rFonts w:ascii="Arial" w:hAnsi="Arial" w:cs="Arial" w:hint="eastAsia"/>
          <w:b/>
          <w:bCs/>
        </w:rPr>
        <w:t>平方米。</w:t>
      </w:r>
    </w:p>
    <w:p w14:paraId="73D0CE5F" w14:textId="2946EC74" w:rsidR="00E03EB1" w:rsidRPr="002E4A2D" w:rsidRDefault="00E03EB1" w:rsidP="00F3596F">
      <w:pPr>
        <w:widowControl w:val="0"/>
        <w:adjustRightInd w:val="0"/>
        <w:snapToGrid w:val="0"/>
        <w:spacing w:line="480" w:lineRule="auto"/>
        <w:ind w:firstLineChars="199" w:firstLine="479"/>
        <w:jc w:val="both"/>
        <w:rPr>
          <w:rFonts w:ascii="Arial" w:hAnsi="Arial" w:cs="Arial"/>
          <w:b/>
          <w:bCs/>
          <w:color w:val="000000"/>
        </w:rPr>
      </w:pPr>
      <w:r w:rsidRPr="00602354">
        <w:rPr>
          <w:rFonts w:ascii="Arial" w:hAnsi="Arial" w:cs="Arial"/>
          <w:b/>
          <w:bCs/>
          <w:color w:val="000000"/>
        </w:rPr>
        <w:t>建设项</w:t>
      </w:r>
      <w:r w:rsidRPr="00602354">
        <w:rPr>
          <w:rFonts w:ascii="Arial" w:hAnsi="Arial" w:cs="Arial" w:hint="eastAsia"/>
          <w:b/>
          <w:bCs/>
        </w:rPr>
        <w:t>目总投资为</w:t>
      </w:r>
      <w:r w:rsidR="00F3596F" w:rsidRPr="00602354">
        <w:rPr>
          <w:rFonts w:ascii="Arial" w:hAnsi="Arial" w:cs="Arial"/>
          <w:b/>
          <w:bCs/>
        </w:rPr>
        <w:t>436207</w:t>
      </w:r>
      <w:r w:rsidRPr="00602354">
        <w:rPr>
          <w:rFonts w:ascii="Arial" w:hAnsi="Arial" w:cs="Arial" w:hint="eastAsia"/>
          <w:b/>
          <w:bCs/>
        </w:rPr>
        <w:t>万元，经测算项目可实现销售收入</w:t>
      </w:r>
      <w:r w:rsidR="00193F01" w:rsidRPr="00602354">
        <w:rPr>
          <w:rFonts w:ascii="Arial" w:hAnsi="Arial" w:cs="Arial"/>
          <w:b/>
          <w:bCs/>
        </w:rPr>
        <w:t>458187</w:t>
      </w:r>
      <w:r w:rsidRPr="00602354">
        <w:rPr>
          <w:rFonts w:ascii="Arial" w:hAnsi="Arial" w:cs="Arial" w:hint="eastAsia"/>
          <w:b/>
          <w:bCs/>
        </w:rPr>
        <w:t>万元，税前利</w:t>
      </w:r>
      <w:r w:rsidRPr="00602354">
        <w:rPr>
          <w:rFonts w:ascii="Arial" w:hAnsi="Arial" w:cs="Arial" w:hint="eastAsia"/>
          <w:b/>
          <w:bCs/>
        </w:rPr>
        <w:lastRenderedPageBreak/>
        <w:t>润总额</w:t>
      </w:r>
      <w:r w:rsidR="00602354" w:rsidRPr="00602354">
        <w:rPr>
          <w:rFonts w:ascii="Arial" w:hAnsi="Arial" w:cs="Arial"/>
          <w:b/>
          <w:bCs/>
        </w:rPr>
        <w:t>7859</w:t>
      </w:r>
      <w:r w:rsidRPr="00602354">
        <w:rPr>
          <w:rFonts w:ascii="Arial" w:hAnsi="Arial" w:cs="Arial" w:hint="eastAsia"/>
          <w:b/>
          <w:bCs/>
        </w:rPr>
        <w:t>万元，税后利润总额</w:t>
      </w:r>
      <w:r w:rsidR="00602354" w:rsidRPr="00602354">
        <w:rPr>
          <w:rFonts w:ascii="Arial" w:hAnsi="Arial" w:cs="Arial"/>
          <w:b/>
          <w:bCs/>
        </w:rPr>
        <w:t>5894</w:t>
      </w:r>
      <w:r w:rsidRPr="00602354">
        <w:rPr>
          <w:rFonts w:ascii="Arial" w:hAnsi="Arial" w:cs="Arial" w:hint="eastAsia"/>
          <w:b/>
          <w:bCs/>
        </w:rPr>
        <w:t>万元，销售利润率</w:t>
      </w:r>
      <w:r w:rsidR="00602354" w:rsidRPr="00602354">
        <w:rPr>
          <w:rFonts w:ascii="Arial" w:hAnsi="Arial" w:cs="Arial"/>
          <w:b/>
          <w:bCs/>
        </w:rPr>
        <w:t>1.29</w:t>
      </w:r>
      <w:r w:rsidR="002E4A2D" w:rsidRPr="00602354">
        <w:rPr>
          <w:rFonts w:ascii="Arial" w:hAnsi="Arial" w:cs="Arial"/>
          <w:b/>
          <w:bCs/>
        </w:rPr>
        <w:t>%</w:t>
      </w:r>
      <w:r w:rsidRPr="00602354">
        <w:rPr>
          <w:rFonts w:ascii="Arial" w:hAnsi="Arial" w:cs="Arial" w:hint="eastAsia"/>
          <w:b/>
          <w:bCs/>
        </w:rPr>
        <w:t>，</w:t>
      </w:r>
      <w:r w:rsidRPr="00602354">
        <w:rPr>
          <w:rFonts w:ascii="Arial" w:hAnsi="Arial" w:cs="Arial" w:hint="eastAsia"/>
          <w:b/>
          <w:bCs/>
          <w:color w:val="000000"/>
        </w:rPr>
        <w:t>表明项目</w:t>
      </w:r>
      <w:r w:rsidR="00193F01" w:rsidRPr="00602354">
        <w:rPr>
          <w:rFonts w:ascii="Arial" w:hAnsi="Arial" w:cs="Arial" w:hint="eastAsia"/>
          <w:b/>
          <w:bCs/>
          <w:color w:val="000000"/>
        </w:rPr>
        <w:t>具有</w:t>
      </w:r>
      <w:r w:rsidR="00F0708E">
        <w:rPr>
          <w:rFonts w:ascii="Arial" w:hAnsi="Arial" w:cs="Arial" w:hint="eastAsia"/>
          <w:b/>
          <w:bCs/>
          <w:color w:val="000000"/>
        </w:rPr>
        <w:t>一定的</w:t>
      </w:r>
      <w:r w:rsidRPr="00602354">
        <w:rPr>
          <w:rFonts w:ascii="Arial" w:hAnsi="Arial" w:cs="Arial" w:hint="eastAsia"/>
          <w:b/>
          <w:bCs/>
          <w:color w:val="000000"/>
        </w:rPr>
        <w:t>盈利能力。项目内部收益率</w:t>
      </w:r>
      <w:r w:rsidR="00193F01" w:rsidRPr="00602354">
        <w:rPr>
          <w:rFonts w:ascii="Arial" w:hAnsi="Arial" w:cs="Arial"/>
          <w:b/>
          <w:bCs/>
          <w:color w:val="000000"/>
        </w:rPr>
        <w:t>10.</w:t>
      </w:r>
      <w:r w:rsidR="00602354" w:rsidRPr="00602354">
        <w:rPr>
          <w:rFonts w:ascii="Arial" w:hAnsi="Arial" w:cs="Arial"/>
          <w:b/>
          <w:bCs/>
          <w:color w:val="000000"/>
        </w:rPr>
        <w:t>34</w:t>
      </w:r>
      <w:r w:rsidR="002E4A2D" w:rsidRPr="00602354">
        <w:rPr>
          <w:rFonts w:ascii="Arial" w:hAnsi="Arial" w:cs="Arial"/>
          <w:b/>
          <w:bCs/>
          <w:color w:val="000000"/>
        </w:rPr>
        <w:t>%</w:t>
      </w:r>
      <w:r w:rsidRPr="00602354">
        <w:rPr>
          <w:rFonts w:ascii="Arial" w:hAnsi="Arial" w:cs="Arial" w:hint="eastAsia"/>
          <w:b/>
          <w:bCs/>
          <w:color w:val="000000"/>
        </w:rPr>
        <w:t>，</w:t>
      </w:r>
      <w:r w:rsidRPr="00602354">
        <w:rPr>
          <w:rFonts w:ascii="Arial" w:hAnsi="Arial" w:cs="Arial"/>
          <w:b/>
          <w:bCs/>
          <w:color w:val="000000"/>
        </w:rPr>
        <w:t>在基准折现率</w:t>
      </w:r>
      <w:r w:rsidR="006039AE" w:rsidRPr="00602354">
        <w:rPr>
          <w:rFonts w:ascii="Arial" w:hAnsi="Arial" w:cs="Arial"/>
          <w:b/>
          <w:bCs/>
          <w:color w:val="000000"/>
        </w:rPr>
        <w:t>10</w:t>
      </w:r>
      <w:r w:rsidRPr="00602354">
        <w:rPr>
          <w:rFonts w:ascii="Arial" w:hAnsi="Arial" w:cs="Arial"/>
          <w:b/>
          <w:bCs/>
          <w:color w:val="000000"/>
        </w:rPr>
        <w:t>%</w:t>
      </w:r>
      <w:r w:rsidRPr="00602354">
        <w:rPr>
          <w:rFonts w:ascii="Arial" w:hAnsi="Arial" w:cs="Arial"/>
          <w:b/>
          <w:bCs/>
          <w:color w:val="000000"/>
        </w:rPr>
        <w:t>的条件下，财务净现值</w:t>
      </w:r>
      <w:r w:rsidR="00602354" w:rsidRPr="00602354">
        <w:rPr>
          <w:rFonts w:ascii="Arial" w:hAnsi="Arial" w:cs="Arial"/>
          <w:b/>
          <w:bCs/>
          <w:color w:val="000000"/>
        </w:rPr>
        <w:t>1456</w:t>
      </w:r>
      <w:r w:rsidRPr="00602354">
        <w:rPr>
          <w:rFonts w:ascii="Arial" w:hAnsi="Arial" w:cs="Arial"/>
          <w:b/>
          <w:bCs/>
          <w:color w:val="000000"/>
        </w:rPr>
        <w:t>万元。</w:t>
      </w:r>
      <w:r w:rsidR="002E4A2D" w:rsidRPr="00602354">
        <w:rPr>
          <w:rFonts w:ascii="Arial" w:hAnsi="Arial" w:cs="Arial"/>
          <w:b/>
          <w:bCs/>
          <w:color w:val="000000"/>
        </w:rPr>
        <w:t>财务内部收益率</w:t>
      </w:r>
      <w:r w:rsidR="00193F01" w:rsidRPr="00602354">
        <w:rPr>
          <w:rFonts w:ascii="Arial" w:hAnsi="Arial" w:cs="Arial" w:hint="eastAsia"/>
          <w:b/>
          <w:bCs/>
          <w:color w:val="000000"/>
        </w:rPr>
        <w:t>大于</w:t>
      </w:r>
      <w:r w:rsidR="002E4A2D" w:rsidRPr="00602354">
        <w:rPr>
          <w:rFonts w:ascii="Arial" w:hAnsi="Arial" w:cs="Arial"/>
          <w:b/>
          <w:bCs/>
          <w:color w:val="000000"/>
        </w:rPr>
        <w:t>基准折现率，财务净现值</w:t>
      </w:r>
      <w:r w:rsidR="00193F01" w:rsidRPr="00602354">
        <w:rPr>
          <w:rFonts w:ascii="Arial" w:hAnsi="Arial" w:cs="Arial" w:hint="eastAsia"/>
          <w:b/>
          <w:bCs/>
          <w:color w:val="000000"/>
        </w:rPr>
        <w:t>大于</w:t>
      </w:r>
      <w:r w:rsidRPr="00602354">
        <w:rPr>
          <w:rFonts w:ascii="Arial" w:hAnsi="Arial" w:cs="Arial"/>
          <w:b/>
          <w:bCs/>
          <w:color w:val="000000"/>
        </w:rPr>
        <w:t>零，表明项目在财务上是可行的。</w:t>
      </w:r>
    </w:p>
    <w:p w14:paraId="2C8A0946" w14:textId="77777777" w:rsidR="00E03EB1" w:rsidRPr="00E05368" w:rsidRDefault="00E03EB1" w:rsidP="00E03EB1">
      <w:pPr>
        <w:widowControl w:val="0"/>
        <w:adjustRightInd w:val="0"/>
        <w:snapToGrid w:val="0"/>
        <w:spacing w:line="480" w:lineRule="auto"/>
        <w:ind w:firstLineChars="199" w:firstLine="479"/>
        <w:rPr>
          <w:rFonts w:ascii="Arial" w:hAnsi="Arial" w:cs="Arial"/>
          <w:b/>
          <w:bCs/>
        </w:rPr>
        <w:sectPr w:rsidR="00E03EB1" w:rsidRPr="00E05368" w:rsidSect="009B0B0F">
          <w:headerReference w:type="even" r:id="rId16"/>
          <w:headerReference w:type="default" r:id="rId17"/>
          <w:footerReference w:type="default" r:id="rId18"/>
          <w:headerReference w:type="first" r:id="rId19"/>
          <w:footerReference w:type="first" r:id="rId20"/>
          <w:pgSz w:w="11906" w:h="16838" w:code="9"/>
          <w:pgMar w:top="1843" w:right="1304" w:bottom="1134" w:left="1304" w:header="1134" w:footer="907" w:gutter="0"/>
          <w:pgNumType w:start="1"/>
          <w:cols w:space="425"/>
          <w:titlePg/>
          <w:docGrid w:linePitch="312"/>
        </w:sectPr>
      </w:pPr>
      <w:r w:rsidRPr="002E4A2D">
        <w:rPr>
          <w:rFonts w:ascii="Arial" w:hAnsi="Arial" w:cs="Arial"/>
          <w:b/>
          <w:bCs/>
        </w:rPr>
        <w:t>评估认为，项目主要存在市场风险</w:t>
      </w:r>
      <w:r w:rsidRPr="002E4A2D">
        <w:rPr>
          <w:rFonts w:ascii="Arial" w:hAnsi="Arial" w:cs="Arial" w:hint="eastAsia"/>
          <w:b/>
          <w:bCs/>
        </w:rPr>
        <w:t>、规划指标实现风险、</w:t>
      </w:r>
      <w:r w:rsidRPr="002E4A2D">
        <w:rPr>
          <w:rFonts w:ascii="Arial" w:hAnsi="Arial" w:cs="Arial"/>
          <w:b/>
          <w:bCs/>
        </w:rPr>
        <w:t>工期控制及取得预售风险、成本控制风险。</w:t>
      </w:r>
    </w:p>
    <w:p w14:paraId="00F21B35" w14:textId="77777777" w:rsidR="00E03EB1" w:rsidRPr="00E05368" w:rsidRDefault="00E03EB1" w:rsidP="00E03EB1">
      <w:pPr>
        <w:pStyle w:val="1"/>
        <w:spacing w:before="240"/>
        <w:rPr>
          <w:rFonts w:ascii="Arial" w:eastAsia="方正黑体简体" w:hAnsi="Arial" w:cs="Arial"/>
          <w:b w:val="0"/>
          <w:bCs/>
          <w:sz w:val="32"/>
          <w:szCs w:val="32"/>
        </w:rPr>
      </w:pPr>
      <w:bookmarkStart w:id="34" w:name="_Toc74250049"/>
      <w:bookmarkStart w:id="35" w:name="_Toc74662879"/>
      <w:r w:rsidRPr="00E05368">
        <w:rPr>
          <w:rFonts w:ascii="Arial" w:eastAsia="方正黑体简体" w:hAnsi="Arial" w:cs="Arial"/>
          <w:b w:val="0"/>
          <w:bCs/>
          <w:sz w:val="32"/>
          <w:szCs w:val="32"/>
        </w:rPr>
        <w:lastRenderedPageBreak/>
        <w:t>第一章</w:t>
      </w:r>
      <w:r w:rsidRPr="00E05368">
        <w:rPr>
          <w:rFonts w:ascii="Arial" w:eastAsia="方正黑体简体" w:hAnsi="Arial" w:cs="Arial"/>
          <w:b w:val="0"/>
          <w:bCs/>
          <w:sz w:val="32"/>
          <w:szCs w:val="32"/>
        </w:rPr>
        <w:t xml:space="preserve">  </w:t>
      </w:r>
      <w:r w:rsidRPr="00E05368">
        <w:rPr>
          <w:rFonts w:ascii="Arial" w:eastAsia="方正黑体简体" w:hAnsi="Arial" w:cs="Arial"/>
          <w:b w:val="0"/>
          <w:bCs/>
          <w:sz w:val="32"/>
          <w:szCs w:val="32"/>
        </w:rPr>
        <w:t>可行性研究说明</w:t>
      </w:r>
      <w:bookmarkEnd w:id="34"/>
      <w:bookmarkEnd w:id="35"/>
    </w:p>
    <w:p w14:paraId="630A8184" w14:textId="77777777" w:rsidR="00E03EB1" w:rsidRPr="00E05368" w:rsidRDefault="00E03EB1" w:rsidP="00E03EB1">
      <w:pPr>
        <w:pStyle w:val="2"/>
        <w:spacing w:before="0" w:after="0" w:line="480" w:lineRule="auto"/>
        <w:rPr>
          <w:rFonts w:eastAsia="宋体" w:cs="Arial"/>
          <w:sz w:val="21"/>
          <w:szCs w:val="21"/>
        </w:rPr>
      </w:pPr>
      <w:bookmarkStart w:id="36" w:name="_Toc74250050"/>
      <w:bookmarkStart w:id="37" w:name="_Toc187666148"/>
      <w:bookmarkStart w:id="38" w:name="OLE_LINK1"/>
      <w:bookmarkStart w:id="39" w:name="_Toc74662880"/>
      <w:bookmarkEnd w:id="31"/>
      <w:bookmarkEnd w:id="32"/>
      <w:r w:rsidRPr="00E05368">
        <w:rPr>
          <w:rFonts w:eastAsia="宋体" w:cs="Arial"/>
          <w:sz w:val="21"/>
          <w:szCs w:val="21"/>
        </w:rPr>
        <w:t>一、委托单位</w:t>
      </w:r>
      <w:bookmarkEnd w:id="36"/>
      <w:bookmarkEnd w:id="39"/>
    </w:p>
    <w:p w14:paraId="251786D0" w14:textId="77777777" w:rsidR="00E03EB1" w:rsidRPr="00E05368" w:rsidRDefault="00E03EB1" w:rsidP="00E03EB1">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单位名称：五</w:t>
      </w:r>
      <w:proofErr w:type="gramStart"/>
      <w:r w:rsidRPr="00E05368">
        <w:rPr>
          <w:rFonts w:ascii="Arial" w:hAnsi="Arial" w:cs="Arial"/>
          <w:color w:val="000000"/>
          <w:sz w:val="21"/>
          <w:szCs w:val="21"/>
        </w:rPr>
        <w:t>矿国际</w:t>
      </w:r>
      <w:proofErr w:type="gramEnd"/>
      <w:r w:rsidRPr="00E05368">
        <w:rPr>
          <w:rFonts w:ascii="Arial" w:hAnsi="Arial" w:cs="Arial"/>
          <w:color w:val="000000"/>
          <w:sz w:val="21"/>
          <w:szCs w:val="21"/>
        </w:rPr>
        <w:t>信托有限公司</w:t>
      </w:r>
    </w:p>
    <w:p w14:paraId="129BA10C" w14:textId="77777777" w:rsidR="00E03EB1" w:rsidRPr="00E05368" w:rsidRDefault="00E03EB1" w:rsidP="00E03EB1">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公司地址：青海生物科技产业园纬二路</w:t>
      </w:r>
      <w:r w:rsidRPr="00E05368">
        <w:rPr>
          <w:rFonts w:ascii="Arial" w:hAnsi="Arial" w:cs="Arial"/>
          <w:color w:val="000000"/>
          <w:sz w:val="21"/>
          <w:szCs w:val="21"/>
        </w:rPr>
        <w:t>18</w:t>
      </w:r>
      <w:r w:rsidRPr="00E05368">
        <w:rPr>
          <w:rFonts w:ascii="Arial" w:hAnsi="Arial" w:cs="Arial"/>
          <w:color w:val="000000"/>
          <w:sz w:val="21"/>
          <w:szCs w:val="21"/>
        </w:rPr>
        <w:t>号</w:t>
      </w:r>
    </w:p>
    <w:p w14:paraId="777E07C6" w14:textId="77777777" w:rsidR="00E03EB1" w:rsidRPr="00E05368" w:rsidRDefault="00E03EB1" w:rsidP="00E03EB1">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法定代表人：王卓</w:t>
      </w:r>
    </w:p>
    <w:p w14:paraId="38FD1C89" w14:textId="77777777" w:rsidR="00E03EB1" w:rsidRPr="00E05368" w:rsidRDefault="00E03EB1" w:rsidP="00E03EB1">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经营范围：资金信托；动产信托；不动产信托；有价证券信托；其他财产或财产权信托；作为投资基金或者基金管理公司的发起人从事投资基金业务；经营企业资产的重组、并购及项目融资、公司理财、财务顾问等业务；受托经营国务院有关部门批准证券承销业务；办理居间、咨询、资信调查等业务；代保管及保管箱业务；存放同业、拆放同业、贷款、租赁、投资方式运用固有财产；以固有财产为他人提供担保；从事同业拆借；法律法规规定或中国银行业监督管理委员会批准的其他业务。</w:t>
      </w:r>
    </w:p>
    <w:p w14:paraId="613C72EF" w14:textId="77777777" w:rsidR="00E03EB1" w:rsidRPr="00E05368" w:rsidRDefault="00E03EB1" w:rsidP="00E03EB1">
      <w:pPr>
        <w:pStyle w:val="2"/>
        <w:spacing w:before="0" w:after="0" w:line="480" w:lineRule="auto"/>
        <w:jc w:val="both"/>
        <w:rPr>
          <w:rFonts w:eastAsia="宋体" w:cs="Arial"/>
          <w:sz w:val="21"/>
          <w:szCs w:val="21"/>
        </w:rPr>
      </w:pPr>
      <w:bookmarkStart w:id="40" w:name="_Toc74250051"/>
      <w:bookmarkStart w:id="41" w:name="_Toc74662881"/>
      <w:r w:rsidRPr="00E05368">
        <w:rPr>
          <w:rFonts w:eastAsia="宋体" w:cs="Arial"/>
          <w:sz w:val="21"/>
          <w:szCs w:val="21"/>
        </w:rPr>
        <w:t>二、编制单位</w:t>
      </w:r>
      <w:bookmarkEnd w:id="40"/>
      <w:bookmarkEnd w:id="41"/>
    </w:p>
    <w:p w14:paraId="67121962" w14:textId="77777777" w:rsidR="00E03EB1" w:rsidRPr="00E05368" w:rsidRDefault="00E03EB1" w:rsidP="00E03EB1">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单位名称：</w:t>
      </w:r>
      <w:proofErr w:type="gramStart"/>
      <w:r w:rsidRPr="00E05368">
        <w:rPr>
          <w:rFonts w:ascii="Arial" w:hAnsi="Arial" w:cs="Arial"/>
          <w:color w:val="000000"/>
          <w:sz w:val="21"/>
          <w:szCs w:val="21"/>
        </w:rPr>
        <w:t>北京康正宏</w:t>
      </w:r>
      <w:proofErr w:type="gramEnd"/>
      <w:r w:rsidRPr="00E05368">
        <w:rPr>
          <w:rFonts w:ascii="Arial" w:hAnsi="Arial" w:cs="Arial"/>
          <w:color w:val="000000"/>
          <w:sz w:val="21"/>
          <w:szCs w:val="21"/>
        </w:rPr>
        <w:t>基房地产评估有限公司</w:t>
      </w:r>
    </w:p>
    <w:p w14:paraId="3C64A748" w14:textId="77777777" w:rsidR="00E03EB1" w:rsidRPr="00E05368" w:rsidRDefault="00E03EB1" w:rsidP="00E03EB1">
      <w:pPr>
        <w:adjustRightInd w:val="0"/>
        <w:snapToGrid w:val="0"/>
        <w:spacing w:line="480" w:lineRule="auto"/>
        <w:ind w:firstLineChars="200" w:firstLine="420"/>
        <w:jc w:val="both"/>
        <w:rPr>
          <w:rFonts w:ascii="Arial" w:hAnsi="Arial" w:cs="Arial"/>
          <w:sz w:val="21"/>
          <w:szCs w:val="21"/>
        </w:rPr>
      </w:pPr>
      <w:r w:rsidRPr="00E13E5D">
        <w:rPr>
          <w:rFonts w:ascii="Arial" w:hAnsi="Arial" w:cs="Arial"/>
          <w:color w:val="000000"/>
          <w:sz w:val="21"/>
          <w:szCs w:val="21"/>
        </w:rPr>
        <w:t>公司地址：北京市朝阳区裕民路</w:t>
      </w:r>
      <w:r w:rsidRPr="00E13E5D">
        <w:rPr>
          <w:rFonts w:ascii="Arial" w:hAnsi="Arial" w:cs="Arial"/>
          <w:color w:val="000000"/>
          <w:sz w:val="21"/>
          <w:szCs w:val="21"/>
        </w:rPr>
        <w:t>12</w:t>
      </w:r>
      <w:r w:rsidRPr="00E13E5D">
        <w:rPr>
          <w:rFonts w:ascii="Arial" w:hAnsi="Arial" w:cs="Arial"/>
          <w:color w:val="000000"/>
          <w:sz w:val="21"/>
          <w:szCs w:val="21"/>
        </w:rPr>
        <w:t>号中国国际科技会展中心</w:t>
      </w:r>
      <w:r w:rsidRPr="00E13E5D">
        <w:rPr>
          <w:rFonts w:ascii="Arial" w:hAnsi="Arial" w:cs="Arial"/>
          <w:color w:val="000000"/>
          <w:sz w:val="21"/>
          <w:szCs w:val="21"/>
        </w:rPr>
        <w:t>B</w:t>
      </w:r>
      <w:r w:rsidRPr="00E13E5D">
        <w:rPr>
          <w:rFonts w:ascii="Arial" w:hAnsi="Arial" w:cs="Arial"/>
          <w:color w:val="000000"/>
          <w:sz w:val="21"/>
          <w:szCs w:val="21"/>
        </w:rPr>
        <w:t>座</w:t>
      </w:r>
      <w:r w:rsidRPr="00E13E5D">
        <w:rPr>
          <w:rFonts w:ascii="Arial" w:hAnsi="Arial" w:cs="Arial"/>
          <w:color w:val="000000"/>
          <w:sz w:val="21"/>
          <w:szCs w:val="21"/>
        </w:rPr>
        <w:t>10</w:t>
      </w:r>
      <w:r w:rsidRPr="00E13E5D">
        <w:rPr>
          <w:rFonts w:ascii="Arial" w:hAnsi="Arial" w:cs="Arial"/>
          <w:color w:val="000000"/>
          <w:sz w:val="21"/>
          <w:szCs w:val="21"/>
        </w:rPr>
        <w:t>层</w:t>
      </w:r>
      <w:r w:rsidRPr="00E13E5D">
        <w:rPr>
          <w:rFonts w:ascii="Arial" w:hAnsi="Arial" w:cs="Arial"/>
          <w:color w:val="000000"/>
          <w:sz w:val="21"/>
          <w:szCs w:val="21"/>
        </w:rPr>
        <w:t>1001</w:t>
      </w:r>
      <w:r w:rsidRPr="00E13E5D">
        <w:rPr>
          <w:rFonts w:ascii="Arial" w:hAnsi="Arial" w:cs="Arial"/>
          <w:color w:val="000000"/>
          <w:sz w:val="21"/>
          <w:szCs w:val="21"/>
        </w:rPr>
        <w:t>室</w:t>
      </w:r>
    </w:p>
    <w:p w14:paraId="7C725775" w14:textId="77777777" w:rsidR="00E03EB1" w:rsidRPr="00E05368" w:rsidRDefault="00E03EB1" w:rsidP="00E03EB1">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资质级别：在全国范围内从事土地估价业务</w:t>
      </w:r>
    </w:p>
    <w:p w14:paraId="49922FB2" w14:textId="77777777" w:rsidR="00E03EB1" w:rsidRPr="00E05368" w:rsidRDefault="00E03EB1" w:rsidP="00E03EB1">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资质证书号：</w:t>
      </w:r>
      <w:r w:rsidRPr="00E05368">
        <w:rPr>
          <w:rFonts w:ascii="Arial" w:hAnsi="Arial" w:cs="Arial"/>
          <w:color w:val="000000"/>
          <w:sz w:val="21"/>
          <w:szCs w:val="21"/>
        </w:rPr>
        <w:t>A201111009</w:t>
      </w:r>
    </w:p>
    <w:p w14:paraId="083C93D0" w14:textId="77777777" w:rsidR="00E03EB1" w:rsidRPr="00E05368" w:rsidRDefault="00E03EB1" w:rsidP="00E03EB1">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法人代表：齐</w:t>
      </w:r>
      <w:r w:rsidRPr="00E05368">
        <w:rPr>
          <w:rFonts w:ascii="Arial" w:hAnsi="Arial" w:cs="Arial"/>
          <w:color w:val="000000"/>
          <w:sz w:val="21"/>
          <w:szCs w:val="21"/>
        </w:rPr>
        <w:t xml:space="preserve">  </w:t>
      </w:r>
      <w:r w:rsidRPr="00E05368">
        <w:rPr>
          <w:rFonts w:ascii="Arial" w:hAnsi="Arial" w:cs="Arial"/>
          <w:color w:val="000000"/>
          <w:sz w:val="21"/>
          <w:szCs w:val="21"/>
        </w:rPr>
        <w:t>宏</w:t>
      </w:r>
    </w:p>
    <w:p w14:paraId="16FF455E" w14:textId="77777777" w:rsidR="00E03EB1" w:rsidRPr="00E05368" w:rsidRDefault="00E03EB1" w:rsidP="00E03EB1">
      <w:pPr>
        <w:pStyle w:val="2"/>
        <w:spacing w:before="0" w:after="0" w:line="480" w:lineRule="auto"/>
        <w:jc w:val="both"/>
        <w:rPr>
          <w:rFonts w:eastAsia="宋体" w:cs="Arial"/>
          <w:sz w:val="21"/>
          <w:szCs w:val="21"/>
        </w:rPr>
      </w:pPr>
      <w:bookmarkStart w:id="42" w:name="_Toc111622540"/>
      <w:bookmarkStart w:id="43" w:name="_Toc415468958"/>
      <w:bookmarkStart w:id="44" w:name="_Toc74250052"/>
      <w:bookmarkStart w:id="45" w:name="_Toc74662882"/>
      <w:r w:rsidRPr="00E05368">
        <w:rPr>
          <w:rFonts w:eastAsia="宋体" w:cs="Arial"/>
          <w:sz w:val="21"/>
          <w:szCs w:val="21"/>
        </w:rPr>
        <w:t>三、</w:t>
      </w:r>
      <w:bookmarkEnd w:id="42"/>
      <w:bookmarkEnd w:id="43"/>
      <w:r w:rsidRPr="00E05368">
        <w:rPr>
          <w:rFonts w:eastAsia="宋体" w:cs="Arial"/>
          <w:sz w:val="21"/>
          <w:szCs w:val="21"/>
        </w:rPr>
        <w:t>编制目的</w:t>
      </w:r>
      <w:bookmarkEnd w:id="44"/>
      <w:bookmarkEnd w:id="45"/>
    </w:p>
    <w:p w14:paraId="5A14E078" w14:textId="7A9B0473" w:rsidR="00E03EB1" w:rsidRPr="00E05368" w:rsidRDefault="00E03EB1" w:rsidP="00E03EB1">
      <w:pPr>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为委托单位了解</w:t>
      </w:r>
      <w:r w:rsidR="00EF6767">
        <w:rPr>
          <w:rFonts w:ascii="Arial" w:hAnsi="Arial" w:cs="Arial" w:hint="eastAsia"/>
          <w:sz w:val="21"/>
          <w:szCs w:val="21"/>
        </w:rPr>
        <w:t>江苏省南京市雨花台区凤集大道以南、新湖大道以西</w:t>
      </w:r>
      <w:r w:rsidR="00EF6767">
        <w:rPr>
          <w:rFonts w:ascii="Arial" w:hAnsi="Arial" w:cs="Arial" w:hint="eastAsia"/>
          <w:sz w:val="21"/>
          <w:szCs w:val="21"/>
        </w:rPr>
        <w:t>NO.2021G35</w:t>
      </w:r>
      <w:r w:rsidR="00EF6767">
        <w:rPr>
          <w:rFonts w:ascii="Arial" w:hAnsi="Arial" w:cs="Arial" w:hint="eastAsia"/>
          <w:sz w:val="21"/>
          <w:szCs w:val="21"/>
        </w:rPr>
        <w:t>地块</w:t>
      </w:r>
      <w:r w:rsidR="00AD0761" w:rsidRPr="00AD0761">
        <w:rPr>
          <w:rFonts w:ascii="Arial" w:hAnsi="Arial" w:cs="Arial"/>
          <w:sz w:val="21"/>
          <w:szCs w:val="21"/>
        </w:rPr>
        <w:t>居住项目</w:t>
      </w:r>
      <w:r w:rsidRPr="00E05368">
        <w:rPr>
          <w:rFonts w:ascii="Arial" w:hAnsi="Arial" w:cs="Arial"/>
          <w:sz w:val="21"/>
          <w:szCs w:val="21"/>
        </w:rPr>
        <w:t>可行性提供参考依据。</w:t>
      </w:r>
    </w:p>
    <w:p w14:paraId="6DF433B5" w14:textId="77777777" w:rsidR="00E03EB1" w:rsidRPr="00E05368" w:rsidRDefault="00E03EB1" w:rsidP="00E03EB1">
      <w:pPr>
        <w:pStyle w:val="2"/>
        <w:spacing w:before="0" w:after="0" w:line="480" w:lineRule="auto"/>
        <w:jc w:val="both"/>
        <w:rPr>
          <w:rFonts w:eastAsia="宋体" w:cs="Arial"/>
          <w:sz w:val="21"/>
          <w:szCs w:val="21"/>
        </w:rPr>
      </w:pPr>
      <w:bookmarkStart w:id="46" w:name="_Toc415468959"/>
      <w:bookmarkStart w:id="47" w:name="_Toc111622541"/>
      <w:bookmarkStart w:id="48" w:name="_Toc74250053"/>
      <w:bookmarkStart w:id="49" w:name="_Toc74662883"/>
      <w:r w:rsidRPr="00E05368">
        <w:rPr>
          <w:rFonts w:eastAsia="宋体" w:cs="Arial"/>
          <w:sz w:val="21"/>
          <w:szCs w:val="21"/>
        </w:rPr>
        <w:t>四、</w:t>
      </w:r>
      <w:bookmarkEnd w:id="46"/>
      <w:bookmarkEnd w:id="47"/>
      <w:r w:rsidRPr="00E05368">
        <w:rPr>
          <w:rFonts w:eastAsia="宋体" w:cs="Arial"/>
          <w:sz w:val="21"/>
          <w:szCs w:val="21"/>
        </w:rPr>
        <w:t>可行性研究的主要内容</w:t>
      </w:r>
      <w:bookmarkEnd w:id="48"/>
      <w:bookmarkEnd w:id="49"/>
    </w:p>
    <w:p w14:paraId="4C7097F8" w14:textId="77777777" w:rsidR="00E03EB1" w:rsidRPr="00E05368" w:rsidRDefault="00E03EB1" w:rsidP="00E03EB1">
      <w:pPr>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1</w:t>
      </w:r>
      <w:r w:rsidRPr="00E05368">
        <w:rPr>
          <w:rFonts w:ascii="Arial" w:hAnsi="Arial" w:cs="Arial"/>
          <w:sz w:val="21"/>
          <w:szCs w:val="21"/>
        </w:rPr>
        <w:t>、分析项目开发的合法、合</w:t>
      </w:r>
      <w:proofErr w:type="gramStart"/>
      <w:r w:rsidRPr="00E05368">
        <w:rPr>
          <w:rFonts w:ascii="Arial" w:hAnsi="Arial" w:cs="Arial"/>
          <w:sz w:val="21"/>
          <w:szCs w:val="21"/>
        </w:rPr>
        <w:t>规</w:t>
      </w:r>
      <w:proofErr w:type="gramEnd"/>
      <w:r w:rsidRPr="00E05368">
        <w:rPr>
          <w:rFonts w:ascii="Arial" w:hAnsi="Arial" w:cs="Arial"/>
          <w:sz w:val="21"/>
          <w:szCs w:val="21"/>
        </w:rPr>
        <w:t>性；</w:t>
      </w:r>
    </w:p>
    <w:p w14:paraId="1682F09E" w14:textId="216735AC" w:rsidR="00E03EB1" w:rsidRPr="00E05368" w:rsidRDefault="00E03EB1" w:rsidP="00E03EB1">
      <w:pPr>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2</w:t>
      </w:r>
      <w:r w:rsidRPr="00E05368">
        <w:rPr>
          <w:rFonts w:ascii="Arial" w:hAnsi="Arial" w:cs="Arial"/>
          <w:sz w:val="21"/>
          <w:szCs w:val="21"/>
        </w:rPr>
        <w:t>、分析</w:t>
      </w:r>
      <w:r w:rsidR="007C6F0A">
        <w:rPr>
          <w:rFonts w:ascii="Arial" w:hAnsi="Arial" w:cs="Arial" w:hint="eastAsia"/>
          <w:sz w:val="21"/>
          <w:szCs w:val="21"/>
        </w:rPr>
        <w:t>南京市</w:t>
      </w:r>
      <w:r w:rsidRPr="00E05368">
        <w:rPr>
          <w:rFonts w:ascii="Arial" w:hAnsi="Arial" w:cs="Arial"/>
          <w:sz w:val="21"/>
          <w:szCs w:val="21"/>
        </w:rPr>
        <w:t>总体发展状况和房地产投资环境；</w:t>
      </w:r>
    </w:p>
    <w:p w14:paraId="3855A9FA" w14:textId="77777777" w:rsidR="00E03EB1" w:rsidRPr="00E05368" w:rsidRDefault="00E03EB1" w:rsidP="00E03EB1">
      <w:pPr>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3</w:t>
      </w:r>
      <w:r w:rsidRPr="00E05368">
        <w:rPr>
          <w:rFonts w:ascii="Arial" w:hAnsi="Arial" w:cs="Arial"/>
          <w:sz w:val="21"/>
          <w:szCs w:val="21"/>
        </w:rPr>
        <w:t>、项目所在区域房地产市场现状，分析项目竞争力；</w:t>
      </w:r>
    </w:p>
    <w:p w14:paraId="4966A7B9" w14:textId="77777777" w:rsidR="00E03EB1" w:rsidRPr="00E05368" w:rsidRDefault="00E03EB1" w:rsidP="00E03EB1">
      <w:pPr>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4</w:t>
      </w:r>
      <w:r w:rsidRPr="00E05368">
        <w:rPr>
          <w:rFonts w:ascii="Arial" w:hAnsi="Arial" w:cs="Arial"/>
          <w:sz w:val="21"/>
          <w:szCs w:val="21"/>
        </w:rPr>
        <w:t>、对项目的总投资进行估算；</w:t>
      </w:r>
    </w:p>
    <w:p w14:paraId="023D3E20" w14:textId="77777777" w:rsidR="00E03EB1" w:rsidRPr="00E05368" w:rsidRDefault="00E03EB1" w:rsidP="00E03EB1">
      <w:pPr>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lastRenderedPageBreak/>
        <w:t>5</w:t>
      </w:r>
      <w:r w:rsidRPr="00E05368">
        <w:rPr>
          <w:rFonts w:ascii="Arial" w:hAnsi="Arial" w:cs="Arial"/>
          <w:sz w:val="21"/>
          <w:szCs w:val="21"/>
        </w:rPr>
        <w:t>、对项目进行财务分析，计算评价指标，对财务可行性进行分析评价；</w:t>
      </w:r>
    </w:p>
    <w:p w14:paraId="028503E8" w14:textId="77777777" w:rsidR="00E03EB1" w:rsidRPr="00E05368" w:rsidRDefault="00E03EB1" w:rsidP="00E03EB1">
      <w:pPr>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6</w:t>
      </w:r>
      <w:r w:rsidRPr="00E05368">
        <w:rPr>
          <w:rFonts w:ascii="Arial" w:hAnsi="Arial" w:cs="Arial"/>
          <w:sz w:val="21"/>
          <w:szCs w:val="21"/>
        </w:rPr>
        <w:t>、评价项目的风险。</w:t>
      </w:r>
    </w:p>
    <w:p w14:paraId="43F38A30" w14:textId="77777777" w:rsidR="00E03EB1" w:rsidRPr="00E05368" w:rsidRDefault="00E03EB1" w:rsidP="00E03EB1">
      <w:pPr>
        <w:pStyle w:val="2"/>
        <w:spacing w:before="0" w:after="0" w:line="480" w:lineRule="auto"/>
        <w:jc w:val="both"/>
        <w:rPr>
          <w:rFonts w:eastAsia="宋体" w:cs="Arial"/>
          <w:sz w:val="21"/>
          <w:szCs w:val="21"/>
        </w:rPr>
      </w:pPr>
      <w:bookmarkStart w:id="50" w:name="_Toc187666130"/>
      <w:bookmarkStart w:id="51" w:name="_Toc285790758"/>
      <w:bookmarkStart w:id="52" w:name="_Toc74250054"/>
      <w:bookmarkStart w:id="53" w:name="_Toc111622545"/>
      <w:bookmarkStart w:id="54" w:name="_Toc415468962"/>
      <w:bookmarkStart w:id="55" w:name="_Toc74662884"/>
      <w:r w:rsidRPr="00E05368">
        <w:rPr>
          <w:rFonts w:eastAsia="宋体" w:cs="Arial"/>
          <w:sz w:val="21"/>
          <w:szCs w:val="21"/>
        </w:rPr>
        <w:t>五、</w:t>
      </w:r>
      <w:bookmarkEnd w:id="50"/>
      <w:bookmarkEnd w:id="51"/>
      <w:r w:rsidRPr="00E05368">
        <w:rPr>
          <w:rFonts w:eastAsia="宋体" w:cs="Arial"/>
          <w:sz w:val="21"/>
          <w:szCs w:val="21"/>
        </w:rPr>
        <w:t>编制日期</w:t>
      </w:r>
      <w:bookmarkEnd w:id="52"/>
      <w:bookmarkEnd w:id="55"/>
    </w:p>
    <w:bookmarkEnd w:id="53"/>
    <w:bookmarkEnd w:id="54"/>
    <w:p w14:paraId="71093908" w14:textId="4D211205" w:rsidR="00E03EB1" w:rsidRPr="00E05368" w:rsidRDefault="007C6F0A" w:rsidP="007C6F0A">
      <w:pPr>
        <w:adjustRightInd w:val="0"/>
        <w:snapToGrid w:val="0"/>
        <w:spacing w:line="480" w:lineRule="auto"/>
        <w:ind w:firstLineChars="200" w:firstLine="420"/>
        <w:jc w:val="both"/>
        <w:rPr>
          <w:rFonts w:ascii="Arial" w:hAnsi="Arial" w:cs="Arial"/>
          <w:sz w:val="21"/>
          <w:szCs w:val="21"/>
        </w:rPr>
      </w:pPr>
      <w:r w:rsidRPr="007C6F0A">
        <w:rPr>
          <w:rFonts w:ascii="Arial" w:hAnsi="Arial" w:cs="Arial"/>
          <w:sz w:val="21"/>
          <w:szCs w:val="21"/>
        </w:rPr>
        <w:t>2021</w:t>
      </w:r>
      <w:r w:rsidRPr="007C6F0A">
        <w:rPr>
          <w:rFonts w:ascii="Arial" w:hAnsi="Arial" w:cs="Arial"/>
          <w:sz w:val="21"/>
          <w:szCs w:val="21"/>
        </w:rPr>
        <w:t>年</w:t>
      </w:r>
      <w:r w:rsidRPr="007C6F0A">
        <w:rPr>
          <w:rFonts w:ascii="Arial" w:hAnsi="Arial" w:cs="Arial"/>
          <w:sz w:val="21"/>
          <w:szCs w:val="21"/>
        </w:rPr>
        <w:t>6</w:t>
      </w:r>
      <w:r w:rsidRPr="007C6F0A">
        <w:rPr>
          <w:rFonts w:ascii="Arial" w:hAnsi="Arial" w:cs="Arial"/>
          <w:sz w:val="21"/>
          <w:szCs w:val="21"/>
        </w:rPr>
        <w:t>月</w:t>
      </w:r>
      <w:r w:rsidRPr="007C6F0A">
        <w:rPr>
          <w:rFonts w:ascii="Arial" w:hAnsi="Arial" w:cs="Arial"/>
          <w:sz w:val="21"/>
          <w:szCs w:val="21"/>
        </w:rPr>
        <w:t>7</w:t>
      </w:r>
      <w:r w:rsidRPr="0025235A">
        <w:rPr>
          <w:rFonts w:ascii="Arial" w:hAnsi="Arial" w:cs="Arial"/>
          <w:sz w:val="21"/>
          <w:szCs w:val="21"/>
        </w:rPr>
        <w:t>日至</w:t>
      </w:r>
      <w:r w:rsidR="00193F01" w:rsidRPr="0025235A">
        <w:rPr>
          <w:rFonts w:ascii="Arial" w:hAnsi="Arial" w:cs="Arial"/>
          <w:sz w:val="21"/>
          <w:szCs w:val="21"/>
        </w:rPr>
        <w:t>2021</w:t>
      </w:r>
      <w:r w:rsidR="00193F01" w:rsidRPr="0025235A">
        <w:rPr>
          <w:rFonts w:ascii="Arial" w:hAnsi="Arial" w:cs="Arial"/>
          <w:sz w:val="21"/>
          <w:szCs w:val="21"/>
        </w:rPr>
        <w:t>年</w:t>
      </w:r>
      <w:r w:rsidR="00193F01" w:rsidRPr="0025235A">
        <w:rPr>
          <w:rFonts w:ascii="Arial" w:hAnsi="Arial" w:cs="Arial"/>
          <w:sz w:val="21"/>
          <w:szCs w:val="21"/>
        </w:rPr>
        <w:t>6</w:t>
      </w:r>
      <w:r w:rsidR="00193F01" w:rsidRPr="0025235A">
        <w:rPr>
          <w:rFonts w:ascii="Arial" w:hAnsi="Arial" w:cs="Arial"/>
          <w:sz w:val="21"/>
          <w:szCs w:val="21"/>
        </w:rPr>
        <w:t>月</w:t>
      </w:r>
      <w:r w:rsidR="0025235A" w:rsidRPr="0025235A">
        <w:rPr>
          <w:rFonts w:ascii="Arial" w:hAnsi="Arial" w:cs="Arial" w:hint="eastAsia"/>
          <w:sz w:val="21"/>
          <w:szCs w:val="21"/>
        </w:rPr>
        <w:t>15</w:t>
      </w:r>
      <w:r w:rsidRPr="0025235A">
        <w:rPr>
          <w:rFonts w:ascii="Arial" w:hAnsi="Arial" w:cs="Arial"/>
          <w:sz w:val="21"/>
          <w:szCs w:val="21"/>
        </w:rPr>
        <w:t>日</w:t>
      </w:r>
    </w:p>
    <w:p w14:paraId="09DDEC29" w14:textId="77777777" w:rsidR="00E03EB1" w:rsidRPr="00E05368" w:rsidRDefault="00E03EB1" w:rsidP="00E03EB1">
      <w:pPr>
        <w:pStyle w:val="2"/>
        <w:spacing w:before="0" w:after="0" w:line="480" w:lineRule="auto"/>
        <w:jc w:val="both"/>
        <w:rPr>
          <w:rFonts w:eastAsia="宋体" w:cs="Arial"/>
          <w:sz w:val="21"/>
          <w:szCs w:val="21"/>
        </w:rPr>
      </w:pPr>
      <w:bookmarkStart w:id="56" w:name="_Toc111622547"/>
      <w:bookmarkStart w:id="57" w:name="_Toc415468964"/>
      <w:bookmarkStart w:id="58" w:name="_Toc74250055"/>
      <w:bookmarkStart w:id="59" w:name="_Toc74662885"/>
      <w:r w:rsidRPr="00E05368">
        <w:rPr>
          <w:rFonts w:eastAsia="宋体" w:cs="Arial"/>
          <w:sz w:val="21"/>
          <w:szCs w:val="21"/>
        </w:rPr>
        <w:t>六、</w:t>
      </w:r>
      <w:bookmarkEnd w:id="56"/>
      <w:bookmarkEnd w:id="57"/>
      <w:r w:rsidRPr="00E05368">
        <w:rPr>
          <w:rFonts w:eastAsia="宋体" w:cs="Arial"/>
          <w:sz w:val="21"/>
          <w:szCs w:val="21"/>
        </w:rPr>
        <w:t>本报告编制依据和说明</w:t>
      </w:r>
      <w:bookmarkEnd w:id="58"/>
      <w:bookmarkEnd w:id="59"/>
    </w:p>
    <w:p w14:paraId="21B984F0" w14:textId="77777777" w:rsidR="00E03EB1" w:rsidRPr="00E13E5D" w:rsidRDefault="00E03EB1" w:rsidP="00E03EB1">
      <w:pPr>
        <w:pStyle w:val="2"/>
        <w:spacing w:before="0" w:after="0" w:line="480" w:lineRule="auto"/>
        <w:ind w:firstLineChars="98" w:firstLine="207"/>
        <w:jc w:val="both"/>
        <w:rPr>
          <w:rFonts w:eastAsia="宋体" w:cs="Arial"/>
          <w:sz w:val="21"/>
          <w:szCs w:val="21"/>
        </w:rPr>
      </w:pPr>
      <w:bookmarkStart w:id="60" w:name="_Toc74250056"/>
      <w:bookmarkStart w:id="61" w:name="_Toc74662886"/>
      <w:r w:rsidRPr="00E13E5D">
        <w:rPr>
          <w:rFonts w:eastAsia="宋体" w:cs="Arial"/>
          <w:sz w:val="21"/>
          <w:szCs w:val="21"/>
        </w:rPr>
        <w:t>（一）报告编制依据</w:t>
      </w:r>
      <w:bookmarkEnd w:id="60"/>
      <w:bookmarkEnd w:id="61"/>
    </w:p>
    <w:p w14:paraId="652DACD3" w14:textId="77777777" w:rsidR="00E03EB1" w:rsidRPr="00E13E5D" w:rsidRDefault="00E03EB1" w:rsidP="00E03EB1">
      <w:pPr>
        <w:spacing w:line="480" w:lineRule="auto"/>
        <w:ind w:firstLineChars="200" w:firstLine="420"/>
        <w:jc w:val="both"/>
        <w:rPr>
          <w:rFonts w:ascii="Arial" w:hAnsi="Arial" w:cs="Arial"/>
          <w:sz w:val="21"/>
          <w:szCs w:val="21"/>
        </w:rPr>
      </w:pPr>
      <w:r w:rsidRPr="00E13E5D">
        <w:rPr>
          <w:rFonts w:ascii="Arial" w:hAnsi="Arial" w:cs="Arial"/>
          <w:sz w:val="21"/>
          <w:szCs w:val="21"/>
        </w:rPr>
        <w:t>本报告主要依据和参考以下文件及相关资料：</w:t>
      </w:r>
    </w:p>
    <w:p w14:paraId="14683E3B" w14:textId="5BA11B2B" w:rsidR="00E03EB1" w:rsidRPr="00E13E5D" w:rsidRDefault="00E03EB1" w:rsidP="00E03EB1">
      <w:pPr>
        <w:numPr>
          <w:ilvl w:val="0"/>
          <w:numId w:val="2"/>
        </w:numPr>
        <w:spacing w:line="480" w:lineRule="auto"/>
        <w:jc w:val="both"/>
        <w:rPr>
          <w:rFonts w:ascii="Arial" w:hAnsi="Arial" w:cs="Arial"/>
          <w:sz w:val="21"/>
          <w:szCs w:val="21"/>
        </w:rPr>
      </w:pPr>
      <w:r w:rsidRPr="00E13E5D">
        <w:rPr>
          <w:rFonts w:ascii="Arial" w:hAnsi="Arial" w:cs="Arial"/>
          <w:sz w:val="21"/>
          <w:szCs w:val="21"/>
        </w:rPr>
        <w:t>建设单位提供的有关项目的资料</w:t>
      </w:r>
    </w:p>
    <w:p w14:paraId="7E2815B4" w14:textId="77777777" w:rsidR="00E03EB1" w:rsidRPr="00E13E5D" w:rsidRDefault="00E03EB1" w:rsidP="00E03EB1">
      <w:pPr>
        <w:numPr>
          <w:ilvl w:val="0"/>
          <w:numId w:val="2"/>
        </w:numPr>
        <w:spacing w:line="480" w:lineRule="auto"/>
        <w:jc w:val="both"/>
        <w:rPr>
          <w:rFonts w:ascii="Arial" w:hAnsi="Arial" w:cs="Arial"/>
          <w:sz w:val="21"/>
          <w:szCs w:val="21"/>
        </w:rPr>
      </w:pPr>
      <w:r w:rsidRPr="00E13E5D">
        <w:rPr>
          <w:rFonts w:ascii="Arial" w:hAnsi="Arial" w:cs="Arial"/>
          <w:sz w:val="21"/>
          <w:szCs w:val="21"/>
        </w:rPr>
        <w:t>国家及地方颁布的相关法律规章制度、当地现行财税政策</w:t>
      </w:r>
    </w:p>
    <w:p w14:paraId="7B0EB292" w14:textId="77777777" w:rsidR="00795BA9" w:rsidRPr="00E13E5D" w:rsidRDefault="00E03EB1" w:rsidP="00795BA9">
      <w:pPr>
        <w:numPr>
          <w:ilvl w:val="0"/>
          <w:numId w:val="2"/>
        </w:numPr>
        <w:spacing w:line="480" w:lineRule="auto"/>
        <w:jc w:val="both"/>
        <w:rPr>
          <w:rFonts w:ascii="Arial" w:hAnsi="Arial" w:cs="Arial"/>
          <w:sz w:val="21"/>
          <w:szCs w:val="21"/>
        </w:rPr>
      </w:pPr>
      <w:r w:rsidRPr="00E13E5D">
        <w:rPr>
          <w:rFonts w:ascii="Arial" w:hAnsi="Arial" w:cs="Arial" w:hint="eastAsia"/>
          <w:sz w:val="21"/>
          <w:szCs w:val="21"/>
        </w:rPr>
        <w:t>《</w:t>
      </w:r>
      <w:r w:rsidRPr="00E13E5D">
        <w:rPr>
          <w:rFonts w:ascii="Arial" w:hAnsi="Arial" w:cs="Arial"/>
          <w:sz w:val="21"/>
          <w:szCs w:val="21"/>
        </w:rPr>
        <w:t>房地产开发项目经济评价方法</w:t>
      </w:r>
      <w:r w:rsidRPr="00E13E5D">
        <w:rPr>
          <w:rFonts w:ascii="Arial" w:hAnsi="Arial" w:cs="Arial" w:hint="eastAsia"/>
          <w:sz w:val="21"/>
          <w:szCs w:val="21"/>
        </w:rPr>
        <w:t>》</w:t>
      </w:r>
      <w:r w:rsidRPr="00E13E5D">
        <w:rPr>
          <w:rFonts w:ascii="Arial" w:hAnsi="Arial" w:cs="Arial"/>
          <w:sz w:val="21"/>
          <w:szCs w:val="21"/>
        </w:rPr>
        <w:t>（</w:t>
      </w:r>
      <w:r w:rsidRPr="00E13E5D">
        <w:rPr>
          <w:rFonts w:ascii="Arial" w:hAnsi="Arial" w:cs="Arial"/>
          <w:sz w:val="21"/>
          <w:szCs w:val="21"/>
        </w:rPr>
        <w:t>2006</w:t>
      </w:r>
      <w:r w:rsidRPr="00E13E5D">
        <w:rPr>
          <w:rFonts w:ascii="Arial" w:hAnsi="Arial" w:cs="Arial"/>
          <w:sz w:val="21"/>
          <w:szCs w:val="21"/>
        </w:rPr>
        <w:t>版）</w:t>
      </w:r>
    </w:p>
    <w:p w14:paraId="343751D2" w14:textId="7DE58D69" w:rsidR="00E03EB1" w:rsidRPr="00E13E5D" w:rsidRDefault="00795BA9" w:rsidP="00795BA9">
      <w:pPr>
        <w:numPr>
          <w:ilvl w:val="0"/>
          <w:numId w:val="2"/>
        </w:numPr>
        <w:spacing w:line="480" w:lineRule="auto"/>
        <w:jc w:val="both"/>
        <w:rPr>
          <w:rFonts w:ascii="Arial" w:hAnsi="Arial" w:cs="Arial"/>
          <w:sz w:val="21"/>
          <w:szCs w:val="21"/>
        </w:rPr>
      </w:pPr>
      <w:r w:rsidRPr="00E13E5D">
        <w:rPr>
          <w:rFonts w:ascii="Arial" w:hAnsi="Arial" w:cs="Arial"/>
          <w:sz w:val="21"/>
          <w:szCs w:val="21"/>
        </w:rPr>
        <w:t>《建设项目经济评价方法与参数》（第三版）</w:t>
      </w:r>
    </w:p>
    <w:p w14:paraId="494AA521" w14:textId="77777777" w:rsidR="00E03EB1" w:rsidRPr="00E13E5D" w:rsidRDefault="00E03EB1" w:rsidP="00E03EB1">
      <w:pPr>
        <w:numPr>
          <w:ilvl w:val="0"/>
          <w:numId w:val="2"/>
        </w:numPr>
        <w:spacing w:line="480" w:lineRule="auto"/>
        <w:jc w:val="both"/>
        <w:rPr>
          <w:rFonts w:ascii="Arial" w:hAnsi="Arial" w:cs="Arial"/>
          <w:sz w:val="21"/>
          <w:szCs w:val="21"/>
        </w:rPr>
      </w:pPr>
      <w:r w:rsidRPr="00E13E5D">
        <w:rPr>
          <w:rFonts w:ascii="Arial" w:hAnsi="Arial" w:cs="Arial"/>
          <w:sz w:val="21"/>
          <w:szCs w:val="21"/>
        </w:rPr>
        <w:t>市场调查资料</w:t>
      </w:r>
    </w:p>
    <w:p w14:paraId="4FADB389" w14:textId="77777777" w:rsidR="00E03EB1" w:rsidRPr="00E05368" w:rsidRDefault="00E03EB1" w:rsidP="00E03EB1">
      <w:pPr>
        <w:pStyle w:val="2"/>
        <w:spacing w:before="0" w:after="0" w:line="480" w:lineRule="auto"/>
        <w:ind w:firstLineChars="98" w:firstLine="207"/>
        <w:rPr>
          <w:rFonts w:eastAsia="宋体" w:cs="Arial"/>
          <w:sz w:val="21"/>
          <w:szCs w:val="21"/>
        </w:rPr>
      </w:pPr>
      <w:bookmarkStart w:id="62" w:name="_Toc74250057"/>
      <w:bookmarkStart w:id="63" w:name="_Toc74662887"/>
      <w:r w:rsidRPr="00E05368">
        <w:rPr>
          <w:rFonts w:eastAsia="宋体" w:cs="Arial"/>
          <w:sz w:val="21"/>
          <w:szCs w:val="21"/>
        </w:rPr>
        <w:t>（二）报告编制说明</w:t>
      </w:r>
      <w:bookmarkEnd w:id="62"/>
      <w:bookmarkEnd w:id="63"/>
    </w:p>
    <w:p w14:paraId="55CD72B9" w14:textId="77777777" w:rsidR="00E03EB1" w:rsidRPr="00E05368" w:rsidRDefault="00E03EB1" w:rsidP="00E03EB1">
      <w:pPr>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1</w:t>
      </w:r>
      <w:r w:rsidRPr="00E05368">
        <w:rPr>
          <w:rFonts w:ascii="Arial" w:hAnsi="Arial" w:cs="Arial"/>
          <w:sz w:val="21"/>
          <w:szCs w:val="21"/>
        </w:rPr>
        <w:t>、本报告的编制依据了中华人民共和国相关法律、法令、法规和政策、具体规定，其基础资料和数据来自于有关主管部门颁布的文件和融资主体提供的资料，以及研究人员经过调研分析后所得的资料、信息。</w:t>
      </w:r>
    </w:p>
    <w:p w14:paraId="45B708E2" w14:textId="77777777" w:rsidR="00E03EB1" w:rsidRPr="00E05368" w:rsidRDefault="00E03EB1" w:rsidP="00E03EB1">
      <w:pPr>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2</w:t>
      </w:r>
      <w:r w:rsidRPr="00E05368">
        <w:rPr>
          <w:rFonts w:ascii="Arial" w:hAnsi="Arial" w:cs="Arial"/>
          <w:sz w:val="21"/>
          <w:szCs w:val="21"/>
        </w:rPr>
        <w:t>、在进行财务效益分析和测算过程中，采用了国际和国内通用的理论和方法，并结合现行会计制度、税收法规和房地产市场价格体系，进行合理假定和适当简化。</w:t>
      </w:r>
    </w:p>
    <w:p w14:paraId="19DCB29A" w14:textId="428DF948" w:rsidR="00E03EB1" w:rsidRPr="00E05368" w:rsidRDefault="00E03EB1" w:rsidP="00E03EB1">
      <w:pPr>
        <w:adjustRightInd w:val="0"/>
        <w:snapToGrid w:val="0"/>
        <w:spacing w:line="480" w:lineRule="auto"/>
        <w:ind w:firstLineChars="200" w:firstLine="420"/>
        <w:jc w:val="both"/>
        <w:rPr>
          <w:rFonts w:ascii="Arial" w:hAnsi="Arial" w:cs="Arial"/>
          <w:sz w:val="21"/>
          <w:szCs w:val="21"/>
        </w:rPr>
      </w:pPr>
      <w:r w:rsidRPr="004A0E2A">
        <w:rPr>
          <w:rFonts w:ascii="Arial" w:hAnsi="Arial" w:cs="Arial"/>
          <w:sz w:val="21"/>
          <w:szCs w:val="21"/>
        </w:rPr>
        <w:t>3</w:t>
      </w:r>
      <w:r w:rsidRPr="004A0E2A">
        <w:rPr>
          <w:rFonts w:ascii="Arial" w:hAnsi="Arial" w:cs="Arial"/>
          <w:sz w:val="21"/>
          <w:szCs w:val="21"/>
        </w:rPr>
        <w:t>、</w:t>
      </w:r>
      <w:r w:rsidRPr="004A0E2A">
        <w:rPr>
          <w:rFonts w:ascii="Arial" w:hAnsi="Arial" w:cs="Arial" w:hint="eastAsia"/>
          <w:sz w:val="21"/>
          <w:szCs w:val="21"/>
        </w:rPr>
        <w:t>本报告中的项目出让宗地面积及规划建筑面积以</w:t>
      </w:r>
      <w:r w:rsidR="0047550B" w:rsidRPr="0047550B">
        <w:rPr>
          <w:rFonts w:ascii="Arial" w:hAnsi="Arial" w:cs="Arial" w:hint="eastAsia"/>
          <w:sz w:val="21"/>
          <w:szCs w:val="21"/>
        </w:rPr>
        <w:t>建设单位提供的资料</w:t>
      </w:r>
      <w:r w:rsidRPr="004A0E2A">
        <w:rPr>
          <w:rFonts w:ascii="Arial" w:hAnsi="Arial" w:cs="Arial"/>
          <w:sz w:val="21"/>
          <w:szCs w:val="21"/>
        </w:rPr>
        <w:t>为依据。</w:t>
      </w:r>
    </w:p>
    <w:p w14:paraId="42BC7205" w14:textId="77777777" w:rsidR="00E03EB1" w:rsidRPr="00E05368" w:rsidRDefault="00E03EB1" w:rsidP="00E03EB1">
      <w:pPr>
        <w:widowControl w:val="0"/>
        <w:adjustRightInd w:val="0"/>
        <w:snapToGrid w:val="0"/>
        <w:spacing w:line="480" w:lineRule="auto"/>
        <w:ind w:firstLineChars="200" w:firstLine="420"/>
        <w:jc w:val="both"/>
        <w:rPr>
          <w:rFonts w:ascii="Arial" w:hAnsi="Arial" w:cs="Arial"/>
          <w:sz w:val="21"/>
          <w:szCs w:val="21"/>
        </w:rPr>
      </w:pPr>
      <w:r w:rsidRPr="00492CA5">
        <w:rPr>
          <w:rFonts w:ascii="Arial" w:hAnsi="Arial" w:cs="Arial"/>
          <w:sz w:val="21"/>
          <w:szCs w:val="21"/>
        </w:rPr>
        <w:t>4</w:t>
      </w:r>
      <w:r w:rsidRPr="00492CA5">
        <w:rPr>
          <w:rFonts w:ascii="Arial" w:hAnsi="Arial" w:cs="Arial"/>
          <w:sz w:val="21"/>
          <w:szCs w:val="21"/>
        </w:rPr>
        <w:t>、</w:t>
      </w:r>
      <w:r w:rsidRPr="00492CA5">
        <w:rPr>
          <w:rFonts w:ascii="Arial" w:hAnsi="Arial" w:cs="Arial" w:hint="eastAsia"/>
          <w:sz w:val="21"/>
          <w:szCs w:val="21"/>
        </w:rPr>
        <w:t>截至本报告出具日，建设单位尚未缴清项目地价款及契税、印花税。</w:t>
      </w:r>
    </w:p>
    <w:p w14:paraId="526F0CDF" w14:textId="77777777" w:rsidR="00E03EB1" w:rsidRPr="00E05368" w:rsidRDefault="00E03EB1" w:rsidP="00E03EB1">
      <w:pPr>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5</w:t>
      </w:r>
      <w:r w:rsidRPr="00E05368">
        <w:rPr>
          <w:rFonts w:ascii="Arial" w:hAnsi="Arial" w:cs="Arial"/>
          <w:sz w:val="21"/>
          <w:szCs w:val="21"/>
        </w:rPr>
        <w:t>、本报告中的已投资金额以建设单位提供的财务数据为准</w:t>
      </w:r>
      <w:r w:rsidRPr="00E05368">
        <w:rPr>
          <w:rFonts w:ascii="Arial" w:hAnsi="Arial" w:cs="Arial" w:hint="eastAsia"/>
          <w:sz w:val="21"/>
          <w:szCs w:val="21"/>
        </w:rPr>
        <w:t>，</w:t>
      </w:r>
      <w:r w:rsidRPr="00E05368">
        <w:rPr>
          <w:rFonts w:ascii="Arial" w:hAnsi="Arial" w:cs="Arial"/>
          <w:sz w:val="21"/>
          <w:szCs w:val="21"/>
        </w:rPr>
        <w:t>在此提请报告使用者注意。</w:t>
      </w:r>
    </w:p>
    <w:p w14:paraId="094DA5CD" w14:textId="77777777" w:rsidR="00E03EB1" w:rsidRPr="00E05368" w:rsidRDefault="00E03EB1" w:rsidP="00E03EB1">
      <w:pPr>
        <w:pStyle w:val="2"/>
        <w:spacing w:before="0" w:after="0" w:line="480" w:lineRule="auto"/>
        <w:jc w:val="both"/>
        <w:rPr>
          <w:rFonts w:eastAsia="宋体" w:cs="Arial"/>
          <w:sz w:val="21"/>
          <w:szCs w:val="21"/>
        </w:rPr>
      </w:pPr>
      <w:bookmarkStart w:id="64" w:name="_Toc74250058"/>
      <w:bookmarkStart w:id="65" w:name="_Toc74662888"/>
      <w:r w:rsidRPr="00E05368">
        <w:rPr>
          <w:rFonts w:eastAsia="宋体" w:cs="Arial"/>
          <w:sz w:val="21"/>
          <w:szCs w:val="21"/>
        </w:rPr>
        <w:t>七、本报告使用说明</w:t>
      </w:r>
      <w:bookmarkEnd w:id="64"/>
      <w:bookmarkEnd w:id="65"/>
    </w:p>
    <w:p w14:paraId="02DE5456" w14:textId="77777777" w:rsidR="00E03EB1" w:rsidRPr="00E05368" w:rsidRDefault="00E03EB1" w:rsidP="00E03EB1">
      <w:pPr>
        <w:adjustRightInd w:val="0"/>
        <w:snapToGrid w:val="0"/>
        <w:spacing w:line="480" w:lineRule="auto"/>
        <w:ind w:firstLineChars="200" w:firstLine="420"/>
        <w:jc w:val="both"/>
        <w:outlineLvl w:val="0"/>
        <w:rPr>
          <w:rFonts w:ascii="Arial" w:hAnsi="Arial" w:cs="Arial"/>
          <w:sz w:val="21"/>
          <w:szCs w:val="21"/>
        </w:rPr>
      </w:pPr>
      <w:r w:rsidRPr="00E05368">
        <w:rPr>
          <w:rFonts w:ascii="Arial" w:hAnsi="Arial" w:cs="Arial"/>
          <w:sz w:val="21"/>
          <w:szCs w:val="21"/>
        </w:rPr>
        <w:t>（一）本报告依前文编制目的</w:t>
      </w:r>
      <w:proofErr w:type="gramStart"/>
      <w:r w:rsidRPr="00E05368">
        <w:rPr>
          <w:rFonts w:ascii="Arial" w:hAnsi="Arial" w:cs="Arial"/>
          <w:sz w:val="21"/>
          <w:szCs w:val="21"/>
        </w:rPr>
        <w:t>供委托</w:t>
      </w:r>
      <w:proofErr w:type="gramEnd"/>
      <w:r w:rsidRPr="00E05368">
        <w:rPr>
          <w:rFonts w:ascii="Arial" w:hAnsi="Arial" w:cs="Arial" w:hint="eastAsia"/>
          <w:sz w:val="21"/>
          <w:szCs w:val="21"/>
        </w:rPr>
        <w:t>单位</w:t>
      </w:r>
      <w:r w:rsidRPr="00E05368">
        <w:rPr>
          <w:rFonts w:ascii="Arial" w:hAnsi="Arial" w:cs="Arial"/>
          <w:sz w:val="21"/>
          <w:szCs w:val="21"/>
        </w:rPr>
        <w:t>使用。除依据法律和相关规定需公开情形外，未经受托方同意，报告的全部或部分内容不得发表于公开的媒体上。</w:t>
      </w:r>
    </w:p>
    <w:p w14:paraId="265616D3" w14:textId="77777777" w:rsidR="00E03EB1" w:rsidRPr="00E05368" w:rsidRDefault="00E03EB1" w:rsidP="00E03EB1">
      <w:pPr>
        <w:adjustRightInd w:val="0"/>
        <w:snapToGrid w:val="0"/>
        <w:spacing w:line="480" w:lineRule="auto"/>
        <w:ind w:firstLineChars="200" w:firstLine="420"/>
        <w:jc w:val="both"/>
        <w:outlineLvl w:val="0"/>
        <w:rPr>
          <w:rFonts w:ascii="Arial" w:hAnsi="Arial" w:cs="Arial"/>
          <w:sz w:val="21"/>
          <w:szCs w:val="21"/>
        </w:rPr>
      </w:pPr>
      <w:r w:rsidRPr="00E05368">
        <w:rPr>
          <w:rFonts w:ascii="Arial" w:hAnsi="Arial" w:cs="Arial"/>
          <w:sz w:val="21"/>
          <w:szCs w:val="21"/>
        </w:rPr>
        <w:lastRenderedPageBreak/>
        <w:t>（二）本报告所依据的权属资料、财务资料及其他相关说明文件等基础资料由建设单位以原件或复印件形式提供，资料提供者应对其真实性、合法性负责，如基础资料改变，本报告需重新调整。</w:t>
      </w:r>
    </w:p>
    <w:p w14:paraId="4FB65D3E" w14:textId="77777777" w:rsidR="00E03EB1" w:rsidRPr="00E05368" w:rsidRDefault="00E03EB1" w:rsidP="00E03EB1">
      <w:pPr>
        <w:adjustRightInd w:val="0"/>
        <w:snapToGrid w:val="0"/>
        <w:spacing w:line="480" w:lineRule="auto"/>
        <w:ind w:firstLineChars="200" w:firstLine="420"/>
        <w:outlineLvl w:val="0"/>
        <w:rPr>
          <w:rFonts w:ascii="Arial" w:hAnsi="Arial" w:cs="Arial"/>
          <w:szCs w:val="21"/>
        </w:rPr>
      </w:pPr>
      <w:r w:rsidRPr="00E05368">
        <w:rPr>
          <w:rFonts w:ascii="Arial" w:hAnsi="Arial" w:cs="Arial"/>
          <w:sz w:val="21"/>
          <w:szCs w:val="21"/>
        </w:rPr>
        <w:t>（三）本报告结论</w:t>
      </w:r>
      <w:r w:rsidRPr="00E05368">
        <w:rPr>
          <w:rFonts w:ascii="Arial" w:hAnsi="Arial" w:cs="Arial" w:hint="eastAsia"/>
          <w:sz w:val="21"/>
          <w:szCs w:val="21"/>
        </w:rPr>
        <w:t>自出具日起有</w:t>
      </w:r>
      <w:r w:rsidRPr="00E05368">
        <w:rPr>
          <w:rFonts w:ascii="Arial" w:hAnsi="Arial" w:cs="Arial"/>
          <w:sz w:val="21"/>
          <w:szCs w:val="21"/>
        </w:rPr>
        <w:t>效期为一年。超过一年，需重新进行研究分析。</w:t>
      </w:r>
      <w:bookmarkStart w:id="66" w:name="_Toc24295934"/>
      <w:bookmarkStart w:id="67" w:name="_Toc33956069"/>
      <w:bookmarkStart w:id="68" w:name="_Toc44300260"/>
      <w:bookmarkStart w:id="69" w:name="_Toc76889697"/>
    </w:p>
    <w:p w14:paraId="2223F409" w14:textId="77777777" w:rsidR="00E03EB1" w:rsidRPr="00E05368" w:rsidRDefault="00E03EB1" w:rsidP="00E03EB1">
      <w:pPr>
        <w:rPr>
          <w:rFonts w:ascii="Arial" w:hAnsi="Arial" w:cs="Arial"/>
        </w:rPr>
      </w:pPr>
      <w:r w:rsidRPr="00E05368">
        <w:rPr>
          <w:rFonts w:ascii="Arial" w:eastAsia="仿宋_GB2312" w:hAnsi="Arial" w:cs="Arial"/>
          <w:sz w:val="32"/>
        </w:rPr>
        <w:br w:type="page"/>
      </w:r>
    </w:p>
    <w:p w14:paraId="5855AEF2" w14:textId="77777777" w:rsidR="00E03EB1" w:rsidRPr="00E05368" w:rsidRDefault="00E03EB1" w:rsidP="00E03EB1">
      <w:pPr>
        <w:pStyle w:val="1"/>
        <w:spacing w:before="240"/>
        <w:rPr>
          <w:rFonts w:ascii="Arial" w:eastAsia="方正黑体简体" w:hAnsi="Arial" w:cs="Arial"/>
          <w:b w:val="0"/>
          <w:bCs/>
          <w:sz w:val="32"/>
          <w:szCs w:val="32"/>
        </w:rPr>
      </w:pPr>
      <w:bookmarkStart w:id="70" w:name="_Toc74250059"/>
      <w:bookmarkStart w:id="71" w:name="_Toc74662889"/>
      <w:r w:rsidRPr="00E05368">
        <w:rPr>
          <w:rFonts w:ascii="Arial" w:eastAsia="方正黑体简体" w:hAnsi="Arial" w:cs="Arial"/>
          <w:b w:val="0"/>
          <w:bCs/>
          <w:sz w:val="32"/>
          <w:szCs w:val="32"/>
        </w:rPr>
        <w:lastRenderedPageBreak/>
        <w:t>第二章</w:t>
      </w:r>
      <w:r w:rsidRPr="00E05368">
        <w:rPr>
          <w:rFonts w:ascii="Arial" w:eastAsia="方正黑体简体" w:hAnsi="Arial" w:cs="Arial"/>
          <w:b w:val="0"/>
          <w:bCs/>
          <w:sz w:val="32"/>
          <w:szCs w:val="32"/>
        </w:rPr>
        <w:t xml:space="preserve">  </w:t>
      </w:r>
      <w:r w:rsidRPr="00E05368">
        <w:rPr>
          <w:rFonts w:ascii="Arial" w:eastAsia="方正黑体简体" w:hAnsi="Arial" w:cs="Arial"/>
          <w:b w:val="0"/>
          <w:bCs/>
          <w:sz w:val="32"/>
          <w:szCs w:val="32"/>
        </w:rPr>
        <w:t>项目建设条件评价</w:t>
      </w:r>
      <w:bookmarkEnd w:id="70"/>
      <w:bookmarkEnd w:id="71"/>
    </w:p>
    <w:p w14:paraId="6A256429" w14:textId="77777777" w:rsidR="00E03EB1" w:rsidRPr="00E05368" w:rsidRDefault="00E03EB1" w:rsidP="00E03EB1">
      <w:pPr>
        <w:pStyle w:val="2"/>
        <w:spacing w:before="0" w:after="0" w:line="480" w:lineRule="auto"/>
        <w:rPr>
          <w:rFonts w:eastAsia="宋体" w:cs="Arial"/>
          <w:sz w:val="21"/>
          <w:szCs w:val="21"/>
        </w:rPr>
      </w:pPr>
      <w:bookmarkStart w:id="72" w:name="_Toc24295935"/>
      <w:bookmarkStart w:id="73" w:name="_Toc33956070"/>
      <w:bookmarkStart w:id="74" w:name="_Toc44300261"/>
      <w:bookmarkStart w:id="75" w:name="_Toc76889698"/>
      <w:bookmarkStart w:id="76" w:name="_Toc74250060"/>
      <w:bookmarkStart w:id="77" w:name="_Toc74662890"/>
      <w:bookmarkEnd w:id="66"/>
      <w:bookmarkEnd w:id="67"/>
      <w:bookmarkEnd w:id="68"/>
      <w:bookmarkEnd w:id="69"/>
      <w:r w:rsidRPr="00E05368">
        <w:rPr>
          <w:rFonts w:eastAsia="宋体" w:cs="Arial" w:hint="eastAsia"/>
          <w:sz w:val="21"/>
          <w:szCs w:val="21"/>
        </w:rPr>
        <w:t>一</w:t>
      </w:r>
      <w:r w:rsidRPr="00E05368">
        <w:rPr>
          <w:rFonts w:eastAsia="宋体" w:cs="Arial"/>
          <w:sz w:val="21"/>
          <w:szCs w:val="21"/>
        </w:rPr>
        <w:t>、</w:t>
      </w:r>
      <w:bookmarkEnd w:id="72"/>
      <w:bookmarkEnd w:id="73"/>
      <w:bookmarkEnd w:id="74"/>
      <w:bookmarkEnd w:id="75"/>
      <w:r w:rsidRPr="00E05368">
        <w:rPr>
          <w:rFonts w:eastAsia="宋体" w:cs="Arial"/>
          <w:sz w:val="21"/>
          <w:szCs w:val="21"/>
        </w:rPr>
        <w:t>项目建设内容、规模和建设方案</w:t>
      </w:r>
      <w:bookmarkEnd w:id="76"/>
      <w:bookmarkEnd w:id="77"/>
    </w:p>
    <w:p w14:paraId="37806877" w14:textId="77777777" w:rsidR="00E03EB1" w:rsidRPr="00E05368" w:rsidRDefault="00E03EB1" w:rsidP="00E03EB1">
      <w:pPr>
        <w:pStyle w:val="2"/>
        <w:spacing w:before="0" w:after="0" w:line="480" w:lineRule="auto"/>
        <w:ind w:firstLineChars="98" w:firstLine="207"/>
        <w:rPr>
          <w:rFonts w:eastAsia="宋体" w:cs="Arial"/>
          <w:sz w:val="21"/>
          <w:szCs w:val="21"/>
        </w:rPr>
      </w:pPr>
      <w:bookmarkStart w:id="78" w:name="_Toc120933101"/>
      <w:bookmarkStart w:id="79" w:name="_Toc74250061"/>
      <w:bookmarkStart w:id="80" w:name="_Toc74662891"/>
      <w:r w:rsidRPr="00E05368">
        <w:rPr>
          <w:rFonts w:eastAsia="宋体" w:cs="Arial"/>
          <w:sz w:val="21"/>
          <w:szCs w:val="21"/>
        </w:rPr>
        <w:t>（一）项目建设地点</w:t>
      </w:r>
      <w:bookmarkStart w:id="81" w:name="_Toc44300262"/>
      <w:bookmarkStart w:id="82" w:name="_Toc99176023"/>
      <w:bookmarkStart w:id="83" w:name="_Toc99251654"/>
      <w:bookmarkStart w:id="84" w:name="_Toc109118445"/>
      <w:bookmarkStart w:id="85" w:name="_Toc109119047"/>
      <w:bookmarkStart w:id="86" w:name="_Toc109122452"/>
      <w:bookmarkEnd w:id="78"/>
      <w:bookmarkEnd w:id="79"/>
      <w:bookmarkEnd w:id="80"/>
    </w:p>
    <w:p w14:paraId="3FC84B66" w14:textId="265836D9" w:rsidR="00C172C5" w:rsidRDefault="00C172C5" w:rsidP="00C172C5">
      <w:pPr>
        <w:widowControl w:val="0"/>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hint="eastAsia"/>
          <w:color w:val="000000"/>
          <w:sz w:val="21"/>
          <w:szCs w:val="21"/>
        </w:rPr>
        <w:t>1</w:t>
      </w:r>
      <w:r w:rsidRPr="00E05368">
        <w:rPr>
          <w:rFonts w:ascii="Arial" w:hAnsi="Arial" w:cs="Arial" w:hint="eastAsia"/>
          <w:color w:val="000000"/>
          <w:sz w:val="21"/>
          <w:szCs w:val="21"/>
        </w:rPr>
        <w:t>、所在区位情况</w:t>
      </w:r>
    </w:p>
    <w:p w14:paraId="36BF9D52" w14:textId="77777777" w:rsidR="00DE3348" w:rsidRPr="000D5721" w:rsidRDefault="00DE3348" w:rsidP="00DE3348">
      <w:pPr>
        <w:spacing w:line="480" w:lineRule="auto"/>
        <w:ind w:firstLineChars="200" w:firstLine="420"/>
        <w:rPr>
          <w:rFonts w:cs="Arial"/>
          <w:color w:val="000000"/>
          <w:sz w:val="21"/>
          <w:szCs w:val="21"/>
        </w:rPr>
      </w:pPr>
      <w:r w:rsidRPr="008E5874">
        <w:rPr>
          <w:rFonts w:ascii="Arial" w:hAnsi="Arial" w:cs="Arial" w:hint="eastAsia"/>
          <w:color w:val="000000"/>
          <w:sz w:val="21"/>
          <w:szCs w:val="21"/>
        </w:rPr>
        <w:t>雨花台区位于南京市主城南部，东、南与江宁区接壤，西隔长江与浦口区相望，北与秦淮区、建</w:t>
      </w:r>
      <w:proofErr w:type="gramStart"/>
      <w:r w:rsidRPr="008E5874">
        <w:rPr>
          <w:rFonts w:ascii="Arial" w:hAnsi="Arial" w:cs="Arial" w:hint="eastAsia"/>
          <w:color w:val="000000"/>
          <w:sz w:val="21"/>
          <w:szCs w:val="21"/>
        </w:rPr>
        <w:t>邺</w:t>
      </w:r>
      <w:proofErr w:type="gramEnd"/>
      <w:r w:rsidRPr="008E5874">
        <w:rPr>
          <w:rFonts w:ascii="Arial" w:hAnsi="Arial" w:cs="Arial" w:hint="eastAsia"/>
          <w:color w:val="000000"/>
          <w:sz w:val="21"/>
          <w:szCs w:val="21"/>
        </w:rPr>
        <w:t>区接壤，面积</w:t>
      </w:r>
      <w:r w:rsidRPr="008E5874">
        <w:rPr>
          <w:rFonts w:ascii="Arial" w:hAnsi="Arial" w:cs="Arial"/>
          <w:color w:val="000000"/>
          <w:sz w:val="21"/>
          <w:szCs w:val="21"/>
        </w:rPr>
        <w:t>132.39</w:t>
      </w:r>
      <w:r w:rsidRPr="008E5874">
        <w:rPr>
          <w:rFonts w:ascii="Arial" w:hAnsi="Arial" w:cs="Arial"/>
          <w:color w:val="000000"/>
          <w:sz w:val="21"/>
          <w:szCs w:val="21"/>
        </w:rPr>
        <w:t>平方千米</w:t>
      </w:r>
      <w:r w:rsidRPr="008E5874">
        <w:rPr>
          <w:rFonts w:ascii="Arial" w:hAnsi="Arial" w:cs="Arial"/>
          <w:color w:val="000000"/>
          <w:sz w:val="21"/>
          <w:szCs w:val="21"/>
        </w:rPr>
        <w:t>(</w:t>
      </w:r>
      <w:r w:rsidRPr="008E5874">
        <w:rPr>
          <w:rFonts w:ascii="Arial" w:hAnsi="Arial" w:cs="Arial"/>
          <w:color w:val="000000"/>
          <w:sz w:val="21"/>
          <w:szCs w:val="21"/>
        </w:rPr>
        <w:t>含江域面积</w:t>
      </w:r>
      <w:r w:rsidRPr="008E5874">
        <w:rPr>
          <w:rFonts w:ascii="Arial" w:hAnsi="Arial" w:cs="Arial"/>
          <w:color w:val="000000"/>
          <w:sz w:val="21"/>
          <w:szCs w:val="21"/>
        </w:rPr>
        <w:t>)</w:t>
      </w:r>
      <w:r w:rsidRPr="008E5874">
        <w:rPr>
          <w:rFonts w:ascii="Arial" w:hAnsi="Arial" w:cs="Arial"/>
          <w:color w:val="000000"/>
          <w:sz w:val="21"/>
          <w:szCs w:val="21"/>
        </w:rPr>
        <w:t>，是南京主城的南大门，下辖</w:t>
      </w:r>
      <w:r w:rsidRPr="008E5874">
        <w:rPr>
          <w:rFonts w:ascii="Arial" w:hAnsi="Arial" w:cs="Arial"/>
          <w:color w:val="000000"/>
          <w:sz w:val="21"/>
          <w:szCs w:val="21"/>
        </w:rPr>
        <w:t>6</w:t>
      </w:r>
      <w:r w:rsidRPr="008E5874">
        <w:rPr>
          <w:rFonts w:ascii="Arial" w:hAnsi="Arial" w:cs="Arial"/>
          <w:color w:val="000000"/>
          <w:sz w:val="21"/>
          <w:szCs w:val="21"/>
        </w:rPr>
        <w:t>个街道、</w:t>
      </w:r>
      <w:r w:rsidRPr="008E5874">
        <w:rPr>
          <w:rFonts w:ascii="Arial" w:hAnsi="Arial" w:cs="Arial"/>
          <w:color w:val="000000"/>
          <w:sz w:val="21"/>
          <w:szCs w:val="21"/>
        </w:rPr>
        <w:t>2</w:t>
      </w:r>
      <w:r w:rsidRPr="008E5874">
        <w:rPr>
          <w:rFonts w:ascii="Arial" w:hAnsi="Arial" w:cs="Arial"/>
          <w:color w:val="000000"/>
          <w:sz w:val="21"/>
          <w:szCs w:val="21"/>
        </w:rPr>
        <w:t>个管委会，常住人口</w:t>
      </w:r>
      <w:r w:rsidRPr="008E5874">
        <w:rPr>
          <w:rFonts w:ascii="Arial" w:hAnsi="Arial" w:cs="Arial"/>
          <w:color w:val="000000"/>
          <w:sz w:val="21"/>
          <w:szCs w:val="21"/>
        </w:rPr>
        <w:t>46.39</w:t>
      </w:r>
      <w:r w:rsidRPr="008E5874">
        <w:rPr>
          <w:rFonts w:ascii="Arial" w:hAnsi="Arial" w:cs="Arial"/>
          <w:color w:val="000000"/>
          <w:sz w:val="21"/>
          <w:szCs w:val="21"/>
        </w:rPr>
        <w:t>万人。</w:t>
      </w:r>
    </w:p>
    <w:p w14:paraId="7003183F" w14:textId="77777777" w:rsidR="00DE3348" w:rsidRDefault="00DE3348" w:rsidP="00DE3348">
      <w:pPr>
        <w:spacing w:line="480" w:lineRule="auto"/>
        <w:ind w:firstLineChars="200" w:firstLine="420"/>
      </w:pPr>
      <w:r w:rsidRPr="008E5874">
        <w:rPr>
          <w:rFonts w:cs="Arial" w:hint="eastAsia"/>
          <w:color w:val="000000"/>
          <w:sz w:val="21"/>
          <w:szCs w:val="21"/>
        </w:rPr>
        <w:t>雨花台区地貌类型多样，境内水、山、圩、洲齐全，境内有将军山、牛首山、韩府山等山脉，有秦淮新河、大石湖、莲花湖等河流湖泊</w:t>
      </w:r>
      <w:r w:rsidRPr="000525F8">
        <w:rPr>
          <w:rFonts w:ascii="Arial" w:hAnsi="Arial" w:cs="Arial" w:hint="eastAsia"/>
          <w:color w:val="000000"/>
          <w:sz w:val="21"/>
          <w:szCs w:val="21"/>
        </w:rPr>
        <w:t>，有雨花台风景区、将军山风景区、</w:t>
      </w:r>
      <w:proofErr w:type="gramStart"/>
      <w:r w:rsidRPr="000525F8">
        <w:rPr>
          <w:rFonts w:ascii="Arial" w:hAnsi="Arial" w:cs="Arial" w:hint="eastAsia"/>
          <w:color w:val="000000"/>
          <w:sz w:val="21"/>
          <w:szCs w:val="21"/>
        </w:rPr>
        <w:t>浡</w:t>
      </w:r>
      <w:proofErr w:type="gramEnd"/>
      <w:r w:rsidRPr="000525F8">
        <w:rPr>
          <w:rFonts w:ascii="Arial" w:hAnsi="Arial" w:cs="Arial" w:hint="eastAsia"/>
          <w:color w:val="000000"/>
          <w:sz w:val="21"/>
          <w:szCs w:val="21"/>
        </w:rPr>
        <w:t>泥国王墓等著名景区，城市化化率达</w:t>
      </w:r>
      <w:r w:rsidRPr="000525F8">
        <w:rPr>
          <w:rFonts w:ascii="Arial" w:hAnsi="Arial" w:cs="Arial"/>
          <w:color w:val="000000"/>
          <w:sz w:val="21"/>
          <w:szCs w:val="21"/>
        </w:rPr>
        <w:t>93%</w:t>
      </w:r>
      <w:r w:rsidRPr="000525F8">
        <w:rPr>
          <w:rFonts w:ascii="Arial" w:hAnsi="Arial" w:cs="Arial"/>
          <w:color w:val="000000"/>
          <w:sz w:val="21"/>
          <w:szCs w:val="21"/>
        </w:rPr>
        <w:t>，森林覆盖率</w:t>
      </w:r>
      <w:r w:rsidRPr="000525F8">
        <w:rPr>
          <w:rFonts w:ascii="Arial" w:hAnsi="Arial" w:cs="Arial"/>
          <w:color w:val="000000"/>
          <w:sz w:val="21"/>
          <w:szCs w:val="21"/>
        </w:rPr>
        <w:t>26%</w:t>
      </w:r>
      <w:r w:rsidRPr="000525F8">
        <w:rPr>
          <w:rFonts w:ascii="Arial" w:hAnsi="Arial" w:cs="Arial"/>
          <w:color w:val="000000"/>
          <w:sz w:val="21"/>
          <w:szCs w:val="21"/>
        </w:rPr>
        <w:t>，绿化覆盖率</w:t>
      </w:r>
      <w:r w:rsidRPr="000525F8">
        <w:rPr>
          <w:rFonts w:ascii="Arial" w:hAnsi="Arial" w:cs="Arial"/>
          <w:color w:val="000000"/>
          <w:sz w:val="21"/>
          <w:szCs w:val="21"/>
        </w:rPr>
        <w:t>48.3%</w:t>
      </w:r>
      <w:r w:rsidRPr="000525F8">
        <w:rPr>
          <w:rFonts w:ascii="Arial" w:hAnsi="Arial" w:cs="Arial"/>
          <w:color w:val="000000"/>
          <w:sz w:val="21"/>
          <w:szCs w:val="21"/>
        </w:rPr>
        <w:t>，是南京的</w:t>
      </w:r>
      <w:r w:rsidRPr="000525F8">
        <w:rPr>
          <w:rFonts w:ascii="Arial" w:hAnsi="Arial" w:cs="Arial"/>
          <w:color w:val="000000"/>
          <w:sz w:val="21"/>
          <w:szCs w:val="21"/>
        </w:rPr>
        <w:t>“</w:t>
      </w:r>
      <w:r w:rsidRPr="000525F8">
        <w:rPr>
          <w:rFonts w:ascii="Arial" w:hAnsi="Arial" w:cs="Arial"/>
          <w:color w:val="000000"/>
          <w:sz w:val="21"/>
          <w:szCs w:val="21"/>
        </w:rPr>
        <w:t>绿色</w:t>
      </w:r>
      <w:r w:rsidRPr="008E5874">
        <w:rPr>
          <w:rFonts w:cs="Arial"/>
          <w:color w:val="000000"/>
          <w:sz w:val="21"/>
          <w:szCs w:val="21"/>
        </w:rPr>
        <w:t>生态走廊”。</w:t>
      </w:r>
      <w:r w:rsidRPr="008E5874">
        <w:rPr>
          <w:rFonts w:hint="eastAsia"/>
        </w:rPr>
        <w:t xml:space="preserve"> </w:t>
      </w:r>
    </w:p>
    <w:p w14:paraId="213CDB8E" w14:textId="41C61156" w:rsidR="00DE3348" w:rsidRDefault="00DE3348" w:rsidP="00DE3348">
      <w:pPr>
        <w:widowControl w:val="0"/>
        <w:adjustRightInd w:val="0"/>
        <w:snapToGrid w:val="0"/>
        <w:spacing w:line="480" w:lineRule="auto"/>
        <w:ind w:firstLineChars="200" w:firstLine="420"/>
        <w:jc w:val="both"/>
        <w:rPr>
          <w:rFonts w:ascii="Arial" w:hAnsi="Arial" w:cs="Arial"/>
          <w:color w:val="000000"/>
          <w:sz w:val="21"/>
          <w:szCs w:val="21"/>
        </w:rPr>
      </w:pPr>
      <w:r w:rsidRPr="008E5874">
        <w:rPr>
          <w:rFonts w:cs="Arial" w:hint="eastAsia"/>
          <w:color w:val="000000"/>
          <w:sz w:val="21"/>
          <w:szCs w:val="21"/>
        </w:rPr>
        <w:t>雨花台区是中国软件名城的核心区，国家重要的软件产业和</w:t>
      </w:r>
      <w:proofErr w:type="gramStart"/>
      <w:r w:rsidRPr="008E5874">
        <w:rPr>
          <w:rFonts w:cs="Arial" w:hint="eastAsia"/>
          <w:color w:val="000000"/>
          <w:sz w:val="21"/>
          <w:szCs w:val="21"/>
        </w:rPr>
        <w:t>信产业</w:t>
      </w:r>
      <w:proofErr w:type="gramEnd"/>
      <w:r w:rsidRPr="008E5874">
        <w:rPr>
          <w:rFonts w:cs="Arial" w:hint="eastAsia"/>
          <w:color w:val="000000"/>
          <w:sz w:val="21"/>
          <w:szCs w:val="21"/>
        </w:rPr>
        <w:t>中心，中国第一软件产业基地，中国最大的通讯软件产业研发基地，已成功创建国家火炬计划现代通信软件产业基地、国家数字出版基地、国家级科技企业孵化器、中国服务外包基地城市示范区、国家级服务业标准化试点区，并</w:t>
      </w:r>
      <w:proofErr w:type="gramStart"/>
      <w:r w:rsidRPr="008E5874">
        <w:rPr>
          <w:rFonts w:cs="Arial" w:hint="eastAsia"/>
          <w:color w:val="000000"/>
          <w:sz w:val="21"/>
          <w:szCs w:val="21"/>
        </w:rPr>
        <w:t>茉</w:t>
      </w:r>
      <w:proofErr w:type="gramEnd"/>
      <w:r w:rsidRPr="008E5874">
        <w:rPr>
          <w:rFonts w:cs="Arial" w:hint="eastAsia"/>
          <w:color w:val="000000"/>
          <w:sz w:val="21"/>
          <w:szCs w:val="21"/>
        </w:rPr>
        <w:t>获“国家科技进步先进区”等称号。</w:t>
      </w:r>
    </w:p>
    <w:p w14:paraId="63F50A52" w14:textId="4A99DEBB" w:rsidR="008E5874" w:rsidRDefault="008E5874" w:rsidP="00DE3348">
      <w:pPr>
        <w:spacing w:line="480" w:lineRule="auto"/>
        <w:jc w:val="center"/>
        <w:rPr>
          <w:rFonts w:ascii="Arial" w:hAnsi="Arial" w:cs="Arial"/>
          <w:color w:val="000000"/>
          <w:sz w:val="21"/>
          <w:szCs w:val="21"/>
        </w:rPr>
      </w:pPr>
      <w:r>
        <w:rPr>
          <w:rFonts w:cs="Arial"/>
          <w:noProof/>
          <w:color w:val="000000"/>
          <w:sz w:val="21"/>
          <w:szCs w:val="21"/>
        </w:rPr>
        <w:drawing>
          <wp:inline distT="0" distB="0" distL="0" distR="0" wp14:anchorId="0C0277D7" wp14:editId="7C8533D6">
            <wp:extent cx="5242699" cy="322580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878864642a4086ac0e57b9a47fb325.jpeg.crdownload"/>
                    <pic:cNvPicPr/>
                  </pic:nvPicPr>
                  <pic:blipFill>
                    <a:blip r:embed="rId21">
                      <a:extLst>
                        <a:ext uri="{28A0092B-C50C-407E-A947-70E740481C1C}">
                          <a14:useLocalDpi xmlns:a14="http://schemas.microsoft.com/office/drawing/2010/main" val="0"/>
                        </a:ext>
                      </a:extLst>
                    </a:blip>
                    <a:stretch>
                      <a:fillRect/>
                    </a:stretch>
                  </pic:blipFill>
                  <pic:spPr>
                    <a:xfrm>
                      <a:off x="0" y="0"/>
                      <a:ext cx="5257163" cy="3234700"/>
                    </a:xfrm>
                    <a:prstGeom prst="rect">
                      <a:avLst/>
                    </a:prstGeom>
                  </pic:spPr>
                </pic:pic>
              </a:graphicData>
            </a:graphic>
          </wp:inline>
        </w:drawing>
      </w:r>
    </w:p>
    <w:p w14:paraId="733FB8B1" w14:textId="6E9D5057" w:rsidR="00DE3348" w:rsidRPr="000D5721" w:rsidRDefault="00DE3348" w:rsidP="008E5874">
      <w:pPr>
        <w:spacing w:line="480" w:lineRule="auto"/>
        <w:ind w:firstLineChars="200" w:firstLine="420"/>
        <w:rPr>
          <w:rFonts w:cs="Arial"/>
          <w:color w:val="000000"/>
          <w:sz w:val="21"/>
          <w:szCs w:val="21"/>
        </w:rPr>
      </w:pPr>
      <w:r>
        <w:rPr>
          <w:rFonts w:cs="Arial" w:hint="eastAsia"/>
          <w:color w:val="000000"/>
          <w:sz w:val="21"/>
          <w:szCs w:val="21"/>
        </w:rPr>
        <w:lastRenderedPageBreak/>
        <w:t>建设</w:t>
      </w:r>
      <w:r w:rsidRPr="00A95B81">
        <w:rPr>
          <w:rFonts w:cs="Arial" w:hint="eastAsia"/>
          <w:color w:val="000000"/>
          <w:sz w:val="21"/>
          <w:szCs w:val="21"/>
        </w:rPr>
        <w:t>项目位于</w:t>
      </w:r>
      <w:r w:rsidRPr="00396B39">
        <w:rPr>
          <w:rFonts w:cs="Arial" w:hint="eastAsia"/>
          <w:color w:val="000000"/>
          <w:sz w:val="21"/>
          <w:szCs w:val="21"/>
        </w:rPr>
        <w:t>江苏省南京市雨花台区</w:t>
      </w:r>
      <w:r>
        <w:rPr>
          <w:rFonts w:cs="Arial" w:hint="eastAsia"/>
          <w:color w:val="000000"/>
          <w:sz w:val="21"/>
          <w:szCs w:val="21"/>
        </w:rPr>
        <w:t>板桥新城</w:t>
      </w:r>
      <w:r w:rsidRPr="00A95B81">
        <w:rPr>
          <w:rFonts w:cs="Arial" w:hint="eastAsia"/>
          <w:color w:val="000000"/>
          <w:sz w:val="21"/>
          <w:szCs w:val="21"/>
        </w:rPr>
        <w:t>，</w:t>
      </w:r>
      <w:r>
        <w:rPr>
          <w:rFonts w:cs="Arial" w:hint="eastAsia"/>
          <w:color w:val="000000"/>
          <w:sz w:val="21"/>
          <w:szCs w:val="21"/>
        </w:rPr>
        <w:t>该区域</w:t>
      </w:r>
      <w:r w:rsidRPr="00396B39">
        <w:rPr>
          <w:rFonts w:cs="Arial"/>
          <w:color w:val="000000"/>
          <w:sz w:val="21"/>
          <w:szCs w:val="21"/>
        </w:rPr>
        <w:t>北至秦淮新河，东抵宁马高速公路，西至长江，南至江宁河，总</w:t>
      </w:r>
      <w:r w:rsidRPr="000525F8">
        <w:rPr>
          <w:rFonts w:ascii="Arial" w:hAnsi="Arial" w:cs="Arial"/>
          <w:color w:val="000000"/>
          <w:sz w:val="21"/>
          <w:szCs w:val="21"/>
        </w:rPr>
        <w:t>面积</w:t>
      </w:r>
      <w:r w:rsidRPr="000525F8">
        <w:rPr>
          <w:rFonts w:ascii="Arial" w:hAnsi="Arial" w:cs="Arial"/>
          <w:color w:val="000000"/>
          <w:sz w:val="21"/>
          <w:szCs w:val="21"/>
        </w:rPr>
        <w:t>68. 73</w:t>
      </w:r>
      <w:r w:rsidRPr="000525F8">
        <w:rPr>
          <w:rFonts w:ascii="Arial" w:hAnsi="Arial" w:cs="Arial"/>
          <w:color w:val="000000"/>
          <w:sz w:val="21"/>
          <w:szCs w:val="21"/>
        </w:rPr>
        <w:t>平方公里。</w:t>
      </w:r>
      <w:r w:rsidRPr="00360942">
        <w:rPr>
          <w:rFonts w:ascii="Arial" w:hAnsi="Arial" w:cs="Arial" w:hint="eastAsia"/>
          <w:sz w:val="21"/>
          <w:szCs w:val="21"/>
        </w:rPr>
        <w:t>板桥新城定位为卓越的国际化产业新城，打造“生态文明之城”“转型创新之城”“沿江融合之城”。板桥新城是南京市新一轮城市发展战略明确的九大新城之一、中国（南京）软件谷西园的重要组成、</w:t>
      </w:r>
      <w:proofErr w:type="gramStart"/>
      <w:r w:rsidRPr="00360942">
        <w:rPr>
          <w:rFonts w:ascii="Arial" w:hAnsi="Arial" w:cs="Arial" w:hint="eastAsia"/>
          <w:sz w:val="21"/>
          <w:szCs w:val="21"/>
        </w:rPr>
        <w:t>奥南板块</w:t>
      </w:r>
      <w:proofErr w:type="gramEnd"/>
      <w:r w:rsidRPr="00360942">
        <w:rPr>
          <w:rFonts w:ascii="Arial" w:hAnsi="Arial" w:cs="Arial" w:hint="eastAsia"/>
          <w:sz w:val="21"/>
          <w:szCs w:val="21"/>
        </w:rPr>
        <w:t>的重要区域、宁</w:t>
      </w:r>
      <w:proofErr w:type="gramStart"/>
      <w:r w:rsidRPr="00360942">
        <w:rPr>
          <w:rFonts w:ascii="Arial" w:hAnsi="Arial" w:cs="Arial" w:hint="eastAsia"/>
          <w:sz w:val="21"/>
          <w:szCs w:val="21"/>
        </w:rPr>
        <w:t>芜</w:t>
      </w:r>
      <w:proofErr w:type="gramEnd"/>
      <w:r w:rsidRPr="00360942">
        <w:rPr>
          <w:rFonts w:ascii="Arial" w:hAnsi="Arial" w:cs="Arial" w:hint="eastAsia"/>
          <w:sz w:val="21"/>
          <w:szCs w:val="21"/>
        </w:rPr>
        <w:t>城镇发展轴的重要坐标，是距离主城中心区最近的新城。</w:t>
      </w:r>
      <w:r w:rsidRPr="000525F8">
        <w:rPr>
          <w:rFonts w:ascii="Arial" w:hAnsi="Arial" w:cs="Arial" w:hint="eastAsia"/>
          <w:color w:val="000000"/>
          <w:sz w:val="21"/>
          <w:szCs w:val="21"/>
        </w:rPr>
        <w:t>区域发展目标为</w:t>
      </w:r>
      <w:r w:rsidRPr="000525F8">
        <w:rPr>
          <w:rFonts w:ascii="Arial" w:hAnsi="Arial" w:cs="Arial"/>
          <w:color w:val="000000"/>
          <w:sz w:val="21"/>
          <w:szCs w:val="21"/>
        </w:rPr>
        <w:t>新城自主创新能</w:t>
      </w:r>
      <w:r w:rsidRPr="00396B39">
        <w:rPr>
          <w:rFonts w:cs="Arial"/>
          <w:color w:val="000000"/>
          <w:sz w:val="21"/>
          <w:szCs w:val="21"/>
        </w:rPr>
        <w:t>力、竞争力、可持续发展能力显著提升，成为南京市具有国际化高品质的科技创新新区。</w:t>
      </w:r>
    </w:p>
    <w:p w14:paraId="0A942517" w14:textId="42A2ED1D" w:rsidR="000D5721" w:rsidRDefault="008E5874" w:rsidP="00396B39">
      <w:pPr>
        <w:spacing w:line="480" w:lineRule="auto"/>
        <w:jc w:val="center"/>
        <w:rPr>
          <w:rFonts w:cs="Arial"/>
          <w:color w:val="000000"/>
          <w:sz w:val="21"/>
          <w:szCs w:val="21"/>
        </w:rPr>
      </w:pPr>
      <w:r>
        <w:rPr>
          <w:rFonts w:cs="Arial"/>
          <w:noProof/>
          <w:color w:val="000000"/>
          <w:sz w:val="21"/>
          <w:szCs w:val="21"/>
        </w:rPr>
        <w:drawing>
          <wp:inline distT="0" distB="0" distL="0" distR="0" wp14:anchorId="7F6F58C8" wp14:editId="7B3428F0">
            <wp:extent cx="4930678" cy="3829050"/>
            <wp:effectExtent l="0" t="0" r="381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ef0bbcb27a44e9c94b30392f6608af8.jpeg.crdownload"/>
                    <pic:cNvPicPr/>
                  </pic:nvPicPr>
                  <pic:blipFill rotWithShape="1">
                    <a:blip r:embed="rId22">
                      <a:extLst>
                        <a:ext uri="{28A0092B-C50C-407E-A947-70E740481C1C}">
                          <a14:useLocalDpi xmlns:a14="http://schemas.microsoft.com/office/drawing/2010/main" val="0"/>
                        </a:ext>
                      </a:extLst>
                    </a:blip>
                    <a:srcRect t="7249" b="5954"/>
                    <a:stretch/>
                  </pic:blipFill>
                  <pic:spPr bwMode="auto">
                    <a:xfrm>
                      <a:off x="0" y="0"/>
                      <a:ext cx="4936430" cy="3833517"/>
                    </a:xfrm>
                    <a:prstGeom prst="rect">
                      <a:avLst/>
                    </a:prstGeom>
                    <a:ln>
                      <a:noFill/>
                    </a:ln>
                    <a:extLst>
                      <a:ext uri="{53640926-AAD7-44D8-BBD7-CCE9431645EC}">
                        <a14:shadowObscured xmlns:a14="http://schemas.microsoft.com/office/drawing/2010/main"/>
                      </a:ext>
                    </a:extLst>
                  </pic:spPr>
                </pic:pic>
              </a:graphicData>
            </a:graphic>
          </wp:inline>
        </w:drawing>
      </w:r>
    </w:p>
    <w:p w14:paraId="06A61D72" w14:textId="252C8395" w:rsidR="002463E3" w:rsidRDefault="002463E3" w:rsidP="002F3F30">
      <w:pPr>
        <w:spacing w:line="480" w:lineRule="auto"/>
        <w:rPr>
          <w:rFonts w:cs="Arial"/>
          <w:color w:val="000000"/>
          <w:sz w:val="21"/>
          <w:szCs w:val="21"/>
        </w:rPr>
      </w:pPr>
    </w:p>
    <w:p w14:paraId="4EA894CA" w14:textId="0DBAB060" w:rsidR="00C172C5" w:rsidRPr="00E05368" w:rsidRDefault="00C172C5" w:rsidP="00C172C5">
      <w:pPr>
        <w:widowControl w:val="0"/>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hint="eastAsia"/>
          <w:color w:val="000000"/>
          <w:sz w:val="21"/>
          <w:szCs w:val="21"/>
        </w:rPr>
        <w:t>2</w:t>
      </w:r>
      <w:r w:rsidRPr="00E05368">
        <w:rPr>
          <w:rFonts w:ascii="Arial" w:hAnsi="Arial" w:cs="Arial" w:hint="eastAsia"/>
          <w:color w:val="000000"/>
          <w:sz w:val="21"/>
          <w:szCs w:val="21"/>
        </w:rPr>
        <w:t>、周边环境及四至</w:t>
      </w:r>
    </w:p>
    <w:p w14:paraId="327E3854" w14:textId="22716B66" w:rsidR="00F24EBE" w:rsidRDefault="000B6FD4" w:rsidP="00192B83">
      <w:pPr>
        <w:widowControl w:val="0"/>
        <w:adjustRightInd w:val="0"/>
        <w:snapToGrid w:val="0"/>
        <w:spacing w:line="480" w:lineRule="auto"/>
        <w:ind w:firstLineChars="200" w:firstLine="420"/>
        <w:jc w:val="both"/>
        <w:rPr>
          <w:rFonts w:ascii="Arial" w:hAnsi="Arial" w:cs="Arial"/>
          <w:sz w:val="21"/>
          <w:szCs w:val="21"/>
        </w:rPr>
      </w:pPr>
      <w:r w:rsidRPr="00BC7C87">
        <w:rPr>
          <w:rFonts w:cs="Arial" w:hint="eastAsia"/>
          <w:color w:val="000000"/>
          <w:sz w:val="21"/>
          <w:szCs w:val="21"/>
        </w:rPr>
        <w:t>建设项目位于</w:t>
      </w:r>
      <w:r w:rsidR="00901D79" w:rsidRPr="00BC7C87">
        <w:rPr>
          <w:rFonts w:cs="Arial" w:hint="eastAsia"/>
          <w:color w:val="000000"/>
          <w:sz w:val="21"/>
          <w:szCs w:val="21"/>
        </w:rPr>
        <w:t>江苏省南京市雨花台区</w:t>
      </w:r>
      <w:r w:rsidR="00BC7C87" w:rsidRPr="00BC7C87">
        <w:rPr>
          <w:rFonts w:cs="Arial" w:hint="eastAsia"/>
          <w:color w:val="000000"/>
          <w:sz w:val="21"/>
          <w:szCs w:val="21"/>
        </w:rPr>
        <w:t>凤集大道以南、新湖大道以西</w:t>
      </w:r>
      <w:r w:rsidR="00192B83" w:rsidRPr="00BC7C87">
        <w:rPr>
          <w:rFonts w:cs="Arial" w:hint="eastAsia"/>
          <w:color w:val="000000"/>
          <w:sz w:val="21"/>
          <w:szCs w:val="21"/>
        </w:rPr>
        <w:t>，</w:t>
      </w:r>
      <w:r w:rsidR="009E389D" w:rsidRPr="00B7713E">
        <w:rPr>
          <w:rFonts w:cs="Arial" w:hint="eastAsia"/>
          <w:color w:val="000000"/>
          <w:sz w:val="21"/>
          <w:szCs w:val="21"/>
        </w:rPr>
        <w:t>四至</w:t>
      </w:r>
      <w:r w:rsidR="009E389D" w:rsidRPr="00B7713E">
        <w:rPr>
          <w:rFonts w:cs="Arial"/>
          <w:color w:val="000000"/>
          <w:sz w:val="21"/>
          <w:szCs w:val="21"/>
        </w:rPr>
        <w:t xml:space="preserve">: </w:t>
      </w:r>
      <w:r w:rsidR="00816281" w:rsidRPr="00B7713E">
        <w:rPr>
          <w:rFonts w:ascii="Arial" w:hAnsi="Arial" w:cs="Arial" w:hint="eastAsia"/>
          <w:color w:val="000000"/>
          <w:sz w:val="21"/>
          <w:szCs w:val="21"/>
        </w:rPr>
        <w:t>东至新湖大道，南至</w:t>
      </w:r>
      <w:r w:rsidR="00BC7C87" w:rsidRPr="00B7713E">
        <w:rPr>
          <w:rFonts w:ascii="Arial" w:hAnsi="Arial" w:cs="Arial" w:hint="eastAsia"/>
          <w:color w:val="000000"/>
          <w:sz w:val="21"/>
          <w:szCs w:val="21"/>
        </w:rPr>
        <w:t>现状空地（规划教育用地，未来规划有</w:t>
      </w:r>
      <w:r w:rsidR="00BC7C87" w:rsidRPr="00B7713E">
        <w:rPr>
          <w:rFonts w:ascii="Arial" w:hAnsi="Arial" w:cs="Arial" w:hint="eastAsia"/>
          <w:color w:val="000000"/>
          <w:sz w:val="21"/>
          <w:szCs w:val="21"/>
        </w:rPr>
        <w:t>1</w:t>
      </w:r>
      <w:r w:rsidR="00BC7C87" w:rsidRPr="00B7713E">
        <w:rPr>
          <w:rFonts w:ascii="Arial" w:hAnsi="Arial" w:cs="Arial" w:hint="eastAsia"/>
          <w:color w:val="000000"/>
          <w:sz w:val="21"/>
          <w:szCs w:val="21"/>
        </w:rPr>
        <w:t>所小学及</w:t>
      </w:r>
      <w:r w:rsidR="00BC7C87" w:rsidRPr="00B7713E">
        <w:rPr>
          <w:rFonts w:ascii="Arial" w:hAnsi="Arial" w:cs="Arial" w:hint="eastAsia"/>
          <w:color w:val="000000"/>
          <w:sz w:val="21"/>
          <w:szCs w:val="21"/>
        </w:rPr>
        <w:t>1</w:t>
      </w:r>
      <w:r w:rsidR="00BC7C87" w:rsidRPr="00B7713E">
        <w:rPr>
          <w:rFonts w:ascii="Arial" w:hAnsi="Arial" w:cs="Arial" w:hint="eastAsia"/>
          <w:color w:val="000000"/>
          <w:sz w:val="21"/>
          <w:szCs w:val="21"/>
        </w:rPr>
        <w:t>所幼儿园）</w:t>
      </w:r>
      <w:r w:rsidR="00816281" w:rsidRPr="00B7713E">
        <w:rPr>
          <w:rFonts w:ascii="Arial" w:hAnsi="Arial" w:cs="Arial" w:hint="eastAsia"/>
          <w:color w:val="000000"/>
          <w:sz w:val="21"/>
          <w:szCs w:val="21"/>
        </w:rPr>
        <w:t>，西至</w:t>
      </w:r>
      <w:r w:rsidR="00BC7C87" w:rsidRPr="00B7713E">
        <w:rPr>
          <w:rFonts w:ascii="Arial" w:hAnsi="Arial" w:cs="Arial" w:hint="eastAsia"/>
          <w:color w:val="000000"/>
          <w:sz w:val="21"/>
          <w:szCs w:val="21"/>
        </w:rPr>
        <w:t>三号路（规划道路）</w:t>
      </w:r>
      <w:r w:rsidR="00816281" w:rsidRPr="00B7713E">
        <w:rPr>
          <w:rFonts w:ascii="Arial" w:hAnsi="Arial" w:cs="Arial" w:hint="eastAsia"/>
          <w:color w:val="000000"/>
          <w:sz w:val="21"/>
          <w:szCs w:val="21"/>
        </w:rPr>
        <w:t>，北至</w:t>
      </w:r>
      <w:r w:rsidR="00BC7C87" w:rsidRPr="00B7713E">
        <w:rPr>
          <w:rFonts w:cs="Arial" w:hint="eastAsia"/>
          <w:color w:val="000000"/>
          <w:sz w:val="21"/>
          <w:szCs w:val="21"/>
        </w:rPr>
        <w:t>凤集大道</w:t>
      </w:r>
      <w:r w:rsidR="009E389D" w:rsidRPr="00B7713E">
        <w:rPr>
          <w:rFonts w:cs="Arial"/>
          <w:color w:val="000000"/>
          <w:sz w:val="21"/>
          <w:szCs w:val="21"/>
        </w:rPr>
        <w:t>。</w:t>
      </w:r>
      <w:r w:rsidR="00192B83" w:rsidRPr="00BC7C87">
        <w:rPr>
          <w:rFonts w:ascii="Arial" w:hAnsi="Arial" w:cs="Arial" w:hint="eastAsia"/>
          <w:sz w:val="21"/>
          <w:szCs w:val="21"/>
        </w:rPr>
        <w:t>所</w:t>
      </w:r>
      <w:r w:rsidR="00192B83" w:rsidRPr="00E05368">
        <w:rPr>
          <w:rFonts w:ascii="Arial" w:hAnsi="Arial" w:cs="Arial" w:hint="eastAsia"/>
          <w:sz w:val="21"/>
          <w:szCs w:val="21"/>
        </w:rPr>
        <w:t>在区域</w:t>
      </w:r>
      <w:r w:rsidR="002F605F">
        <w:rPr>
          <w:rFonts w:ascii="Arial" w:hAnsi="Arial" w:cs="Arial" w:hint="eastAsia"/>
          <w:sz w:val="21"/>
          <w:szCs w:val="21"/>
        </w:rPr>
        <w:t>位于</w:t>
      </w:r>
      <w:r w:rsidR="00BC7C87">
        <w:rPr>
          <w:rFonts w:ascii="Arial" w:hAnsi="Arial" w:cs="Arial" w:hint="eastAsia"/>
          <w:sz w:val="21"/>
          <w:szCs w:val="21"/>
        </w:rPr>
        <w:t>雨花台</w:t>
      </w:r>
      <w:r w:rsidR="002F605F">
        <w:rPr>
          <w:rFonts w:ascii="Arial" w:hAnsi="Arial" w:cs="Arial" w:hint="eastAsia"/>
          <w:sz w:val="21"/>
          <w:szCs w:val="21"/>
        </w:rPr>
        <w:t>区</w:t>
      </w:r>
      <w:r w:rsidR="002F605F" w:rsidRPr="002F605F">
        <w:rPr>
          <w:rFonts w:ascii="Arial" w:hAnsi="Arial" w:cs="Arial" w:hint="eastAsia"/>
          <w:sz w:val="21"/>
          <w:szCs w:val="21"/>
        </w:rPr>
        <w:t>南部</w:t>
      </w:r>
      <w:r w:rsidR="00192B83" w:rsidRPr="00E05368">
        <w:rPr>
          <w:rFonts w:ascii="Arial" w:hAnsi="Arial" w:cs="Arial" w:hint="eastAsia"/>
          <w:sz w:val="21"/>
          <w:szCs w:val="21"/>
        </w:rPr>
        <w:t>，</w:t>
      </w:r>
      <w:r w:rsidR="00BC7C87">
        <w:rPr>
          <w:rFonts w:ascii="Arial" w:hAnsi="Arial" w:cs="Arial" w:hint="eastAsia"/>
          <w:sz w:val="21"/>
          <w:szCs w:val="21"/>
        </w:rPr>
        <w:t>板桥新</w:t>
      </w:r>
      <w:r w:rsidR="00BC7C87" w:rsidRPr="00B7713E">
        <w:rPr>
          <w:rFonts w:ascii="Arial" w:hAnsi="Arial" w:cs="Arial" w:hint="eastAsia"/>
          <w:color w:val="000000"/>
          <w:sz w:val="21"/>
          <w:szCs w:val="21"/>
        </w:rPr>
        <w:t>城核心区域。</w:t>
      </w:r>
      <w:r w:rsidR="00F24EBE" w:rsidRPr="00B7713E">
        <w:rPr>
          <w:rFonts w:ascii="Arial" w:hAnsi="Arial" w:cs="Arial" w:hint="eastAsia"/>
          <w:color w:val="000000"/>
          <w:sz w:val="21"/>
          <w:szCs w:val="21"/>
        </w:rPr>
        <w:t>距廊坊市政府约</w:t>
      </w:r>
      <w:r w:rsidR="00F24EBE" w:rsidRPr="00B7713E">
        <w:rPr>
          <w:rFonts w:ascii="Arial" w:hAnsi="Arial" w:cs="Arial"/>
          <w:color w:val="000000"/>
          <w:sz w:val="21"/>
          <w:szCs w:val="21"/>
        </w:rPr>
        <w:t>19</w:t>
      </w:r>
      <w:r w:rsidR="00F24EBE" w:rsidRPr="00B7713E">
        <w:rPr>
          <w:rFonts w:ascii="Arial" w:hAnsi="Arial" w:cs="Arial" w:hint="eastAsia"/>
          <w:color w:val="000000"/>
          <w:sz w:val="21"/>
          <w:szCs w:val="21"/>
        </w:rPr>
        <w:t>km</w:t>
      </w:r>
      <w:r w:rsidR="00F24EBE" w:rsidRPr="00B7713E">
        <w:rPr>
          <w:rFonts w:ascii="Arial" w:hAnsi="Arial" w:cs="Arial" w:hint="eastAsia"/>
          <w:color w:val="000000"/>
          <w:sz w:val="21"/>
          <w:szCs w:val="21"/>
        </w:rPr>
        <w:t>，距安次区人民政府约</w:t>
      </w:r>
      <w:r w:rsidR="00F24EBE" w:rsidRPr="00B7713E">
        <w:rPr>
          <w:rFonts w:ascii="Arial" w:hAnsi="Arial" w:cs="Arial"/>
          <w:color w:val="000000"/>
          <w:sz w:val="21"/>
          <w:szCs w:val="21"/>
        </w:rPr>
        <w:t>12.5</w:t>
      </w:r>
      <w:r w:rsidR="00F24EBE" w:rsidRPr="00B7713E">
        <w:rPr>
          <w:rFonts w:ascii="Arial" w:hAnsi="Arial" w:cs="Arial" w:hint="eastAsia"/>
          <w:color w:val="000000"/>
          <w:sz w:val="21"/>
          <w:szCs w:val="21"/>
        </w:rPr>
        <w:t>km</w:t>
      </w:r>
      <w:r w:rsidR="00F24EBE" w:rsidRPr="00B7713E">
        <w:rPr>
          <w:rFonts w:ascii="Arial" w:hAnsi="Arial" w:cs="Arial" w:hint="eastAsia"/>
          <w:color w:val="000000"/>
          <w:sz w:val="21"/>
          <w:szCs w:val="21"/>
        </w:rPr>
        <w:t>，距南京禄口国际机场直线距离约</w:t>
      </w:r>
      <w:r w:rsidR="00F24EBE" w:rsidRPr="00B7713E">
        <w:rPr>
          <w:rFonts w:ascii="Arial" w:hAnsi="Arial" w:cs="Arial" w:hint="eastAsia"/>
          <w:color w:val="000000"/>
          <w:sz w:val="21"/>
          <w:szCs w:val="21"/>
        </w:rPr>
        <w:t>28</w:t>
      </w:r>
      <w:r w:rsidR="00F24EBE" w:rsidRPr="00B7713E">
        <w:rPr>
          <w:rFonts w:ascii="Arial" w:hAnsi="Arial" w:cs="Arial" w:hint="eastAsia"/>
          <w:color w:val="000000"/>
          <w:sz w:val="21"/>
          <w:szCs w:val="21"/>
        </w:rPr>
        <w:t>公里，距南京南站直线距离约</w:t>
      </w:r>
      <w:r w:rsidR="00F24EBE" w:rsidRPr="00B7713E">
        <w:rPr>
          <w:rFonts w:ascii="Arial" w:hAnsi="Arial" w:cs="Arial"/>
          <w:color w:val="000000"/>
          <w:sz w:val="21"/>
          <w:szCs w:val="21"/>
        </w:rPr>
        <w:t>12</w:t>
      </w:r>
      <w:r w:rsidR="00F24EBE" w:rsidRPr="00B7713E">
        <w:rPr>
          <w:rFonts w:ascii="Arial" w:hAnsi="Arial" w:cs="Arial" w:hint="eastAsia"/>
          <w:color w:val="000000"/>
          <w:sz w:val="21"/>
          <w:szCs w:val="21"/>
        </w:rPr>
        <w:t>公里。</w:t>
      </w:r>
    </w:p>
    <w:p w14:paraId="682634EC" w14:textId="01A011A0" w:rsidR="00192B83" w:rsidRDefault="00BC7C87" w:rsidP="00192B83">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建设项目周边</w:t>
      </w:r>
      <w:r w:rsidR="009E389D">
        <w:rPr>
          <w:rFonts w:ascii="Arial" w:hAnsi="Arial" w:cs="Arial" w:hint="eastAsia"/>
          <w:sz w:val="21"/>
          <w:szCs w:val="21"/>
        </w:rPr>
        <w:t>目前正处于发展建设阶段，</w:t>
      </w:r>
      <w:r>
        <w:rPr>
          <w:rFonts w:ascii="Arial" w:hAnsi="Arial" w:cs="Arial" w:hint="eastAsia"/>
          <w:sz w:val="21"/>
          <w:szCs w:val="21"/>
        </w:rPr>
        <w:t>周边空地较多，</w:t>
      </w:r>
      <w:r w:rsidR="00F24EBE">
        <w:rPr>
          <w:rFonts w:ascii="Arial" w:hAnsi="Arial" w:cs="Arial" w:hint="eastAsia"/>
          <w:sz w:val="21"/>
          <w:szCs w:val="21"/>
        </w:rPr>
        <w:t>北侧临近梅钢铁路，据介绍未来有搬迁计划。周边区域</w:t>
      </w:r>
      <w:r>
        <w:rPr>
          <w:rFonts w:ascii="Arial" w:hAnsi="Arial" w:cs="Arial" w:hint="eastAsia"/>
          <w:sz w:val="21"/>
          <w:szCs w:val="21"/>
        </w:rPr>
        <w:t>新建已交付及在建</w:t>
      </w:r>
      <w:r w:rsidR="00F24EBE">
        <w:rPr>
          <w:rFonts w:ascii="Arial" w:hAnsi="Arial" w:cs="Arial" w:hint="eastAsia"/>
          <w:sz w:val="21"/>
          <w:szCs w:val="21"/>
        </w:rPr>
        <w:t>的住宅项目主要集中在本次调研项目以南，未来周边区域主要规划</w:t>
      </w:r>
      <w:r w:rsidR="00F24EBE">
        <w:rPr>
          <w:rFonts w:ascii="Arial" w:hAnsi="Arial" w:cs="Arial" w:hint="eastAsia"/>
          <w:sz w:val="21"/>
          <w:szCs w:val="21"/>
        </w:rPr>
        <w:lastRenderedPageBreak/>
        <w:t>以住宅用地供应为主，配以教育、商服等生活配套，区域</w:t>
      </w:r>
      <w:proofErr w:type="gramStart"/>
      <w:r w:rsidR="00F24EBE">
        <w:rPr>
          <w:rFonts w:ascii="Arial" w:hAnsi="Arial" w:cs="Arial" w:hint="eastAsia"/>
          <w:sz w:val="21"/>
          <w:szCs w:val="21"/>
        </w:rPr>
        <w:t>版块</w:t>
      </w:r>
      <w:proofErr w:type="gramEnd"/>
      <w:r w:rsidR="00F24EBE">
        <w:rPr>
          <w:rFonts w:ascii="Arial" w:hAnsi="Arial" w:cs="Arial" w:hint="eastAsia"/>
          <w:sz w:val="21"/>
          <w:szCs w:val="21"/>
        </w:rPr>
        <w:t>未来整体居住氛围较好。</w:t>
      </w:r>
    </w:p>
    <w:tbl>
      <w:tblPr>
        <w:tblStyle w:val="af0"/>
        <w:tblW w:w="0" w:type="auto"/>
        <w:tblLook w:val="04A0" w:firstRow="1" w:lastRow="0" w:firstColumn="1" w:lastColumn="0" w:noHBand="0" w:noVBand="1"/>
      </w:tblPr>
      <w:tblGrid>
        <w:gridCol w:w="4913"/>
        <w:gridCol w:w="4601"/>
      </w:tblGrid>
      <w:tr w:rsidR="004D5FE5" w14:paraId="216C6CEF" w14:textId="77777777" w:rsidTr="00BC7C87">
        <w:trPr>
          <w:trHeight w:hRule="exact" w:val="397"/>
        </w:trPr>
        <w:tc>
          <w:tcPr>
            <w:tcW w:w="4913" w:type="dxa"/>
            <w:vAlign w:val="center"/>
          </w:tcPr>
          <w:p w14:paraId="2CBB20A9" w14:textId="424B349B" w:rsidR="004D5FE5" w:rsidRPr="004D5FE5" w:rsidRDefault="004D5FE5" w:rsidP="004D5FE5">
            <w:pPr>
              <w:widowControl w:val="0"/>
              <w:adjustRightInd w:val="0"/>
              <w:snapToGrid w:val="0"/>
              <w:jc w:val="both"/>
              <w:rPr>
                <w:rFonts w:ascii="Arial" w:eastAsia="华文细黑" w:hAnsi="Arial" w:cs="Arial"/>
                <w:sz w:val="18"/>
                <w:szCs w:val="18"/>
              </w:rPr>
            </w:pPr>
            <w:r>
              <w:rPr>
                <w:rFonts w:ascii="Arial" w:eastAsia="华文细黑" w:hAnsi="Arial" w:cs="Arial" w:hint="eastAsia"/>
                <w:sz w:val="18"/>
                <w:szCs w:val="18"/>
              </w:rPr>
              <w:t>建设工程规划条件图</w:t>
            </w:r>
          </w:p>
        </w:tc>
        <w:tc>
          <w:tcPr>
            <w:tcW w:w="4601" w:type="dxa"/>
            <w:vAlign w:val="center"/>
          </w:tcPr>
          <w:p w14:paraId="140BBD5E" w14:textId="5C9B5109" w:rsidR="004D5FE5" w:rsidRPr="004D5FE5" w:rsidRDefault="00DE3348" w:rsidP="004D5FE5">
            <w:pPr>
              <w:widowControl w:val="0"/>
              <w:adjustRightInd w:val="0"/>
              <w:snapToGrid w:val="0"/>
              <w:jc w:val="both"/>
              <w:rPr>
                <w:rFonts w:ascii="Arial" w:eastAsia="华文细黑" w:hAnsi="Arial" w:cs="Arial"/>
                <w:sz w:val="18"/>
                <w:szCs w:val="18"/>
              </w:rPr>
            </w:pPr>
            <w:r>
              <w:rPr>
                <w:rFonts w:ascii="Arial" w:eastAsia="华文细黑" w:hAnsi="Arial" w:cs="Arial" w:hint="eastAsia"/>
                <w:sz w:val="18"/>
                <w:szCs w:val="18"/>
              </w:rPr>
              <w:t>规划图</w:t>
            </w:r>
          </w:p>
        </w:tc>
      </w:tr>
      <w:tr w:rsidR="004D5FE5" w14:paraId="3610A951" w14:textId="77777777" w:rsidTr="00BC7C87">
        <w:trPr>
          <w:trHeight w:hRule="exact" w:val="3435"/>
        </w:trPr>
        <w:tc>
          <w:tcPr>
            <w:tcW w:w="4913" w:type="dxa"/>
          </w:tcPr>
          <w:p w14:paraId="579BBFA0" w14:textId="2170D996" w:rsidR="004D5FE5" w:rsidRDefault="004D5FE5" w:rsidP="002F605F">
            <w:pPr>
              <w:widowControl w:val="0"/>
              <w:adjustRightInd w:val="0"/>
              <w:snapToGrid w:val="0"/>
              <w:spacing w:line="480" w:lineRule="auto"/>
              <w:jc w:val="both"/>
              <w:rPr>
                <w:rFonts w:ascii="Arial" w:hAnsi="Arial" w:cs="Arial"/>
                <w:sz w:val="21"/>
                <w:szCs w:val="21"/>
              </w:rPr>
            </w:pPr>
            <w:r>
              <w:rPr>
                <w:rFonts w:ascii="Arial" w:hAnsi="Arial" w:cs="Arial"/>
                <w:noProof/>
                <w:sz w:val="21"/>
                <w:szCs w:val="21"/>
              </w:rPr>
              <w:drawing>
                <wp:inline distT="0" distB="0" distL="0" distR="0" wp14:anchorId="015819AD" wp14:editId="520E4D7F">
                  <wp:extent cx="3007360" cy="2101850"/>
                  <wp:effectExtent l="0" t="0" r="2540" b="0"/>
                  <wp:docPr id="5160" name="图片 5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210610134931.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24390" cy="2113752"/>
                          </a:xfrm>
                          <a:prstGeom prst="rect">
                            <a:avLst/>
                          </a:prstGeom>
                        </pic:spPr>
                      </pic:pic>
                    </a:graphicData>
                  </a:graphic>
                </wp:inline>
              </w:drawing>
            </w:r>
          </w:p>
        </w:tc>
        <w:tc>
          <w:tcPr>
            <w:tcW w:w="4601" w:type="dxa"/>
          </w:tcPr>
          <w:p w14:paraId="0D133CD0" w14:textId="22159FB4" w:rsidR="004D5FE5" w:rsidRDefault="00DE3348" w:rsidP="00DE3348">
            <w:pPr>
              <w:widowControl w:val="0"/>
              <w:adjustRightInd w:val="0"/>
              <w:snapToGrid w:val="0"/>
              <w:spacing w:line="480" w:lineRule="auto"/>
              <w:jc w:val="center"/>
              <w:rPr>
                <w:rFonts w:ascii="Arial" w:hAnsi="Arial" w:cs="Arial"/>
                <w:sz w:val="21"/>
                <w:szCs w:val="21"/>
              </w:rPr>
            </w:pPr>
            <w:r>
              <w:rPr>
                <w:rFonts w:cs="Arial" w:hint="eastAsia"/>
                <w:noProof/>
                <w:color w:val="000000"/>
                <w:sz w:val="21"/>
                <w:szCs w:val="21"/>
              </w:rPr>
              <w:drawing>
                <wp:inline distT="0" distB="0" distL="0" distR="0" wp14:anchorId="329C73FD" wp14:editId="04465E09">
                  <wp:extent cx="2406650" cy="2143915"/>
                  <wp:effectExtent l="0" t="0" r="0" b="889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bmp"/>
                          <pic:cNvPicPr/>
                        </pic:nvPicPr>
                        <pic:blipFill>
                          <a:blip r:embed="rId24">
                            <a:extLst>
                              <a:ext uri="{28A0092B-C50C-407E-A947-70E740481C1C}">
                                <a14:useLocalDpi xmlns:a14="http://schemas.microsoft.com/office/drawing/2010/main" val="0"/>
                              </a:ext>
                            </a:extLst>
                          </a:blip>
                          <a:stretch>
                            <a:fillRect/>
                          </a:stretch>
                        </pic:blipFill>
                        <pic:spPr>
                          <a:xfrm>
                            <a:off x="0" y="0"/>
                            <a:ext cx="2411867" cy="2148562"/>
                          </a:xfrm>
                          <a:prstGeom prst="rect">
                            <a:avLst/>
                          </a:prstGeom>
                        </pic:spPr>
                      </pic:pic>
                    </a:graphicData>
                  </a:graphic>
                </wp:inline>
              </w:drawing>
            </w:r>
          </w:p>
        </w:tc>
      </w:tr>
      <w:tr w:rsidR="004D5FE5" w14:paraId="7EC54003" w14:textId="77777777" w:rsidTr="00BC7C87">
        <w:trPr>
          <w:trHeight w:hRule="exact" w:val="397"/>
        </w:trPr>
        <w:tc>
          <w:tcPr>
            <w:tcW w:w="4913" w:type="dxa"/>
            <w:vAlign w:val="center"/>
          </w:tcPr>
          <w:p w14:paraId="78591FFF" w14:textId="64C77011" w:rsidR="004D5FE5" w:rsidRPr="004D5FE5" w:rsidRDefault="004D5FE5" w:rsidP="004D5FE5">
            <w:pPr>
              <w:widowControl w:val="0"/>
              <w:adjustRightInd w:val="0"/>
              <w:snapToGrid w:val="0"/>
              <w:jc w:val="both"/>
              <w:rPr>
                <w:rFonts w:ascii="Arial" w:eastAsia="华文细黑" w:hAnsi="Arial" w:cs="Arial"/>
                <w:sz w:val="18"/>
                <w:szCs w:val="18"/>
              </w:rPr>
            </w:pPr>
            <w:r w:rsidRPr="004D5FE5">
              <w:rPr>
                <w:rFonts w:ascii="Arial" w:eastAsia="华文细黑" w:hAnsi="Arial" w:cs="Arial" w:hint="eastAsia"/>
                <w:sz w:val="18"/>
                <w:szCs w:val="18"/>
              </w:rPr>
              <w:t>地块</w:t>
            </w:r>
            <w:r w:rsidR="00DE3348">
              <w:rPr>
                <w:rFonts w:ascii="Arial" w:eastAsia="华文细黑" w:hAnsi="Arial" w:cs="Arial" w:hint="eastAsia"/>
                <w:sz w:val="18"/>
                <w:szCs w:val="18"/>
              </w:rPr>
              <w:t>位置图</w:t>
            </w:r>
          </w:p>
        </w:tc>
        <w:tc>
          <w:tcPr>
            <w:tcW w:w="4601" w:type="dxa"/>
            <w:vAlign w:val="center"/>
          </w:tcPr>
          <w:p w14:paraId="0E2D6696" w14:textId="60E10969" w:rsidR="004D5FE5" w:rsidRPr="004D5FE5" w:rsidRDefault="004D5FE5" w:rsidP="004D5FE5">
            <w:pPr>
              <w:widowControl w:val="0"/>
              <w:adjustRightInd w:val="0"/>
              <w:snapToGrid w:val="0"/>
              <w:jc w:val="both"/>
              <w:rPr>
                <w:rFonts w:ascii="Arial" w:eastAsia="华文细黑" w:hAnsi="Arial" w:cs="Arial"/>
                <w:sz w:val="18"/>
                <w:szCs w:val="18"/>
              </w:rPr>
            </w:pPr>
            <w:r w:rsidRPr="004D5FE5">
              <w:rPr>
                <w:rFonts w:ascii="Arial" w:eastAsia="华文细黑" w:hAnsi="Arial" w:cs="Arial" w:hint="eastAsia"/>
                <w:sz w:val="18"/>
                <w:szCs w:val="18"/>
              </w:rPr>
              <w:t>地块</w:t>
            </w:r>
            <w:r w:rsidR="00DE3348">
              <w:rPr>
                <w:rFonts w:ascii="Arial" w:eastAsia="华文细黑" w:hAnsi="Arial" w:cs="Arial" w:hint="eastAsia"/>
                <w:sz w:val="18"/>
                <w:szCs w:val="18"/>
              </w:rPr>
              <w:t>航拍图</w:t>
            </w:r>
          </w:p>
        </w:tc>
      </w:tr>
      <w:tr w:rsidR="004D5FE5" w14:paraId="72048248" w14:textId="77777777" w:rsidTr="00BC7C87">
        <w:trPr>
          <w:trHeight w:hRule="exact" w:val="3119"/>
        </w:trPr>
        <w:tc>
          <w:tcPr>
            <w:tcW w:w="4913" w:type="dxa"/>
          </w:tcPr>
          <w:p w14:paraId="0F832E23" w14:textId="687A978B" w:rsidR="004D5FE5" w:rsidRDefault="00DE3348" w:rsidP="00DE3348">
            <w:pPr>
              <w:widowControl w:val="0"/>
              <w:adjustRightInd w:val="0"/>
              <w:snapToGrid w:val="0"/>
              <w:spacing w:line="480" w:lineRule="auto"/>
              <w:jc w:val="center"/>
              <w:rPr>
                <w:rFonts w:ascii="Arial" w:hAnsi="Arial" w:cs="Arial"/>
                <w:sz w:val="21"/>
                <w:szCs w:val="21"/>
              </w:rPr>
            </w:pPr>
            <w:r>
              <w:rPr>
                <w:noProof/>
              </w:rPr>
              <w:drawing>
                <wp:inline distT="0" distB="0" distL="0" distR="0" wp14:anchorId="42149E2A" wp14:editId="4A4C4C0D">
                  <wp:extent cx="2727205" cy="1915168"/>
                  <wp:effectExtent l="0" t="0" r="0" b="8890"/>
                  <wp:docPr id="5162" name="图片 5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10077"/>
                          <a:stretch/>
                        </pic:blipFill>
                        <pic:spPr bwMode="auto">
                          <a:xfrm>
                            <a:off x="0" y="0"/>
                            <a:ext cx="2727205" cy="1915168"/>
                          </a:xfrm>
                          <a:prstGeom prst="rect">
                            <a:avLst/>
                          </a:prstGeom>
                          <a:ln>
                            <a:noFill/>
                          </a:ln>
                          <a:extLst>
                            <a:ext uri="{53640926-AAD7-44D8-BBD7-CCE9431645EC}">
                              <a14:shadowObscured xmlns:a14="http://schemas.microsoft.com/office/drawing/2010/main"/>
                            </a:ext>
                          </a:extLst>
                        </pic:spPr>
                      </pic:pic>
                    </a:graphicData>
                  </a:graphic>
                </wp:inline>
              </w:drawing>
            </w:r>
          </w:p>
        </w:tc>
        <w:tc>
          <w:tcPr>
            <w:tcW w:w="4601" w:type="dxa"/>
          </w:tcPr>
          <w:p w14:paraId="368D9E73" w14:textId="6D3F64BD" w:rsidR="004D5FE5" w:rsidRDefault="004D5FE5" w:rsidP="002F605F">
            <w:pPr>
              <w:widowControl w:val="0"/>
              <w:adjustRightInd w:val="0"/>
              <w:snapToGrid w:val="0"/>
              <w:spacing w:line="480" w:lineRule="auto"/>
              <w:jc w:val="both"/>
              <w:rPr>
                <w:rFonts w:ascii="Arial" w:hAnsi="Arial" w:cs="Arial"/>
                <w:sz w:val="21"/>
                <w:szCs w:val="21"/>
              </w:rPr>
            </w:pPr>
            <w:r>
              <w:rPr>
                <w:noProof/>
              </w:rPr>
              <w:drawing>
                <wp:inline distT="0" distB="0" distL="0" distR="0" wp14:anchorId="340890AF" wp14:editId="63EBEA6D">
                  <wp:extent cx="2809875" cy="1918335"/>
                  <wp:effectExtent l="0" t="0" r="0" b="5715"/>
                  <wp:docPr id="5166" name="图片 5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r="8115"/>
                          <a:stretch/>
                        </pic:blipFill>
                        <pic:spPr bwMode="auto">
                          <a:xfrm>
                            <a:off x="0" y="0"/>
                            <a:ext cx="2816035" cy="1922541"/>
                          </a:xfrm>
                          <a:prstGeom prst="rect">
                            <a:avLst/>
                          </a:prstGeom>
                          <a:ln>
                            <a:noFill/>
                          </a:ln>
                          <a:extLst>
                            <a:ext uri="{53640926-AAD7-44D8-BBD7-CCE9431645EC}">
                              <a14:shadowObscured xmlns:a14="http://schemas.microsoft.com/office/drawing/2010/main"/>
                            </a:ext>
                          </a:extLst>
                        </pic:spPr>
                      </pic:pic>
                    </a:graphicData>
                  </a:graphic>
                </wp:inline>
              </w:drawing>
            </w:r>
          </w:p>
        </w:tc>
      </w:tr>
    </w:tbl>
    <w:p w14:paraId="4A0EBA2F" w14:textId="2D26F655" w:rsidR="00C172C5" w:rsidRPr="00E05368" w:rsidRDefault="00C172C5" w:rsidP="004D5FE5">
      <w:pPr>
        <w:rPr>
          <w:rFonts w:ascii="Arial" w:hAnsi="Arial" w:cs="Arial"/>
          <w:color w:val="000000"/>
          <w:szCs w:val="21"/>
        </w:rPr>
      </w:pPr>
    </w:p>
    <w:p w14:paraId="236172B5" w14:textId="628DC039" w:rsidR="00C172C5" w:rsidRDefault="00C172C5" w:rsidP="009E1F94">
      <w:pPr>
        <w:jc w:val="center"/>
        <w:rPr>
          <w:rFonts w:ascii="Arial" w:eastAsia="华文细黑" w:hAnsi="Arial" w:cs="Arial"/>
          <w:sz w:val="18"/>
          <w:szCs w:val="18"/>
        </w:rPr>
      </w:pPr>
    </w:p>
    <w:bookmarkEnd w:id="81"/>
    <w:bookmarkEnd w:id="82"/>
    <w:bookmarkEnd w:id="83"/>
    <w:p w14:paraId="39D13BD6" w14:textId="306177DC" w:rsidR="00C172C5" w:rsidRDefault="00C172C5" w:rsidP="00C172C5">
      <w:pPr>
        <w:widowControl w:val="0"/>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3</w:t>
      </w:r>
      <w:r w:rsidRPr="00E05368">
        <w:rPr>
          <w:rFonts w:ascii="Arial" w:hAnsi="Arial" w:cs="Arial" w:hint="eastAsia"/>
          <w:sz w:val="21"/>
          <w:szCs w:val="21"/>
        </w:rPr>
        <w:t>、区域交通情况</w:t>
      </w:r>
    </w:p>
    <w:p w14:paraId="23C4F1C1" w14:textId="58D6FFEB" w:rsidR="00BC7C87" w:rsidRPr="00200D8B" w:rsidRDefault="00BC7C87" w:rsidP="00BC7C87">
      <w:pPr>
        <w:widowControl w:val="0"/>
        <w:adjustRightInd w:val="0"/>
        <w:snapToGrid w:val="0"/>
        <w:spacing w:line="480" w:lineRule="auto"/>
        <w:ind w:firstLineChars="200" w:firstLine="420"/>
        <w:jc w:val="both"/>
        <w:rPr>
          <w:rFonts w:ascii="Arial" w:hAnsi="Arial" w:cs="Arial"/>
          <w:sz w:val="21"/>
          <w:szCs w:val="21"/>
        </w:rPr>
      </w:pPr>
      <w:r w:rsidRPr="00C037B8">
        <w:rPr>
          <w:rFonts w:ascii="Arial" w:hAnsi="Arial" w:cs="Arial" w:hint="eastAsia"/>
          <w:sz w:val="21"/>
          <w:szCs w:val="21"/>
        </w:rPr>
        <w:t>项目地块位于江苏省南京市雨花台区，所在位置</w:t>
      </w:r>
      <w:r w:rsidRPr="00C037B8">
        <w:rPr>
          <w:rFonts w:ascii="Arial" w:hAnsi="Arial" w:cs="Arial"/>
          <w:sz w:val="21"/>
          <w:szCs w:val="21"/>
        </w:rPr>
        <w:t>周边</w:t>
      </w:r>
      <w:r w:rsidRPr="00C037B8">
        <w:rPr>
          <w:rFonts w:cs="Arial" w:hint="eastAsia"/>
          <w:sz w:val="21"/>
          <w:szCs w:val="21"/>
        </w:rPr>
        <w:t>道路系统完备，整体路网环境较好，项目地块</w:t>
      </w:r>
      <w:r w:rsidR="003F4496">
        <w:rPr>
          <w:rFonts w:cs="Arial" w:hint="eastAsia"/>
          <w:sz w:val="21"/>
          <w:szCs w:val="21"/>
        </w:rPr>
        <w:t>东侧紧</w:t>
      </w:r>
      <w:r w:rsidR="003F4496" w:rsidRPr="003F4496">
        <w:rPr>
          <w:rFonts w:cs="Arial" w:hint="eastAsia"/>
          <w:sz w:val="21"/>
          <w:szCs w:val="21"/>
        </w:rPr>
        <w:t>邻</w:t>
      </w:r>
      <w:r w:rsidRPr="003F4496">
        <w:rPr>
          <w:rFonts w:cs="Arial" w:hint="eastAsia"/>
          <w:sz w:val="21"/>
          <w:szCs w:val="21"/>
        </w:rPr>
        <w:t>新湖大道</w:t>
      </w:r>
      <w:r w:rsidR="003F4496" w:rsidRPr="003F4496">
        <w:rPr>
          <w:rFonts w:cs="Arial" w:hint="eastAsia"/>
          <w:sz w:val="21"/>
          <w:szCs w:val="21"/>
        </w:rPr>
        <w:t>，北侧紧邻</w:t>
      </w:r>
      <w:r w:rsidR="003F4496" w:rsidRPr="003F4496">
        <w:rPr>
          <w:rFonts w:cs="Arial" w:hint="eastAsia"/>
          <w:color w:val="000000"/>
          <w:sz w:val="21"/>
          <w:szCs w:val="21"/>
        </w:rPr>
        <w:t>凤集大道</w:t>
      </w:r>
      <w:r w:rsidRPr="003F4496">
        <w:rPr>
          <w:rFonts w:cs="Arial" w:hint="eastAsia"/>
          <w:sz w:val="21"/>
          <w:szCs w:val="21"/>
        </w:rPr>
        <w:t>，</w:t>
      </w:r>
      <w:r w:rsidR="003F4496">
        <w:rPr>
          <w:rFonts w:cs="Arial" w:hint="eastAsia"/>
          <w:sz w:val="21"/>
          <w:szCs w:val="21"/>
        </w:rPr>
        <w:t>西侧及北侧未来均有规划道路，</w:t>
      </w:r>
      <w:r w:rsidRPr="00C037B8">
        <w:rPr>
          <w:rFonts w:ascii="Arial" w:hAnsi="Arial" w:cs="Arial"/>
          <w:sz w:val="21"/>
          <w:szCs w:val="21"/>
        </w:rPr>
        <w:t>交通通达性较好</w:t>
      </w:r>
      <w:r w:rsidR="003F4496">
        <w:rPr>
          <w:rFonts w:ascii="Arial" w:hAnsi="Arial" w:cs="Arial" w:hint="eastAsia"/>
          <w:sz w:val="21"/>
          <w:szCs w:val="21"/>
        </w:rPr>
        <w:t>。建设项目</w:t>
      </w:r>
      <w:r w:rsidRPr="00C037B8">
        <w:rPr>
          <w:rFonts w:ascii="Arial" w:hAnsi="Arial" w:cs="Arial" w:hint="eastAsia"/>
          <w:sz w:val="21"/>
          <w:szCs w:val="21"/>
        </w:rPr>
        <w:t>东侧距离宁</w:t>
      </w:r>
      <w:proofErr w:type="gramStart"/>
      <w:r w:rsidRPr="00C037B8">
        <w:rPr>
          <w:rFonts w:ascii="Arial" w:hAnsi="Arial" w:cs="Arial" w:hint="eastAsia"/>
          <w:sz w:val="21"/>
          <w:szCs w:val="21"/>
        </w:rPr>
        <w:t>芜</w:t>
      </w:r>
      <w:proofErr w:type="gramEnd"/>
      <w:r w:rsidRPr="00C037B8">
        <w:rPr>
          <w:rFonts w:ascii="Arial" w:hAnsi="Arial" w:cs="Arial" w:hint="eastAsia"/>
          <w:sz w:val="21"/>
          <w:szCs w:val="21"/>
        </w:rPr>
        <w:t>高速约</w:t>
      </w:r>
      <w:r w:rsidRPr="00C037B8">
        <w:rPr>
          <w:rFonts w:ascii="Arial" w:hAnsi="Arial" w:cs="Arial" w:hint="eastAsia"/>
          <w:sz w:val="21"/>
          <w:szCs w:val="21"/>
        </w:rPr>
        <w:t>0.5</w:t>
      </w:r>
      <w:r w:rsidRPr="00C037B8">
        <w:rPr>
          <w:rFonts w:ascii="Arial" w:hAnsi="Arial" w:cs="Arial" w:hint="eastAsia"/>
          <w:sz w:val="21"/>
          <w:szCs w:val="21"/>
        </w:rPr>
        <w:t>公里</w:t>
      </w:r>
      <w:r>
        <w:rPr>
          <w:rFonts w:ascii="Arial" w:hAnsi="Arial" w:cs="Arial" w:hint="eastAsia"/>
          <w:sz w:val="21"/>
          <w:szCs w:val="21"/>
        </w:rPr>
        <w:t>，东距南京绕城高速约</w:t>
      </w:r>
      <w:r>
        <w:rPr>
          <w:rFonts w:ascii="Arial" w:hAnsi="Arial" w:cs="Arial" w:hint="eastAsia"/>
          <w:sz w:val="21"/>
          <w:szCs w:val="21"/>
        </w:rPr>
        <w:t>2</w:t>
      </w:r>
      <w:r>
        <w:rPr>
          <w:rFonts w:ascii="Arial" w:hAnsi="Arial" w:cs="Arial" w:hint="eastAsia"/>
          <w:sz w:val="21"/>
          <w:szCs w:val="21"/>
        </w:rPr>
        <w:t>公里，西南</w:t>
      </w:r>
      <w:proofErr w:type="gramStart"/>
      <w:r>
        <w:rPr>
          <w:rFonts w:ascii="Arial" w:hAnsi="Arial" w:cs="Arial" w:hint="eastAsia"/>
          <w:sz w:val="21"/>
          <w:szCs w:val="21"/>
        </w:rPr>
        <w:t>距古雄</w:t>
      </w:r>
      <w:proofErr w:type="gramEnd"/>
      <w:r>
        <w:rPr>
          <w:rFonts w:ascii="Arial" w:hAnsi="Arial" w:cs="Arial" w:hint="eastAsia"/>
          <w:sz w:val="21"/>
          <w:szCs w:val="21"/>
        </w:rPr>
        <w:t>火车站约</w:t>
      </w:r>
      <w:r>
        <w:rPr>
          <w:rFonts w:ascii="Arial" w:hAnsi="Arial" w:cs="Arial" w:hint="eastAsia"/>
          <w:sz w:val="21"/>
          <w:szCs w:val="21"/>
        </w:rPr>
        <w:t>1.2</w:t>
      </w:r>
      <w:r>
        <w:rPr>
          <w:rFonts w:ascii="Arial" w:hAnsi="Arial" w:cs="Arial" w:hint="eastAsia"/>
          <w:sz w:val="21"/>
          <w:szCs w:val="21"/>
        </w:rPr>
        <w:t>公里。</w:t>
      </w:r>
      <w:r w:rsidR="003F4496">
        <w:rPr>
          <w:rFonts w:ascii="Arial" w:hAnsi="Arial" w:cs="Arial" w:hint="eastAsia"/>
          <w:sz w:val="21"/>
          <w:szCs w:val="21"/>
        </w:rPr>
        <w:t>建设项目</w:t>
      </w:r>
      <w:r w:rsidRPr="00AA5374">
        <w:rPr>
          <w:rFonts w:ascii="Arial" w:hAnsi="Arial" w:cs="Arial" w:hint="eastAsia"/>
          <w:sz w:val="21"/>
          <w:szCs w:val="21"/>
        </w:rPr>
        <w:t>距离规划地铁</w:t>
      </w:r>
      <w:r w:rsidRPr="00AA5374">
        <w:rPr>
          <w:rFonts w:ascii="Arial" w:hAnsi="Arial" w:cs="Arial"/>
          <w:sz w:val="21"/>
          <w:szCs w:val="21"/>
        </w:rPr>
        <w:t>S2</w:t>
      </w:r>
      <w:r w:rsidRPr="00AA5374">
        <w:rPr>
          <w:rFonts w:ascii="Arial" w:hAnsi="Arial" w:cs="Arial"/>
          <w:sz w:val="21"/>
          <w:szCs w:val="21"/>
        </w:rPr>
        <w:t>号线（宁马线）板桥北站、规划地铁</w:t>
      </w:r>
      <w:r w:rsidRPr="00AA5374">
        <w:rPr>
          <w:rFonts w:ascii="Arial" w:hAnsi="Arial" w:cs="Arial"/>
          <w:sz w:val="21"/>
          <w:szCs w:val="21"/>
        </w:rPr>
        <w:t>16</w:t>
      </w:r>
      <w:r w:rsidRPr="00AA5374">
        <w:rPr>
          <w:rFonts w:ascii="Arial" w:hAnsi="Arial" w:cs="Arial"/>
          <w:sz w:val="21"/>
          <w:szCs w:val="21"/>
        </w:rPr>
        <w:t>号线华新大街站路程均约</w:t>
      </w:r>
      <w:r w:rsidRPr="00AA5374">
        <w:rPr>
          <w:rFonts w:ascii="Arial" w:hAnsi="Arial" w:cs="Arial"/>
          <w:sz w:val="21"/>
          <w:szCs w:val="21"/>
        </w:rPr>
        <w:t>800</w:t>
      </w:r>
      <w:r w:rsidRPr="00AA5374">
        <w:rPr>
          <w:rFonts w:ascii="Arial" w:hAnsi="Arial" w:cs="Arial"/>
          <w:sz w:val="21"/>
          <w:szCs w:val="21"/>
        </w:rPr>
        <w:t>米</w:t>
      </w:r>
      <w:r w:rsidR="003F4496">
        <w:rPr>
          <w:rFonts w:ascii="Arial" w:hAnsi="Arial" w:cs="Arial" w:hint="eastAsia"/>
          <w:sz w:val="21"/>
          <w:szCs w:val="21"/>
        </w:rPr>
        <w:t>，区域未来整体交通便捷度较好。</w:t>
      </w:r>
    </w:p>
    <w:p w14:paraId="41C43DB7" w14:textId="20805D7D" w:rsidR="00200D8B" w:rsidRDefault="00200D8B" w:rsidP="00720CAE">
      <w:pPr>
        <w:widowControl w:val="0"/>
        <w:adjustRightInd w:val="0"/>
        <w:snapToGrid w:val="0"/>
        <w:spacing w:line="480" w:lineRule="auto"/>
        <w:jc w:val="center"/>
        <w:rPr>
          <w:rFonts w:ascii="Arial" w:hAnsi="Arial" w:cs="Arial"/>
          <w:sz w:val="21"/>
          <w:szCs w:val="21"/>
        </w:rPr>
      </w:pPr>
      <w:r>
        <w:rPr>
          <w:noProof/>
        </w:rPr>
        <w:lastRenderedPageBreak/>
        <w:drawing>
          <wp:inline distT="0" distB="0" distL="0" distR="0" wp14:anchorId="778F4D3D" wp14:editId="4F930C47">
            <wp:extent cx="5486400" cy="3106420"/>
            <wp:effectExtent l="0" t="0" r="0" b="0"/>
            <wp:docPr id="5169" name="图片 5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486400" cy="3106420"/>
                    </a:xfrm>
                    <a:prstGeom prst="rect">
                      <a:avLst/>
                    </a:prstGeom>
                  </pic:spPr>
                </pic:pic>
              </a:graphicData>
            </a:graphic>
          </wp:inline>
        </w:drawing>
      </w:r>
    </w:p>
    <w:p w14:paraId="42F084E0" w14:textId="7A0137EF" w:rsidR="00C172C5" w:rsidRDefault="00C172C5" w:rsidP="00C172C5">
      <w:pPr>
        <w:widowControl w:val="0"/>
        <w:adjustRightInd w:val="0"/>
        <w:snapToGrid w:val="0"/>
        <w:spacing w:line="480" w:lineRule="auto"/>
        <w:ind w:firstLineChars="200" w:firstLine="420"/>
        <w:jc w:val="both"/>
        <w:rPr>
          <w:rFonts w:ascii="Arial" w:hAnsi="Arial" w:cs="Arial"/>
          <w:sz w:val="21"/>
          <w:szCs w:val="21"/>
        </w:rPr>
      </w:pPr>
      <w:r w:rsidRPr="00E05368">
        <w:rPr>
          <w:rFonts w:ascii="Arial" w:hAnsi="Arial" w:cs="Arial" w:hint="eastAsia"/>
          <w:sz w:val="21"/>
          <w:szCs w:val="21"/>
        </w:rPr>
        <w:t>4</w:t>
      </w:r>
      <w:r w:rsidRPr="00E05368">
        <w:rPr>
          <w:rFonts w:ascii="Arial" w:hAnsi="Arial" w:cs="Arial" w:hint="eastAsia"/>
          <w:sz w:val="21"/>
          <w:szCs w:val="21"/>
        </w:rPr>
        <w:t>、区域配套情况</w:t>
      </w:r>
    </w:p>
    <w:p w14:paraId="062FFAC6" w14:textId="77777777" w:rsidR="003F4496" w:rsidRPr="000525F8" w:rsidRDefault="003F4496" w:rsidP="003F4496">
      <w:pPr>
        <w:widowControl w:val="0"/>
        <w:adjustRightInd w:val="0"/>
        <w:snapToGrid w:val="0"/>
        <w:spacing w:line="480" w:lineRule="auto"/>
        <w:ind w:firstLineChars="200" w:firstLine="420"/>
        <w:jc w:val="both"/>
        <w:rPr>
          <w:rFonts w:ascii="Arial" w:hAnsi="Arial" w:cs="Arial"/>
          <w:sz w:val="21"/>
          <w:szCs w:val="21"/>
        </w:rPr>
      </w:pPr>
      <w:r w:rsidRPr="0042704D">
        <w:rPr>
          <w:rFonts w:cs="Arial" w:hint="eastAsia"/>
          <w:color w:val="000000"/>
          <w:sz w:val="21"/>
          <w:szCs w:val="21"/>
        </w:rPr>
        <w:t>商业：</w:t>
      </w:r>
      <w:r w:rsidRPr="00AA5374">
        <w:rPr>
          <w:rFonts w:cs="Arial" w:hint="eastAsia"/>
          <w:color w:val="000000"/>
          <w:sz w:val="21"/>
          <w:szCs w:val="21"/>
        </w:rPr>
        <w:t>临近周边主要商业配套，距富力星光里</w:t>
      </w:r>
      <w:r w:rsidRPr="000525F8">
        <w:rPr>
          <w:rFonts w:ascii="Arial" w:hAnsi="Arial" w:cs="Arial" w:hint="eastAsia"/>
          <w:sz w:val="21"/>
          <w:szCs w:val="21"/>
        </w:rPr>
        <w:t>仅</w:t>
      </w:r>
      <w:r w:rsidRPr="000525F8">
        <w:rPr>
          <w:rFonts w:ascii="Arial" w:hAnsi="Arial" w:cs="Arial"/>
          <w:sz w:val="21"/>
          <w:szCs w:val="21"/>
        </w:rPr>
        <w:t>500</w:t>
      </w:r>
      <w:r w:rsidRPr="000525F8">
        <w:rPr>
          <w:rFonts w:ascii="Arial" w:hAnsi="Arial" w:cs="Arial"/>
          <w:sz w:val="21"/>
          <w:szCs w:val="21"/>
        </w:rPr>
        <w:t>米，距花样年</w:t>
      </w:r>
      <w:r w:rsidRPr="000525F8">
        <w:rPr>
          <w:rFonts w:ascii="Arial" w:hAnsi="Arial" w:cs="Arial" w:hint="eastAsia"/>
          <w:sz w:val="21"/>
          <w:szCs w:val="21"/>
        </w:rPr>
        <w:t>·</w:t>
      </w:r>
      <w:r w:rsidRPr="000525F8">
        <w:rPr>
          <w:rFonts w:ascii="Arial" w:hAnsi="Arial" w:cs="Arial"/>
          <w:sz w:val="21"/>
          <w:szCs w:val="21"/>
        </w:rPr>
        <w:t>花生</w:t>
      </w:r>
      <w:proofErr w:type="gramStart"/>
      <w:r w:rsidRPr="000525F8">
        <w:rPr>
          <w:rFonts w:ascii="Arial" w:hAnsi="Arial" w:cs="Arial"/>
          <w:sz w:val="21"/>
          <w:szCs w:val="21"/>
        </w:rPr>
        <w:t>唐中心</w:t>
      </w:r>
      <w:proofErr w:type="gramEnd"/>
      <w:r w:rsidRPr="000525F8">
        <w:rPr>
          <w:rFonts w:ascii="Arial" w:hAnsi="Arial" w:cs="Arial"/>
          <w:sz w:val="21"/>
          <w:szCs w:val="21"/>
        </w:rPr>
        <w:t>约</w:t>
      </w:r>
      <w:r w:rsidRPr="000525F8">
        <w:rPr>
          <w:rFonts w:ascii="Arial" w:hAnsi="Arial" w:cs="Arial"/>
          <w:sz w:val="21"/>
          <w:szCs w:val="21"/>
        </w:rPr>
        <w:t>2</w:t>
      </w:r>
      <w:r w:rsidRPr="000525F8">
        <w:rPr>
          <w:rFonts w:ascii="Arial" w:hAnsi="Arial" w:cs="Arial"/>
          <w:sz w:val="21"/>
          <w:szCs w:val="21"/>
        </w:rPr>
        <w:t>公里</w:t>
      </w:r>
      <w:r w:rsidRPr="000525F8">
        <w:rPr>
          <w:rFonts w:ascii="Arial" w:hAnsi="Arial" w:cs="Arial" w:hint="eastAsia"/>
          <w:sz w:val="21"/>
          <w:szCs w:val="21"/>
        </w:rPr>
        <w:t>；</w:t>
      </w:r>
    </w:p>
    <w:p w14:paraId="79B4354C" w14:textId="77777777" w:rsidR="003F4496" w:rsidRPr="000525F8" w:rsidRDefault="003F4496" w:rsidP="003F4496">
      <w:pPr>
        <w:widowControl w:val="0"/>
        <w:adjustRightInd w:val="0"/>
        <w:snapToGrid w:val="0"/>
        <w:spacing w:line="480" w:lineRule="auto"/>
        <w:ind w:firstLineChars="200" w:firstLine="420"/>
        <w:jc w:val="both"/>
        <w:rPr>
          <w:rFonts w:ascii="Arial" w:hAnsi="Arial" w:cs="Arial"/>
          <w:sz w:val="21"/>
          <w:szCs w:val="21"/>
        </w:rPr>
      </w:pPr>
      <w:r w:rsidRPr="000525F8">
        <w:rPr>
          <w:rFonts w:ascii="Arial" w:hAnsi="Arial" w:cs="Arial" w:hint="eastAsia"/>
          <w:sz w:val="21"/>
          <w:szCs w:val="21"/>
        </w:rPr>
        <w:t>教育：项目南侧即为规划教育用地，包括小学及幼儿园用地；周边目前现有金陵华兴实验学校、南京市板桥中学、板桥小学等；</w:t>
      </w:r>
    </w:p>
    <w:p w14:paraId="116DADBB" w14:textId="77777777" w:rsidR="003F4496" w:rsidRPr="000525F8" w:rsidRDefault="003F4496" w:rsidP="003F4496">
      <w:pPr>
        <w:widowControl w:val="0"/>
        <w:adjustRightInd w:val="0"/>
        <w:snapToGrid w:val="0"/>
        <w:spacing w:line="480" w:lineRule="auto"/>
        <w:ind w:firstLineChars="200" w:firstLine="420"/>
        <w:jc w:val="both"/>
        <w:rPr>
          <w:rFonts w:ascii="Arial" w:hAnsi="Arial" w:cs="Arial"/>
          <w:sz w:val="21"/>
          <w:szCs w:val="21"/>
        </w:rPr>
      </w:pPr>
      <w:r w:rsidRPr="000525F8">
        <w:rPr>
          <w:rFonts w:ascii="Arial" w:hAnsi="Arial" w:cs="Arial" w:hint="eastAsia"/>
          <w:sz w:val="21"/>
          <w:szCs w:val="21"/>
        </w:rPr>
        <w:t>医疗：项目周边建有南京市雨花医院，距离河西儿童医院约</w:t>
      </w:r>
      <w:r w:rsidRPr="000525F8">
        <w:rPr>
          <w:rFonts w:ascii="Arial" w:hAnsi="Arial" w:cs="Arial"/>
          <w:sz w:val="21"/>
          <w:szCs w:val="21"/>
        </w:rPr>
        <w:t>7</w:t>
      </w:r>
      <w:r w:rsidRPr="000525F8">
        <w:rPr>
          <w:rFonts w:ascii="Arial" w:hAnsi="Arial" w:cs="Arial"/>
          <w:sz w:val="21"/>
          <w:szCs w:val="21"/>
        </w:rPr>
        <w:t>公里，</w:t>
      </w:r>
      <w:proofErr w:type="gramStart"/>
      <w:r w:rsidRPr="000525F8">
        <w:rPr>
          <w:rFonts w:ascii="Arial" w:hAnsi="Arial" w:cs="Arial"/>
          <w:sz w:val="21"/>
          <w:szCs w:val="21"/>
        </w:rPr>
        <w:t>河西明基医院约</w:t>
      </w:r>
      <w:proofErr w:type="gramEnd"/>
      <w:r w:rsidRPr="000525F8">
        <w:rPr>
          <w:rFonts w:ascii="Arial" w:hAnsi="Arial" w:cs="Arial"/>
          <w:sz w:val="21"/>
          <w:szCs w:val="21"/>
        </w:rPr>
        <w:t>8</w:t>
      </w:r>
      <w:r w:rsidRPr="000525F8">
        <w:rPr>
          <w:rFonts w:ascii="Arial" w:hAnsi="Arial" w:cs="Arial"/>
          <w:sz w:val="21"/>
          <w:szCs w:val="21"/>
        </w:rPr>
        <w:t>公里</w:t>
      </w:r>
      <w:r w:rsidRPr="000525F8">
        <w:rPr>
          <w:rFonts w:ascii="Arial" w:hAnsi="Arial" w:cs="Arial" w:hint="eastAsia"/>
          <w:sz w:val="21"/>
          <w:szCs w:val="21"/>
        </w:rPr>
        <w:t>；</w:t>
      </w:r>
    </w:p>
    <w:p w14:paraId="1BCBB4CD" w14:textId="41897CEB" w:rsidR="003F4496" w:rsidRPr="003F4496" w:rsidRDefault="003F4496" w:rsidP="00C172C5">
      <w:pPr>
        <w:widowControl w:val="0"/>
        <w:adjustRightInd w:val="0"/>
        <w:snapToGrid w:val="0"/>
        <w:spacing w:line="480" w:lineRule="auto"/>
        <w:ind w:firstLineChars="200" w:firstLine="420"/>
        <w:jc w:val="both"/>
        <w:rPr>
          <w:rFonts w:ascii="Arial" w:hAnsi="Arial" w:cs="Arial"/>
          <w:sz w:val="21"/>
          <w:szCs w:val="21"/>
        </w:rPr>
      </w:pPr>
      <w:r w:rsidRPr="000525F8">
        <w:rPr>
          <w:rFonts w:ascii="Arial" w:hAnsi="Arial" w:cs="Arial" w:hint="eastAsia"/>
          <w:sz w:val="21"/>
          <w:szCs w:val="21"/>
        </w:rPr>
        <w:t>景观及人文</w:t>
      </w:r>
      <w:r w:rsidRPr="00816281">
        <w:rPr>
          <w:rFonts w:ascii="Arial" w:hAnsi="Arial" w:cs="Arial" w:hint="eastAsia"/>
          <w:sz w:val="21"/>
          <w:szCs w:val="21"/>
        </w:rPr>
        <w:t>资源：项目周边有金地体育公园、十四所体育馆等人文设施；西南距莲花湖公园约</w:t>
      </w:r>
      <w:r w:rsidRPr="00816281">
        <w:rPr>
          <w:rFonts w:ascii="Arial" w:hAnsi="Arial" w:cs="Arial" w:hint="eastAsia"/>
          <w:sz w:val="21"/>
          <w:szCs w:val="21"/>
        </w:rPr>
        <w:t>1.8</w:t>
      </w:r>
      <w:r w:rsidRPr="00816281">
        <w:rPr>
          <w:rFonts w:ascii="Arial" w:hAnsi="Arial" w:cs="Arial" w:hint="eastAsia"/>
          <w:sz w:val="21"/>
          <w:szCs w:val="21"/>
        </w:rPr>
        <w:t>公里、东距牛首山文化旅游区直线距离约</w:t>
      </w:r>
      <w:r w:rsidRPr="00816281">
        <w:rPr>
          <w:rFonts w:ascii="Arial" w:hAnsi="Arial" w:cs="Arial" w:hint="eastAsia"/>
          <w:sz w:val="21"/>
          <w:szCs w:val="21"/>
        </w:rPr>
        <w:t>5</w:t>
      </w:r>
      <w:r w:rsidRPr="00816281">
        <w:rPr>
          <w:rFonts w:ascii="Arial" w:hAnsi="Arial" w:cs="Arial" w:hint="eastAsia"/>
          <w:sz w:val="21"/>
          <w:szCs w:val="21"/>
        </w:rPr>
        <w:t>公里、西距长江直线距离约</w:t>
      </w:r>
      <w:r w:rsidRPr="00816281">
        <w:rPr>
          <w:rFonts w:ascii="Arial" w:hAnsi="Arial" w:cs="Arial" w:hint="eastAsia"/>
          <w:sz w:val="21"/>
          <w:szCs w:val="21"/>
        </w:rPr>
        <w:t>4.5</w:t>
      </w:r>
      <w:r w:rsidRPr="00816281">
        <w:rPr>
          <w:rFonts w:ascii="Arial" w:hAnsi="Arial" w:cs="Arial" w:hint="eastAsia"/>
          <w:sz w:val="21"/>
          <w:szCs w:val="21"/>
        </w:rPr>
        <w:t>公里，人文及自然景观资源一般</w:t>
      </w:r>
      <w:r w:rsidRPr="000525F8">
        <w:rPr>
          <w:rFonts w:ascii="Arial" w:hAnsi="Arial" w:cs="Arial" w:hint="eastAsia"/>
          <w:sz w:val="21"/>
          <w:szCs w:val="21"/>
        </w:rPr>
        <w:t>。</w:t>
      </w:r>
    </w:p>
    <w:p w14:paraId="500F6DBC" w14:textId="2DBC9C20" w:rsidR="00C037B8" w:rsidRPr="00E05368" w:rsidRDefault="00C037B8" w:rsidP="00C037B8">
      <w:pPr>
        <w:widowControl w:val="0"/>
        <w:adjustRightInd w:val="0"/>
        <w:snapToGrid w:val="0"/>
        <w:spacing w:line="480" w:lineRule="auto"/>
        <w:jc w:val="center"/>
        <w:rPr>
          <w:rFonts w:ascii="Arial" w:hAnsi="Arial" w:cs="Arial"/>
          <w:sz w:val="21"/>
          <w:szCs w:val="21"/>
        </w:rPr>
      </w:pPr>
      <w:r>
        <w:rPr>
          <w:rFonts w:ascii="Arial" w:hAnsi="Arial" w:cs="Arial"/>
          <w:noProof/>
          <w:sz w:val="21"/>
          <w:szCs w:val="21"/>
        </w:rPr>
        <w:lastRenderedPageBreak/>
        <w:drawing>
          <wp:inline distT="0" distB="0" distL="0" distR="0" wp14:anchorId="37BE4D6B" wp14:editId="58986514">
            <wp:extent cx="4564802" cy="2980032"/>
            <wp:effectExtent l="0" t="0" r="7620" b="0"/>
            <wp:docPr id="5168" name="图片 5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bmp"/>
                    <pic:cNvPicPr/>
                  </pic:nvPicPr>
                  <pic:blipFill>
                    <a:blip r:embed="rId28">
                      <a:extLst>
                        <a:ext uri="{28A0092B-C50C-407E-A947-70E740481C1C}">
                          <a14:useLocalDpi xmlns:a14="http://schemas.microsoft.com/office/drawing/2010/main" val="0"/>
                        </a:ext>
                      </a:extLst>
                    </a:blip>
                    <a:stretch>
                      <a:fillRect/>
                    </a:stretch>
                  </pic:blipFill>
                  <pic:spPr>
                    <a:xfrm>
                      <a:off x="0" y="0"/>
                      <a:ext cx="4569994" cy="2983422"/>
                    </a:xfrm>
                    <a:prstGeom prst="rect">
                      <a:avLst/>
                    </a:prstGeom>
                  </pic:spPr>
                </pic:pic>
              </a:graphicData>
            </a:graphic>
          </wp:inline>
        </w:drawing>
      </w:r>
    </w:p>
    <w:p w14:paraId="67CA4298" w14:textId="77777777" w:rsidR="00E03EB1" w:rsidRPr="00E05368" w:rsidRDefault="00E03EB1" w:rsidP="00E03EB1">
      <w:pPr>
        <w:pStyle w:val="2"/>
        <w:spacing w:before="0" w:after="0" w:line="480" w:lineRule="auto"/>
        <w:ind w:firstLineChars="98" w:firstLine="207"/>
        <w:rPr>
          <w:rFonts w:eastAsia="宋体" w:cs="Arial"/>
          <w:sz w:val="21"/>
          <w:szCs w:val="21"/>
        </w:rPr>
      </w:pPr>
      <w:bookmarkStart w:id="87" w:name="_Toc74250062"/>
      <w:bookmarkStart w:id="88" w:name="_Toc74662892"/>
      <w:r w:rsidRPr="00E7659B">
        <w:rPr>
          <w:rFonts w:eastAsia="宋体" w:cs="Arial"/>
          <w:sz w:val="21"/>
          <w:szCs w:val="21"/>
        </w:rPr>
        <w:t>（二）项目建设规模及</w:t>
      </w:r>
      <w:bookmarkEnd w:id="84"/>
      <w:bookmarkEnd w:id="85"/>
      <w:bookmarkEnd w:id="86"/>
      <w:r w:rsidRPr="00E7659B">
        <w:rPr>
          <w:rFonts w:eastAsia="宋体" w:cs="Arial"/>
          <w:sz w:val="21"/>
          <w:szCs w:val="21"/>
        </w:rPr>
        <w:t>建造标准</w:t>
      </w:r>
      <w:bookmarkEnd w:id="87"/>
      <w:bookmarkEnd w:id="88"/>
    </w:p>
    <w:p w14:paraId="5569B236" w14:textId="77777777" w:rsidR="00E03EB1" w:rsidRPr="00E05368" w:rsidRDefault="00E03EB1" w:rsidP="00E03EB1">
      <w:pPr>
        <w:adjustRightInd w:val="0"/>
        <w:snapToGrid w:val="0"/>
        <w:spacing w:line="480" w:lineRule="auto"/>
        <w:ind w:firstLineChars="200" w:firstLine="420"/>
        <w:jc w:val="both"/>
        <w:rPr>
          <w:rFonts w:ascii="Arial" w:hAnsi="Arial" w:cs="Arial"/>
          <w:color w:val="000000"/>
          <w:sz w:val="21"/>
          <w:szCs w:val="21"/>
        </w:rPr>
      </w:pPr>
      <w:bookmarkStart w:id="89" w:name="_Toc109118446"/>
      <w:bookmarkStart w:id="90" w:name="_Toc109119048"/>
      <w:bookmarkStart w:id="91" w:name="_Toc109122453"/>
      <w:r w:rsidRPr="00E05368">
        <w:rPr>
          <w:rFonts w:ascii="Arial" w:hAnsi="Arial" w:cs="Arial"/>
          <w:color w:val="000000"/>
          <w:sz w:val="21"/>
          <w:szCs w:val="21"/>
        </w:rPr>
        <w:t>1</w:t>
      </w:r>
      <w:r w:rsidRPr="00E05368">
        <w:rPr>
          <w:rFonts w:ascii="Arial" w:hAnsi="Arial" w:cs="Arial"/>
          <w:color w:val="000000"/>
          <w:sz w:val="21"/>
          <w:szCs w:val="21"/>
        </w:rPr>
        <w:t>、</w:t>
      </w:r>
      <w:bookmarkEnd w:id="89"/>
      <w:bookmarkEnd w:id="90"/>
      <w:bookmarkEnd w:id="91"/>
      <w:r w:rsidRPr="00E05368">
        <w:rPr>
          <w:rFonts w:ascii="Arial" w:hAnsi="Arial" w:cs="Arial"/>
          <w:color w:val="000000"/>
          <w:sz w:val="21"/>
          <w:szCs w:val="21"/>
        </w:rPr>
        <w:t>项目概况</w:t>
      </w:r>
    </w:p>
    <w:p w14:paraId="6BF8FBF0" w14:textId="140D272E" w:rsidR="007E742E" w:rsidRPr="00FB16C3" w:rsidRDefault="0023794B" w:rsidP="00FB16C3">
      <w:pPr>
        <w:widowControl w:val="0"/>
        <w:adjustRightInd w:val="0"/>
        <w:snapToGrid w:val="0"/>
        <w:spacing w:line="480" w:lineRule="auto"/>
        <w:ind w:firstLineChars="200" w:firstLine="420"/>
        <w:jc w:val="both"/>
        <w:rPr>
          <w:rFonts w:ascii="Arial" w:hAnsi="Arial" w:cs="Arial"/>
          <w:color w:val="000000"/>
          <w:sz w:val="21"/>
          <w:szCs w:val="21"/>
        </w:rPr>
      </w:pPr>
      <w:r w:rsidRPr="00FB16C3">
        <w:rPr>
          <w:rFonts w:ascii="Arial" w:hAnsi="Arial" w:cs="Arial"/>
          <w:color w:val="000000"/>
          <w:sz w:val="21"/>
          <w:szCs w:val="21"/>
        </w:rPr>
        <w:t>建设</w:t>
      </w:r>
      <w:r w:rsidR="007E742E" w:rsidRPr="00FB16C3">
        <w:rPr>
          <w:rFonts w:ascii="Arial" w:hAnsi="Arial" w:cs="Arial"/>
          <w:color w:val="000000"/>
          <w:sz w:val="21"/>
          <w:szCs w:val="21"/>
        </w:rPr>
        <w:t>项目</w:t>
      </w:r>
      <w:r w:rsidRPr="00FB16C3">
        <w:rPr>
          <w:rFonts w:ascii="Arial" w:hAnsi="Arial" w:cs="Arial"/>
          <w:color w:val="000000"/>
          <w:sz w:val="21"/>
          <w:szCs w:val="21"/>
        </w:rPr>
        <w:t>位于</w:t>
      </w:r>
      <w:r w:rsidR="007E742E" w:rsidRPr="00FB16C3">
        <w:rPr>
          <w:rFonts w:ascii="Arial" w:hAnsi="Arial" w:cs="Arial"/>
          <w:color w:val="000000"/>
          <w:sz w:val="21"/>
          <w:szCs w:val="21"/>
        </w:rPr>
        <w:t>雨花台区凤集大道以南、新湖大道以西</w:t>
      </w:r>
      <w:r w:rsidR="00D84F6D" w:rsidRPr="00FB16C3">
        <w:rPr>
          <w:rFonts w:ascii="Arial" w:hAnsi="Arial" w:cs="Arial"/>
          <w:color w:val="000000"/>
          <w:sz w:val="21"/>
          <w:szCs w:val="21"/>
        </w:rPr>
        <w:t>。根据建设单位</w:t>
      </w:r>
      <w:r w:rsidRPr="00FB16C3">
        <w:rPr>
          <w:rFonts w:ascii="Arial" w:hAnsi="Arial" w:cs="Arial"/>
          <w:color w:val="000000"/>
          <w:sz w:val="21"/>
          <w:szCs w:val="21"/>
        </w:rPr>
        <w:t>提供的资料</w:t>
      </w:r>
      <w:r w:rsidR="00D84F6D" w:rsidRPr="00FB16C3">
        <w:rPr>
          <w:rFonts w:ascii="Arial" w:hAnsi="Arial" w:cs="Arial"/>
          <w:color w:val="000000"/>
          <w:sz w:val="21"/>
          <w:szCs w:val="21"/>
        </w:rPr>
        <w:t>，该项目土地用途为居住用地，</w:t>
      </w:r>
      <w:r w:rsidR="00816281" w:rsidRPr="00FB16C3">
        <w:rPr>
          <w:rFonts w:ascii="Arial" w:hAnsi="Arial" w:cs="Arial"/>
          <w:color w:val="000000"/>
          <w:sz w:val="21"/>
          <w:szCs w:val="21"/>
        </w:rPr>
        <w:t>土地面积</w:t>
      </w:r>
      <w:r w:rsidR="00816281" w:rsidRPr="00FB16C3">
        <w:rPr>
          <w:rFonts w:ascii="Arial" w:hAnsi="Arial" w:cs="Arial"/>
          <w:color w:val="000000"/>
          <w:sz w:val="21"/>
          <w:szCs w:val="21"/>
        </w:rPr>
        <w:t>59471</w:t>
      </w:r>
      <w:r w:rsidR="00D542B1" w:rsidRPr="00FB16C3">
        <w:rPr>
          <w:rFonts w:ascii="Arial" w:hAnsi="Arial" w:cs="Arial"/>
          <w:color w:val="000000"/>
          <w:sz w:val="21"/>
          <w:szCs w:val="21"/>
        </w:rPr>
        <w:t>.42</w:t>
      </w:r>
      <w:r w:rsidR="00816281" w:rsidRPr="00FB16C3">
        <w:rPr>
          <w:rFonts w:ascii="Arial" w:hAnsi="Arial" w:cs="Arial"/>
          <w:color w:val="000000"/>
          <w:sz w:val="21"/>
          <w:szCs w:val="21"/>
        </w:rPr>
        <w:t>平米，</w:t>
      </w:r>
      <w:r w:rsidRPr="00FB16C3">
        <w:rPr>
          <w:rFonts w:ascii="Arial" w:hAnsi="Arial" w:cs="Arial"/>
          <w:color w:val="000000"/>
          <w:sz w:val="21"/>
          <w:szCs w:val="21"/>
        </w:rPr>
        <w:t>项目总建筑规模</w:t>
      </w:r>
      <w:r w:rsidRPr="00FB16C3">
        <w:rPr>
          <w:rFonts w:ascii="Arial" w:hAnsi="Arial" w:cs="Arial"/>
          <w:color w:val="000000"/>
          <w:sz w:val="21"/>
          <w:szCs w:val="21"/>
        </w:rPr>
        <w:t>208085</w:t>
      </w:r>
      <w:r w:rsidRPr="00FB16C3">
        <w:rPr>
          <w:rFonts w:ascii="Arial" w:hAnsi="Arial" w:cs="Arial"/>
          <w:color w:val="000000"/>
          <w:sz w:val="21"/>
          <w:szCs w:val="21"/>
        </w:rPr>
        <w:t>平方米，</w:t>
      </w:r>
      <w:r w:rsidR="007E742E" w:rsidRPr="00FB16C3">
        <w:rPr>
          <w:rFonts w:ascii="Arial" w:hAnsi="Arial" w:cs="Arial"/>
          <w:color w:val="000000"/>
          <w:sz w:val="21"/>
          <w:szCs w:val="21"/>
        </w:rPr>
        <w:t>容积率为不超过</w:t>
      </w:r>
      <w:r w:rsidR="007E742E" w:rsidRPr="00FB16C3">
        <w:rPr>
          <w:rFonts w:ascii="Arial" w:hAnsi="Arial" w:cs="Arial"/>
          <w:color w:val="000000"/>
          <w:sz w:val="21"/>
          <w:szCs w:val="21"/>
        </w:rPr>
        <w:t>2.6</w:t>
      </w:r>
      <w:r w:rsidR="007E742E" w:rsidRPr="00FB16C3">
        <w:rPr>
          <w:rFonts w:ascii="Arial" w:hAnsi="Arial" w:cs="Arial"/>
          <w:color w:val="000000"/>
          <w:sz w:val="21"/>
          <w:szCs w:val="21"/>
        </w:rPr>
        <w:t>，绿</w:t>
      </w:r>
      <w:r w:rsidRPr="00FB16C3">
        <w:rPr>
          <w:rFonts w:ascii="Arial" w:hAnsi="Arial" w:cs="Arial"/>
          <w:color w:val="000000"/>
          <w:sz w:val="21"/>
          <w:szCs w:val="21"/>
        </w:rPr>
        <w:t>化</w:t>
      </w:r>
      <w:r w:rsidR="007E742E" w:rsidRPr="00FB16C3">
        <w:rPr>
          <w:rFonts w:ascii="Arial" w:hAnsi="Arial" w:cs="Arial"/>
          <w:color w:val="000000"/>
          <w:sz w:val="21"/>
          <w:szCs w:val="21"/>
        </w:rPr>
        <w:t>率要求大于</w:t>
      </w:r>
      <w:r w:rsidR="007E742E" w:rsidRPr="00FB16C3">
        <w:rPr>
          <w:rFonts w:ascii="Arial" w:hAnsi="Arial" w:cs="Arial"/>
          <w:color w:val="000000"/>
          <w:sz w:val="21"/>
          <w:szCs w:val="21"/>
        </w:rPr>
        <w:t>30%</w:t>
      </w:r>
      <w:r w:rsidR="007E742E" w:rsidRPr="00FB16C3">
        <w:rPr>
          <w:rFonts w:ascii="Arial" w:hAnsi="Arial" w:cs="Arial"/>
          <w:color w:val="000000"/>
          <w:sz w:val="21"/>
          <w:szCs w:val="21"/>
        </w:rPr>
        <w:t>，建筑密度小于</w:t>
      </w:r>
      <w:r w:rsidR="007E742E" w:rsidRPr="00FB16C3">
        <w:rPr>
          <w:rFonts w:ascii="Arial" w:hAnsi="Arial" w:cs="Arial"/>
          <w:color w:val="000000"/>
          <w:sz w:val="21"/>
          <w:szCs w:val="21"/>
        </w:rPr>
        <w:t>20%</w:t>
      </w:r>
      <w:r w:rsidRPr="00FB16C3">
        <w:rPr>
          <w:rFonts w:ascii="Arial" w:hAnsi="Arial" w:cs="Arial"/>
          <w:color w:val="000000"/>
          <w:sz w:val="21"/>
          <w:szCs w:val="21"/>
        </w:rPr>
        <w:t>，建筑限高不超过</w:t>
      </w:r>
      <w:r w:rsidRPr="00FB16C3">
        <w:rPr>
          <w:rFonts w:ascii="Arial" w:hAnsi="Arial" w:cs="Arial"/>
          <w:color w:val="000000"/>
          <w:sz w:val="21"/>
          <w:szCs w:val="21"/>
        </w:rPr>
        <w:t>100</w:t>
      </w:r>
      <w:r w:rsidRPr="00FB16C3">
        <w:rPr>
          <w:rFonts w:ascii="Arial" w:hAnsi="Arial" w:cs="Arial"/>
          <w:color w:val="000000"/>
          <w:sz w:val="21"/>
          <w:szCs w:val="21"/>
        </w:rPr>
        <w:t>米</w:t>
      </w:r>
      <w:r w:rsidR="00FB16C3">
        <w:rPr>
          <w:rFonts w:ascii="Arial" w:hAnsi="Arial" w:cs="Arial" w:hint="eastAsia"/>
          <w:color w:val="000000"/>
          <w:sz w:val="21"/>
          <w:szCs w:val="21"/>
        </w:rPr>
        <w:t>，</w:t>
      </w:r>
      <w:r w:rsidRPr="00FB16C3">
        <w:rPr>
          <w:rFonts w:ascii="Arial" w:hAnsi="Arial" w:cs="Arial" w:hint="eastAsia"/>
          <w:sz w:val="21"/>
          <w:szCs w:val="21"/>
        </w:rPr>
        <w:t>住宅建筑全部设计为高层住宅。</w:t>
      </w:r>
    </w:p>
    <w:p w14:paraId="0BD947A7" w14:textId="6331AD41" w:rsidR="00720CAE" w:rsidRPr="00720CAE" w:rsidRDefault="007E742E" w:rsidP="00FB16C3">
      <w:pPr>
        <w:adjustRightInd w:val="0"/>
        <w:snapToGrid w:val="0"/>
        <w:spacing w:line="480" w:lineRule="auto"/>
        <w:ind w:firstLineChars="200" w:firstLine="420"/>
        <w:jc w:val="both"/>
        <w:rPr>
          <w:rFonts w:ascii="Arial" w:hAnsi="Arial" w:cs="Arial"/>
          <w:color w:val="000000"/>
          <w:sz w:val="21"/>
          <w:szCs w:val="21"/>
        </w:rPr>
      </w:pPr>
      <w:r w:rsidRPr="00FB16C3">
        <w:rPr>
          <w:rFonts w:ascii="Arial" w:hAnsi="Arial" w:cs="Arial" w:hint="eastAsia"/>
          <w:color w:val="000000"/>
          <w:sz w:val="21"/>
          <w:szCs w:val="21"/>
        </w:rPr>
        <w:t>该地块按“限房价、竞地价”方式出让，所建普通商品住宅（毛坯）销售均价不得超过</w:t>
      </w:r>
      <w:r w:rsidRPr="00FB16C3">
        <w:rPr>
          <w:rFonts w:ascii="Arial" w:hAnsi="Arial" w:cs="Arial"/>
          <w:color w:val="000000"/>
          <w:sz w:val="21"/>
          <w:szCs w:val="21"/>
        </w:rPr>
        <w:t>23815</w:t>
      </w:r>
      <w:r w:rsidRPr="00FB16C3">
        <w:rPr>
          <w:rFonts w:ascii="Arial" w:hAnsi="Arial" w:cs="Arial" w:hint="eastAsia"/>
          <w:color w:val="000000"/>
          <w:sz w:val="21"/>
          <w:szCs w:val="21"/>
        </w:rPr>
        <w:t>元</w:t>
      </w:r>
      <w:r w:rsidRPr="00FB16C3">
        <w:rPr>
          <w:rFonts w:ascii="Arial" w:hAnsi="Arial" w:cs="Arial"/>
          <w:color w:val="000000"/>
          <w:sz w:val="21"/>
          <w:szCs w:val="21"/>
        </w:rPr>
        <w:t>/</w:t>
      </w:r>
      <w:r w:rsidRPr="00FB16C3">
        <w:rPr>
          <w:rFonts w:ascii="Arial" w:hAnsi="Arial" w:cs="Arial" w:hint="eastAsia"/>
          <w:color w:val="000000"/>
          <w:sz w:val="21"/>
          <w:szCs w:val="21"/>
        </w:rPr>
        <w:t>平方米（装修价格另行核定），最高销售单价不得超过售价均价的</w:t>
      </w:r>
      <w:r w:rsidRPr="00FB16C3">
        <w:rPr>
          <w:rFonts w:ascii="Arial" w:hAnsi="Arial" w:cs="Arial"/>
          <w:color w:val="000000"/>
          <w:sz w:val="21"/>
          <w:szCs w:val="21"/>
        </w:rPr>
        <w:t>110%</w:t>
      </w:r>
      <w:r w:rsidRPr="00FB16C3">
        <w:rPr>
          <w:rFonts w:ascii="Arial" w:hAnsi="Arial" w:cs="Arial" w:hint="eastAsia"/>
          <w:color w:val="000000"/>
          <w:sz w:val="21"/>
          <w:szCs w:val="21"/>
        </w:rPr>
        <w:t>（装修价格另行核定）。地块须配建建筑面积不小于</w:t>
      </w:r>
      <w:r w:rsidRPr="00FB16C3">
        <w:rPr>
          <w:rFonts w:ascii="Arial" w:hAnsi="Arial" w:cs="Arial"/>
          <w:color w:val="000000"/>
          <w:sz w:val="21"/>
          <w:szCs w:val="21"/>
        </w:rPr>
        <w:t>7731</w:t>
      </w:r>
      <w:r w:rsidRPr="00FB16C3">
        <w:rPr>
          <w:rFonts w:ascii="Arial" w:hAnsi="Arial" w:cs="Arial" w:hint="eastAsia"/>
          <w:color w:val="000000"/>
          <w:sz w:val="21"/>
          <w:szCs w:val="21"/>
        </w:rPr>
        <w:t>平方米的租赁住房，由受让人建成后用于租赁，不得上市销售，不得转让，不得分割抵押，遵守国家及南京市租赁住房管理政策相关要求。</w:t>
      </w:r>
    </w:p>
    <w:p w14:paraId="6560869C" w14:textId="77777777" w:rsidR="003923F0" w:rsidRPr="00E05368" w:rsidRDefault="003923F0" w:rsidP="007E742E">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2</w:t>
      </w:r>
      <w:r w:rsidRPr="00E05368">
        <w:rPr>
          <w:rFonts w:ascii="Arial" w:hAnsi="Arial" w:cs="Arial"/>
          <w:color w:val="000000"/>
          <w:sz w:val="21"/>
          <w:szCs w:val="21"/>
        </w:rPr>
        <w:t>、项目建造标准</w:t>
      </w:r>
    </w:p>
    <w:p w14:paraId="10609402" w14:textId="77777777" w:rsidR="00C325A1" w:rsidRDefault="00FB16C3" w:rsidP="00FB16C3">
      <w:pPr>
        <w:adjustRightInd w:val="0"/>
        <w:snapToGrid w:val="0"/>
        <w:spacing w:line="480" w:lineRule="auto"/>
        <w:ind w:firstLineChars="200" w:firstLine="420"/>
        <w:jc w:val="both"/>
        <w:rPr>
          <w:rFonts w:ascii="Arial" w:hAnsi="Arial" w:cs="Arial"/>
          <w:color w:val="000000"/>
          <w:sz w:val="21"/>
          <w:szCs w:val="21"/>
        </w:rPr>
      </w:pPr>
      <w:r w:rsidRPr="00C325A1">
        <w:rPr>
          <w:rFonts w:ascii="Arial" w:hAnsi="Arial" w:cs="Arial" w:hint="eastAsia"/>
          <w:color w:val="000000"/>
          <w:sz w:val="21"/>
          <w:szCs w:val="21"/>
        </w:rPr>
        <w:t>根据</w:t>
      </w:r>
      <w:r w:rsidRPr="00C325A1">
        <w:rPr>
          <w:rFonts w:ascii="Arial" w:hAnsi="Arial" w:cs="Arial"/>
          <w:color w:val="000000"/>
          <w:sz w:val="21"/>
          <w:szCs w:val="21"/>
        </w:rPr>
        <w:t>建设单位</w:t>
      </w:r>
      <w:r w:rsidRPr="00C325A1">
        <w:rPr>
          <w:rFonts w:ascii="Arial" w:hAnsi="Arial" w:cs="Arial" w:hint="eastAsia"/>
          <w:color w:val="000000"/>
          <w:sz w:val="21"/>
          <w:szCs w:val="21"/>
        </w:rPr>
        <w:t>介绍，项目产品设计方案正在编制中，依据现阶段已提供的资料，</w:t>
      </w:r>
      <w:r w:rsidR="007E742E" w:rsidRPr="00C325A1">
        <w:rPr>
          <w:rFonts w:ascii="Arial" w:hAnsi="Arial" w:cs="Arial" w:hint="eastAsia"/>
          <w:color w:val="000000"/>
          <w:sz w:val="21"/>
          <w:szCs w:val="21"/>
        </w:rPr>
        <w:t>本项目</w:t>
      </w:r>
      <w:r w:rsidRPr="00C325A1">
        <w:rPr>
          <w:rFonts w:ascii="Arial" w:hAnsi="Arial" w:cs="Arial" w:hint="eastAsia"/>
          <w:color w:val="000000"/>
          <w:sz w:val="21"/>
          <w:szCs w:val="21"/>
        </w:rPr>
        <w:t>包含住宅、商业及地下车库</w:t>
      </w:r>
      <w:r w:rsidR="007E742E" w:rsidRPr="00C325A1">
        <w:rPr>
          <w:rFonts w:ascii="Arial" w:hAnsi="Arial" w:cs="Arial" w:hint="eastAsia"/>
          <w:color w:val="000000"/>
          <w:sz w:val="21"/>
          <w:szCs w:val="21"/>
        </w:rPr>
        <w:t>，</w:t>
      </w:r>
      <w:r w:rsidRPr="00C325A1">
        <w:rPr>
          <w:rFonts w:ascii="Arial" w:hAnsi="Arial" w:cs="Arial" w:hint="eastAsia"/>
          <w:color w:val="000000"/>
          <w:sz w:val="21"/>
          <w:szCs w:val="21"/>
        </w:rPr>
        <w:t>住宅用房设计为高层产品，商业用房为社区底商。</w:t>
      </w:r>
      <w:r w:rsidR="00C325A1">
        <w:rPr>
          <w:rFonts w:ascii="Arial" w:hAnsi="Arial" w:cs="Arial" w:hint="eastAsia"/>
          <w:color w:val="000000"/>
          <w:sz w:val="21"/>
          <w:szCs w:val="21"/>
        </w:rPr>
        <w:t>项目</w:t>
      </w:r>
      <w:r w:rsidR="00C325A1" w:rsidRPr="00C325A1">
        <w:rPr>
          <w:rFonts w:ascii="Arial" w:hAnsi="Arial" w:cs="Arial" w:hint="eastAsia"/>
          <w:color w:val="000000"/>
          <w:sz w:val="21"/>
          <w:szCs w:val="21"/>
        </w:rPr>
        <w:t>规划总建</w:t>
      </w:r>
      <w:r w:rsidR="00C325A1" w:rsidRPr="00FB16C3">
        <w:rPr>
          <w:rFonts w:ascii="Arial" w:hAnsi="Arial" w:cs="Arial" w:hint="eastAsia"/>
          <w:color w:val="000000"/>
          <w:sz w:val="21"/>
          <w:szCs w:val="21"/>
        </w:rPr>
        <w:t>筑面积为</w:t>
      </w:r>
      <w:r w:rsidR="00C325A1" w:rsidRPr="00FB16C3">
        <w:rPr>
          <w:rFonts w:ascii="Arial" w:hAnsi="Arial" w:cs="Arial"/>
          <w:color w:val="000000"/>
          <w:sz w:val="21"/>
          <w:szCs w:val="21"/>
        </w:rPr>
        <w:t>208085</w:t>
      </w:r>
      <w:r w:rsidR="00C325A1" w:rsidRPr="00FB16C3">
        <w:rPr>
          <w:rFonts w:ascii="Arial" w:hAnsi="Arial" w:cs="Arial" w:hint="eastAsia"/>
          <w:color w:val="000000"/>
          <w:sz w:val="21"/>
          <w:szCs w:val="21"/>
        </w:rPr>
        <w:t>平方米，其中地</w:t>
      </w:r>
      <w:proofErr w:type="gramStart"/>
      <w:r w:rsidR="00C325A1" w:rsidRPr="00FB16C3">
        <w:rPr>
          <w:rFonts w:ascii="Arial" w:hAnsi="Arial" w:cs="Arial" w:hint="eastAsia"/>
          <w:color w:val="000000"/>
          <w:sz w:val="21"/>
          <w:szCs w:val="21"/>
        </w:rPr>
        <w:t>上计容总建筑面积</w:t>
      </w:r>
      <w:proofErr w:type="gramEnd"/>
      <w:r w:rsidR="00C325A1" w:rsidRPr="00FB16C3">
        <w:rPr>
          <w:rFonts w:ascii="Arial" w:hAnsi="Arial" w:cs="Arial" w:hint="eastAsia"/>
          <w:color w:val="000000"/>
          <w:sz w:val="21"/>
          <w:szCs w:val="21"/>
        </w:rPr>
        <w:t>为</w:t>
      </w:r>
      <w:r w:rsidR="00C325A1" w:rsidRPr="00FB16C3">
        <w:rPr>
          <w:rFonts w:ascii="Arial" w:hAnsi="Arial" w:cs="Arial"/>
          <w:color w:val="000000"/>
          <w:sz w:val="21"/>
          <w:szCs w:val="21"/>
        </w:rPr>
        <w:t>154625</w:t>
      </w:r>
      <w:r w:rsidR="00C325A1" w:rsidRPr="00FB16C3">
        <w:rPr>
          <w:rFonts w:ascii="Arial" w:hAnsi="Arial" w:cs="Arial" w:hint="eastAsia"/>
          <w:color w:val="000000"/>
          <w:sz w:val="21"/>
          <w:szCs w:val="21"/>
        </w:rPr>
        <w:t>平方米（其中：住宅</w:t>
      </w:r>
      <w:r w:rsidR="00C325A1" w:rsidRPr="00FB16C3">
        <w:rPr>
          <w:rFonts w:ascii="Arial" w:hAnsi="Arial" w:cs="Arial"/>
          <w:color w:val="000000"/>
          <w:sz w:val="21"/>
          <w:szCs w:val="21"/>
        </w:rPr>
        <w:t>137461</w:t>
      </w:r>
      <w:r w:rsidR="00C325A1" w:rsidRPr="00FB16C3">
        <w:rPr>
          <w:rFonts w:ascii="Arial" w:hAnsi="Arial" w:cs="Arial" w:hint="eastAsia"/>
          <w:color w:val="000000"/>
          <w:sz w:val="21"/>
          <w:szCs w:val="21"/>
        </w:rPr>
        <w:t>平方米、租赁用房</w:t>
      </w:r>
      <w:r w:rsidR="00C325A1" w:rsidRPr="00FB16C3">
        <w:rPr>
          <w:rFonts w:ascii="Arial" w:hAnsi="Arial" w:cs="Arial" w:hint="eastAsia"/>
          <w:color w:val="000000"/>
          <w:sz w:val="21"/>
          <w:szCs w:val="21"/>
        </w:rPr>
        <w:t>7</w:t>
      </w:r>
      <w:r w:rsidR="00C325A1" w:rsidRPr="00FB16C3">
        <w:rPr>
          <w:rFonts w:ascii="Arial" w:hAnsi="Arial" w:cs="Arial"/>
          <w:color w:val="000000"/>
          <w:sz w:val="21"/>
          <w:szCs w:val="21"/>
        </w:rPr>
        <w:t>731</w:t>
      </w:r>
      <w:r w:rsidR="00C325A1" w:rsidRPr="00FB16C3">
        <w:rPr>
          <w:rFonts w:ascii="Arial" w:hAnsi="Arial" w:cs="Arial" w:hint="eastAsia"/>
          <w:color w:val="000000"/>
          <w:sz w:val="21"/>
          <w:szCs w:val="21"/>
        </w:rPr>
        <w:t>平方米、商业</w:t>
      </w:r>
      <w:r w:rsidR="00C325A1" w:rsidRPr="00FB16C3">
        <w:rPr>
          <w:rFonts w:ascii="Arial" w:hAnsi="Arial" w:cs="Arial" w:hint="eastAsia"/>
          <w:color w:val="000000"/>
          <w:sz w:val="21"/>
          <w:szCs w:val="21"/>
        </w:rPr>
        <w:t>7</w:t>
      </w:r>
      <w:r w:rsidR="00C325A1" w:rsidRPr="00FB16C3">
        <w:rPr>
          <w:rFonts w:ascii="Arial" w:hAnsi="Arial" w:cs="Arial"/>
          <w:color w:val="000000"/>
          <w:sz w:val="21"/>
          <w:szCs w:val="21"/>
        </w:rPr>
        <w:t>500</w:t>
      </w:r>
      <w:r w:rsidR="00C325A1" w:rsidRPr="00FB16C3">
        <w:rPr>
          <w:rFonts w:ascii="Arial" w:hAnsi="Arial" w:cs="Arial" w:hint="eastAsia"/>
          <w:color w:val="000000"/>
          <w:sz w:val="21"/>
          <w:szCs w:val="21"/>
        </w:rPr>
        <w:t>平方米、配套用房</w:t>
      </w:r>
      <w:r w:rsidR="00C325A1" w:rsidRPr="00FB16C3">
        <w:rPr>
          <w:rFonts w:ascii="Arial" w:hAnsi="Arial" w:cs="Arial" w:hint="eastAsia"/>
          <w:color w:val="000000"/>
          <w:sz w:val="21"/>
          <w:szCs w:val="21"/>
        </w:rPr>
        <w:t>1</w:t>
      </w:r>
      <w:r w:rsidR="00C325A1" w:rsidRPr="00FB16C3">
        <w:rPr>
          <w:rFonts w:ascii="Arial" w:hAnsi="Arial" w:cs="Arial"/>
          <w:color w:val="000000"/>
          <w:sz w:val="21"/>
          <w:szCs w:val="21"/>
        </w:rPr>
        <w:t>933</w:t>
      </w:r>
      <w:r w:rsidR="00C325A1" w:rsidRPr="00FB16C3">
        <w:rPr>
          <w:rFonts w:ascii="Arial" w:hAnsi="Arial" w:cs="Arial" w:hint="eastAsia"/>
          <w:color w:val="000000"/>
          <w:sz w:val="21"/>
          <w:szCs w:val="21"/>
        </w:rPr>
        <w:t>平方米）；地下总建筑面积为</w:t>
      </w:r>
      <w:r w:rsidR="00C325A1" w:rsidRPr="00FB16C3">
        <w:rPr>
          <w:rFonts w:ascii="Arial" w:hAnsi="Arial" w:cs="Arial"/>
          <w:color w:val="000000"/>
          <w:sz w:val="21"/>
          <w:szCs w:val="21"/>
        </w:rPr>
        <w:t>53460</w:t>
      </w:r>
      <w:r w:rsidR="00C325A1" w:rsidRPr="00FB16C3">
        <w:rPr>
          <w:rFonts w:ascii="Arial" w:hAnsi="Arial" w:cs="Arial" w:hint="eastAsia"/>
          <w:color w:val="000000"/>
          <w:sz w:val="21"/>
          <w:szCs w:val="21"/>
        </w:rPr>
        <w:t>平方米，规划为地下车库、设备及人防，其中非人防地下车库</w:t>
      </w:r>
      <w:r w:rsidR="00C325A1" w:rsidRPr="00FB16C3">
        <w:rPr>
          <w:rFonts w:ascii="Arial" w:hAnsi="Arial" w:cs="Arial"/>
          <w:color w:val="000000"/>
          <w:sz w:val="21"/>
          <w:szCs w:val="21"/>
        </w:rPr>
        <w:t>34560</w:t>
      </w:r>
      <w:r w:rsidR="00C325A1" w:rsidRPr="00FB16C3">
        <w:rPr>
          <w:rFonts w:ascii="Arial" w:hAnsi="Arial" w:cs="Arial" w:hint="eastAsia"/>
          <w:color w:val="000000"/>
          <w:sz w:val="21"/>
          <w:szCs w:val="21"/>
        </w:rPr>
        <w:t>平方米，</w:t>
      </w:r>
      <w:r w:rsidR="00C325A1">
        <w:rPr>
          <w:rFonts w:ascii="Arial" w:hAnsi="Arial" w:cs="Arial" w:hint="eastAsia"/>
          <w:color w:val="000000"/>
          <w:sz w:val="21"/>
          <w:szCs w:val="21"/>
        </w:rPr>
        <w:t>共计</w:t>
      </w:r>
      <w:r w:rsidR="00C325A1">
        <w:rPr>
          <w:rFonts w:ascii="Arial" w:hAnsi="Arial" w:cs="Arial" w:hint="eastAsia"/>
          <w:color w:val="000000"/>
          <w:sz w:val="21"/>
          <w:szCs w:val="21"/>
        </w:rPr>
        <w:t>9</w:t>
      </w:r>
      <w:r w:rsidR="00C325A1">
        <w:rPr>
          <w:rFonts w:ascii="Arial" w:hAnsi="Arial" w:cs="Arial"/>
          <w:color w:val="000000"/>
          <w:sz w:val="21"/>
          <w:szCs w:val="21"/>
        </w:rPr>
        <w:t>45</w:t>
      </w:r>
      <w:r w:rsidR="00C325A1">
        <w:rPr>
          <w:rFonts w:ascii="Arial" w:hAnsi="Arial" w:cs="Arial" w:hint="eastAsia"/>
          <w:color w:val="000000"/>
          <w:sz w:val="21"/>
          <w:szCs w:val="21"/>
        </w:rPr>
        <w:t>个，</w:t>
      </w:r>
      <w:r w:rsidR="00C325A1" w:rsidRPr="00FB16C3">
        <w:rPr>
          <w:rFonts w:ascii="Arial" w:hAnsi="Arial" w:cs="Arial" w:hint="eastAsia"/>
          <w:color w:val="000000"/>
          <w:sz w:val="21"/>
          <w:szCs w:val="21"/>
        </w:rPr>
        <w:t>人防及设备</w:t>
      </w:r>
      <w:r w:rsidR="00C325A1" w:rsidRPr="00FB16C3">
        <w:rPr>
          <w:rFonts w:ascii="Arial" w:hAnsi="Arial" w:cs="Arial" w:hint="eastAsia"/>
          <w:color w:val="000000"/>
          <w:sz w:val="21"/>
          <w:szCs w:val="21"/>
        </w:rPr>
        <w:t>1</w:t>
      </w:r>
      <w:r w:rsidR="00C325A1" w:rsidRPr="00FB16C3">
        <w:rPr>
          <w:rFonts w:ascii="Arial" w:hAnsi="Arial" w:cs="Arial"/>
          <w:color w:val="000000"/>
          <w:sz w:val="21"/>
          <w:szCs w:val="21"/>
        </w:rPr>
        <w:t>8900</w:t>
      </w:r>
      <w:r w:rsidR="00C325A1" w:rsidRPr="00FB16C3">
        <w:rPr>
          <w:rFonts w:ascii="Arial" w:hAnsi="Arial" w:cs="Arial" w:hint="eastAsia"/>
          <w:color w:val="000000"/>
          <w:sz w:val="21"/>
          <w:szCs w:val="21"/>
        </w:rPr>
        <w:t>平方米。</w:t>
      </w:r>
    </w:p>
    <w:p w14:paraId="1818E705" w14:textId="5983F88E" w:rsidR="007E742E" w:rsidRDefault="00C63967" w:rsidP="00FB16C3">
      <w:pPr>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lastRenderedPageBreak/>
        <w:t>住宅</w:t>
      </w:r>
      <w:r w:rsidR="000525F8">
        <w:rPr>
          <w:rFonts w:ascii="Arial" w:hAnsi="Arial" w:cs="Arial" w:hint="eastAsia"/>
          <w:color w:val="000000"/>
          <w:sz w:val="21"/>
          <w:szCs w:val="21"/>
        </w:rPr>
        <w:t>产品建筑类型</w:t>
      </w:r>
      <w:r w:rsidRPr="00C63967">
        <w:rPr>
          <w:rFonts w:ascii="Arial" w:hAnsi="Arial" w:cs="Arial" w:hint="eastAsia"/>
          <w:color w:val="000000"/>
          <w:sz w:val="21"/>
          <w:szCs w:val="21"/>
        </w:rPr>
        <w:t>为</w:t>
      </w:r>
      <w:r w:rsidR="00C325A1">
        <w:rPr>
          <w:rFonts w:ascii="Arial" w:hAnsi="Arial" w:cs="Arial" w:hint="eastAsia"/>
          <w:color w:val="000000"/>
          <w:sz w:val="21"/>
          <w:szCs w:val="21"/>
        </w:rPr>
        <w:t>全部为</w:t>
      </w:r>
      <w:r w:rsidRPr="00C63967">
        <w:rPr>
          <w:rFonts w:ascii="Arial" w:hAnsi="Arial" w:cs="Arial" w:hint="eastAsia"/>
          <w:color w:val="000000"/>
          <w:sz w:val="21"/>
          <w:szCs w:val="21"/>
        </w:rPr>
        <w:t>高层</w:t>
      </w:r>
      <w:r w:rsidR="00C325A1">
        <w:rPr>
          <w:rFonts w:ascii="Arial" w:hAnsi="Arial" w:cs="Arial" w:hint="eastAsia"/>
          <w:color w:val="000000"/>
          <w:sz w:val="21"/>
          <w:szCs w:val="21"/>
        </w:rPr>
        <w:t>，钢混结构。户型配比方面，项目</w:t>
      </w:r>
      <w:r w:rsidRPr="00C63967">
        <w:rPr>
          <w:rFonts w:ascii="Arial" w:hAnsi="Arial" w:cs="Arial" w:hint="eastAsia"/>
          <w:color w:val="000000"/>
          <w:sz w:val="21"/>
          <w:szCs w:val="21"/>
        </w:rPr>
        <w:t>主力产品为面积在</w:t>
      </w:r>
      <w:r w:rsidRPr="00C63967">
        <w:rPr>
          <w:rFonts w:ascii="Arial" w:hAnsi="Arial" w:cs="Arial"/>
          <w:color w:val="000000"/>
          <w:sz w:val="21"/>
          <w:szCs w:val="21"/>
        </w:rPr>
        <w:t>9</w:t>
      </w:r>
      <w:r w:rsidR="00C325A1">
        <w:rPr>
          <w:rFonts w:ascii="Arial" w:hAnsi="Arial" w:cs="Arial"/>
          <w:color w:val="000000"/>
          <w:sz w:val="21"/>
          <w:szCs w:val="21"/>
        </w:rPr>
        <w:t>6</w:t>
      </w:r>
      <w:r w:rsidRPr="00C63967">
        <w:rPr>
          <w:rFonts w:ascii="Arial" w:hAnsi="Arial" w:cs="Arial"/>
          <w:color w:val="000000"/>
          <w:sz w:val="21"/>
          <w:szCs w:val="21"/>
        </w:rPr>
        <w:t>㎡的三居，占比为</w:t>
      </w:r>
      <w:r w:rsidRPr="00C63967">
        <w:rPr>
          <w:rFonts w:ascii="Arial" w:hAnsi="Arial" w:cs="Arial"/>
          <w:color w:val="000000"/>
          <w:sz w:val="21"/>
          <w:szCs w:val="21"/>
        </w:rPr>
        <w:t>45%</w:t>
      </w:r>
      <w:r w:rsidRPr="00C63967">
        <w:rPr>
          <w:rFonts w:ascii="Arial" w:hAnsi="Arial" w:cs="Arial"/>
          <w:color w:val="000000"/>
          <w:sz w:val="21"/>
          <w:szCs w:val="21"/>
        </w:rPr>
        <w:t>，其次为面积</w:t>
      </w:r>
      <w:r w:rsidRPr="00C63967">
        <w:rPr>
          <w:rFonts w:ascii="Arial" w:hAnsi="Arial" w:cs="Arial"/>
          <w:color w:val="000000"/>
          <w:sz w:val="21"/>
          <w:szCs w:val="21"/>
        </w:rPr>
        <w:t>125</w:t>
      </w:r>
      <w:r w:rsidRPr="00C63967">
        <w:rPr>
          <w:rFonts w:ascii="Arial" w:hAnsi="Arial" w:cs="Arial"/>
          <w:color w:val="000000"/>
          <w:sz w:val="21"/>
          <w:szCs w:val="21"/>
        </w:rPr>
        <w:t>㎡的三居，占比为</w:t>
      </w:r>
      <w:r w:rsidRPr="00C63967">
        <w:rPr>
          <w:rFonts w:ascii="Arial" w:hAnsi="Arial" w:cs="Arial"/>
          <w:color w:val="000000"/>
          <w:sz w:val="21"/>
          <w:szCs w:val="21"/>
        </w:rPr>
        <w:t>40%</w:t>
      </w:r>
      <w:r w:rsidRPr="00C63967">
        <w:rPr>
          <w:rFonts w:ascii="Arial" w:hAnsi="Arial" w:cs="Arial"/>
          <w:color w:val="000000"/>
          <w:sz w:val="21"/>
          <w:szCs w:val="21"/>
        </w:rPr>
        <w:t>，面积在</w:t>
      </w:r>
      <w:r w:rsidRPr="00C63967">
        <w:rPr>
          <w:rFonts w:ascii="Arial" w:hAnsi="Arial" w:cs="Arial"/>
          <w:color w:val="000000"/>
          <w:sz w:val="21"/>
          <w:szCs w:val="21"/>
        </w:rPr>
        <w:t>140</w:t>
      </w:r>
      <w:r w:rsidRPr="00C63967">
        <w:rPr>
          <w:rFonts w:ascii="Arial" w:hAnsi="Arial" w:cs="Arial"/>
          <w:color w:val="000000"/>
          <w:sz w:val="21"/>
          <w:szCs w:val="21"/>
        </w:rPr>
        <w:t>㎡的</w:t>
      </w:r>
      <w:proofErr w:type="gramStart"/>
      <w:r w:rsidRPr="00C63967">
        <w:rPr>
          <w:rFonts w:ascii="Arial" w:hAnsi="Arial" w:cs="Arial"/>
          <w:color w:val="000000"/>
          <w:sz w:val="21"/>
          <w:szCs w:val="21"/>
        </w:rPr>
        <w:t>四居占</w:t>
      </w:r>
      <w:proofErr w:type="gramEnd"/>
      <w:r w:rsidRPr="00C63967">
        <w:rPr>
          <w:rFonts w:ascii="Arial" w:hAnsi="Arial" w:cs="Arial"/>
          <w:color w:val="000000"/>
          <w:sz w:val="21"/>
          <w:szCs w:val="21"/>
        </w:rPr>
        <w:t>比为</w:t>
      </w:r>
      <w:r w:rsidRPr="00C63967">
        <w:rPr>
          <w:rFonts w:ascii="Arial" w:hAnsi="Arial" w:cs="Arial"/>
          <w:color w:val="000000"/>
          <w:sz w:val="21"/>
          <w:szCs w:val="21"/>
        </w:rPr>
        <w:t>15%</w:t>
      </w:r>
      <w:r w:rsidR="00C325A1">
        <w:rPr>
          <w:rFonts w:ascii="Arial" w:hAnsi="Arial" w:cs="Arial" w:hint="eastAsia"/>
          <w:color w:val="000000"/>
          <w:sz w:val="21"/>
          <w:szCs w:val="21"/>
        </w:rPr>
        <w:t>，项目住宅总套数为</w:t>
      </w:r>
      <w:r w:rsidR="00C325A1">
        <w:rPr>
          <w:rFonts w:ascii="Arial" w:hAnsi="Arial" w:cs="Arial" w:hint="eastAsia"/>
          <w:color w:val="000000"/>
          <w:sz w:val="21"/>
          <w:szCs w:val="21"/>
        </w:rPr>
        <w:t>1</w:t>
      </w:r>
      <w:r w:rsidR="00C325A1">
        <w:rPr>
          <w:rFonts w:ascii="Arial" w:hAnsi="Arial" w:cs="Arial"/>
          <w:color w:val="000000"/>
          <w:sz w:val="21"/>
          <w:szCs w:val="21"/>
        </w:rPr>
        <w:t>280</w:t>
      </w:r>
      <w:r w:rsidR="00C325A1">
        <w:rPr>
          <w:rFonts w:ascii="Arial" w:hAnsi="Arial" w:cs="Arial" w:hint="eastAsia"/>
          <w:color w:val="000000"/>
          <w:sz w:val="21"/>
          <w:szCs w:val="21"/>
        </w:rPr>
        <w:t>套。</w:t>
      </w:r>
      <w:r>
        <w:rPr>
          <w:rFonts w:ascii="Arial" w:hAnsi="Arial" w:cs="Arial" w:hint="eastAsia"/>
          <w:color w:val="000000"/>
          <w:sz w:val="21"/>
          <w:szCs w:val="21"/>
        </w:rPr>
        <w:t>住宅</w:t>
      </w:r>
      <w:r w:rsidR="00C325A1">
        <w:rPr>
          <w:rFonts w:ascii="Arial" w:hAnsi="Arial" w:cs="Arial" w:hint="eastAsia"/>
          <w:color w:val="000000"/>
          <w:sz w:val="21"/>
          <w:szCs w:val="21"/>
        </w:rPr>
        <w:t>产品</w:t>
      </w:r>
      <w:r>
        <w:rPr>
          <w:rFonts w:ascii="Arial" w:hAnsi="Arial" w:cs="Arial" w:hint="eastAsia"/>
          <w:color w:val="000000"/>
          <w:sz w:val="21"/>
          <w:szCs w:val="21"/>
        </w:rPr>
        <w:t>交付标准为精装修，商业</w:t>
      </w:r>
      <w:r w:rsidR="00C325A1">
        <w:rPr>
          <w:rFonts w:ascii="Arial" w:hAnsi="Arial" w:cs="Arial" w:hint="eastAsia"/>
          <w:color w:val="000000"/>
          <w:sz w:val="21"/>
          <w:szCs w:val="21"/>
        </w:rPr>
        <w:t>用房</w:t>
      </w:r>
      <w:r>
        <w:rPr>
          <w:rFonts w:ascii="Arial" w:hAnsi="Arial" w:cs="Arial" w:hint="eastAsia"/>
          <w:color w:val="000000"/>
          <w:sz w:val="21"/>
          <w:szCs w:val="21"/>
        </w:rPr>
        <w:t>交付标准为毛坯。</w:t>
      </w:r>
      <w:r w:rsidR="00C325A1">
        <w:rPr>
          <w:rFonts w:ascii="Arial" w:hAnsi="Arial" w:cs="Arial" w:hint="eastAsia"/>
          <w:color w:val="000000"/>
          <w:sz w:val="21"/>
          <w:szCs w:val="21"/>
        </w:rPr>
        <w:t>截至本报告出具日，建设单位尚未提供详细建设说明、户型设计、详细建造标准等。</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1134"/>
        <w:gridCol w:w="1838"/>
        <w:gridCol w:w="1287"/>
        <w:gridCol w:w="1612"/>
        <w:gridCol w:w="1529"/>
      </w:tblGrid>
      <w:tr w:rsidR="00C325A1" w14:paraId="1CA57113" w14:textId="77777777" w:rsidTr="00C325A1">
        <w:trPr>
          <w:trHeight w:val="484"/>
          <w:jc w:val="center"/>
        </w:trPr>
        <w:tc>
          <w:tcPr>
            <w:tcW w:w="1526" w:type="dxa"/>
            <w:shd w:val="clear" w:color="000000" w:fill="C4BC96"/>
          </w:tcPr>
          <w:p w14:paraId="4942665E" w14:textId="77777777" w:rsidR="00C325A1" w:rsidRPr="00C325A1" w:rsidRDefault="00C325A1" w:rsidP="00C325A1">
            <w:pPr>
              <w:jc w:val="center"/>
              <w:rPr>
                <w:rFonts w:ascii="Arial" w:hAnsi="Arial" w:cs="Arial"/>
                <w:color w:val="000000"/>
                <w:sz w:val="21"/>
                <w:szCs w:val="21"/>
              </w:rPr>
            </w:pPr>
          </w:p>
        </w:tc>
        <w:tc>
          <w:tcPr>
            <w:tcW w:w="1134" w:type="dxa"/>
            <w:shd w:val="clear" w:color="000000" w:fill="C4BC96"/>
            <w:vAlign w:val="center"/>
          </w:tcPr>
          <w:p w14:paraId="18B49B46" w14:textId="7C2FEA93" w:rsidR="00C325A1" w:rsidRPr="00C325A1" w:rsidRDefault="00C325A1" w:rsidP="00C325A1">
            <w:pPr>
              <w:jc w:val="center"/>
              <w:rPr>
                <w:rFonts w:ascii="Arial" w:hAnsi="Arial" w:cs="Arial"/>
                <w:color w:val="000000"/>
                <w:sz w:val="21"/>
                <w:szCs w:val="21"/>
              </w:rPr>
            </w:pPr>
            <w:r w:rsidRPr="00C325A1">
              <w:rPr>
                <w:rFonts w:ascii="Arial" w:hAnsi="Arial" w:cs="Arial" w:hint="eastAsia"/>
                <w:color w:val="000000"/>
                <w:sz w:val="21"/>
                <w:szCs w:val="21"/>
              </w:rPr>
              <w:t>产品类型</w:t>
            </w:r>
          </w:p>
        </w:tc>
        <w:tc>
          <w:tcPr>
            <w:tcW w:w="1838" w:type="dxa"/>
            <w:shd w:val="clear" w:color="000000" w:fill="C4BC96"/>
            <w:vAlign w:val="center"/>
          </w:tcPr>
          <w:p w14:paraId="63B589A5" w14:textId="77777777" w:rsidR="00C325A1" w:rsidRPr="00C325A1" w:rsidRDefault="00C325A1" w:rsidP="00C325A1">
            <w:pPr>
              <w:ind w:firstLineChars="200" w:firstLine="420"/>
              <w:jc w:val="center"/>
              <w:rPr>
                <w:rFonts w:ascii="Arial" w:hAnsi="Arial" w:cs="Arial"/>
                <w:color w:val="000000"/>
                <w:sz w:val="21"/>
                <w:szCs w:val="21"/>
              </w:rPr>
            </w:pPr>
            <w:r w:rsidRPr="00C325A1">
              <w:rPr>
                <w:rFonts w:ascii="Arial" w:hAnsi="Arial" w:cs="Arial" w:hint="eastAsia"/>
                <w:color w:val="000000"/>
                <w:sz w:val="21"/>
                <w:szCs w:val="21"/>
              </w:rPr>
              <w:t>面积（㎡）</w:t>
            </w:r>
          </w:p>
        </w:tc>
        <w:tc>
          <w:tcPr>
            <w:tcW w:w="1287" w:type="dxa"/>
            <w:shd w:val="clear" w:color="000000" w:fill="C4BC96"/>
            <w:vAlign w:val="center"/>
          </w:tcPr>
          <w:p w14:paraId="466E6824" w14:textId="77777777" w:rsidR="00C325A1" w:rsidRPr="00C325A1" w:rsidRDefault="00C325A1" w:rsidP="00C325A1">
            <w:pPr>
              <w:jc w:val="center"/>
              <w:rPr>
                <w:rFonts w:ascii="Arial" w:hAnsi="Arial" w:cs="Arial"/>
                <w:color w:val="000000"/>
                <w:sz w:val="21"/>
                <w:szCs w:val="21"/>
              </w:rPr>
            </w:pPr>
            <w:r w:rsidRPr="00C325A1">
              <w:rPr>
                <w:rFonts w:ascii="Arial" w:hAnsi="Arial" w:cs="Arial" w:hint="eastAsia"/>
                <w:color w:val="000000"/>
                <w:sz w:val="21"/>
                <w:szCs w:val="21"/>
              </w:rPr>
              <w:t>面积段</w:t>
            </w:r>
          </w:p>
        </w:tc>
        <w:tc>
          <w:tcPr>
            <w:tcW w:w="1612" w:type="dxa"/>
            <w:shd w:val="clear" w:color="000000" w:fill="C4BC96"/>
            <w:vAlign w:val="center"/>
          </w:tcPr>
          <w:p w14:paraId="149E07D2" w14:textId="77777777" w:rsidR="00C325A1" w:rsidRPr="00C325A1" w:rsidRDefault="00C325A1" w:rsidP="00C325A1">
            <w:pPr>
              <w:jc w:val="center"/>
              <w:rPr>
                <w:rFonts w:ascii="Arial" w:hAnsi="Arial" w:cs="Arial"/>
                <w:color w:val="000000"/>
                <w:sz w:val="21"/>
                <w:szCs w:val="21"/>
              </w:rPr>
            </w:pPr>
            <w:r w:rsidRPr="00C325A1">
              <w:rPr>
                <w:rFonts w:ascii="Arial" w:hAnsi="Arial" w:cs="Arial" w:hint="eastAsia"/>
                <w:color w:val="000000"/>
                <w:sz w:val="21"/>
                <w:szCs w:val="21"/>
              </w:rPr>
              <w:t>总户数（户）</w:t>
            </w:r>
          </w:p>
        </w:tc>
        <w:tc>
          <w:tcPr>
            <w:tcW w:w="1529" w:type="dxa"/>
            <w:shd w:val="clear" w:color="000000" w:fill="C4BC96"/>
            <w:vAlign w:val="center"/>
          </w:tcPr>
          <w:p w14:paraId="0D9EB57F" w14:textId="77777777" w:rsidR="00C325A1" w:rsidRPr="00C325A1" w:rsidRDefault="00C325A1" w:rsidP="00C325A1">
            <w:pPr>
              <w:jc w:val="center"/>
              <w:rPr>
                <w:rFonts w:ascii="Arial" w:hAnsi="Arial" w:cs="Arial"/>
                <w:color w:val="000000"/>
                <w:sz w:val="21"/>
                <w:szCs w:val="21"/>
              </w:rPr>
            </w:pPr>
            <w:r w:rsidRPr="00C325A1">
              <w:rPr>
                <w:rFonts w:ascii="Arial" w:hAnsi="Arial" w:cs="Arial" w:hint="eastAsia"/>
                <w:color w:val="000000"/>
                <w:sz w:val="21"/>
                <w:szCs w:val="21"/>
              </w:rPr>
              <w:t>户型配比（</w:t>
            </w:r>
            <w:r w:rsidRPr="00C325A1">
              <w:rPr>
                <w:rFonts w:ascii="Arial" w:hAnsi="Arial" w:cs="Arial" w:hint="eastAsia"/>
                <w:color w:val="000000"/>
                <w:sz w:val="21"/>
                <w:szCs w:val="21"/>
              </w:rPr>
              <w:t>%</w:t>
            </w:r>
            <w:r w:rsidRPr="00C325A1">
              <w:rPr>
                <w:rFonts w:ascii="Arial" w:hAnsi="Arial" w:cs="Arial" w:hint="eastAsia"/>
                <w:color w:val="000000"/>
                <w:sz w:val="21"/>
                <w:szCs w:val="21"/>
              </w:rPr>
              <w:t>）</w:t>
            </w:r>
          </w:p>
        </w:tc>
      </w:tr>
      <w:tr w:rsidR="00C325A1" w14:paraId="0E75CE04" w14:textId="77777777" w:rsidTr="00C325A1">
        <w:trPr>
          <w:trHeight w:val="454"/>
          <w:jc w:val="center"/>
        </w:trPr>
        <w:tc>
          <w:tcPr>
            <w:tcW w:w="1526" w:type="dxa"/>
            <w:vMerge w:val="restart"/>
          </w:tcPr>
          <w:p w14:paraId="3860A66C" w14:textId="77777777" w:rsidR="00C325A1" w:rsidRDefault="00C325A1" w:rsidP="00C325A1">
            <w:pPr>
              <w:jc w:val="center"/>
              <w:rPr>
                <w:rFonts w:ascii="Arial" w:hAnsi="Arial" w:cs="Arial"/>
                <w:color w:val="000000"/>
                <w:sz w:val="21"/>
                <w:szCs w:val="21"/>
              </w:rPr>
            </w:pPr>
          </w:p>
          <w:p w14:paraId="3C9BC2FD" w14:textId="77777777" w:rsidR="00C325A1" w:rsidRDefault="00C325A1" w:rsidP="00C325A1">
            <w:pPr>
              <w:jc w:val="center"/>
              <w:rPr>
                <w:rFonts w:ascii="Arial" w:hAnsi="Arial" w:cs="Arial"/>
                <w:color w:val="000000"/>
                <w:sz w:val="21"/>
                <w:szCs w:val="21"/>
              </w:rPr>
            </w:pPr>
          </w:p>
          <w:p w14:paraId="44421371" w14:textId="6EDD5892" w:rsidR="00C325A1" w:rsidRPr="00C325A1" w:rsidRDefault="00C325A1" w:rsidP="00C325A1">
            <w:pPr>
              <w:jc w:val="center"/>
              <w:rPr>
                <w:rFonts w:ascii="Arial" w:hAnsi="Arial" w:cs="Arial"/>
                <w:color w:val="000000"/>
                <w:sz w:val="21"/>
                <w:szCs w:val="21"/>
              </w:rPr>
            </w:pPr>
            <w:r w:rsidRPr="00C325A1">
              <w:rPr>
                <w:rFonts w:ascii="Arial" w:hAnsi="Arial" w:cs="Arial" w:hint="eastAsia"/>
                <w:color w:val="000000"/>
                <w:sz w:val="21"/>
                <w:szCs w:val="21"/>
              </w:rPr>
              <w:t>NO</w:t>
            </w:r>
            <w:r w:rsidRPr="00C325A1">
              <w:rPr>
                <w:rFonts w:ascii="Arial" w:hAnsi="Arial" w:cs="Arial"/>
                <w:color w:val="000000"/>
                <w:sz w:val="21"/>
                <w:szCs w:val="21"/>
              </w:rPr>
              <w:t>.2021G35</w:t>
            </w:r>
          </w:p>
        </w:tc>
        <w:tc>
          <w:tcPr>
            <w:tcW w:w="1134" w:type="dxa"/>
            <w:shd w:val="clear" w:color="auto" w:fill="auto"/>
            <w:vAlign w:val="center"/>
          </w:tcPr>
          <w:p w14:paraId="35F0A70D" w14:textId="77777777" w:rsidR="00C325A1" w:rsidRPr="00C325A1" w:rsidRDefault="00C325A1" w:rsidP="00C325A1">
            <w:pPr>
              <w:jc w:val="center"/>
              <w:textAlignment w:val="center"/>
              <w:rPr>
                <w:rFonts w:ascii="Arial" w:hAnsi="Arial" w:cs="Arial"/>
                <w:color w:val="000000"/>
                <w:sz w:val="21"/>
                <w:szCs w:val="21"/>
              </w:rPr>
            </w:pPr>
            <w:r w:rsidRPr="00C325A1">
              <w:rPr>
                <w:rFonts w:ascii="Arial" w:hAnsi="Arial" w:cs="Arial" w:hint="eastAsia"/>
                <w:color w:val="000000"/>
                <w:sz w:val="21"/>
                <w:szCs w:val="21"/>
              </w:rPr>
              <w:t>高层</w:t>
            </w:r>
          </w:p>
        </w:tc>
        <w:tc>
          <w:tcPr>
            <w:tcW w:w="1838" w:type="dxa"/>
            <w:shd w:val="clear" w:color="auto" w:fill="auto"/>
            <w:vAlign w:val="center"/>
          </w:tcPr>
          <w:p w14:paraId="6C455EC2" w14:textId="6641744E" w:rsidR="00C325A1" w:rsidRPr="00C325A1" w:rsidRDefault="00C325A1" w:rsidP="00C325A1">
            <w:pPr>
              <w:jc w:val="center"/>
              <w:rPr>
                <w:rFonts w:ascii="Arial" w:hAnsi="Arial" w:cs="Arial"/>
                <w:color w:val="000000"/>
                <w:sz w:val="21"/>
                <w:szCs w:val="21"/>
              </w:rPr>
            </w:pPr>
            <w:r w:rsidRPr="00C325A1">
              <w:rPr>
                <w:rFonts w:ascii="Arial" w:hAnsi="Arial" w:cs="Arial" w:hint="eastAsia"/>
                <w:color w:val="000000"/>
                <w:sz w:val="21"/>
                <w:szCs w:val="21"/>
              </w:rPr>
              <w:t>55296</w:t>
            </w:r>
          </w:p>
        </w:tc>
        <w:tc>
          <w:tcPr>
            <w:tcW w:w="1287" w:type="dxa"/>
            <w:shd w:val="clear" w:color="auto" w:fill="auto"/>
            <w:vAlign w:val="center"/>
          </w:tcPr>
          <w:p w14:paraId="3C512BCB" w14:textId="3E9437C1" w:rsidR="00C325A1" w:rsidRPr="00C325A1" w:rsidRDefault="00C325A1" w:rsidP="00C325A1">
            <w:pPr>
              <w:jc w:val="center"/>
              <w:rPr>
                <w:rFonts w:ascii="Arial" w:hAnsi="Arial" w:cs="Arial"/>
                <w:color w:val="000000"/>
                <w:sz w:val="21"/>
                <w:szCs w:val="21"/>
              </w:rPr>
            </w:pPr>
            <w:r w:rsidRPr="00C325A1">
              <w:rPr>
                <w:rFonts w:ascii="Arial" w:hAnsi="Arial" w:cs="Arial" w:hint="eastAsia"/>
                <w:color w:val="000000"/>
                <w:sz w:val="21"/>
                <w:szCs w:val="21"/>
              </w:rPr>
              <w:t>96</w:t>
            </w:r>
            <w:r>
              <w:rPr>
                <w:rFonts w:ascii="Arial" w:hAnsi="Arial" w:cs="Arial" w:hint="eastAsia"/>
                <w:color w:val="000000"/>
                <w:sz w:val="21"/>
                <w:szCs w:val="21"/>
              </w:rPr>
              <w:t>㎡</w:t>
            </w:r>
          </w:p>
        </w:tc>
        <w:tc>
          <w:tcPr>
            <w:tcW w:w="1612" w:type="dxa"/>
            <w:shd w:val="clear" w:color="auto" w:fill="auto"/>
            <w:vAlign w:val="center"/>
          </w:tcPr>
          <w:p w14:paraId="1109D334" w14:textId="77777777" w:rsidR="00C325A1" w:rsidRPr="00C325A1" w:rsidRDefault="00C325A1" w:rsidP="00C325A1">
            <w:pPr>
              <w:jc w:val="center"/>
              <w:rPr>
                <w:rFonts w:ascii="Arial" w:hAnsi="Arial" w:cs="Arial"/>
                <w:color w:val="000000"/>
                <w:sz w:val="21"/>
                <w:szCs w:val="21"/>
              </w:rPr>
            </w:pPr>
            <w:r w:rsidRPr="00C325A1">
              <w:rPr>
                <w:rFonts w:ascii="Arial" w:hAnsi="Arial" w:cs="Arial" w:hint="eastAsia"/>
                <w:color w:val="000000"/>
                <w:sz w:val="21"/>
                <w:szCs w:val="21"/>
              </w:rPr>
              <w:t>576</w:t>
            </w:r>
          </w:p>
        </w:tc>
        <w:tc>
          <w:tcPr>
            <w:tcW w:w="1529" w:type="dxa"/>
            <w:shd w:val="clear" w:color="auto" w:fill="auto"/>
            <w:vAlign w:val="center"/>
          </w:tcPr>
          <w:p w14:paraId="40F83E2B" w14:textId="61EFAAED" w:rsidR="00C325A1" w:rsidRPr="00C325A1" w:rsidRDefault="00C325A1" w:rsidP="00C325A1">
            <w:pPr>
              <w:jc w:val="center"/>
              <w:rPr>
                <w:rFonts w:ascii="Arial" w:hAnsi="Arial" w:cs="Arial"/>
                <w:color w:val="000000"/>
                <w:sz w:val="21"/>
                <w:szCs w:val="21"/>
              </w:rPr>
            </w:pPr>
            <w:r w:rsidRPr="00C325A1">
              <w:rPr>
                <w:rFonts w:ascii="Arial" w:hAnsi="Arial" w:cs="Arial" w:hint="eastAsia"/>
                <w:color w:val="000000"/>
                <w:sz w:val="21"/>
                <w:szCs w:val="21"/>
              </w:rPr>
              <w:t>45%</w:t>
            </w:r>
          </w:p>
        </w:tc>
      </w:tr>
      <w:tr w:rsidR="00C325A1" w14:paraId="10055408" w14:textId="77777777" w:rsidTr="00C325A1">
        <w:trPr>
          <w:trHeight w:val="454"/>
          <w:jc w:val="center"/>
        </w:trPr>
        <w:tc>
          <w:tcPr>
            <w:tcW w:w="1526" w:type="dxa"/>
            <w:vMerge/>
          </w:tcPr>
          <w:p w14:paraId="586D337D" w14:textId="77777777" w:rsidR="00C325A1" w:rsidRPr="00C325A1" w:rsidRDefault="00C325A1" w:rsidP="00C325A1">
            <w:pPr>
              <w:jc w:val="center"/>
              <w:rPr>
                <w:rFonts w:ascii="Arial" w:hAnsi="Arial" w:cs="Arial"/>
                <w:color w:val="000000"/>
                <w:sz w:val="21"/>
                <w:szCs w:val="21"/>
              </w:rPr>
            </w:pPr>
          </w:p>
        </w:tc>
        <w:tc>
          <w:tcPr>
            <w:tcW w:w="1134" w:type="dxa"/>
            <w:shd w:val="clear" w:color="auto" w:fill="auto"/>
            <w:vAlign w:val="center"/>
          </w:tcPr>
          <w:p w14:paraId="705D198D" w14:textId="77777777" w:rsidR="00C325A1" w:rsidRPr="00C325A1" w:rsidRDefault="00C325A1" w:rsidP="00C325A1">
            <w:pPr>
              <w:jc w:val="center"/>
              <w:textAlignment w:val="center"/>
              <w:rPr>
                <w:rFonts w:ascii="Arial" w:hAnsi="Arial" w:cs="Arial"/>
                <w:color w:val="000000"/>
                <w:sz w:val="21"/>
                <w:szCs w:val="21"/>
              </w:rPr>
            </w:pPr>
            <w:r w:rsidRPr="00C325A1">
              <w:rPr>
                <w:rFonts w:ascii="Arial" w:hAnsi="Arial" w:cs="Arial" w:hint="eastAsia"/>
                <w:color w:val="000000"/>
                <w:sz w:val="21"/>
                <w:szCs w:val="21"/>
              </w:rPr>
              <w:t>高层</w:t>
            </w:r>
          </w:p>
        </w:tc>
        <w:tc>
          <w:tcPr>
            <w:tcW w:w="1838" w:type="dxa"/>
            <w:shd w:val="clear" w:color="auto" w:fill="auto"/>
            <w:vAlign w:val="center"/>
          </w:tcPr>
          <w:p w14:paraId="3EAA1994" w14:textId="7817CA58" w:rsidR="00C325A1" w:rsidRPr="00C325A1" w:rsidRDefault="00C325A1" w:rsidP="00C325A1">
            <w:pPr>
              <w:jc w:val="center"/>
              <w:rPr>
                <w:rFonts w:ascii="Arial" w:hAnsi="Arial" w:cs="Arial"/>
                <w:color w:val="000000"/>
                <w:sz w:val="21"/>
                <w:szCs w:val="21"/>
              </w:rPr>
            </w:pPr>
            <w:r w:rsidRPr="00C325A1">
              <w:rPr>
                <w:rFonts w:ascii="Arial" w:hAnsi="Arial" w:cs="Arial" w:hint="eastAsia"/>
                <w:color w:val="000000"/>
                <w:sz w:val="21"/>
                <w:szCs w:val="21"/>
              </w:rPr>
              <w:t>64000</w:t>
            </w:r>
          </w:p>
        </w:tc>
        <w:tc>
          <w:tcPr>
            <w:tcW w:w="1287" w:type="dxa"/>
            <w:shd w:val="clear" w:color="auto" w:fill="auto"/>
            <w:vAlign w:val="center"/>
          </w:tcPr>
          <w:p w14:paraId="1EA41736" w14:textId="460EB15F" w:rsidR="00C325A1" w:rsidRPr="00C325A1" w:rsidRDefault="00C325A1" w:rsidP="00C325A1">
            <w:pPr>
              <w:jc w:val="center"/>
              <w:rPr>
                <w:rFonts w:ascii="Arial" w:hAnsi="Arial" w:cs="Arial"/>
                <w:color w:val="000000"/>
                <w:sz w:val="21"/>
                <w:szCs w:val="21"/>
              </w:rPr>
            </w:pPr>
            <w:r w:rsidRPr="00C325A1">
              <w:rPr>
                <w:rFonts w:ascii="Arial" w:hAnsi="Arial" w:cs="Arial" w:hint="eastAsia"/>
                <w:color w:val="000000"/>
                <w:sz w:val="21"/>
                <w:szCs w:val="21"/>
              </w:rPr>
              <w:t>125</w:t>
            </w:r>
            <w:r>
              <w:rPr>
                <w:rFonts w:ascii="Arial" w:hAnsi="Arial" w:cs="Arial" w:hint="eastAsia"/>
                <w:color w:val="000000"/>
                <w:sz w:val="21"/>
                <w:szCs w:val="21"/>
              </w:rPr>
              <w:t>㎡</w:t>
            </w:r>
          </w:p>
        </w:tc>
        <w:tc>
          <w:tcPr>
            <w:tcW w:w="1612" w:type="dxa"/>
            <w:shd w:val="clear" w:color="auto" w:fill="auto"/>
            <w:vAlign w:val="center"/>
          </w:tcPr>
          <w:p w14:paraId="181B414B" w14:textId="77777777" w:rsidR="00C325A1" w:rsidRPr="00C325A1" w:rsidRDefault="00C325A1" w:rsidP="00C325A1">
            <w:pPr>
              <w:jc w:val="center"/>
              <w:rPr>
                <w:rFonts w:ascii="Arial" w:hAnsi="Arial" w:cs="Arial"/>
                <w:color w:val="000000"/>
                <w:sz w:val="21"/>
                <w:szCs w:val="21"/>
              </w:rPr>
            </w:pPr>
            <w:r w:rsidRPr="00C325A1">
              <w:rPr>
                <w:rFonts w:ascii="Arial" w:hAnsi="Arial" w:cs="Arial" w:hint="eastAsia"/>
                <w:color w:val="000000"/>
                <w:sz w:val="21"/>
                <w:szCs w:val="21"/>
              </w:rPr>
              <w:t>512</w:t>
            </w:r>
          </w:p>
        </w:tc>
        <w:tc>
          <w:tcPr>
            <w:tcW w:w="1529" w:type="dxa"/>
            <w:shd w:val="clear" w:color="auto" w:fill="auto"/>
            <w:vAlign w:val="center"/>
          </w:tcPr>
          <w:p w14:paraId="68A4A971" w14:textId="427D373D" w:rsidR="00C325A1" w:rsidRPr="00C325A1" w:rsidRDefault="00C325A1" w:rsidP="00C325A1">
            <w:pPr>
              <w:jc w:val="center"/>
              <w:rPr>
                <w:rFonts w:ascii="Arial" w:hAnsi="Arial" w:cs="Arial"/>
                <w:color w:val="000000"/>
                <w:sz w:val="21"/>
                <w:szCs w:val="21"/>
              </w:rPr>
            </w:pPr>
            <w:r w:rsidRPr="00C325A1">
              <w:rPr>
                <w:rFonts w:ascii="Arial" w:hAnsi="Arial" w:cs="Arial" w:hint="eastAsia"/>
                <w:color w:val="000000"/>
                <w:sz w:val="21"/>
                <w:szCs w:val="21"/>
              </w:rPr>
              <w:t>40%</w:t>
            </w:r>
          </w:p>
        </w:tc>
      </w:tr>
      <w:tr w:rsidR="00C325A1" w14:paraId="77B11EF7" w14:textId="77777777" w:rsidTr="00C325A1">
        <w:trPr>
          <w:trHeight w:val="454"/>
          <w:jc w:val="center"/>
        </w:trPr>
        <w:tc>
          <w:tcPr>
            <w:tcW w:w="1526" w:type="dxa"/>
            <w:vMerge/>
          </w:tcPr>
          <w:p w14:paraId="377573AD" w14:textId="77777777" w:rsidR="00C325A1" w:rsidRPr="00C325A1" w:rsidRDefault="00C325A1" w:rsidP="00C325A1">
            <w:pPr>
              <w:jc w:val="center"/>
              <w:rPr>
                <w:rFonts w:ascii="Arial" w:hAnsi="Arial" w:cs="Arial"/>
                <w:color w:val="000000"/>
                <w:sz w:val="21"/>
                <w:szCs w:val="21"/>
              </w:rPr>
            </w:pPr>
          </w:p>
        </w:tc>
        <w:tc>
          <w:tcPr>
            <w:tcW w:w="1134" w:type="dxa"/>
            <w:shd w:val="clear" w:color="auto" w:fill="auto"/>
            <w:vAlign w:val="center"/>
          </w:tcPr>
          <w:p w14:paraId="2FE3733D" w14:textId="77777777" w:rsidR="00C325A1" w:rsidRPr="00C325A1" w:rsidRDefault="00C325A1" w:rsidP="00C325A1">
            <w:pPr>
              <w:jc w:val="center"/>
              <w:textAlignment w:val="center"/>
              <w:rPr>
                <w:rFonts w:ascii="Arial" w:hAnsi="Arial" w:cs="Arial"/>
                <w:color w:val="000000"/>
                <w:sz w:val="21"/>
                <w:szCs w:val="21"/>
              </w:rPr>
            </w:pPr>
            <w:r w:rsidRPr="00C325A1">
              <w:rPr>
                <w:rFonts w:ascii="Arial" w:hAnsi="Arial" w:cs="Arial" w:hint="eastAsia"/>
                <w:color w:val="000000"/>
                <w:sz w:val="21"/>
                <w:szCs w:val="21"/>
              </w:rPr>
              <w:t>高层</w:t>
            </w:r>
          </w:p>
        </w:tc>
        <w:tc>
          <w:tcPr>
            <w:tcW w:w="1838" w:type="dxa"/>
            <w:shd w:val="clear" w:color="auto" w:fill="auto"/>
            <w:vAlign w:val="center"/>
          </w:tcPr>
          <w:p w14:paraId="43C8B843" w14:textId="43BA9565" w:rsidR="00C325A1" w:rsidRPr="00C325A1" w:rsidRDefault="00C325A1" w:rsidP="00C325A1">
            <w:pPr>
              <w:jc w:val="center"/>
              <w:rPr>
                <w:rFonts w:ascii="Arial" w:hAnsi="Arial" w:cs="Arial"/>
                <w:color w:val="000000"/>
                <w:sz w:val="21"/>
                <w:szCs w:val="21"/>
              </w:rPr>
            </w:pPr>
            <w:r w:rsidRPr="00C325A1">
              <w:rPr>
                <w:rFonts w:ascii="Arial" w:hAnsi="Arial" w:cs="Arial" w:hint="eastAsia"/>
                <w:color w:val="000000"/>
                <w:sz w:val="21"/>
                <w:szCs w:val="21"/>
              </w:rPr>
              <w:t>26880</w:t>
            </w:r>
          </w:p>
        </w:tc>
        <w:tc>
          <w:tcPr>
            <w:tcW w:w="1287" w:type="dxa"/>
            <w:shd w:val="clear" w:color="auto" w:fill="auto"/>
            <w:vAlign w:val="center"/>
          </w:tcPr>
          <w:p w14:paraId="0651B8A9" w14:textId="3CB76021" w:rsidR="00C325A1" w:rsidRPr="00C325A1" w:rsidRDefault="00C325A1" w:rsidP="00C325A1">
            <w:pPr>
              <w:jc w:val="center"/>
              <w:rPr>
                <w:rFonts w:ascii="Arial" w:hAnsi="Arial" w:cs="Arial"/>
                <w:color w:val="000000"/>
                <w:sz w:val="21"/>
                <w:szCs w:val="21"/>
              </w:rPr>
            </w:pPr>
            <w:r w:rsidRPr="00C325A1">
              <w:rPr>
                <w:rFonts w:ascii="Arial" w:hAnsi="Arial" w:cs="Arial" w:hint="eastAsia"/>
                <w:color w:val="000000"/>
                <w:sz w:val="21"/>
                <w:szCs w:val="21"/>
              </w:rPr>
              <w:t>140</w:t>
            </w:r>
            <w:r>
              <w:rPr>
                <w:rFonts w:ascii="Arial" w:hAnsi="Arial" w:cs="Arial" w:hint="eastAsia"/>
                <w:color w:val="000000"/>
                <w:sz w:val="21"/>
                <w:szCs w:val="21"/>
              </w:rPr>
              <w:t>㎡</w:t>
            </w:r>
          </w:p>
        </w:tc>
        <w:tc>
          <w:tcPr>
            <w:tcW w:w="1612" w:type="dxa"/>
            <w:shd w:val="clear" w:color="auto" w:fill="auto"/>
            <w:vAlign w:val="center"/>
          </w:tcPr>
          <w:p w14:paraId="0825E877" w14:textId="77777777" w:rsidR="00C325A1" w:rsidRPr="00C325A1" w:rsidRDefault="00C325A1" w:rsidP="00C325A1">
            <w:pPr>
              <w:jc w:val="center"/>
              <w:rPr>
                <w:rFonts w:ascii="Arial" w:hAnsi="Arial" w:cs="Arial"/>
                <w:color w:val="000000"/>
                <w:sz w:val="21"/>
                <w:szCs w:val="21"/>
              </w:rPr>
            </w:pPr>
            <w:r w:rsidRPr="00C325A1">
              <w:rPr>
                <w:rFonts w:ascii="Arial" w:hAnsi="Arial" w:cs="Arial" w:hint="eastAsia"/>
                <w:color w:val="000000"/>
                <w:sz w:val="21"/>
                <w:szCs w:val="21"/>
              </w:rPr>
              <w:t>192</w:t>
            </w:r>
          </w:p>
        </w:tc>
        <w:tc>
          <w:tcPr>
            <w:tcW w:w="1529" w:type="dxa"/>
            <w:shd w:val="clear" w:color="auto" w:fill="auto"/>
            <w:vAlign w:val="center"/>
          </w:tcPr>
          <w:p w14:paraId="3153D222" w14:textId="58BD03A3" w:rsidR="00C325A1" w:rsidRPr="00C325A1" w:rsidRDefault="00C325A1" w:rsidP="00C325A1">
            <w:pPr>
              <w:jc w:val="center"/>
              <w:rPr>
                <w:rFonts w:ascii="Arial" w:hAnsi="Arial" w:cs="Arial"/>
                <w:color w:val="000000"/>
                <w:sz w:val="21"/>
                <w:szCs w:val="21"/>
              </w:rPr>
            </w:pPr>
            <w:r w:rsidRPr="00C325A1">
              <w:rPr>
                <w:rFonts w:ascii="Arial" w:hAnsi="Arial" w:cs="Arial" w:hint="eastAsia"/>
                <w:color w:val="000000"/>
                <w:sz w:val="21"/>
                <w:szCs w:val="21"/>
              </w:rPr>
              <w:t>15%</w:t>
            </w:r>
          </w:p>
        </w:tc>
      </w:tr>
    </w:tbl>
    <w:p w14:paraId="74B4703A" w14:textId="77777777" w:rsidR="00C325A1" w:rsidRPr="00C63967" w:rsidRDefault="00C325A1" w:rsidP="00C325A1">
      <w:pPr>
        <w:adjustRightInd w:val="0"/>
        <w:snapToGrid w:val="0"/>
        <w:spacing w:line="480" w:lineRule="auto"/>
        <w:jc w:val="both"/>
        <w:rPr>
          <w:rFonts w:ascii="Arial" w:hAnsi="Arial" w:cs="Arial"/>
          <w:color w:val="000000"/>
          <w:sz w:val="21"/>
          <w:szCs w:val="21"/>
        </w:rPr>
      </w:pPr>
    </w:p>
    <w:p w14:paraId="121C71BC" w14:textId="77777777" w:rsidR="00E03EB1" w:rsidRPr="00E05368" w:rsidRDefault="00E03EB1" w:rsidP="00E03EB1">
      <w:pPr>
        <w:pStyle w:val="2"/>
        <w:spacing w:before="0" w:after="0" w:line="480" w:lineRule="auto"/>
        <w:jc w:val="both"/>
        <w:rPr>
          <w:rFonts w:eastAsia="宋体" w:cs="Arial"/>
          <w:sz w:val="21"/>
          <w:szCs w:val="21"/>
        </w:rPr>
      </w:pPr>
      <w:bookmarkStart w:id="92" w:name="_Toc109012099"/>
      <w:bookmarkStart w:id="93" w:name="_Toc109118448"/>
      <w:bookmarkStart w:id="94" w:name="_Toc118531914"/>
      <w:bookmarkStart w:id="95" w:name="_Toc74250063"/>
      <w:bookmarkStart w:id="96" w:name="_Toc74662893"/>
      <w:r w:rsidRPr="00E05368">
        <w:rPr>
          <w:rFonts w:eastAsia="宋体" w:cs="Arial" w:hint="eastAsia"/>
          <w:sz w:val="21"/>
          <w:szCs w:val="21"/>
        </w:rPr>
        <w:t>二</w:t>
      </w:r>
      <w:r w:rsidRPr="00E05368">
        <w:rPr>
          <w:rFonts w:eastAsia="宋体" w:cs="Arial"/>
          <w:sz w:val="21"/>
          <w:szCs w:val="21"/>
        </w:rPr>
        <w:t>、项目工程建设进程评价</w:t>
      </w:r>
      <w:bookmarkEnd w:id="92"/>
      <w:bookmarkEnd w:id="93"/>
      <w:bookmarkEnd w:id="94"/>
      <w:bookmarkEnd w:id="95"/>
      <w:bookmarkEnd w:id="96"/>
    </w:p>
    <w:p w14:paraId="6843F217" w14:textId="77777777" w:rsidR="00E03EB1" w:rsidRPr="00E05368" w:rsidRDefault="00E03EB1" w:rsidP="00E03EB1">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1</w:t>
      </w:r>
      <w:r w:rsidRPr="00E05368">
        <w:rPr>
          <w:rFonts w:ascii="Arial" w:hAnsi="Arial" w:cs="Arial"/>
          <w:color w:val="000000"/>
          <w:sz w:val="21"/>
          <w:szCs w:val="21"/>
        </w:rPr>
        <w:t>、建设项目</w:t>
      </w:r>
      <w:r w:rsidRPr="00E05368">
        <w:rPr>
          <w:rFonts w:ascii="Arial" w:hAnsi="Arial" w:cs="Arial"/>
          <w:sz w:val="21"/>
          <w:szCs w:val="21"/>
        </w:rPr>
        <w:t>已经取得政府相关部门的</w:t>
      </w:r>
      <w:r w:rsidRPr="00E05368">
        <w:rPr>
          <w:rFonts w:ascii="Arial" w:hAnsi="Arial" w:cs="Arial"/>
          <w:color w:val="000000"/>
          <w:sz w:val="21"/>
          <w:szCs w:val="21"/>
        </w:rPr>
        <w:t>批准文件如下：</w:t>
      </w:r>
    </w:p>
    <w:p w14:paraId="294E6653" w14:textId="4AD56ECE" w:rsidR="00BC4BB5" w:rsidRDefault="00E03EB1" w:rsidP="00E03EB1">
      <w:pPr>
        <w:widowControl w:val="0"/>
        <w:adjustRightInd w:val="0"/>
        <w:snapToGrid w:val="0"/>
        <w:spacing w:line="480" w:lineRule="auto"/>
        <w:ind w:firstLineChars="200" w:firstLine="420"/>
        <w:jc w:val="both"/>
        <w:rPr>
          <w:rFonts w:ascii="Arial" w:hAnsi="Arial" w:cs="Arial"/>
          <w:sz w:val="21"/>
          <w:szCs w:val="21"/>
        </w:rPr>
      </w:pPr>
      <w:r w:rsidRPr="00E05368">
        <w:rPr>
          <w:rFonts w:ascii="Arial" w:hAnsi="Arial" w:cs="Arial" w:hint="eastAsia"/>
          <w:sz w:val="21"/>
          <w:szCs w:val="21"/>
        </w:rPr>
        <w:t>截至本报告出具日，</w:t>
      </w:r>
      <w:r w:rsidR="00D84F6D">
        <w:rPr>
          <w:rFonts w:ascii="Arial" w:hAnsi="Arial" w:cs="Arial" w:hint="eastAsia"/>
          <w:sz w:val="21"/>
          <w:szCs w:val="21"/>
        </w:rPr>
        <w:t>项目</w:t>
      </w:r>
      <w:r w:rsidR="00BF4581" w:rsidRPr="00BF4581">
        <w:rPr>
          <w:rFonts w:ascii="Arial" w:hAnsi="Arial" w:cs="Arial"/>
          <w:color w:val="000000"/>
          <w:sz w:val="21"/>
          <w:szCs w:val="21"/>
        </w:rPr>
        <w:t>尚未取得《国有建设用地使用权出让合同》及《不动产权证书》</w:t>
      </w:r>
      <w:r w:rsidR="00BF4581">
        <w:rPr>
          <w:rFonts w:ascii="Arial" w:hAnsi="Arial" w:cs="Arial" w:hint="eastAsia"/>
          <w:color w:val="000000"/>
          <w:sz w:val="21"/>
          <w:szCs w:val="21"/>
        </w:rPr>
        <w:t>，</w:t>
      </w:r>
      <w:r w:rsidR="002768AA" w:rsidRPr="00E05368">
        <w:rPr>
          <w:rFonts w:ascii="Arial" w:hAnsi="Arial" w:cs="Arial" w:hint="eastAsia"/>
          <w:sz w:val="21"/>
          <w:szCs w:val="21"/>
        </w:rPr>
        <w:t>建设</w:t>
      </w:r>
      <w:r w:rsidR="002768AA" w:rsidRPr="00E05368">
        <w:rPr>
          <w:rFonts w:ascii="Arial" w:hAnsi="Arial" w:cs="Arial"/>
          <w:sz w:val="21"/>
          <w:szCs w:val="21"/>
        </w:rPr>
        <w:t>单位</w:t>
      </w:r>
      <w:r w:rsidR="002768AA" w:rsidRPr="00E05368">
        <w:rPr>
          <w:rFonts w:ascii="Arial" w:hAnsi="Arial" w:cs="Arial" w:hint="eastAsia"/>
          <w:sz w:val="21"/>
          <w:szCs w:val="21"/>
        </w:rPr>
        <w:t>尚未缴清</w:t>
      </w:r>
      <w:r w:rsidR="00F668F7">
        <w:rPr>
          <w:rFonts w:ascii="Arial" w:hAnsi="Arial" w:cs="Arial" w:hint="eastAsia"/>
          <w:sz w:val="21"/>
          <w:szCs w:val="21"/>
        </w:rPr>
        <w:t>全部</w:t>
      </w:r>
      <w:r w:rsidR="002768AA" w:rsidRPr="00E05368">
        <w:rPr>
          <w:rFonts w:ascii="Arial" w:hAnsi="Arial" w:cs="Arial" w:hint="eastAsia"/>
          <w:sz w:val="21"/>
          <w:szCs w:val="21"/>
        </w:rPr>
        <w:t>地价款及</w:t>
      </w:r>
      <w:r w:rsidR="002768AA" w:rsidRPr="00E05368">
        <w:rPr>
          <w:rFonts w:ascii="Arial" w:hAnsi="Arial" w:cs="Arial"/>
          <w:sz w:val="21"/>
          <w:szCs w:val="21"/>
        </w:rPr>
        <w:t>契税、印花税</w:t>
      </w:r>
      <w:r w:rsidRPr="00E05368">
        <w:rPr>
          <w:rFonts w:ascii="Arial" w:hAnsi="Arial" w:cs="Arial" w:hint="eastAsia"/>
          <w:sz w:val="21"/>
          <w:szCs w:val="21"/>
        </w:rPr>
        <w:t>。</w:t>
      </w:r>
      <w:r w:rsidR="00BC4BB5">
        <w:rPr>
          <w:rFonts w:ascii="Arial" w:hAnsi="Arial" w:cs="Arial" w:hint="eastAsia"/>
          <w:sz w:val="21"/>
          <w:szCs w:val="21"/>
        </w:rPr>
        <w:t>根据建设单位介绍，项目</w:t>
      </w:r>
      <w:r w:rsidR="00BC4BB5">
        <w:rPr>
          <w:rFonts w:ascii="Arial" w:hAnsi="Arial" w:cs="Arial"/>
          <w:sz w:val="21"/>
          <w:szCs w:val="21"/>
        </w:rPr>
        <w:t>预计于</w:t>
      </w:r>
      <w:r w:rsidR="00BC4BB5">
        <w:rPr>
          <w:rFonts w:ascii="Arial" w:hAnsi="Arial" w:cs="Arial" w:hint="eastAsia"/>
          <w:sz w:val="21"/>
          <w:szCs w:val="21"/>
        </w:rPr>
        <w:t>2021</w:t>
      </w:r>
      <w:r w:rsidR="00BC4BB5" w:rsidRPr="00FB16C3">
        <w:rPr>
          <w:rFonts w:ascii="Arial" w:hAnsi="Arial" w:cs="Arial" w:hint="eastAsia"/>
          <w:sz w:val="21"/>
          <w:szCs w:val="21"/>
        </w:rPr>
        <w:t>年</w:t>
      </w:r>
      <w:r w:rsidR="000525F8" w:rsidRPr="00FB16C3">
        <w:rPr>
          <w:rFonts w:ascii="Arial" w:hAnsi="Arial" w:cs="Arial" w:hint="eastAsia"/>
          <w:sz w:val="21"/>
          <w:szCs w:val="21"/>
        </w:rPr>
        <w:t>8</w:t>
      </w:r>
      <w:r w:rsidR="00BC4BB5" w:rsidRPr="00FB16C3">
        <w:rPr>
          <w:rFonts w:ascii="Arial" w:hAnsi="Arial" w:cs="Arial" w:hint="eastAsia"/>
          <w:sz w:val="21"/>
          <w:szCs w:val="21"/>
        </w:rPr>
        <w:t>月</w:t>
      </w:r>
      <w:r w:rsidR="00BC4BB5">
        <w:rPr>
          <w:rFonts w:ascii="Arial" w:hAnsi="Arial" w:cs="Arial"/>
          <w:sz w:val="21"/>
          <w:szCs w:val="21"/>
        </w:rPr>
        <w:t>缴清全部地价款后</w:t>
      </w:r>
      <w:r w:rsidR="00BC4BB5">
        <w:rPr>
          <w:rFonts w:ascii="Arial" w:hAnsi="Arial" w:cs="Arial" w:hint="eastAsia"/>
          <w:sz w:val="21"/>
          <w:szCs w:val="21"/>
        </w:rPr>
        <w:t>取得</w:t>
      </w:r>
      <w:r w:rsidR="00BC4BB5">
        <w:rPr>
          <w:rFonts w:ascii="Arial" w:hAnsi="Arial" w:cs="Arial"/>
          <w:sz w:val="21"/>
          <w:szCs w:val="21"/>
        </w:rPr>
        <w:t>《</w:t>
      </w:r>
      <w:r w:rsidR="00BC4BB5">
        <w:rPr>
          <w:rFonts w:ascii="Arial" w:hAnsi="Arial" w:cs="Arial" w:hint="eastAsia"/>
          <w:sz w:val="21"/>
          <w:szCs w:val="21"/>
        </w:rPr>
        <w:t>不动产权</w:t>
      </w:r>
      <w:r w:rsidR="00BC4BB5">
        <w:rPr>
          <w:rFonts w:ascii="Arial" w:hAnsi="Arial" w:cs="Arial"/>
          <w:sz w:val="21"/>
          <w:szCs w:val="21"/>
        </w:rPr>
        <w:t>证书》</w:t>
      </w:r>
      <w:r w:rsidR="00BC4BB5">
        <w:rPr>
          <w:rFonts w:ascii="Arial" w:hAnsi="Arial" w:cs="Arial" w:hint="eastAsia"/>
          <w:sz w:val="21"/>
          <w:szCs w:val="21"/>
        </w:rPr>
        <w:t>。</w:t>
      </w:r>
    </w:p>
    <w:p w14:paraId="74390092" w14:textId="4EB163CC" w:rsidR="00E03EB1" w:rsidRPr="00E05368" w:rsidRDefault="00BC4BB5" w:rsidP="00E03EB1">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截至</w:t>
      </w:r>
      <w:r>
        <w:rPr>
          <w:rFonts w:ascii="Arial" w:hAnsi="Arial" w:cs="Arial"/>
          <w:sz w:val="21"/>
          <w:szCs w:val="21"/>
        </w:rPr>
        <w:t>报告出具日，建设单位未能提供详细的证照</w:t>
      </w:r>
      <w:r>
        <w:rPr>
          <w:rFonts w:ascii="Arial" w:hAnsi="Arial" w:cs="Arial" w:hint="eastAsia"/>
          <w:sz w:val="21"/>
          <w:szCs w:val="21"/>
        </w:rPr>
        <w:t>获取</w:t>
      </w:r>
      <w:r>
        <w:rPr>
          <w:rFonts w:ascii="Arial" w:hAnsi="Arial" w:cs="Arial"/>
          <w:sz w:val="21"/>
          <w:szCs w:val="21"/>
        </w:rPr>
        <w:t>时间安排。</w:t>
      </w:r>
    </w:p>
    <w:p w14:paraId="7668019E" w14:textId="77777777" w:rsidR="00E03EB1" w:rsidRPr="00E05368" w:rsidRDefault="00E03EB1" w:rsidP="00E03EB1">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2</w:t>
      </w:r>
      <w:r w:rsidRPr="00E05368">
        <w:rPr>
          <w:rFonts w:ascii="Arial" w:hAnsi="Arial" w:cs="Arial"/>
          <w:color w:val="000000"/>
          <w:sz w:val="21"/>
          <w:szCs w:val="21"/>
        </w:rPr>
        <w:t>、项目工程进度说明</w:t>
      </w:r>
    </w:p>
    <w:p w14:paraId="0F12FE8A" w14:textId="77777777" w:rsidR="00E03EB1" w:rsidRPr="00E05368" w:rsidRDefault="00E03EB1" w:rsidP="00E03EB1">
      <w:pPr>
        <w:widowControl w:val="0"/>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hint="eastAsia"/>
          <w:color w:val="000000"/>
          <w:sz w:val="21"/>
          <w:szCs w:val="21"/>
        </w:rPr>
        <w:t>（</w:t>
      </w:r>
      <w:r w:rsidRPr="00E05368">
        <w:rPr>
          <w:rFonts w:ascii="Arial" w:hAnsi="Arial" w:cs="Arial" w:hint="eastAsia"/>
          <w:color w:val="000000"/>
          <w:sz w:val="21"/>
          <w:szCs w:val="21"/>
        </w:rPr>
        <w:t>1</w:t>
      </w:r>
      <w:r w:rsidRPr="00E05368">
        <w:rPr>
          <w:rFonts w:ascii="Arial" w:hAnsi="Arial" w:cs="Arial" w:hint="eastAsia"/>
          <w:color w:val="000000"/>
          <w:sz w:val="21"/>
          <w:szCs w:val="21"/>
        </w:rPr>
        <w:t>）建设进度</w:t>
      </w:r>
    </w:p>
    <w:p w14:paraId="66BBBC70" w14:textId="2FCA7663" w:rsidR="00E03EB1" w:rsidRDefault="00BF4581" w:rsidP="00BF4581">
      <w:pPr>
        <w:widowControl w:val="0"/>
        <w:adjustRightInd w:val="0"/>
        <w:snapToGrid w:val="0"/>
        <w:spacing w:line="480" w:lineRule="auto"/>
        <w:ind w:firstLineChars="200" w:firstLine="420"/>
        <w:jc w:val="both"/>
        <w:rPr>
          <w:rFonts w:ascii="Arial" w:hAnsi="Arial" w:cs="Arial"/>
          <w:sz w:val="21"/>
          <w:szCs w:val="21"/>
        </w:rPr>
      </w:pPr>
      <w:r w:rsidRPr="00BF4581">
        <w:rPr>
          <w:rFonts w:ascii="Arial" w:hAnsi="Arial" w:cs="Arial" w:hint="eastAsia"/>
          <w:sz w:val="21"/>
          <w:szCs w:val="21"/>
        </w:rPr>
        <w:t>项目预计</w:t>
      </w:r>
      <w:r w:rsidRPr="00BF4581">
        <w:rPr>
          <w:rFonts w:ascii="Arial" w:hAnsi="Arial" w:cs="Arial"/>
          <w:sz w:val="21"/>
          <w:szCs w:val="21"/>
        </w:rPr>
        <w:t>2021</w:t>
      </w:r>
      <w:r w:rsidRPr="00BF4581">
        <w:rPr>
          <w:rFonts w:ascii="Arial" w:hAnsi="Arial" w:cs="Arial"/>
          <w:sz w:val="21"/>
          <w:szCs w:val="21"/>
        </w:rPr>
        <w:t>年</w:t>
      </w:r>
      <w:r w:rsidRPr="00BF4581">
        <w:rPr>
          <w:rFonts w:ascii="Arial" w:hAnsi="Arial" w:cs="Arial"/>
          <w:sz w:val="21"/>
          <w:szCs w:val="21"/>
        </w:rPr>
        <w:t>10</w:t>
      </w:r>
      <w:r w:rsidRPr="00BF4581">
        <w:rPr>
          <w:rFonts w:ascii="Arial" w:hAnsi="Arial" w:cs="Arial"/>
          <w:sz w:val="21"/>
          <w:szCs w:val="21"/>
        </w:rPr>
        <w:t>月动工，预计在</w:t>
      </w:r>
      <w:r w:rsidRPr="00BF4581">
        <w:rPr>
          <w:rFonts w:ascii="Arial" w:hAnsi="Arial" w:cs="Arial"/>
          <w:sz w:val="21"/>
          <w:szCs w:val="21"/>
        </w:rPr>
        <w:t>2022</w:t>
      </w:r>
      <w:r w:rsidRPr="00BF4581">
        <w:rPr>
          <w:rFonts w:ascii="Arial" w:hAnsi="Arial" w:cs="Arial"/>
          <w:sz w:val="21"/>
          <w:szCs w:val="21"/>
        </w:rPr>
        <w:t>年</w:t>
      </w:r>
      <w:r w:rsidRPr="00BF4581">
        <w:rPr>
          <w:rFonts w:ascii="Arial" w:hAnsi="Arial" w:cs="Arial"/>
          <w:sz w:val="21"/>
          <w:szCs w:val="21"/>
        </w:rPr>
        <w:t>3</w:t>
      </w:r>
      <w:r w:rsidRPr="00BF4581">
        <w:rPr>
          <w:rFonts w:ascii="Arial" w:hAnsi="Arial" w:cs="Arial"/>
          <w:sz w:val="21"/>
          <w:szCs w:val="21"/>
        </w:rPr>
        <w:t>月左右开盘</w:t>
      </w:r>
      <w:r w:rsidR="00E03EB1" w:rsidRPr="00E05368">
        <w:rPr>
          <w:rFonts w:ascii="Arial" w:hAnsi="Arial" w:cs="Arial" w:hint="eastAsia"/>
          <w:sz w:val="21"/>
          <w:szCs w:val="21"/>
        </w:rPr>
        <w:t>，具体</w:t>
      </w:r>
      <w:r w:rsidR="00BB13CC" w:rsidRPr="00BB13CC">
        <w:rPr>
          <w:rFonts w:ascii="Arial" w:hAnsi="Arial" w:cs="Arial" w:hint="eastAsia"/>
          <w:sz w:val="21"/>
          <w:szCs w:val="21"/>
        </w:rPr>
        <w:t>项目开发进度</w:t>
      </w:r>
      <w:r w:rsidR="00E03EB1" w:rsidRPr="00E05368">
        <w:rPr>
          <w:rFonts w:ascii="Arial" w:hAnsi="Arial" w:cs="Arial" w:hint="eastAsia"/>
          <w:sz w:val="21"/>
          <w:szCs w:val="21"/>
        </w:rPr>
        <w:t>如下：</w:t>
      </w:r>
    </w:p>
    <w:tbl>
      <w:tblPr>
        <w:tblW w:w="9299" w:type="dxa"/>
        <w:tblLook w:val="04A0" w:firstRow="1" w:lastRow="0" w:firstColumn="1" w:lastColumn="0" w:noHBand="0" w:noVBand="1"/>
      </w:tblPr>
      <w:tblGrid>
        <w:gridCol w:w="1186"/>
        <w:gridCol w:w="2538"/>
        <w:gridCol w:w="3013"/>
        <w:gridCol w:w="2562"/>
      </w:tblGrid>
      <w:tr w:rsidR="00BF4581" w14:paraId="09DA15FF" w14:textId="77777777" w:rsidTr="00BB13CC">
        <w:trPr>
          <w:trHeight w:val="133"/>
          <w:tblHeader/>
        </w:trPr>
        <w:tc>
          <w:tcPr>
            <w:tcW w:w="1186" w:type="dxa"/>
            <w:tcBorders>
              <w:top w:val="nil"/>
              <w:left w:val="single" w:sz="4" w:space="0" w:color="auto"/>
              <w:bottom w:val="single" w:sz="4" w:space="0" w:color="auto"/>
              <w:right w:val="single" w:sz="4" w:space="0" w:color="auto"/>
            </w:tcBorders>
            <w:shd w:val="clear" w:color="000000" w:fill="0070C0"/>
            <w:noWrap/>
            <w:vAlign w:val="center"/>
          </w:tcPr>
          <w:p w14:paraId="46C296CC" w14:textId="77777777" w:rsidR="00BF4581" w:rsidRDefault="00BF4581" w:rsidP="00720CAE">
            <w:pPr>
              <w:jc w:val="center"/>
              <w:rPr>
                <w:rFonts w:ascii="微软雅黑" w:eastAsia="微软雅黑" w:hAnsi="微软雅黑"/>
                <w:b/>
                <w:bCs/>
                <w:color w:val="FFFFFF"/>
                <w:sz w:val="16"/>
                <w:szCs w:val="16"/>
              </w:rPr>
            </w:pPr>
            <w:r>
              <w:rPr>
                <w:rFonts w:ascii="微软雅黑" w:eastAsia="微软雅黑" w:hAnsi="微软雅黑" w:hint="eastAsia"/>
                <w:b/>
                <w:bCs/>
                <w:color w:val="FFFFFF"/>
                <w:sz w:val="16"/>
                <w:szCs w:val="16"/>
              </w:rPr>
              <w:t xml:space="preserve"> 序号 </w:t>
            </w:r>
          </w:p>
        </w:tc>
        <w:tc>
          <w:tcPr>
            <w:tcW w:w="2538" w:type="dxa"/>
            <w:tcBorders>
              <w:top w:val="nil"/>
              <w:left w:val="nil"/>
              <w:bottom w:val="single" w:sz="4" w:space="0" w:color="auto"/>
              <w:right w:val="single" w:sz="4" w:space="0" w:color="auto"/>
            </w:tcBorders>
            <w:shd w:val="clear" w:color="000000" w:fill="0070C0"/>
            <w:noWrap/>
            <w:vAlign w:val="center"/>
          </w:tcPr>
          <w:p w14:paraId="321FF603" w14:textId="77777777" w:rsidR="00BF4581" w:rsidRDefault="00BF4581" w:rsidP="00720CAE">
            <w:pPr>
              <w:jc w:val="center"/>
              <w:rPr>
                <w:rFonts w:ascii="微软雅黑" w:eastAsia="微软雅黑" w:hAnsi="微软雅黑"/>
                <w:b/>
                <w:bCs/>
                <w:color w:val="FFFFFF"/>
                <w:sz w:val="16"/>
                <w:szCs w:val="16"/>
              </w:rPr>
            </w:pPr>
            <w:r>
              <w:rPr>
                <w:rFonts w:ascii="微软雅黑" w:eastAsia="微软雅黑" w:hAnsi="微软雅黑" w:hint="eastAsia"/>
                <w:b/>
                <w:bCs/>
                <w:color w:val="FFFFFF"/>
                <w:sz w:val="16"/>
                <w:szCs w:val="16"/>
              </w:rPr>
              <w:t xml:space="preserve"> 总控计划 </w:t>
            </w:r>
          </w:p>
        </w:tc>
        <w:tc>
          <w:tcPr>
            <w:tcW w:w="3013" w:type="dxa"/>
            <w:tcBorders>
              <w:top w:val="nil"/>
              <w:left w:val="nil"/>
              <w:bottom w:val="single" w:sz="4" w:space="0" w:color="auto"/>
              <w:right w:val="single" w:sz="4" w:space="0" w:color="auto"/>
            </w:tcBorders>
            <w:shd w:val="clear" w:color="000000" w:fill="0070C0"/>
            <w:vAlign w:val="center"/>
          </w:tcPr>
          <w:p w14:paraId="0F2DAC22" w14:textId="77777777" w:rsidR="00BF4581" w:rsidRDefault="00BF4581" w:rsidP="00720CAE">
            <w:pPr>
              <w:jc w:val="center"/>
              <w:rPr>
                <w:rFonts w:ascii="微软雅黑" w:eastAsia="微软雅黑" w:hAnsi="微软雅黑"/>
                <w:b/>
                <w:bCs/>
                <w:color w:val="FFFFFF"/>
                <w:sz w:val="16"/>
                <w:szCs w:val="16"/>
              </w:rPr>
            </w:pPr>
            <w:r>
              <w:rPr>
                <w:rFonts w:ascii="微软雅黑" w:eastAsia="微软雅黑" w:hAnsi="微软雅黑" w:hint="eastAsia"/>
                <w:b/>
                <w:bCs/>
                <w:color w:val="FFFFFF"/>
                <w:sz w:val="16"/>
                <w:szCs w:val="16"/>
              </w:rPr>
              <w:t xml:space="preserve"> </w:t>
            </w:r>
            <w:proofErr w:type="gramStart"/>
            <w:r>
              <w:rPr>
                <w:rFonts w:ascii="微软雅黑" w:eastAsia="微软雅黑" w:hAnsi="微软雅黑" w:hint="eastAsia"/>
                <w:b/>
                <w:bCs/>
                <w:color w:val="FFFFFF"/>
                <w:sz w:val="16"/>
                <w:szCs w:val="16"/>
              </w:rPr>
              <w:t>距项目</w:t>
            </w:r>
            <w:proofErr w:type="gramEnd"/>
            <w:r>
              <w:rPr>
                <w:rFonts w:ascii="微软雅黑" w:eastAsia="微软雅黑" w:hAnsi="微软雅黑" w:hint="eastAsia"/>
                <w:b/>
                <w:bCs/>
                <w:color w:val="FFFFFF"/>
                <w:sz w:val="16"/>
                <w:szCs w:val="16"/>
              </w:rPr>
              <w:t xml:space="preserve">获取（月） </w:t>
            </w:r>
          </w:p>
        </w:tc>
        <w:tc>
          <w:tcPr>
            <w:tcW w:w="2562" w:type="dxa"/>
            <w:tcBorders>
              <w:top w:val="nil"/>
              <w:left w:val="nil"/>
              <w:bottom w:val="single" w:sz="4" w:space="0" w:color="auto"/>
              <w:right w:val="single" w:sz="4" w:space="0" w:color="auto"/>
            </w:tcBorders>
            <w:shd w:val="clear" w:color="000000" w:fill="0070C0"/>
            <w:noWrap/>
            <w:vAlign w:val="center"/>
          </w:tcPr>
          <w:p w14:paraId="66313C10" w14:textId="77777777" w:rsidR="00BF4581" w:rsidRDefault="00BF4581" w:rsidP="00720CAE">
            <w:pPr>
              <w:jc w:val="center"/>
              <w:rPr>
                <w:rFonts w:ascii="微软雅黑" w:eastAsia="微软雅黑" w:hAnsi="微软雅黑"/>
                <w:b/>
                <w:bCs/>
                <w:color w:val="FFFFFF"/>
                <w:sz w:val="16"/>
                <w:szCs w:val="16"/>
              </w:rPr>
            </w:pPr>
            <w:r>
              <w:rPr>
                <w:rFonts w:ascii="微软雅黑" w:eastAsia="微软雅黑" w:hAnsi="微软雅黑" w:hint="eastAsia"/>
                <w:b/>
                <w:bCs/>
                <w:color w:val="FFFFFF"/>
                <w:sz w:val="16"/>
                <w:szCs w:val="16"/>
              </w:rPr>
              <w:t xml:space="preserve"> 完成时间 </w:t>
            </w:r>
          </w:p>
        </w:tc>
      </w:tr>
      <w:tr w:rsidR="00BF4581" w14:paraId="766973B2" w14:textId="77777777" w:rsidTr="00BB13CC">
        <w:trPr>
          <w:trHeight w:val="133"/>
        </w:trPr>
        <w:tc>
          <w:tcPr>
            <w:tcW w:w="1186" w:type="dxa"/>
            <w:tcBorders>
              <w:top w:val="nil"/>
              <w:left w:val="single" w:sz="4" w:space="0" w:color="auto"/>
              <w:bottom w:val="single" w:sz="4" w:space="0" w:color="auto"/>
              <w:right w:val="single" w:sz="4" w:space="0" w:color="auto"/>
            </w:tcBorders>
            <w:shd w:val="clear" w:color="000000" w:fill="D9D9D9"/>
            <w:noWrap/>
            <w:vAlign w:val="center"/>
          </w:tcPr>
          <w:p w14:paraId="0E8A857F" w14:textId="77777777" w:rsidR="00BF4581" w:rsidRDefault="00BF4581" w:rsidP="00720CAE">
            <w:pPr>
              <w:jc w:val="center"/>
              <w:rPr>
                <w:rFonts w:ascii="微软雅黑" w:eastAsia="微软雅黑" w:hAnsi="微软雅黑"/>
                <w:b/>
                <w:bCs/>
                <w:color w:val="000000"/>
                <w:sz w:val="16"/>
                <w:szCs w:val="16"/>
              </w:rPr>
            </w:pPr>
            <w:r>
              <w:rPr>
                <w:rFonts w:ascii="微软雅黑" w:eastAsia="微软雅黑" w:hAnsi="微软雅黑" w:hint="eastAsia"/>
                <w:b/>
                <w:bCs/>
                <w:color w:val="000000"/>
                <w:sz w:val="16"/>
                <w:szCs w:val="16"/>
              </w:rPr>
              <w:t xml:space="preserve">　</w:t>
            </w:r>
          </w:p>
        </w:tc>
        <w:tc>
          <w:tcPr>
            <w:tcW w:w="2538" w:type="dxa"/>
            <w:tcBorders>
              <w:top w:val="nil"/>
              <w:left w:val="nil"/>
              <w:bottom w:val="single" w:sz="4" w:space="0" w:color="auto"/>
              <w:right w:val="single" w:sz="4" w:space="0" w:color="auto"/>
            </w:tcBorders>
            <w:shd w:val="clear" w:color="000000" w:fill="D9D9D9"/>
            <w:noWrap/>
            <w:vAlign w:val="center"/>
          </w:tcPr>
          <w:p w14:paraId="733012E7" w14:textId="77777777" w:rsidR="00BF4581" w:rsidRDefault="00BF4581" w:rsidP="00720CAE">
            <w:pPr>
              <w:jc w:val="center"/>
              <w:rPr>
                <w:rFonts w:ascii="微软雅黑" w:eastAsia="微软雅黑" w:hAnsi="微软雅黑"/>
                <w:color w:val="000000"/>
                <w:sz w:val="16"/>
                <w:szCs w:val="16"/>
              </w:rPr>
            </w:pPr>
            <w:r>
              <w:rPr>
                <w:rFonts w:ascii="微软雅黑" w:eastAsia="微软雅黑" w:hAnsi="微软雅黑" w:hint="eastAsia"/>
                <w:color w:val="000000"/>
                <w:sz w:val="16"/>
                <w:szCs w:val="16"/>
              </w:rPr>
              <w:t xml:space="preserve"> 项目获取 </w:t>
            </w:r>
          </w:p>
        </w:tc>
        <w:tc>
          <w:tcPr>
            <w:tcW w:w="3013" w:type="dxa"/>
            <w:tcBorders>
              <w:top w:val="nil"/>
              <w:left w:val="nil"/>
              <w:bottom w:val="single" w:sz="4" w:space="0" w:color="auto"/>
              <w:right w:val="single" w:sz="4" w:space="0" w:color="auto"/>
            </w:tcBorders>
            <w:shd w:val="clear" w:color="000000" w:fill="D9D9D9"/>
            <w:noWrap/>
            <w:vAlign w:val="center"/>
          </w:tcPr>
          <w:p w14:paraId="165229D9" w14:textId="77777777" w:rsidR="00BF4581" w:rsidRDefault="00BF4581" w:rsidP="00720CAE">
            <w:pPr>
              <w:jc w:val="center"/>
              <w:rPr>
                <w:rFonts w:ascii="微软雅黑" w:eastAsia="微软雅黑" w:hAnsi="微软雅黑"/>
                <w:b/>
                <w:bCs/>
                <w:color w:val="000000"/>
                <w:sz w:val="16"/>
                <w:szCs w:val="16"/>
              </w:rPr>
            </w:pPr>
            <w:r>
              <w:rPr>
                <w:rFonts w:ascii="微软雅黑" w:eastAsia="微软雅黑" w:hAnsi="微软雅黑" w:hint="eastAsia"/>
                <w:b/>
                <w:bCs/>
                <w:color w:val="000000"/>
                <w:sz w:val="16"/>
                <w:szCs w:val="16"/>
              </w:rPr>
              <w:t xml:space="preserve">　</w:t>
            </w:r>
          </w:p>
        </w:tc>
        <w:tc>
          <w:tcPr>
            <w:tcW w:w="2562" w:type="dxa"/>
            <w:tcBorders>
              <w:top w:val="nil"/>
              <w:left w:val="nil"/>
              <w:bottom w:val="single" w:sz="4" w:space="0" w:color="auto"/>
              <w:right w:val="single" w:sz="4" w:space="0" w:color="auto"/>
            </w:tcBorders>
            <w:shd w:val="clear" w:color="000000" w:fill="D9D9D9"/>
            <w:noWrap/>
            <w:vAlign w:val="center"/>
          </w:tcPr>
          <w:p w14:paraId="691C1BF5" w14:textId="77777777" w:rsidR="00BF4581" w:rsidRDefault="00BF4581" w:rsidP="00720CAE">
            <w:pPr>
              <w:jc w:val="center"/>
              <w:rPr>
                <w:rFonts w:ascii="微软雅黑" w:eastAsia="微软雅黑" w:hAnsi="微软雅黑"/>
                <w:sz w:val="16"/>
                <w:szCs w:val="16"/>
              </w:rPr>
            </w:pPr>
            <w:r>
              <w:rPr>
                <w:rFonts w:ascii="微软雅黑" w:eastAsia="微软雅黑" w:hAnsi="微软雅黑" w:hint="eastAsia"/>
                <w:sz w:val="16"/>
                <w:szCs w:val="16"/>
              </w:rPr>
              <w:t>2021/5/20</w:t>
            </w:r>
          </w:p>
        </w:tc>
      </w:tr>
      <w:tr w:rsidR="00BF4581" w14:paraId="5143E262" w14:textId="77777777" w:rsidTr="00BB13CC">
        <w:trPr>
          <w:trHeight w:val="133"/>
        </w:trPr>
        <w:tc>
          <w:tcPr>
            <w:tcW w:w="1186" w:type="dxa"/>
            <w:tcBorders>
              <w:top w:val="nil"/>
              <w:left w:val="single" w:sz="4" w:space="0" w:color="auto"/>
              <w:bottom w:val="single" w:sz="4" w:space="0" w:color="auto"/>
              <w:right w:val="single" w:sz="4" w:space="0" w:color="auto"/>
            </w:tcBorders>
            <w:shd w:val="clear" w:color="000000" w:fill="D9D9D9"/>
            <w:noWrap/>
            <w:vAlign w:val="center"/>
          </w:tcPr>
          <w:p w14:paraId="468870DF" w14:textId="77777777" w:rsidR="00BF4581" w:rsidRDefault="00BF4581" w:rsidP="00720CAE">
            <w:pPr>
              <w:jc w:val="center"/>
              <w:rPr>
                <w:rFonts w:ascii="微软雅黑" w:eastAsia="微软雅黑" w:hAnsi="微软雅黑"/>
                <w:color w:val="000000"/>
                <w:sz w:val="16"/>
                <w:szCs w:val="16"/>
              </w:rPr>
            </w:pPr>
            <w:r>
              <w:rPr>
                <w:rFonts w:ascii="微软雅黑" w:eastAsia="微软雅黑" w:hAnsi="微软雅黑" w:hint="eastAsia"/>
                <w:color w:val="000000"/>
                <w:sz w:val="16"/>
                <w:szCs w:val="16"/>
              </w:rPr>
              <w:t xml:space="preserve">1 </w:t>
            </w:r>
          </w:p>
        </w:tc>
        <w:tc>
          <w:tcPr>
            <w:tcW w:w="2538" w:type="dxa"/>
            <w:tcBorders>
              <w:top w:val="nil"/>
              <w:left w:val="nil"/>
              <w:bottom w:val="single" w:sz="4" w:space="0" w:color="auto"/>
              <w:right w:val="single" w:sz="4" w:space="0" w:color="auto"/>
            </w:tcBorders>
            <w:shd w:val="clear" w:color="000000" w:fill="D9D9D9"/>
            <w:noWrap/>
            <w:vAlign w:val="center"/>
          </w:tcPr>
          <w:p w14:paraId="7B5EE291" w14:textId="77777777" w:rsidR="00BF4581" w:rsidRPr="00F5578D" w:rsidRDefault="00BF4581" w:rsidP="00720CAE">
            <w:pPr>
              <w:jc w:val="center"/>
              <w:rPr>
                <w:rFonts w:ascii="微软雅黑" w:eastAsia="微软雅黑" w:hAnsi="微软雅黑"/>
                <w:color w:val="000000"/>
                <w:sz w:val="16"/>
                <w:szCs w:val="16"/>
              </w:rPr>
            </w:pPr>
            <w:r w:rsidRPr="00492AF2">
              <w:rPr>
                <w:rFonts w:ascii="微软雅黑" w:eastAsia="微软雅黑" w:hAnsi="微软雅黑" w:hint="eastAsia"/>
                <w:color w:val="000000"/>
                <w:sz w:val="16"/>
                <w:szCs w:val="16"/>
              </w:rPr>
              <w:t xml:space="preserve"> 付清土地款</w:t>
            </w:r>
            <w:r w:rsidRPr="003E6A93">
              <w:rPr>
                <w:rFonts w:ascii="微软雅黑" w:eastAsia="微软雅黑" w:hAnsi="微软雅黑" w:hint="eastAsia"/>
                <w:color w:val="000000"/>
                <w:sz w:val="16"/>
                <w:szCs w:val="16"/>
              </w:rPr>
              <w:t xml:space="preserve"> </w:t>
            </w:r>
          </w:p>
        </w:tc>
        <w:tc>
          <w:tcPr>
            <w:tcW w:w="3013" w:type="dxa"/>
            <w:tcBorders>
              <w:top w:val="nil"/>
              <w:left w:val="nil"/>
              <w:bottom w:val="single" w:sz="4" w:space="0" w:color="auto"/>
              <w:right w:val="single" w:sz="4" w:space="0" w:color="auto"/>
            </w:tcBorders>
            <w:shd w:val="clear" w:color="000000" w:fill="D9D9D9"/>
            <w:noWrap/>
            <w:vAlign w:val="center"/>
          </w:tcPr>
          <w:p w14:paraId="0226C06D" w14:textId="77777777" w:rsidR="00BF4581" w:rsidRPr="00A0108B" w:rsidRDefault="00BF4581" w:rsidP="00720CAE">
            <w:pPr>
              <w:jc w:val="center"/>
              <w:rPr>
                <w:rFonts w:ascii="微软雅黑" w:eastAsia="微软雅黑" w:hAnsi="微软雅黑"/>
                <w:color w:val="E26B0A"/>
                <w:sz w:val="16"/>
                <w:szCs w:val="16"/>
              </w:rPr>
            </w:pPr>
            <w:r w:rsidRPr="00010751">
              <w:rPr>
                <w:rFonts w:ascii="微软雅黑" w:eastAsia="微软雅黑" w:hAnsi="微软雅黑" w:hint="eastAsia"/>
                <w:color w:val="E26B0A"/>
                <w:sz w:val="16"/>
                <w:szCs w:val="16"/>
              </w:rPr>
              <w:t>3个月</w:t>
            </w:r>
          </w:p>
        </w:tc>
        <w:tc>
          <w:tcPr>
            <w:tcW w:w="2562" w:type="dxa"/>
            <w:tcBorders>
              <w:top w:val="nil"/>
              <w:left w:val="nil"/>
              <w:bottom w:val="single" w:sz="4" w:space="0" w:color="auto"/>
              <w:right w:val="single" w:sz="4" w:space="0" w:color="auto"/>
            </w:tcBorders>
            <w:shd w:val="clear" w:color="000000" w:fill="D9D9D9"/>
            <w:noWrap/>
            <w:vAlign w:val="center"/>
          </w:tcPr>
          <w:p w14:paraId="23B0D0B8" w14:textId="77777777" w:rsidR="00BF4581" w:rsidRPr="00697D50" w:rsidRDefault="00BF4581" w:rsidP="00720CAE">
            <w:pPr>
              <w:jc w:val="center"/>
              <w:rPr>
                <w:rFonts w:ascii="微软雅黑" w:eastAsia="微软雅黑" w:hAnsi="微软雅黑"/>
                <w:sz w:val="16"/>
                <w:szCs w:val="16"/>
              </w:rPr>
            </w:pPr>
            <w:r w:rsidRPr="00697D50">
              <w:rPr>
                <w:rFonts w:ascii="微软雅黑" w:eastAsia="微软雅黑" w:hAnsi="微软雅黑" w:hint="eastAsia"/>
                <w:sz w:val="16"/>
                <w:szCs w:val="16"/>
              </w:rPr>
              <w:t>2021/8/31</w:t>
            </w:r>
          </w:p>
        </w:tc>
      </w:tr>
      <w:tr w:rsidR="00BF4581" w14:paraId="637BF123" w14:textId="77777777" w:rsidTr="00BB13CC">
        <w:trPr>
          <w:trHeight w:val="133"/>
        </w:trPr>
        <w:tc>
          <w:tcPr>
            <w:tcW w:w="1186" w:type="dxa"/>
            <w:tcBorders>
              <w:top w:val="nil"/>
              <w:left w:val="single" w:sz="4" w:space="0" w:color="auto"/>
              <w:bottom w:val="single" w:sz="4" w:space="0" w:color="auto"/>
              <w:right w:val="single" w:sz="4" w:space="0" w:color="auto"/>
            </w:tcBorders>
            <w:shd w:val="clear" w:color="000000" w:fill="D9D9D9"/>
            <w:noWrap/>
            <w:vAlign w:val="center"/>
          </w:tcPr>
          <w:p w14:paraId="3450BBA5" w14:textId="77777777" w:rsidR="00BF4581" w:rsidRDefault="00BF4581" w:rsidP="00720CAE">
            <w:pPr>
              <w:jc w:val="center"/>
              <w:rPr>
                <w:rFonts w:ascii="微软雅黑" w:eastAsia="微软雅黑" w:hAnsi="微软雅黑"/>
                <w:color w:val="000000"/>
                <w:sz w:val="16"/>
                <w:szCs w:val="16"/>
              </w:rPr>
            </w:pPr>
            <w:r>
              <w:rPr>
                <w:rFonts w:ascii="微软雅黑" w:eastAsia="微软雅黑" w:hAnsi="微软雅黑" w:hint="eastAsia"/>
                <w:color w:val="000000"/>
                <w:sz w:val="16"/>
                <w:szCs w:val="16"/>
              </w:rPr>
              <w:t xml:space="preserve">2 </w:t>
            </w:r>
          </w:p>
        </w:tc>
        <w:tc>
          <w:tcPr>
            <w:tcW w:w="2538" w:type="dxa"/>
            <w:tcBorders>
              <w:top w:val="nil"/>
              <w:left w:val="nil"/>
              <w:bottom w:val="single" w:sz="4" w:space="0" w:color="auto"/>
              <w:right w:val="single" w:sz="4" w:space="0" w:color="auto"/>
            </w:tcBorders>
            <w:shd w:val="clear" w:color="000000" w:fill="D9D9D9"/>
            <w:noWrap/>
            <w:vAlign w:val="center"/>
          </w:tcPr>
          <w:p w14:paraId="183B6DF4" w14:textId="77777777" w:rsidR="00BF4581" w:rsidRPr="00F5578D" w:rsidRDefault="00BF4581" w:rsidP="00720CAE">
            <w:pPr>
              <w:jc w:val="center"/>
              <w:rPr>
                <w:rFonts w:ascii="微软雅黑" w:eastAsia="微软雅黑" w:hAnsi="微软雅黑"/>
                <w:color w:val="000000"/>
                <w:sz w:val="16"/>
                <w:szCs w:val="16"/>
              </w:rPr>
            </w:pPr>
            <w:r w:rsidRPr="00492AF2">
              <w:rPr>
                <w:rFonts w:ascii="微软雅黑" w:eastAsia="微软雅黑" w:hAnsi="微软雅黑" w:hint="eastAsia"/>
                <w:color w:val="000000"/>
                <w:sz w:val="16"/>
                <w:szCs w:val="16"/>
              </w:rPr>
              <w:t xml:space="preserve"> 土地交付</w:t>
            </w:r>
            <w:r w:rsidRPr="003E6A93">
              <w:rPr>
                <w:rFonts w:ascii="微软雅黑" w:eastAsia="微软雅黑" w:hAnsi="微软雅黑" w:hint="eastAsia"/>
                <w:color w:val="000000"/>
                <w:sz w:val="16"/>
                <w:szCs w:val="16"/>
              </w:rPr>
              <w:t xml:space="preserve"> </w:t>
            </w:r>
          </w:p>
        </w:tc>
        <w:tc>
          <w:tcPr>
            <w:tcW w:w="3013" w:type="dxa"/>
            <w:tcBorders>
              <w:top w:val="nil"/>
              <w:left w:val="nil"/>
              <w:bottom w:val="single" w:sz="4" w:space="0" w:color="auto"/>
              <w:right w:val="single" w:sz="4" w:space="0" w:color="auto"/>
            </w:tcBorders>
            <w:shd w:val="clear" w:color="000000" w:fill="D9D9D9"/>
            <w:noWrap/>
            <w:vAlign w:val="center"/>
          </w:tcPr>
          <w:p w14:paraId="3AF5E848" w14:textId="77777777" w:rsidR="00BF4581" w:rsidRPr="00A0108B" w:rsidRDefault="00BF4581" w:rsidP="00720CAE">
            <w:pPr>
              <w:jc w:val="center"/>
              <w:rPr>
                <w:rFonts w:ascii="微软雅黑" w:eastAsia="微软雅黑" w:hAnsi="微软雅黑"/>
                <w:color w:val="E26B0A"/>
                <w:sz w:val="16"/>
                <w:szCs w:val="16"/>
              </w:rPr>
            </w:pPr>
            <w:r w:rsidRPr="00010751">
              <w:rPr>
                <w:rFonts w:ascii="微软雅黑" w:eastAsia="微软雅黑" w:hAnsi="微软雅黑" w:hint="eastAsia"/>
                <w:color w:val="E26B0A"/>
                <w:sz w:val="16"/>
                <w:szCs w:val="16"/>
              </w:rPr>
              <w:t>3个月</w:t>
            </w:r>
          </w:p>
        </w:tc>
        <w:tc>
          <w:tcPr>
            <w:tcW w:w="2562" w:type="dxa"/>
            <w:tcBorders>
              <w:top w:val="nil"/>
              <w:left w:val="nil"/>
              <w:bottom w:val="single" w:sz="4" w:space="0" w:color="auto"/>
              <w:right w:val="single" w:sz="4" w:space="0" w:color="auto"/>
            </w:tcBorders>
            <w:shd w:val="clear" w:color="000000" w:fill="D9D9D9"/>
            <w:noWrap/>
            <w:vAlign w:val="center"/>
          </w:tcPr>
          <w:p w14:paraId="06DCE64E" w14:textId="77777777" w:rsidR="00BF4581" w:rsidRPr="00697D50" w:rsidRDefault="00BF4581" w:rsidP="00720CAE">
            <w:pPr>
              <w:jc w:val="center"/>
              <w:rPr>
                <w:rFonts w:ascii="微软雅黑" w:eastAsia="微软雅黑" w:hAnsi="微软雅黑"/>
                <w:sz w:val="16"/>
                <w:szCs w:val="16"/>
              </w:rPr>
            </w:pPr>
            <w:r w:rsidRPr="00697D50">
              <w:rPr>
                <w:rFonts w:ascii="微软雅黑" w:eastAsia="微软雅黑" w:hAnsi="微软雅黑" w:hint="eastAsia"/>
                <w:sz w:val="16"/>
                <w:szCs w:val="16"/>
              </w:rPr>
              <w:t>2021/8/31</w:t>
            </w:r>
          </w:p>
        </w:tc>
      </w:tr>
      <w:tr w:rsidR="00BF4581" w14:paraId="1C773869" w14:textId="77777777" w:rsidTr="00BB13CC">
        <w:trPr>
          <w:trHeight w:val="135"/>
        </w:trPr>
        <w:tc>
          <w:tcPr>
            <w:tcW w:w="1186" w:type="dxa"/>
            <w:tcBorders>
              <w:top w:val="nil"/>
              <w:left w:val="single" w:sz="4" w:space="0" w:color="auto"/>
              <w:bottom w:val="single" w:sz="4" w:space="0" w:color="auto"/>
              <w:right w:val="single" w:sz="4" w:space="0" w:color="auto"/>
            </w:tcBorders>
            <w:shd w:val="clear" w:color="000000" w:fill="D9D9D9"/>
            <w:noWrap/>
            <w:vAlign w:val="center"/>
          </w:tcPr>
          <w:p w14:paraId="24DEAB66" w14:textId="77777777" w:rsidR="00BF4581" w:rsidRDefault="00BF4581" w:rsidP="00720CAE">
            <w:pPr>
              <w:jc w:val="center"/>
              <w:rPr>
                <w:rFonts w:ascii="微软雅黑" w:eastAsia="微软雅黑" w:hAnsi="微软雅黑"/>
                <w:color w:val="000000"/>
                <w:sz w:val="16"/>
                <w:szCs w:val="16"/>
              </w:rPr>
            </w:pPr>
            <w:r>
              <w:rPr>
                <w:rFonts w:ascii="微软雅黑" w:eastAsia="微软雅黑" w:hAnsi="微软雅黑" w:hint="eastAsia"/>
                <w:color w:val="000000"/>
                <w:sz w:val="16"/>
                <w:szCs w:val="16"/>
              </w:rPr>
              <w:t xml:space="preserve">3 </w:t>
            </w:r>
          </w:p>
        </w:tc>
        <w:tc>
          <w:tcPr>
            <w:tcW w:w="2538" w:type="dxa"/>
            <w:tcBorders>
              <w:top w:val="nil"/>
              <w:left w:val="nil"/>
              <w:bottom w:val="single" w:sz="4" w:space="0" w:color="auto"/>
              <w:right w:val="single" w:sz="4" w:space="0" w:color="auto"/>
            </w:tcBorders>
            <w:shd w:val="clear" w:color="000000" w:fill="D9D9D9"/>
            <w:noWrap/>
            <w:vAlign w:val="center"/>
          </w:tcPr>
          <w:p w14:paraId="0D62402C" w14:textId="77777777" w:rsidR="00BF4581" w:rsidRDefault="00BF4581" w:rsidP="00720CAE">
            <w:pPr>
              <w:jc w:val="center"/>
              <w:rPr>
                <w:rFonts w:ascii="微软雅黑" w:eastAsia="微软雅黑" w:hAnsi="微软雅黑"/>
                <w:color w:val="000000"/>
                <w:sz w:val="16"/>
                <w:szCs w:val="16"/>
              </w:rPr>
            </w:pPr>
            <w:r>
              <w:rPr>
                <w:rFonts w:ascii="微软雅黑" w:eastAsia="微软雅黑" w:hAnsi="微软雅黑" w:hint="eastAsia"/>
                <w:color w:val="000000"/>
                <w:sz w:val="16"/>
                <w:szCs w:val="16"/>
              </w:rPr>
              <w:t xml:space="preserve"> 开工 </w:t>
            </w:r>
          </w:p>
        </w:tc>
        <w:tc>
          <w:tcPr>
            <w:tcW w:w="3013" w:type="dxa"/>
            <w:tcBorders>
              <w:top w:val="nil"/>
              <w:left w:val="nil"/>
              <w:bottom w:val="single" w:sz="4" w:space="0" w:color="auto"/>
              <w:right w:val="single" w:sz="4" w:space="0" w:color="auto"/>
            </w:tcBorders>
            <w:shd w:val="clear" w:color="000000" w:fill="D9D9D9"/>
            <w:noWrap/>
            <w:vAlign w:val="center"/>
          </w:tcPr>
          <w:p w14:paraId="0D44A2D7" w14:textId="77777777" w:rsidR="00BF4581" w:rsidRDefault="00BF4581" w:rsidP="00720CAE">
            <w:pPr>
              <w:jc w:val="center"/>
              <w:rPr>
                <w:rFonts w:ascii="微软雅黑" w:eastAsia="微软雅黑" w:hAnsi="微软雅黑"/>
                <w:color w:val="E26B0A"/>
                <w:sz w:val="16"/>
                <w:szCs w:val="16"/>
              </w:rPr>
            </w:pPr>
            <w:r>
              <w:rPr>
                <w:rFonts w:ascii="微软雅黑" w:eastAsia="微软雅黑" w:hAnsi="微软雅黑" w:hint="eastAsia"/>
                <w:color w:val="E26B0A"/>
                <w:sz w:val="16"/>
                <w:szCs w:val="16"/>
              </w:rPr>
              <w:t>5个月</w:t>
            </w:r>
          </w:p>
        </w:tc>
        <w:tc>
          <w:tcPr>
            <w:tcW w:w="2562" w:type="dxa"/>
            <w:tcBorders>
              <w:top w:val="nil"/>
              <w:left w:val="nil"/>
              <w:bottom w:val="single" w:sz="4" w:space="0" w:color="auto"/>
              <w:right w:val="single" w:sz="4" w:space="0" w:color="auto"/>
            </w:tcBorders>
            <w:shd w:val="clear" w:color="000000" w:fill="D9D9D9"/>
            <w:noWrap/>
            <w:vAlign w:val="center"/>
          </w:tcPr>
          <w:p w14:paraId="1D27D731" w14:textId="77777777" w:rsidR="00BF4581" w:rsidRDefault="00BF4581" w:rsidP="00720CAE">
            <w:pPr>
              <w:jc w:val="center"/>
              <w:rPr>
                <w:rFonts w:ascii="微软雅黑" w:eastAsia="微软雅黑" w:hAnsi="微软雅黑"/>
                <w:sz w:val="16"/>
                <w:szCs w:val="16"/>
              </w:rPr>
            </w:pPr>
            <w:r>
              <w:rPr>
                <w:rFonts w:ascii="微软雅黑" w:eastAsia="微软雅黑" w:hAnsi="微软雅黑" w:hint="eastAsia"/>
                <w:sz w:val="16"/>
                <w:szCs w:val="16"/>
              </w:rPr>
              <w:t>2021/10/31</w:t>
            </w:r>
          </w:p>
        </w:tc>
      </w:tr>
      <w:tr w:rsidR="00BF4581" w14:paraId="33B3C82B" w14:textId="77777777" w:rsidTr="00BB13CC">
        <w:trPr>
          <w:trHeight w:val="133"/>
        </w:trPr>
        <w:tc>
          <w:tcPr>
            <w:tcW w:w="1186" w:type="dxa"/>
            <w:tcBorders>
              <w:top w:val="nil"/>
              <w:left w:val="single" w:sz="4" w:space="0" w:color="auto"/>
              <w:bottom w:val="single" w:sz="4" w:space="0" w:color="auto"/>
              <w:right w:val="single" w:sz="4" w:space="0" w:color="auto"/>
            </w:tcBorders>
            <w:shd w:val="clear" w:color="000000" w:fill="D9D9D9"/>
            <w:noWrap/>
            <w:vAlign w:val="center"/>
          </w:tcPr>
          <w:p w14:paraId="24BBE42C" w14:textId="77777777" w:rsidR="00BF4581" w:rsidRDefault="00BF4581" w:rsidP="00720CAE">
            <w:pPr>
              <w:jc w:val="center"/>
              <w:rPr>
                <w:rFonts w:ascii="微软雅黑" w:eastAsia="微软雅黑" w:hAnsi="微软雅黑"/>
                <w:color w:val="000000"/>
                <w:sz w:val="16"/>
                <w:szCs w:val="16"/>
              </w:rPr>
            </w:pPr>
            <w:r>
              <w:rPr>
                <w:rFonts w:ascii="微软雅黑" w:eastAsia="微软雅黑" w:hAnsi="微软雅黑" w:hint="eastAsia"/>
                <w:color w:val="000000"/>
                <w:sz w:val="16"/>
                <w:szCs w:val="16"/>
              </w:rPr>
              <w:t xml:space="preserve">4 </w:t>
            </w:r>
          </w:p>
        </w:tc>
        <w:tc>
          <w:tcPr>
            <w:tcW w:w="2538" w:type="dxa"/>
            <w:tcBorders>
              <w:top w:val="nil"/>
              <w:left w:val="nil"/>
              <w:bottom w:val="single" w:sz="4" w:space="0" w:color="auto"/>
              <w:right w:val="single" w:sz="4" w:space="0" w:color="auto"/>
            </w:tcBorders>
            <w:shd w:val="clear" w:color="000000" w:fill="D9D9D9"/>
            <w:noWrap/>
            <w:vAlign w:val="center"/>
          </w:tcPr>
          <w:p w14:paraId="572D1F29" w14:textId="77777777" w:rsidR="00BF4581" w:rsidRDefault="00BF4581" w:rsidP="00720CAE">
            <w:pPr>
              <w:jc w:val="center"/>
              <w:rPr>
                <w:rFonts w:ascii="微软雅黑" w:eastAsia="微软雅黑" w:hAnsi="微软雅黑"/>
                <w:color w:val="000000"/>
                <w:sz w:val="16"/>
                <w:szCs w:val="16"/>
              </w:rPr>
            </w:pPr>
            <w:r>
              <w:rPr>
                <w:rFonts w:ascii="微软雅黑" w:eastAsia="微软雅黑" w:hAnsi="微软雅黑" w:hint="eastAsia"/>
                <w:color w:val="000000"/>
                <w:sz w:val="16"/>
                <w:szCs w:val="16"/>
              </w:rPr>
              <w:t xml:space="preserve"> 正负零 </w:t>
            </w:r>
          </w:p>
        </w:tc>
        <w:tc>
          <w:tcPr>
            <w:tcW w:w="3013" w:type="dxa"/>
            <w:tcBorders>
              <w:top w:val="nil"/>
              <w:left w:val="nil"/>
              <w:bottom w:val="single" w:sz="4" w:space="0" w:color="auto"/>
              <w:right w:val="single" w:sz="4" w:space="0" w:color="auto"/>
            </w:tcBorders>
            <w:shd w:val="clear" w:color="000000" w:fill="D9D9D9"/>
            <w:noWrap/>
            <w:vAlign w:val="center"/>
          </w:tcPr>
          <w:p w14:paraId="7911440E" w14:textId="77777777" w:rsidR="00BF4581" w:rsidRDefault="00BF4581" w:rsidP="00720CAE">
            <w:pPr>
              <w:jc w:val="center"/>
              <w:rPr>
                <w:rFonts w:ascii="微软雅黑" w:eastAsia="微软雅黑" w:hAnsi="微软雅黑"/>
                <w:color w:val="E26B0A"/>
                <w:sz w:val="16"/>
                <w:szCs w:val="16"/>
              </w:rPr>
            </w:pPr>
            <w:r>
              <w:rPr>
                <w:rFonts w:ascii="微软雅黑" w:eastAsia="微软雅黑" w:hAnsi="微软雅黑" w:hint="eastAsia"/>
                <w:color w:val="E26B0A"/>
                <w:sz w:val="16"/>
                <w:szCs w:val="16"/>
              </w:rPr>
              <w:t>8个月</w:t>
            </w:r>
          </w:p>
        </w:tc>
        <w:tc>
          <w:tcPr>
            <w:tcW w:w="2562" w:type="dxa"/>
            <w:tcBorders>
              <w:top w:val="nil"/>
              <w:left w:val="nil"/>
              <w:bottom w:val="single" w:sz="4" w:space="0" w:color="auto"/>
              <w:right w:val="single" w:sz="4" w:space="0" w:color="auto"/>
            </w:tcBorders>
            <w:shd w:val="clear" w:color="000000" w:fill="D9D9D9"/>
            <w:noWrap/>
            <w:vAlign w:val="center"/>
          </w:tcPr>
          <w:p w14:paraId="266CB6F6" w14:textId="77777777" w:rsidR="00BF4581" w:rsidRDefault="00BF4581" w:rsidP="00720CAE">
            <w:pPr>
              <w:jc w:val="center"/>
              <w:rPr>
                <w:rFonts w:ascii="微软雅黑" w:eastAsia="微软雅黑" w:hAnsi="微软雅黑"/>
                <w:sz w:val="16"/>
                <w:szCs w:val="16"/>
              </w:rPr>
            </w:pPr>
            <w:r>
              <w:rPr>
                <w:rFonts w:ascii="微软雅黑" w:eastAsia="微软雅黑" w:hAnsi="微软雅黑" w:hint="eastAsia"/>
                <w:sz w:val="16"/>
                <w:szCs w:val="16"/>
              </w:rPr>
              <w:t>2022/1/31</w:t>
            </w:r>
          </w:p>
        </w:tc>
      </w:tr>
      <w:tr w:rsidR="00BF4581" w14:paraId="74EFC959" w14:textId="77777777" w:rsidTr="00BB13CC">
        <w:trPr>
          <w:trHeight w:val="133"/>
        </w:trPr>
        <w:tc>
          <w:tcPr>
            <w:tcW w:w="1186" w:type="dxa"/>
            <w:tcBorders>
              <w:top w:val="nil"/>
              <w:left w:val="single" w:sz="4" w:space="0" w:color="auto"/>
              <w:bottom w:val="single" w:sz="4" w:space="0" w:color="auto"/>
              <w:right w:val="single" w:sz="4" w:space="0" w:color="auto"/>
            </w:tcBorders>
            <w:shd w:val="clear" w:color="000000" w:fill="D9D9D9"/>
            <w:noWrap/>
            <w:vAlign w:val="center"/>
          </w:tcPr>
          <w:p w14:paraId="1312FA6E" w14:textId="77777777" w:rsidR="00BF4581" w:rsidRDefault="00BF4581" w:rsidP="00720CAE">
            <w:pPr>
              <w:jc w:val="center"/>
              <w:rPr>
                <w:rFonts w:ascii="微软雅黑" w:eastAsia="微软雅黑" w:hAnsi="微软雅黑"/>
                <w:color w:val="000000"/>
                <w:sz w:val="16"/>
                <w:szCs w:val="16"/>
              </w:rPr>
            </w:pPr>
            <w:r>
              <w:rPr>
                <w:rFonts w:ascii="微软雅黑" w:eastAsia="微软雅黑" w:hAnsi="微软雅黑" w:hint="eastAsia"/>
                <w:color w:val="000000"/>
                <w:sz w:val="16"/>
                <w:szCs w:val="16"/>
              </w:rPr>
              <w:t xml:space="preserve">5 </w:t>
            </w:r>
          </w:p>
        </w:tc>
        <w:tc>
          <w:tcPr>
            <w:tcW w:w="2538" w:type="dxa"/>
            <w:tcBorders>
              <w:top w:val="nil"/>
              <w:left w:val="nil"/>
              <w:bottom w:val="single" w:sz="4" w:space="0" w:color="auto"/>
              <w:right w:val="single" w:sz="4" w:space="0" w:color="auto"/>
            </w:tcBorders>
            <w:shd w:val="clear" w:color="000000" w:fill="D9D9D9"/>
            <w:noWrap/>
            <w:vAlign w:val="center"/>
          </w:tcPr>
          <w:p w14:paraId="5A1E1B83" w14:textId="77777777" w:rsidR="00BF4581" w:rsidRDefault="00BF4581" w:rsidP="00720CAE">
            <w:pPr>
              <w:jc w:val="center"/>
              <w:rPr>
                <w:rFonts w:ascii="微软雅黑" w:eastAsia="微软雅黑" w:hAnsi="微软雅黑"/>
                <w:color w:val="000000"/>
                <w:sz w:val="16"/>
                <w:szCs w:val="16"/>
              </w:rPr>
            </w:pPr>
            <w:r>
              <w:rPr>
                <w:rFonts w:ascii="微软雅黑" w:eastAsia="微软雅黑" w:hAnsi="微软雅黑" w:hint="eastAsia"/>
                <w:color w:val="000000"/>
                <w:sz w:val="16"/>
                <w:szCs w:val="16"/>
              </w:rPr>
              <w:t xml:space="preserve"> 开盘 </w:t>
            </w:r>
          </w:p>
        </w:tc>
        <w:tc>
          <w:tcPr>
            <w:tcW w:w="3013" w:type="dxa"/>
            <w:tcBorders>
              <w:top w:val="nil"/>
              <w:left w:val="nil"/>
              <w:bottom w:val="single" w:sz="4" w:space="0" w:color="auto"/>
              <w:right w:val="single" w:sz="4" w:space="0" w:color="auto"/>
            </w:tcBorders>
            <w:shd w:val="clear" w:color="000000" w:fill="D9D9D9"/>
            <w:noWrap/>
            <w:vAlign w:val="center"/>
          </w:tcPr>
          <w:p w14:paraId="50124A5A" w14:textId="77777777" w:rsidR="00BF4581" w:rsidRDefault="00BF4581" w:rsidP="00720CAE">
            <w:pPr>
              <w:jc w:val="center"/>
              <w:rPr>
                <w:rFonts w:ascii="微软雅黑" w:eastAsia="微软雅黑" w:hAnsi="微软雅黑"/>
                <w:color w:val="E26B0A"/>
                <w:sz w:val="16"/>
                <w:szCs w:val="16"/>
              </w:rPr>
            </w:pPr>
            <w:r>
              <w:rPr>
                <w:rFonts w:ascii="微软雅黑" w:eastAsia="微软雅黑" w:hAnsi="微软雅黑" w:hint="eastAsia"/>
                <w:color w:val="E26B0A"/>
                <w:sz w:val="16"/>
                <w:szCs w:val="16"/>
              </w:rPr>
              <w:t>10个月</w:t>
            </w:r>
          </w:p>
        </w:tc>
        <w:tc>
          <w:tcPr>
            <w:tcW w:w="2562" w:type="dxa"/>
            <w:tcBorders>
              <w:top w:val="nil"/>
              <w:left w:val="nil"/>
              <w:bottom w:val="single" w:sz="4" w:space="0" w:color="auto"/>
              <w:right w:val="single" w:sz="4" w:space="0" w:color="auto"/>
            </w:tcBorders>
            <w:shd w:val="clear" w:color="000000" w:fill="D9D9D9"/>
            <w:noWrap/>
            <w:vAlign w:val="center"/>
          </w:tcPr>
          <w:p w14:paraId="68BB4FC3" w14:textId="77777777" w:rsidR="00BF4581" w:rsidRDefault="00BF4581" w:rsidP="00720CAE">
            <w:pPr>
              <w:jc w:val="center"/>
              <w:rPr>
                <w:rFonts w:ascii="微软雅黑" w:eastAsia="微软雅黑" w:hAnsi="微软雅黑"/>
                <w:sz w:val="16"/>
                <w:szCs w:val="16"/>
              </w:rPr>
            </w:pPr>
            <w:r>
              <w:rPr>
                <w:rFonts w:ascii="微软雅黑" w:eastAsia="微软雅黑" w:hAnsi="微软雅黑" w:hint="eastAsia"/>
                <w:sz w:val="16"/>
                <w:szCs w:val="16"/>
              </w:rPr>
              <w:t>2022/3/31</w:t>
            </w:r>
          </w:p>
        </w:tc>
      </w:tr>
      <w:tr w:rsidR="00BF4581" w14:paraId="1DA4DDB6" w14:textId="77777777" w:rsidTr="00BB13CC">
        <w:trPr>
          <w:trHeight w:val="133"/>
        </w:trPr>
        <w:tc>
          <w:tcPr>
            <w:tcW w:w="1186" w:type="dxa"/>
            <w:tcBorders>
              <w:top w:val="nil"/>
              <w:left w:val="single" w:sz="4" w:space="0" w:color="auto"/>
              <w:bottom w:val="single" w:sz="4" w:space="0" w:color="auto"/>
              <w:right w:val="single" w:sz="4" w:space="0" w:color="auto"/>
            </w:tcBorders>
            <w:shd w:val="clear" w:color="000000" w:fill="D9D9D9"/>
            <w:noWrap/>
            <w:vAlign w:val="center"/>
          </w:tcPr>
          <w:p w14:paraId="2E0C4F8C" w14:textId="77777777" w:rsidR="00BF4581" w:rsidRDefault="00BF4581" w:rsidP="00720CAE">
            <w:pPr>
              <w:jc w:val="center"/>
              <w:rPr>
                <w:rFonts w:ascii="微软雅黑" w:eastAsia="微软雅黑" w:hAnsi="微软雅黑"/>
                <w:color w:val="000000"/>
                <w:sz w:val="16"/>
                <w:szCs w:val="16"/>
              </w:rPr>
            </w:pPr>
            <w:r>
              <w:rPr>
                <w:rFonts w:ascii="微软雅黑" w:eastAsia="微软雅黑" w:hAnsi="微软雅黑" w:hint="eastAsia"/>
                <w:color w:val="000000"/>
                <w:sz w:val="16"/>
                <w:szCs w:val="16"/>
              </w:rPr>
              <w:t xml:space="preserve">6 </w:t>
            </w:r>
          </w:p>
        </w:tc>
        <w:tc>
          <w:tcPr>
            <w:tcW w:w="2538" w:type="dxa"/>
            <w:tcBorders>
              <w:top w:val="nil"/>
              <w:left w:val="nil"/>
              <w:bottom w:val="single" w:sz="4" w:space="0" w:color="auto"/>
              <w:right w:val="single" w:sz="4" w:space="0" w:color="auto"/>
            </w:tcBorders>
            <w:shd w:val="clear" w:color="000000" w:fill="D9D9D9"/>
            <w:noWrap/>
            <w:vAlign w:val="center"/>
          </w:tcPr>
          <w:p w14:paraId="29547D36" w14:textId="77777777" w:rsidR="00BF4581" w:rsidRDefault="00BF4581" w:rsidP="00720CAE">
            <w:pPr>
              <w:jc w:val="center"/>
              <w:rPr>
                <w:rFonts w:ascii="微软雅黑" w:eastAsia="微软雅黑" w:hAnsi="微软雅黑"/>
                <w:color w:val="000000"/>
                <w:sz w:val="16"/>
                <w:szCs w:val="16"/>
              </w:rPr>
            </w:pPr>
            <w:r>
              <w:rPr>
                <w:rFonts w:ascii="微软雅黑" w:eastAsia="微软雅黑" w:hAnsi="微软雅黑" w:hint="eastAsia"/>
                <w:color w:val="000000"/>
                <w:sz w:val="16"/>
                <w:szCs w:val="16"/>
              </w:rPr>
              <w:t xml:space="preserve"> 主体封顶 </w:t>
            </w:r>
          </w:p>
        </w:tc>
        <w:tc>
          <w:tcPr>
            <w:tcW w:w="3013" w:type="dxa"/>
            <w:tcBorders>
              <w:top w:val="nil"/>
              <w:left w:val="nil"/>
              <w:bottom w:val="single" w:sz="4" w:space="0" w:color="auto"/>
              <w:right w:val="single" w:sz="4" w:space="0" w:color="auto"/>
            </w:tcBorders>
            <w:shd w:val="clear" w:color="000000" w:fill="D9D9D9"/>
            <w:noWrap/>
            <w:vAlign w:val="center"/>
          </w:tcPr>
          <w:p w14:paraId="295441CE" w14:textId="77777777" w:rsidR="00BF4581" w:rsidRDefault="00BF4581" w:rsidP="00720CAE">
            <w:pPr>
              <w:jc w:val="center"/>
              <w:rPr>
                <w:rFonts w:ascii="微软雅黑" w:eastAsia="微软雅黑" w:hAnsi="微软雅黑"/>
                <w:color w:val="E26B0A"/>
                <w:sz w:val="16"/>
                <w:szCs w:val="16"/>
              </w:rPr>
            </w:pPr>
            <w:r>
              <w:rPr>
                <w:rFonts w:ascii="微软雅黑" w:eastAsia="微软雅黑" w:hAnsi="微软雅黑" w:hint="eastAsia"/>
                <w:color w:val="E26B0A"/>
                <w:sz w:val="16"/>
                <w:szCs w:val="16"/>
              </w:rPr>
              <w:t>13个月</w:t>
            </w:r>
          </w:p>
        </w:tc>
        <w:tc>
          <w:tcPr>
            <w:tcW w:w="2562" w:type="dxa"/>
            <w:tcBorders>
              <w:top w:val="nil"/>
              <w:left w:val="nil"/>
              <w:bottom w:val="single" w:sz="4" w:space="0" w:color="auto"/>
              <w:right w:val="single" w:sz="4" w:space="0" w:color="auto"/>
            </w:tcBorders>
            <w:shd w:val="clear" w:color="000000" w:fill="D9D9D9"/>
            <w:noWrap/>
            <w:vAlign w:val="center"/>
          </w:tcPr>
          <w:p w14:paraId="206D56BA" w14:textId="77777777" w:rsidR="00BF4581" w:rsidRDefault="00BF4581" w:rsidP="00720CAE">
            <w:pPr>
              <w:jc w:val="center"/>
              <w:rPr>
                <w:rFonts w:ascii="微软雅黑" w:eastAsia="微软雅黑" w:hAnsi="微软雅黑"/>
                <w:sz w:val="16"/>
                <w:szCs w:val="16"/>
              </w:rPr>
            </w:pPr>
            <w:r>
              <w:rPr>
                <w:rFonts w:ascii="微软雅黑" w:eastAsia="微软雅黑" w:hAnsi="微软雅黑" w:hint="eastAsia"/>
                <w:sz w:val="16"/>
                <w:szCs w:val="16"/>
              </w:rPr>
              <w:t>2022/6/30</w:t>
            </w:r>
          </w:p>
        </w:tc>
      </w:tr>
      <w:tr w:rsidR="00BF4581" w14:paraId="4620784D" w14:textId="77777777" w:rsidTr="00BB13CC">
        <w:trPr>
          <w:trHeight w:val="133"/>
        </w:trPr>
        <w:tc>
          <w:tcPr>
            <w:tcW w:w="1186" w:type="dxa"/>
            <w:tcBorders>
              <w:top w:val="nil"/>
              <w:left w:val="single" w:sz="4" w:space="0" w:color="auto"/>
              <w:bottom w:val="single" w:sz="4" w:space="0" w:color="auto"/>
              <w:right w:val="single" w:sz="4" w:space="0" w:color="auto"/>
            </w:tcBorders>
            <w:shd w:val="clear" w:color="000000" w:fill="D9D9D9"/>
            <w:noWrap/>
            <w:vAlign w:val="center"/>
          </w:tcPr>
          <w:p w14:paraId="58DA552D" w14:textId="77777777" w:rsidR="00BF4581" w:rsidRDefault="00BF4581" w:rsidP="00720CAE">
            <w:pPr>
              <w:jc w:val="center"/>
              <w:rPr>
                <w:rFonts w:ascii="微软雅黑" w:eastAsia="微软雅黑" w:hAnsi="微软雅黑"/>
                <w:color w:val="000000"/>
                <w:sz w:val="16"/>
                <w:szCs w:val="16"/>
              </w:rPr>
            </w:pPr>
            <w:r>
              <w:rPr>
                <w:rFonts w:ascii="微软雅黑" w:eastAsia="微软雅黑" w:hAnsi="微软雅黑" w:hint="eastAsia"/>
                <w:color w:val="000000"/>
                <w:sz w:val="16"/>
                <w:szCs w:val="16"/>
              </w:rPr>
              <w:t xml:space="preserve">7 </w:t>
            </w:r>
          </w:p>
        </w:tc>
        <w:tc>
          <w:tcPr>
            <w:tcW w:w="2538" w:type="dxa"/>
            <w:tcBorders>
              <w:top w:val="nil"/>
              <w:left w:val="nil"/>
              <w:bottom w:val="single" w:sz="4" w:space="0" w:color="auto"/>
              <w:right w:val="single" w:sz="4" w:space="0" w:color="auto"/>
            </w:tcBorders>
            <w:shd w:val="clear" w:color="000000" w:fill="D9D9D9"/>
            <w:noWrap/>
            <w:vAlign w:val="center"/>
          </w:tcPr>
          <w:p w14:paraId="4B0272D1" w14:textId="77777777" w:rsidR="00BF4581" w:rsidRDefault="00BF4581" w:rsidP="00720CAE">
            <w:pPr>
              <w:jc w:val="center"/>
              <w:rPr>
                <w:rFonts w:ascii="微软雅黑" w:eastAsia="微软雅黑" w:hAnsi="微软雅黑"/>
                <w:color w:val="000000"/>
                <w:sz w:val="16"/>
                <w:szCs w:val="16"/>
              </w:rPr>
            </w:pPr>
            <w:r>
              <w:rPr>
                <w:rFonts w:ascii="微软雅黑" w:eastAsia="微软雅黑" w:hAnsi="微软雅黑" w:hint="eastAsia"/>
                <w:color w:val="000000"/>
                <w:sz w:val="16"/>
                <w:szCs w:val="16"/>
              </w:rPr>
              <w:t xml:space="preserve"> 竣工验收 </w:t>
            </w:r>
          </w:p>
        </w:tc>
        <w:tc>
          <w:tcPr>
            <w:tcW w:w="3013" w:type="dxa"/>
            <w:tcBorders>
              <w:top w:val="nil"/>
              <w:left w:val="nil"/>
              <w:bottom w:val="single" w:sz="4" w:space="0" w:color="auto"/>
              <w:right w:val="single" w:sz="4" w:space="0" w:color="auto"/>
            </w:tcBorders>
            <w:shd w:val="clear" w:color="000000" w:fill="D9D9D9"/>
            <w:noWrap/>
            <w:vAlign w:val="center"/>
          </w:tcPr>
          <w:p w14:paraId="37FBA31A" w14:textId="77777777" w:rsidR="00BF4581" w:rsidRDefault="00BF4581" w:rsidP="00720CAE">
            <w:pPr>
              <w:jc w:val="center"/>
              <w:rPr>
                <w:rFonts w:ascii="微软雅黑" w:eastAsia="微软雅黑" w:hAnsi="微软雅黑"/>
                <w:color w:val="E26B0A"/>
                <w:sz w:val="16"/>
                <w:szCs w:val="16"/>
              </w:rPr>
            </w:pPr>
            <w:r>
              <w:rPr>
                <w:rFonts w:ascii="微软雅黑" w:eastAsia="微软雅黑" w:hAnsi="微软雅黑" w:hint="eastAsia"/>
                <w:color w:val="E26B0A"/>
                <w:sz w:val="16"/>
                <w:szCs w:val="16"/>
              </w:rPr>
              <w:t>27个月</w:t>
            </w:r>
          </w:p>
        </w:tc>
        <w:tc>
          <w:tcPr>
            <w:tcW w:w="2562" w:type="dxa"/>
            <w:tcBorders>
              <w:top w:val="nil"/>
              <w:left w:val="nil"/>
              <w:bottom w:val="single" w:sz="4" w:space="0" w:color="auto"/>
              <w:right w:val="single" w:sz="4" w:space="0" w:color="auto"/>
            </w:tcBorders>
            <w:shd w:val="clear" w:color="000000" w:fill="D9D9D9"/>
            <w:noWrap/>
            <w:vAlign w:val="center"/>
          </w:tcPr>
          <w:p w14:paraId="4BACFADB" w14:textId="77777777" w:rsidR="00BF4581" w:rsidRDefault="00BF4581" w:rsidP="00720CAE">
            <w:pPr>
              <w:jc w:val="center"/>
              <w:rPr>
                <w:rFonts w:ascii="微软雅黑" w:eastAsia="微软雅黑" w:hAnsi="微软雅黑"/>
                <w:sz w:val="16"/>
                <w:szCs w:val="16"/>
              </w:rPr>
            </w:pPr>
            <w:r>
              <w:rPr>
                <w:rFonts w:ascii="微软雅黑" w:eastAsia="微软雅黑" w:hAnsi="微软雅黑" w:hint="eastAsia"/>
                <w:sz w:val="16"/>
                <w:szCs w:val="16"/>
              </w:rPr>
              <w:t>2023/8/31</w:t>
            </w:r>
          </w:p>
        </w:tc>
      </w:tr>
      <w:tr w:rsidR="00BF4581" w14:paraId="0BB12ECD" w14:textId="77777777" w:rsidTr="00BB13CC">
        <w:trPr>
          <w:trHeight w:val="133"/>
        </w:trPr>
        <w:tc>
          <w:tcPr>
            <w:tcW w:w="1186" w:type="dxa"/>
            <w:tcBorders>
              <w:top w:val="nil"/>
              <w:left w:val="single" w:sz="4" w:space="0" w:color="auto"/>
              <w:bottom w:val="single" w:sz="4" w:space="0" w:color="auto"/>
              <w:right w:val="single" w:sz="4" w:space="0" w:color="auto"/>
            </w:tcBorders>
            <w:shd w:val="clear" w:color="000000" w:fill="D9D9D9"/>
            <w:noWrap/>
            <w:vAlign w:val="center"/>
          </w:tcPr>
          <w:p w14:paraId="66B40C85" w14:textId="77777777" w:rsidR="00BF4581" w:rsidRDefault="00BF4581" w:rsidP="00720CAE">
            <w:pPr>
              <w:jc w:val="center"/>
              <w:rPr>
                <w:rFonts w:ascii="微软雅黑" w:eastAsia="微软雅黑" w:hAnsi="微软雅黑"/>
                <w:color w:val="000000"/>
                <w:sz w:val="16"/>
                <w:szCs w:val="16"/>
              </w:rPr>
            </w:pPr>
            <w:r>
              <w:rPr>
                <w:rFonts w:ascii="微软雅黑" w:eastAsia="微软雅黑" w:hAnsi="微软雅黑" w:hint="eastAsia"/>
                <w:color w:val="000000"/>
                <w:sz w:val="16"/>
                <w:szCs w:val="16"/>
              </w:rPr>
              <w:t xml:space="preserve">8 </w:t>
            </w:r>
          </w:p>
        </w:tc>
        <w:tc>
          <w:tcPr>
            <w:tcW w:w="2538" w:type="dxa"/>
            <w:tcBorders>
              <w:top w:val="nil"/>
              <w:left w:val="nil"/>
              <w:bottom w:val="single" w:sz="4" w:space="0" w:color="auto"/>
              <w:right w:val="single" w:sz="4" w:space="0" w:color="auto"/>
            </w:tcBorders>
            <w:shd w:val="clear" w:color="000000" w:fill="D9D9D9"/>
            <w:noWrap/>
            <w:vAlign w:val="center"/>
          </w:tcPr>
          <w:p w14:paraId="24512F66" w14:textId="77777777" w:rsidR="00BF4581" w:rsidRDefault="00BF4581" w:rsidP="00720CAE">
            <w:pPr>
              <w:jc w:val="center"/>
              <w:rPr>
                <w:rFonts w:ascii="微软雅黑" w:eastAsia="微软雅黑" w:hAnsi="微软雅黑"/>
                <w:color w:val="000000"/>
                <w:sz w:val="16"/>
                <w:szCs w:val="16"/>
              </w:rPr>
            </w:pPr>
            <w:r>
              <w:rPr>
                <w:rFonts w:ascii="微软雅黑" w:eastAsia="微软雅黑" w:hAnsi="微软雅黑" w:hint="eastAsia"/>
                <w:color w:val="000000"/>
                <w:sz w:val="16"/>
                <w:szCs w:val="16"/>
              </w:rPr>
              <w:t xml:space="preserve"> 集中交付 </w:t>
            </w:r>
          </w:p>
        </w:tc>
        <w:tc>
          <w:tcPr>
            <w:tcW w:w="3013" w:type="dxa"/>
            <w:tcBorders>
              <w:top w:val="nil"/>
              <w:left w:val="nil"/>
              <w:bottom w:val="single" w:sz="4" w:space="0" w:color="auto"/>
              <w:right w:val="single" w:sz="4" w:space="0" w:color="auto"/>
            </w:tcBorders>
            <w:shd w:val="clear" w:color="000000" w:fill="D9D9D9"/>
            <w:noWrap/>
            <w:vAlign w:val="center"/>
          </w:tcPr>
          <w:p w14:paraId="599410CE" w14:textId="77777777" w:rsidR="00BF4581" w:rsidRDefault="00BF4581" w:rsidP="00720CAE">
            <w:pPr>
              <w:jc w:val="center"/>
              <w:rPr>
                <w:rFonts w:ascii="微软雅黑" w:eastAsia="微软雅黑" w:hAnsi="微软雅黑"/>
                <w:color w:val="E26B0A"/>
                <w:sz w:val="16"/>
                <w:szCs w:val="16"/>
              </w:rPr>
            </w:pPr>
            <w:r>
              <w:rPr>
                <w:rFonts w:ascii="微软雅黑" w:eastAsia="微软雅黑" w:hAnsi="微软雅黑" w:hint="eastAsia"/>
                <w:color w:val="E26B0A"/>
                <w:sz w:val="16"/>
                <w:szCs w:val="16"/>
              </w:rPr>
              <w:t>28个月</w:t>
            </w:r>
          </w:p>
        </w:tc>
        <w:tc>
          <w:tcPr>
            <w:tcW w:w="2562" w:type="dxa"/>
            <w:tcBorders>
              <w:top w:val="nil"/>
              <w:left w:val="nil"/>
              <w:bottom w:val="single" w:sz="4" w:space="0" w:color="auto"/>
              <w:right w:val="single" w:sz="4" w:space="0" w:color="auto"/>
            </w:tcBorders>
            <w:shd w:val="clear" w:color="000000" w:fill="D9D9D9"/>
            <w:noWrap/>
            <w:vAlign w:val="center"/>
          </w:tcPr>
          <w:p w14:paraId="205583E2" w14:textId="77777777" w:rsidR="00BF4581" w:rsidRDefault="00BF4581" w:rsidP="00720CAE">
            <w:pPr>
              <w:jc w:val="center"/>
              <w:rPr>
                <w:rFonts w:ascii="微软雅黑" w:eastAsia="微软雅黑" w:hAnsi="微软雅黑"/>
                <w:sz w:val="16"/>
                <w:szCs w:val="16"/>
              </w:rPr>
            </w:pPr>
            <w:r>
              <w:rPr>
                <w:rFonts w:ascii="微软雅黑" w:eastAsia="微软雅黑" w:hAnsi="微软雅黑" w:hint="eastAsia"/>
                <w:sz w:val="16"/>
                <w:szCs w:val="16"/>
              </w:rPr>
              <w:t>2023/9/30</w:t>
            </w:r>
          </w:p>
        </w:tc>
      </w:tr>
    </w:tbl>
    <w:p w14:paraId="027D0871" w14:textId="77777777" w:rsidR="00E03EB1" w:rsidRPr="00E05368" w:rsidRDefault="00E03EB1" w:rsidP="00C9622B">
      <w:pPr>
        <w:adjustRightInd w:val="0"/>
        <w:snapToGrid w:val="0"/>
        <w:spacing w:before="100" w:beforeAutospacing="1" w:line="480" w:lineRule="auto"/>
        <w:ind w:firstLineChars="200" w:firstLine="420"/>
        <w:jc w:val="both"/>
        <w:rPr>
          <w:rFonts w:ascii="Arial" w:hAnsi="Arial" w:cs="Arial"/>
          <w:sz w:val="21"/>
          <w:szCs w:val="21"/>
        </w:rPr>
      </w:pPr>
      <w:r w:rsidRPr="00E05368">
        <w:rPr>
          <w:rFonts w:ascii="Arial" w:hAnsi="Arial" w:cs="Arial" w:hint="eastAsia"/>
          <w:sz w:val="21"/>
          <w:szCs w:val="21"/>
        </w:rPr>
        <w:t>（</w:t>
      </w:r>
      <w:r w:rsidRPr="00E05368">
        <w:rPr>
          <w:rFonts w:ascii="Arial" w:hAnsi="Arial" w:cs="Arial" w:hint="eastAsia"/>
          <w:sz w:val="21"/>
          <w:szCs w:val="21"/>
        </w:rPr>
        <w:t>2</w:t>
      </w:r>
      <w:r w:rsidRPr="00E05368">
        <w:rPr>
          <w:rFonts w:ascii="Arial" w:hAnsi="Arial" w:cs="Arial" w:hint="eastAsia"/>
          <w:sz w:val="21"/>
          <w:szCs w:val="21"/>
        </w:rPr>
        <w:t>）销售进度</w:t>
      </w:r>
    </w:p>
    <w:p w14:paraId="11B97AB8" w14:textId="00E7072A" w:rsidR="00E03EB1" w:rsidRPr="00991E0A" w:rsidRDefault="00E03EB1" w:rsidP="00E03EB1">
      <w:pPr>
        <w:adjustRightInd w:val="0"/>
        <w:snapToGrid w:val="0"/>
        <w:spacing w:line="480" w:lineRule="auto"/>
        <w:ind w:firstLineChars="200" w:firstLine="420"/>
        <w:jc w:val="both"/>
        <w:rPr>
          <w:rFonts w:ascii="Arial" w:hAnsi="Arial" w:cs="Arial"/>
          <w:color w:val="000000"/>
          <w:sz w:val="21"/>
          <w:szCs w:val="21"/>
        </w:rPr>
      </w:pPr>
      <w:r w:rsidRPr="00991E0A">
        <w:rPr>
          <w:rFonts w:ascii="Arial" w:hAnsi="Arial" w:cs="Arial"/>
          <w:color w:val="000000"/>
          <w:sz w:val="21"/>
          <w:szCs w:val="21"/>
        </w:rPr>
        <w:lastRenderedPageBreak/>
        <w:t>建设项目</w:t>
      </w:r>
      <w:r w:rsidRPr="00991E0A">
        <w:rPr>
          <w:rFonts w:ascii="Arial" w:hAnsi="Arial" w:cs="Arial" w:hint="eastAsia"/>
          <w:color w:val="000000"/>
          <w:sz w:val="21"/>
          <w:szCs w:val="21"/>
        </w:rPr>
        <w:t>预计</w:t>
      </w:r>
      <w:r w:rsidR="00EB6B1E" w:rsidRPr="00991E0A">
        <w:rPr>
          <w:rFonts w:ascii="Arial" w:hAnsi="Arial" w:cs="Arial" w:hint="eastAsia"/>
          <w:color w:val="000000"/>
          <w:sz w:val="21"/>
          <w:szCs w:val="21"/>
        </w:rPr>
        <w:t>整个</w:t>
      </w:r>
      <w:r w:rsidRPr="00991E0A">
        <w:rPr>
          <w:rFonts w:ascii="Arial" w:hAnsi="Arial" w:cs="Arial" w:hint="eastAsia"/>
          <w:color w:val="000000"/>
          <w:sz w:val="21"/>
          <w:szCs w:val="21"/>
        </w:rPr>
        <w:t>销售期</w:t>
      </w:r>
      <w:r w:rsidRPr="00991E0A">
        <w:rPr>
          <w:rFonts w:ascii="Arial" w:hAnsi="Arial" w:cs="Arial"/>
          <w:color w:val="000000"/>
          <w:sz w:val="21"/>
          <w:szCs w:val="21"/>
        </w:rPr>
        <w:t>约</w:t>
      </w:r>
      <w:r w:rsidR="00EB6B1E" w:rsidRPr="00991E0A">
        <w:rPr>
          <w:rFonts w:ascii="Arial" w:hAnsi="Arial" w:cs="Arial" w:hint="eastAsia"/>
          <w:color w:val="000000"/>
          <w:sz w:val="21"/>
          <w:szCs w:val="21"/>
        </w:rPr>
        <w:t>为</w:t>
      </w:r>
      <w:r w:rsidR="003B594F" w:rsidRPr="00991E0A">
        <w:rPr>
          <w:rFonts w:ascii="Arial" w:hAnsi="Arial" w:cs="Arial" w:hint="eastAsia"/>
          <w:color w:val="000000"/>
          <w:sz w:val="21"/>
          <w:szCs w:val="21"/>
        </w:rPr>
        <w:t>1</w:t>
      </w:r>
      <w:r w:rsidR="00991E0A" w:rsidRPr="00991E0A">
        <w:rPr>
          <w:rFonts w:ascii="Arial" w:hAnsi="Arial" w:cs="Arial" w:hint="eastAsia"/>
          <w:color w:val="000000"/>
          <w:sz w:val="21"/>
          <w:szCs w:val="21"/>
        </w:rPr>
        <w:t>0</w:t>
      </w:r>
      <w:r w:rsidR="00EB6B1E" w:rsidRPr="00991E0A">
        <w:rPr>
          <w:rFonts w:ascii="Arial" w:hAnsi="Arial" w:cs="Arial" w:hint="eastAsia"/>
          <w:color w:val="000000"/>
          <w:sz w:val="21"/>
          <w:szCs w:val="21"/>
        </w:rPr>
        <w:t>个季度，其中住宅部分预计销售期为</w:t>
      </w:r>
      <w:r w:rsidR="00991E0A" w:rsidRPr="00991E0A">
        <w:rPr>
          <w:rFonts w:ascii="Arial" w:hAnsi="Arial" w:cs="Arial" w:hint="eastAsia"/>
          <w:color w:val="000000"/>
          <w:sz w:val="21"/>
          <w:szCs w:val="21"/>
        </w:rPr>
        <w:t>7</w:t>
      </w:r>
      <w:r w:rsidR="00EB6B1E" w:rsidRPr="00991E0A">
        <w:rPr>
          <w:rFonts w:ascii="Arial" w:hAnsi="Arial" w:cs="Arial" w:hint="eastAsia"/>
          <w:color w:val="000000"/>
          <w:sz w:val="21"/>
          <w:szCs w:val="21"/>
        </w:rPr>
        <w:t>个季度，</w:t>
      </w:r>
      <w:r w:rsidR="003B594F" w:rsidRPr="00991E0A">
        <w:rPr>
          <w:rFonts w:ascii="Arial" w:hAnsi="Arial" w:cs="Arial" w:hint="eastAsia"/>
          <w:color w:val="000000"/>
          <w:sz w:val="21"/>
          <w:szCs w:val="21"/>
        </w:rPr>
        <w:t>商业部分预计销售期为</w:t>
      </w:r>
      <w:r w:rsidR="00991E0A" w:rsidRPr="00991E0A">
        <w:rPr>
          <w:rFonts w:ascii="Arial" w:hAnsi="Arial" w:cs="Arial" w:hint="eastAsia"/>
          <w:color w:val="000000"/>
          <w:sz w:val="21"/>
          <w:szCs w:val="21"/>
        </w:rPr>
        <w:t>4</w:t>
      </w:r>
      <w:r w:rsidR="003B594F" w:rsidRPr="00991E0A">
        <w:rPr>
          <w:rFonts w:ascii="Arial" w:hAnsi="Arial" w:cs="Arial" w:hint="eastAsia"/>
          <w:color w:val="000000"/>
          <w:sz w:val="21"/>
          <w:szCs w:val="21"/>
        </w:rPr>
        <w:t>个季度，</w:t>
      </w:r>
      <w:r w:rsidR="00EB6B1E" w:rsidRPr="00991E0A">
        <w:rPr>
          <w:rFonts w:ascii="Arial" w:hAnsi="Arial" w:cs="Arial" w:hint="eastAsia"/>
          <w:color w:val="000000"/>
          <w:sz w:val="21"/>
          <w:szCs w:val="21"/>
        </w:rPr>
        <w:t>地下车库预计销售期为</w:t>
      </w:r>
      <w:r w:rsidR="00991E0A" w:rsidRPr="00991E0A">
        <w:rPr>
          <w:rFonts w:ascii="Arial" w:hAnsi="Arial" w:cs="Arial" w:hint="eastAsia"/>
          <w:color w:val="000000"/>
          <w:sz w:val="21"/>
          <w:szCs w:val="21"/>
        </w:rPr>
        <w:t>5</w:t>
      </w:r>
      <w:r w:rsidR="00EB6B1E" w:rsidRPr="00991E0A">
        <w:rPr>
          <w:rFonts w:ascii="Arial" w:hAnsi="Arial" w:cs="Arial" w:hint="eastAsia"/>
          <w:color w:val="000000"/>
          <w:sz w:val="21"/>
          <w:szCs w:val="21"/>
        </w:rPr>
        <w:t>个季度</w:t>
      </w:r>
      <w:r w:rsidRPr="00991E0A">
        <w:rPr>
          <w:rFonts w:ascii="Arial" w:hAnsi="Arial" w:cs="Arial"/>
          <w:color w:val="000000"/>
          <w:sz w:val="21"/>
          <w:szCs w:val="21"/>
        </w:rPr>
        <w:t>。</w:t>
      </w:r>
    </w:p>
    <w:p w14:paraId="1175708F" w14:textId="4A362E95" w:rsidR="00B6005A" w:rsidRPr="00991E0A" w:rsidRDefault="00B6005A" w:rsidP="00E03EB1">
      <w:pPr>
        <w:widowControl w:val="0"/>
        <w:adjustRightInd w:val="0"/>
        <w:snapToGrid w:val="0"/>
        <w:spacing w:line="480" w:lineRule="auto"/>
        <w:ind w:firstLineChars="200" w:firstLine="420"/>
        <w:jc w:val="both"/>
        <w:rPr>
          <w:rFonts w:ascii="Arial" w:hAnsi="Arial" w:cs="Arial"/>
          <w:color w:val="000000"/>
          <w:sz w:val="21"/>
          <w:szCs w:val="21"/>
        </w:rPr>
      </w:pPr>
      <w:bookmarkStart w:id="97" w:name="_Toc522074575"/>
      <w:bookmarkStart w:id="98" w:name="_Toc532810725"/>
      <w:bookmarkStart w:id="99" w:name="_Toc12072677"/>
      <w:bookmarkStart w:id="100" w:name="_Toc109012100"/>
      <w:bookmarkStart w:id="101" w:name="_Toc109118449"/>
      <w:bookmarkStart w:id="102" w:name="_Toc118531915"/>
      <w:r w:rsidRPr="00991E0A">
        <w:rPr>
          <w:rFonts w:ascii="Arial" w:hAnsi="Arial" w:cs="Arial" w:hint="eastAsia"/>
          <w:color w:val="000000"/>
          <w:sz w:val="21"/>
          <w:szCs w:val="21"/>
        </w:rPr>
        <w:t>住宅部分预计</w:t>
      </w:r>
      <w:r w:rsidRPr="00991E0A">
        <w:rPr>
          <w:rFonts w:ascii="Arial" w:hAnsi="Arial" w:cs="Arial" w:hint="eastAsia"/>
          <w:color w:val="000000"/>
          <w:sz w:val="21"/>
          <w:szCs w:val="21"/>
        </w:rPr>
        <w:t>202</w:t>
      </w:r>
      <w:r w:rsidR="00991E0A" w:rsidRPr="00991E0A">
        <w:rPr>
          <w:rFonts w:ascii="Arial" w:hAnsi="Arial" w:cs="Arial" w:hint="eastAsia"/>
          <w:color w:val="000000"/>
          <w:sz w:val="21"/>
          <w:szCs w:val="21"/>
        </w:rPr>
        <w:t>2</w:t>
      </w:r>
      <w:r w:rsidRPr="00991E0A">
        <w:rPr>
          <w:rFonts w:ascii="Arial" w:hAnsi="Arial" w:cs="Arial" w:hint="eastAsia"/>
          <w:color w:val="000000"/>
          <w:sz w:val="21"/>
          <w:szCs w:val="21"/>
        </w:rPr>
        <w:t>年</w:t>
      </w:r>
      <w:r w:rsidR="00991E0A" w:rsidRPr="00991E0A">
        <w:rPr>
          <w:rFonts w:ascii="Arial" w:hAnsi="Arial" w:cs="Arial" w:hint="eastAsia"/>
          <w:color w:val="000000"/>
          <w:sz w:val="21"/>
          <w:szCs w:val="21"/>
        </w:rPr>
        <w:t>2</w:t>
      </w:r>
      <w:r w:rsidR="00EB6B1E" w:rsidRPr="00991E0A">
        <w:rPr>
          <w:rFonts w:ascii="Arial" w:hAnsi="Arial" w:cs="Arial" w:hint="eastAsia"/>
          <w:color w:val="000000"/>
          <w:sz w:val="21"/>
          <w:szCs w:val="21"/>
        </w:rPr>
        <w:t>季度开始</w:t>
      </w:r>
      <w:r w:rsidRPr="00991E0A">
        <w:rPr>
          <w:rFonts w:ascii="Arial" w:hAnsi="Arial" w:cs="Arial" w:hint="eastAsia"/>
          <w:color w:val="000000"/>
          <w:sz w:val="21"/>
          <w:szCs w:val="21"/>
        </w:rPr>
        <w:t>销售，至</w:t>
      </w:r>
      <w:r w:rsidRPr="00991E0A">
        <w:rPr>
          <w:rFonts w:ascii="Arial" w:hAnsi="Arial" w:cs="Arial" w:hint="eastAsia"/>
          <w:color w:val="000000"/>
          <w:sz w:val="21"/>
          <w:szCs w:val="21"/>
        </w:rPr>
        <w:t>202</w:t>
      </w:r>
      <w:r w:rsidR="001A6058" w:rsidRPr="00991E0A">
        <w:rPr>
          <w:rFonts w:ascii="Arial" w:hAnsi="Arial" w:cs="Arial" w:hint="eastAsia"/>
          <w:color w:val="000000"/>
          <w:sz w:val="21"/>
          <w:szCs w:val="21"/>
        </w:rPr>
        <w:t>3</w:t>
      </w:r>
      <w:r w:rsidRPr="00991E0A">
        <w:rPr>
          <w:rFonts w:ascii="Arial" w:hAnsi="Arial" w:cs="Arial" w:hint="eastAsia"/>
          <w:color w:val="000000"/>
          <w:sz w:val="21"/>
          <w:szCs w:val="21"/>
        </w:rPr>
        <w:t>年</w:t>
      </w:r>
      <w:r w:rsidR="001A6058" w:rsidRPr="00991E0A">
        <w:rPr>
          <w:rFonts w:ascii="Arial" w:hAnsi="Arial" w:cs="Arial" w:hint="eastAsia"/>
          <w:color w:val="000000"/>
          <w:sz w:val="21"/>
          <w:szCs w:val="21"/>
        </w:rPr>
        <w:t>4</w:t>
      </w:r>
      <w:r w:rsidR="00EB6B1E" w:rsidRPr="00991E0A">
        <w:rPr>
          <w:rFonts w:ascii="Arial" w:hAnsi="Arial" w:cs="Arial" w:hint="eastAsia"/>
          <w:color w:val="000000"/>
          <w:sz w:val="21"/>
          <w:szCs w:val="21"/>
        </w:rPr>
        <w:t>季度销售完毕，销售期为</w:t>
      </w:r>
      <w:r w:rsidR="00991E0A" w:rsidRPr="00991E0A">
        <w:rPr>
          <w:rFonts w:ascii="Arial" w:hAnsi="Arial" w:cs="Arial" w:hint="eastAsia"/>
          <w:color w:val="000000"/>
          <w:sz w:val="21"/>
          <w:szCs w:val="21"/>
        </w:rPr>
        <w:t>7</w:t>
      </w:r>
      <w:r w:rsidR="00EB6B1E" w:rsidRPr="00991E0A">
        <w:rPr>
          <w:rFonts w:ascii="Arial" w:hAnsi="Arial" w:cs="Arial" w:hint="eastAsia"/>
          <w:color w:val="000000"/>
          <w:sz w:val="21"/>
          <w:szCs w:val="21"/>
        </w:rPr>
        <w:t>个季度；</w:t>
      </w:r>
    </w:p>
    <w:p w14:paraId="6F7CA07A" w14:textId="6A0B232F" w:rsidR="003B594F" w:rsidRPr="00991E0A" w:rsidRDefault="003B594F" w:rsidP="003B594F">
      <w:pPr>
        <w:widowControl w:val="0"/>
        <w:adjustRightInd w:val="0"/>
        <w:snapToGrid w:val="0"/>
        <w:spacing w:line="480" w:lineRule="auto"/>
        <w:ind w:firstLineChars="200" w:firstLine="420"/>
        <w:jc w:val="both"/>
        <w:rPr>
          <w:rFonts w:ascii="Arial" w:hAnsi="Arial" w:cs="Arial"/>
          <w:color w:val="000000"/>
          <w:sz w:val="21"/>
          <w:szCs w:val="21"/>
        </w:rPr>
      </w:pPr>
      <w:r w:rsidRPr="00991E0A">
        <w:rPr>
          <w:rFonts w:ascii="Arial" w:hAnsi="Arial" w:cs="Arial" w:hint="eastAsia"/>
          <w:color w:val="000000"/>
          <w:sz w:val="21"/>
          <w:szCs w:val="21"/>
        </w:rPr>
        <w:t>商业部分预计</w:t>
      </w:r>
      <w:r w:rsidRPr="00991E0A">
        <w:rPr>
          <w:rFonts w:ascii="Arial" w:hAnsi="Arial" w:cs="Arial" w:hint="eastAsia"/>
          <w:color w:val="000000"/>
          <w:sz w:val="21"/>
          <w:szCs w:val="21"/>
        </w:rPr>
        <w:t>2023</w:t>
      </w:r>
      <w:r w:rsidRPr="00991E0A">
        <w:rPr>
          <w:rFonts w:ascii="Arial" w:hAnsi="Arial" w:cs="Arial" w:hint="eastAsia"/>
          <w:color w:val="000000"/>
          <w:sz w:val="21"/>
          <w:szCs w:val="21"/>
        </w:rPr>
        <w:t>年</w:t>
      </w:r>
      <w:r w:rsidR="00991E0A" w:rsidRPr="00991E0A">
        <w:rPr>
          <w:rFonts w:ascii="Arial" w:hAnsi="Arial" w:cs="Arial" w:hint="eastAsia"/>
          <w:color w:val="000000"/>
          <w:sz w:val="21"/>
          <w:szCs w:val="21"/>
        </w:rPr>
        <w:t>1</w:t>
      </w:r>
      <w:r w:rsidRPr="00991E0A">
        <w:rPr>
          <w:rFonts w:ascii="Arial" w:hAnsi="Arial" w:cs="Arial" w:hint="eastAsia"/>
          <w:color w:val="000000"/>
          <w:sz w:val="21"/>
          <w:szCs w:val="21"/>
        </w:rPr>
        <w:t>季度开始销售，至</w:t>
      </w:r>
      <w:r w:rsidRPr="00991E0A">
        <w:rPr>
          <w:rFonts w:ascii="Arial" w:hAnsi="Arial" w:cs="Arial" w:hint="eastAsia"/>
          <w:color w:val="000000"/>
          <w:sz w:val="21"/>
          <w:szCs w:val="21"/>
        </w:rPr>
        <w:t>202</w:t>
      </w:r>
      <w:r w:rsidR="00991E0A" w:rsidRPr="00991E0A">
        <w:rPr>
          <w:rFonts w:ascii="Arial" w:hAnsi="Arial" w:cs="Arial" w:hint="eastAsia"/>
          <w:color w:val="000000"/>
          <w:sz w:val="21"/>
          <w:szCs w:val="21"/>
        </w:rPr>
        <w:t>3</w:t>
      </w:r>
      <w:r w:rsidRPr="00991E0A">
        <w:rPr>
          <w:rFonts w:ascii="Arial" w:hAnsi="Arial" w:cs="Arial" w:hint="eastAsia"/>
          <w:color w:val="000000"/>
          <w:sz w:val="21"/>
          <w:szCs w:val="21"/>
        </w:rPr>
        <w:t>年</w:t>
      </w:r>
      <w:r w:rsidRPr="00991E0A">
        <w:rPr>
          <w:rFonts w:ascii="Arial" w:hAnsi="Arial" w:cs="Arial" w:hint="eastAsia"/>
          <w:color w:val="000000"/>
          <w:sz w:val="21"/>
          <w:szCs w:val="21"/>
        </w:rPr>
        <w:t>4</w:t>
      </w:r>
      <w:r w:rsidRPr="00991E0A">
        <w:rPr>
          <w:rFonts w:ascii="Arial" w:hAnsi="Arial" w:cs="Arial" w:hint="eastAsia"/>
          <w:color w:val="000000"/>
          <w:sz w:val="21"/>
          <w:szCs w:val="21"/>
        </w:rPr>
        <w:t>季度销售完毕，销售期为</w:t>
      </w:r>
      <w:r w:rsidR="00991E0A" w:rsidRPr="00991E0A">
        <w:rPr>
          <w:rFonts w:ascii="Arial" w:hAnsi="Arial" w:cs="Arial" w:hint="eastAsia"/>
          <w:color w:val="000000"/>
          <w:sz w:val="21"/>
          <w:szCs w:val="21"/>
        </w:rPr>
        <w:t>4</w:t>
      </w:r>
      <w:r w:rsidRPr="00991E0A">
        <w:rPr>
          <w:rFonts w:ascii="Arial" w:hAnsi="Arial" w:cs="Arial" w:hint="eastAsia"/>
          <w:color w:val="000000"/>
          <w:sz w:val="21"/>
          <w:szCs w:val="21"/>
        </w:rPr>
        <w:t>个季度；</w:t>
      </w:r>
    </w:p>
    <w:p w14:paraId="0050F425" w14:textId="73B794DD" w:rsidR="00B6005A" w:rsidRPr="00E05368" w:rsidRDefault="00B6005A" w:rsidP="00E03EB1">
      <w:pPr>
        <w:widowControl w:val="0"/>
        <w:adjustRightInd w:val="0"/>
        <w:snapToGrid w:val="0"/>
        <w:spacing w:line="480" w:lineRule="auto"/>
        <w:ind w:firstLineChars="200" w:firstLine="420"/>
        <w:jc w:val="both"/>
        <w:rPr>
          <w:rFonts w:ascii="Arial" w:hAnsi="Arial" w:cs="Arial"/>
          <w:color w:val="000000"/>
          <w:sz w:val="21"/>
          <w:szCs w:val="21"/>
        </w:rPr>
      </w:pPr>
      <w:r w:rsidRPr="00991E0A">
        <w:rPr>
          <w:rFonts w:ascii="Arial" w:hAnsi="Arial" w:cs="Arial" w:hint="eastAsia"/>
          <w:color w:val="000000"/>
          <w:sz w:val="21"/>
          <w:szCs w:val="21"/>
        </w:rPr>
        <w:t>地下车库预计从</w:t>
      </w:r>
      <w:r w:rsidRPr="00991E0A">
        <w:rPr>
          <w:rFonts w:ascii="Arial" w:hAnsi="Arial" w:cs="Arial" w:hint="eastAsia"/>
          <w:color w:val="000000"/>
          <w:sz w:val="21"/>
          <w:szCs w:val="21"/>
        </w:rPr>
        <w:t>202</w:t>
      </w:r>
      <w:r w:rsidR="00991E0A" w:rsidRPr="00991E0A">
        <w:rPr>
          <w:rFonts w:ascii="Arial" w:hAnsi="Arial" w:cs="Arial" w:hint="eastAsia"/>
          <w:color w:val="000000"/>
          <w:sz w:val="21"/>
          <w:szCs w:val="21"/>
        </w:rPr>
        <w:t>3</w:t>
      </w:r>
      <w:r w:rsidRPr="00991E0A">
        <w:rPr>
          <w:rFonts w:ascii="Arial" w:hAnsi="Arial" w:cs="Arial" w:hint="eastAsia"/>
          <w:color w:val="000000"/>
          <w:sz w:val="21"/>
          <w:szCs w:val="21"/>
        </w:rPr>
        <w:t>年</w:t>
      </w:r>
      <w:r w:rsidR="00EB6B1E" w:rsidRPr="00991E0A">
        <w:rPr>
          <w:rFonts w:ascii="Arial" w:hAnsi="Arial" w:cs="Arial" w:hint="eastAsia"/>
          <w:color w:val="000000"/>
          <w:sz w:val="21"/>
          <w:szCs w:val="21"/>
        </w:rPr>
        <w:t>3</w:t>
      </w:r>
      <w:r w:rsidRPr="00991E0A">
        <w:rPr>
          <w:rFonts w:ascii="Arial" w:hAnsi="Arial" w:cs="Arial" w:hint="eastAsia"/>
          <w:color w:val="000000"/>
          <w:sz w:val="21"/>
          <w:szCs w:val="21"/>
        </w:rPr>
        <w:t>季度开始销售，至</w:t>
      </w:r>
      <w:r w:rsidRPr="00991E0A">
        <w:rPr>
          <w:rFonts w:ascii="Arial" w:hAnsi="Arial" w:cs="Arial" w:hint="eastAsia"/>
          <w:color w:val="000000"/>
          <w:sz w:val="21"/>
          <w:szCs w:val="21"/>
        </w:rPr>
        <w:t>202</w:t>
      </w:r>
      <w:r w:rsidR="003B594F" w:rsidRPr="00991E0A">
        <w:rPr>
          <w:rFonts w:ascii="Arial" w:hAnsi="Arial" w:cs="Arial" w:hint="eastAsia"/>
          <w:color w:val="000000"/>
          <w:sz w:val="21"/>
          <w:szCs w:val="21"/>
        </w:rPr>
        <w:t>4</w:t>
      </w:r>
      <w:r w:rsidRPr="00991E0A">
        <w:rPr>
          <w:rFonts w:ascii="Arial" w:hAnsi="Arial" w:cs="Arial" w:hint="eastAsia"/>
          <w:color w:val="000000"/>
          <w:sz w:val="21"/>
          <w:szCs w:val="21"/>
        </w:rPr>
        <w:t>年</w:t>
      </w:r>
      <w:r w:rsidR="00991E0A" w:rsidRPr="00991E0A">
        <w:rPr>
          <w:rFonts w:ascii="Arial" w:hAnsi="Arial" w:cs="Arial" w:hint="eastAsia"/>
          <w:color w:val="000000"/>
          <w:sz w:val="21"/>
          <w:szCs w:val="21"/>
        </w:rPr>
        <w:t>3</w:t>
      </w:r>
      <w:r w:rsidR="00EB6B1E" w:rsidRPr="00991E0A">
        <w:rPr>
          <w:rFonts w:ascii="Arial" w:hAnsi="Arial" w:cs="Arial" w:hint="eastAsia"/>
          <w:color w:val="000000"/>
          <w:sz w:val="21"/>
          <w:szCs w:val="21"/>
        </w:rPr>
        <w:t>季度销售完毕，销售期为</w:t>
      </w:r>
      <w:r w:rsidR="00991E0A" w:rsidRPr="00991E0A">
        <w:rPr>
          <w:rFonts w:ascii="Arial" w:hAnsi="Arial" w:cs="Arial" w:hint="eastAsia"/>
          <w:color w:val="000000"/>
          <w:sz w:val="21"/>
          <w:szCs w:val="21"/>
        </w:rPr>
        <w:t>5</w:t>
      </w:r>
      <w:r w:rsidR="00EB6B1E" w:rsidRPr="00991E0A">
        <w:rPr>
          <w:rFonts w:ascii="Arial" w:hAnsi="Arial" w:cs="Arial" w:hint="eastAsia"/>
          <w:color w:val="000000"/>
          <w:sz w:val="21"/>
          <w:szCs w:val="21"/>
        </w:rPr>
        <w:t>个季度。</w:t>
      </w:r>
    </w:p>
    <w:p w14:paraId="43CA317D" w14:textId="3CB2DE59" w:rsidR="00E03EB1" w:rsidRPr="00E05368" w:rsidRDefault="00B6005A" w:rsidP="00E03EB1">
      <w:pPr>
        <w:pStyle w:val="2"/>
        <w:spacing w:before="0" w:after="0" w:line="480" w:lineRule="auto"/>
        <w:jc w:val="both"/>
        <w:rPr>
          <w:rFonts w:eastAsia="宋体" w:cs="Arial"/>
          <w:sz w:val="21"/>
          <w:szCs w:val="21"/>
        </w:rPr>
      </w:pPr>
      <w:bookmarkStart w:id="103" w:name="_Toc74250064"/>
      <w:bookmarkStart w:id="104" w:name="_Toc74662894"/>
      <w:r w:rsidRPr="00E05368">
        <w:rPr>
          <w:rFonts w:eastAsia="宋体" w:cs="Arial" w:hint="eastAsia"/>
          <w:sz w:val="21"/>
          <w:szCs w:val="21"/>
        </w:rPr>
        <w:t>三</w:t>
      </w:r>
      <w:r w:rsidRPr="00E05368">
        <w:rPr>
          <w:rFonts w:eastAsia="宋体" w:cs="Arial"/>
          <w:sz w:val="21"/>
          <w:szCs w:val="21"/>
        </w:rPr>
        <w:t>、项目建设条件评价</w:t>
      </w:r>
      <w:bookmarkEnd w:id="97"/>
      <w:bookmarkEnd w:id="98"/>
      <w:bookmarkEnd w:id="99"/>
      <w:bookmarkEnd w:id="100"/>
      <w:bookmarkEnd w:id="101"/>
      <w:bookmarkEnd w:id="102"/>
      <w:bookmarkEnd w:id="103"/>
      <w:bookmarkEnd w:id="104"/>
    </w:p>
    <w:p w14:paraId="3ED9610D" w14:textId="7BA5A57C" w:rsidR="00E03EB1" w:rsidRPr="00E05368" w:rsidRDefault="00E03EB1" w:rsidP="00E03EB1">
      <w:pPr>
        <w:adjustRightInd w:val="0"/>
        <w:snapToGrid w:val="0"/>
        <w:spacing w:line="480" w:lineRule="auto"/>
        <w:ind w:firstLineChars="200" w:firstLine="420"/>
        <w:jc w:val="both"/>
        <w:rPr>
          <w:color w:val="000000"/>
          <w:sz w:val="21"/>
          <w:szCs w:val="21"/>
        </w:rPr>
      </w:pPr>
      <w:bookmarkStart w:id="105" w:name="_Toc109012101"/>
      <w:bookmarkStart w:id="106" w:name="_Toc109118450"/>
      <w:bookmarkStart w:id="107" w:name="_Toc118531916"/>
      <w:r w:rsidRPr="00E05368">
        <w:rPr>
          <w:rFonts w:hint="eastAsia"/>
          <w:sz w:val="21"/>
          <w:szCs w:val="21"/>
        </w:rPr>
        <w:t>项目目前</w:t>
      </w:r>
      <w:r w:rsidRPr="00E05368">
        <w:rPr>
          <w:rFonts w:hint="eastAsia"/>
          <w:color w:val="000000"/>
          <w:sz w:val="21"/>
          <w:szCs w:val="21"/>
        </w:rPr>
        <w:t>市政基础设施条件达</w:t>
      </w:r>
      <w:r w:rsidR="00116409">
        <w:rPr>
          <w:rFonts w:hint="eastAsia"/>
          <w:color w:val="000000"/>
          <w:sz w:val="21"/>
          <w:szCs w:val="21"/>
        </w:rPr>
        <w:t>“临时</w:t>
      </w:r>
      <w:r w:rsidR="00D90C0F">
        <w:rPr>
          <w:rFonts w:hint="eastAsia"/>
          <w:color w:val="000000"/>
          <w:sz w:val="21"/>
          <w:szCs w:val="21"/>
        </w:rPr>
        <w:t>三通”（即</w:t>
      </w:r>
      <w:r w:rsidR="00116409">
        <w:rPr>
          <w:rFonts w:hint="eastAsia"/>
          <w:color w:val="000000"/>
          <w:sz w:val="21"/>
          <w:szCs w:val="21"/>
        </w:rPr>
        <w:t>临时</w:t>
      </w:r>
      <w:r w:rsidR="00D90C0F">
        <w:rPr>
          <w:rFonts w:hint="eastAsia"/>
          <w:color w:val="000000"/>
          <w:sz w:val="21"/>
          <w:szCs w:val="21"/>
        </w:rPr>
        <w:t>通路、</w:t>
      </w:r>
      <w:r w:rsidR="00116409">
        <w:rPr>
          <w:rFonts w:hint="eastAsia"/>
          <w:color w:val="000000"/>
          <w:sz w:val="21"/>
          <w:szCs w:val="21"/>
        </w:rPr>
        <w:t>临时</w:t>
      </w:r>
      <w:r w:rsidR="00D90C0F">
        <w:rPr>
          <w:rFonts w:hint="eastAsia"/>
          <w:color w:val="000000"/>
          <w:sz w:val="21"/>
          <w:szCs w:val="21"/>
        </w:rPr>
        <w:t>通电、</w:t>
      </w:r>
      <w:r w:rsidR="00116409">
        <w:rPr>
          <w:rFonts w:hint="eastAsia"/>
          <w:color w:val="000000"/>
          <w:sz w:val="21"/>
          <w:szCs w:val="21"/>
        </w:rPr>
        <w:t>临时</w:t>
      </w:r>
      <w:r w:rsidR="00D90C0F">
        <w:rPr>
          <w:rFonts w:hint="eastAsia"/>
          <w:color w:val="000000"/>
          <w:sz w:val="21"/>
          <w:szCs w:val="21"/>
        </w:rPr>
        <w:t>通上水），场地</w:t>
      </w:r>
      <w:r w:rsidR="00116409">
        <w:rPr>
          <w:rFonts w:hint="eastAsia"/>
          <w:color w:val="000000"/>
          <w:sz w:val="21"/>
          <w:szCs w:val="21"/>
        </w:rPr>
        <w:t>未</w:t>
      </w:r>
      <w:r w:rsidR="00D90C0F">
        <w:rPr>
          <w:rFonts w:hint="eastAsia"/>
          <w:color w:val="000000"/>
          <w:sz w:val="21"/>
          <w:szCs w:val="21"/>
        </w:rPr>
        <w:t>平整</w:t>
      </w:r>
      <w:r w:rsidRPr="00E05368">
        <w:rPr>
          <w:rFonts w:hint="eastAsia"/>
          <w:color w:val="000000"/>
          <w:sz w:val="21"/>
          <w:szCs w:val="21"/>
        </w:rPr>
        <w:t>。截至本报告出具日，</w:t>
      </w:r>
      <w:r w:rsidRPr="00E05368">
        <w:rPr>
          <w:rFonts w:ascii="Arial" w:hAnsi="Arial" w:hint="eastAsia"/>
          <w:color w:val="000000"/>
          <w:sz w:val="21"/>
          <w:szCs w:val="21"/>
        </w:rPr>
        <w:t>项目</w:t>
      </w:r>
      <w:r w:rsidR="00D90C0F">
        <w:rPr>
          <w:rFonts w:ascii="Arial" w:hAnsi="Arial" w:hint="eastAsia"/>
          <w:color w:val="000000"/>
          <w:sz w:val="21"/>
          <w:szCs w:val="21"/>
        </w:rPr>
        <w:t>尚未</w:t>
      </w:r>
      <w:r w:rsidRPr="00E05368">
        <w:rPr>
          <w:rFonts w:hint="eastAsia"/>
          <w:color w:val="000000"/>
          <w:sz w:val="21"/>
          <w:szCs w:val="21"/>
        </w:rPr>
        <w:t>开工</w:t>
      </w:r>
      <w:r w:rsidR="00296D8D">
        <w:rPr>
          <w:rFonts w:hint="eastAsia"/>
          <w:color w:val="000000"/>
          <w:sz w:val="21"/>
          <w:szCs w:val="21"/>
        </w:rPr>
        <w:t>建设</w:t>
      </w:r>
      <w:r w:rsidRPr="00E05368">
        <w:rPr>
          <w:rFonts w:hint="eastAsia"/>
          <w:color w:val="000000"/>
          <w:sz w:val="21"/>
          <w:szCs w:val="21"/>
        </w:rPr>
        <w:t>。</w:t>
      </w:r>
    </w:p>
    <w:p w14:paraId="346D04FE" w14:textId="77777777" w:rsidR="00E03EB1" w:rsidRPr="00E05368" w:rsidRDefault="00E03EB1" w:rsidP="00E03EB1">
      <w:pPr>
        <w:pStyle w:val="2"/>
        <w:spacing w:before="0" w:after="0" w:line="480" w:lineRule="auto"/>
        <w:jc w:val="both"/>
        <w:rPr>
          <w:rFonts w:eastAsia="宋体" w:cs="Arial"/>
          <w:sz w:val="21"/>
          <w:szCs w:val="21"/>
        </w:rPr>
      </w:pPr>
      <w:bookmarkStart w:id="108" w:name="_Toc74250065"/>
      <w:bookmarkStart w:id="109" w:name="_Toc74662895"/>
      <w:r w:rsidRPr="00E05368">
        <w:rPr>
          <w:rFonts w:eastAsia="宋体" w:cs="Arial" w:hint="eastAsia"/>
          <w:sz w:val="21"/>
          <w:szCs w:val="21"/>
        </w:rPr>
        <w:t>四</w:t>
      </w:r>
      <w:r w:rsidRPr="00E05368">
        <w:rPr>
          <w:rFonts w:eastAsia="宋体" w:cs="Arial"/>
          <w:sz w:val="21"/>
          <w:szCs w:val="21"/>
        </w:rPr>
        <w:t>、施工、监理单位资质评价</w:t>
      </w:r>
      <w:bookmarkEnd w:id="105"/>
      <w:bookmarkEnd w:id="106"/>
      <w:bookmarkEnd w:id="107"/>
      <w:bookmarkEnd w:id="108"/>
      <w:bookmarkEnd w:id="109"/>
    </w:p>
    <w:p w14:paraId="556552DF" w14:textId="77777777" w:rsidR="00E03EB1" w:rsidRPr="00E05368" w:rsidRDefault="00E03EB1" w:rsidP="00E03EB1">
      <w:pPr>
        <w:adjustRightInd w:val="0"/>
        <w:snapToGrid w:val="0"/>
        <w:spacing w:line="480" w:lineRule="auto"/>
        <w:ind w:firstLineChars="200" w:firstLine="420"/>
        <w:jc w:val="both"/>
        <w:rPr>
          <w:rFonts w:ascii="Arial" w:hAnsi="Arial"/>
          <w:color w:val="000000"/>
          <w:sz w:val="21"/>
          <w:szCs w:val="28"/>
        </w:rPr>
      </w:pPr>
      <w:r w:rsidRPr="00E05368">
        <w:rPr>
          <w:rFonts w:ascii="Arial" w:hAnsi="Arial" w:hint="eastAsia"/>
          <w:color w:val="000000"/>
          <w:sz w:val="21"/>
          <w:szCs w:val="28"/>
        </w:rPr>
        <w:t>截至本报告出具日，建设单位未能提供有关建设、施工、监理单位资质相关信息。</w:t>
      </w:r>
    </w:p>
    <w:p w14:paraId="2B29239C" w14:textId="77777777" w:rsidR="00E03EB1" w:rsidRPr="00E05368" w:rsidRDefault="00E03EB1" w:rsidP="00E03EB1">
      <w:pPr>
        <w:pStyle w:val="2"/>
        <w:spacing w:before="0" w:after="0" w:line="480" w:lineRule="auto"/>
        <w:jc w:val="both"/>
        <w:rPr>
          <w:rFonts w:eastAsia="宋体" w:cs="Arial"/>
          <w:sz w:val="21"/>
          <w:szCs w:val="21"/>
        </w:rPr>
      </w:pPr>
      <w:bookmarkStart w:id="110" w:name="_Toc522074577"/>
      <w:bookmarkStart w:id="111" w:name="_Toc74250066"/>
      <w:bookmarkStart w:id="112" w:name="_Toc74662896"/>
      <w:r w:rsidRPr="00E05368">
        <w:rPr>
          <w:rFonts w:eastAsia="宋体" w:cs="Arial" w:hint="eastAsia"/>
          <w:sz w:val="21"/>
          <w:szCs w:val="21"/>
        </w:rPr>
        <w:t>五</w:t>
      </w:r>
      <w:r w:rsidRPr="00E05368">
        <w:rPr>
          <w:rFonts w:eastAsia="宋体" w:cs="Arial"/>
          <w:sz w:val="21"/>
          <w:szCs w:val="21"/>
        </w:rPr>
        <w:t>、环境保护评价</w:t>
      </w:r>
      <w:bookmarkEnd w:id="110"/>
      <w:bookmarkEnd w:id="111"/>
      <w:bookmarkEnd w:id="112"/>
    </w:p>
    <w:p w14:paraId="4899992D" w14:textId="47952644" w:rsidR="002768AA" w:rsidRPr="00E05368" w:rsidRDefault="002768AA" w:rsidP="002768AA">
      <w:pPr>
        <w:adjustRightInd w:val="0"/>
        <w:snapToGrid w:val="0"/>
        <w:spacing w:line="480" w:lineRule="auto"/>
        <w:ind w:firstLineChars="171" w:firstLine="359"/>
        <w:jc w:val="both"/>
        <w:rPr>
          <w:rFonts w:ascii="Arial" w:hAnsi="Arial" w:cs="Arial"/>
          <w:sz w:val="21"/>
          <w:szCs w:val="21"/>
        </w:rPr>
      </w:pPr>
      <w:r w:rsidRPr="00E05368">
        <w:rPr>
          <w:rFonts w:ascii="Arial" w:hAnsi="Arial" w:cs="Arial"/>
          <w:sz w:val="21"/>
          <w:szCs w:val="21"/>
        </w:rPr>
        <w:t>项目工程建设内容为</w:t>
      </w:r>
      <w:r w:rsidR="00296D8D">
        <w:rPr>
          <w:rFonts w:ascii="Arial" w:hAnsi="Arial" w:cs="Arial" w:hint="eastAsia"/>
          <w:sz w:val="21"/>
          <w:szCs w:val="21"/>
        </w:rPr>
        <w:t>居住</w:t>
      </w:r>
      <w:r w:rsidRPr="00E05368">
        <w:rPr>
          <w:rFonts w:ascii="Arial" w:hAnsi="Arial" w:cs="Arial"/>
          <w:sz w:val="21"/>
          <w:szCs w:val="21"/>
        </w:rPr>
        <w:t>项目，主要环境问题是地下车库、生活污水、噪声及施工期扬尘和噪声等。</w:t>
      </w:r>
      <w:r w:rsidR="00116409">
        <w:rPr>
          <w:rFonts w:ascii="Arial" w:hAnsi="Arial" w:cs="Arial" w:hint="eastAsia"/>
          <w:sz w:val="21"/>
          <w:szCs w:val="21"/>
        </w:rPr>
        <w:t>截至本报告出具日，建设单位尚未</w:t>
      </w:r>
      <w:r w:rsidRPr="00E05368">
        <w:rPr>
          <w:rFonts w:ascii="Arial" w:hAnsi="Arial" w:cs="Arial" w:hint="eastAsia"/>
          <w:sz w:val="21"/>
          <w:szCs w:val="21"/>
        </w:rPr>
        <w:t>申请环境保护相关批准文件。</w:t>
      </w:r>
    </w:p>
    <w:p w14:paraId="31DEBBC1" w14:textId="77777777" w:rsidR="00E03EB1" w:rsidRPr="00E05368" w:rsidRDefault="00E03EB1" w:rsidP="00E03EB1">
      <w:pPr>
        <w:adjustRightInd w:val="0"/>
        <w:snapToGrid w:val="0"/>
        <w:spacing w:line="480" w:lineRule="auto"/>
        <w:rPr>
          <w:rFonts w:ascii="Arial" w:hAnsi="Arial" w:cs="Arial"/>
          <w:b/>
          <w:bCs/>
          <w:sz w:val="2"/>
          <w:szCs w:val="2"/>
        </w:rPr>
      </w:pPr>
      <w:r w:rsidRPr="00E05368">
        <w:rPr>
          <w:rFonts w:ascii="Arial" w:hAnsi="Arial" w:cs="Arial"/>
          <w:szCs w:val="21"/>
        </w:rPr>
        <w:br w:type="page"/>
      </w:r>
    </w:p>
    <w:p w14:paraId="48D59E06" w14:textId="77777777" w:rsidR="00E03EB1" w:rsidRPr="00E05368" w:rsidRDefault="00E03EB1" w:rsidP="00E03EB1">
      <w:pPr>
        <w:pStyle w:val="1"/>
        <w:spacing w:before="240"/>
        <w:rPr>
          <w:rFonts w:ascii="Arial" w:eastAsia="方正黑体简体" w:hAnsi="Arial" w:cs="Arial"/>
          <w:b w:val="0"/>
          <w:bCs/>
          <w:sz w:val="32"/>
          <w:szCs w:val="32"/>
        </w:rPr>
      </w:pPr>
      <w:bookmarkStart w:id="113" w:name="_Toc74250067"/>
      <w:bookmarkStart w:id="114" w:name="_Toc74662897"/>
      <w:r w:rsidRPr="00E05368">
        <w:rPr>
          <w:rFonts w:ascii="Arial" w:eastAsia="方正黑体简体" w:hAnsi="Arial" w:cs="Arial"/>
          <w:b w:val="0"/>
          <w:bCs/>
          <w:sz w:val="32"/>
          <w:szCs w:val="32"/>
        </w:rPr>
        <w:lastRenderedPageBreak/>
        <w:t>第三章</w:t>
      </w:r>
      <w:r w:rsidRPr="00E05368">
        <w:rPr>
          <w:rFonts w:ascii="Arial" w:eastAsia="方正黑体简体" w:hAnsi="Arial" w:cs="Arial"/>
          <w:b w:val="0"/>
          <w:bCs/>
          <w:sz w:val="32"/>
          <w:szCs w:val="32"/>
        </w:rPr>
        <w:t xml:space="preserve">  </w:t>
      </w:r>
      <w:r w:rsidRPr="00E05368">
        <w:rPr>
          <w:rFonts w:ascii="Arial" w:eastAsia="方正黑体简体" w:hAnsi="Arial" w:cs="Arial"/>
          <w:b w:val="0"/>
          <w:bCs/>
          <w:sz w:val="32"/>
          <w:szCs w:val="32"/>
        </w:rPr>
        <w:t>市场评估</w:t>
      </w:r>
      <w:bookmarkEnd w:id="113"/>
      <w:bookmarkEnd w:id="114"/>
    </w:p>
    <w:p w14:paraId="461C2DE3" w14:textId="77777777" w:rsidR="00E03EB1" w:rsidRPr="00E05368" w:rsidRDefault="00E03EB1" w:rsidP="00E03EB1">
      <w:pPr>
        <w:pStyle w:val="2"/>
        <w:spacing w:before="0" w:after="0" w:line="480" w:lineRule="auto"/>
        <w:jc w:val="both"/>
        <w:rPr>
          <w:rFonts w:eastAsia="宋体" w:cs="Arial"/>
          <w:sz w:val="21"/>
          <w:szCs w:val="21"/>
        </w:rPr>
      </w:pPr>
      <w:bookmarkStart w:id="115" w:name="_Toc187666144"/>
      <w:bookmarkStart w:id="116" w:name="_Toc74250068"/>
      <w:bookmarkStart w:id="117" w:name="_Toc74662898"/>
      <w:r w:rsidRPr="00E05368">
        <w:rPr>
          <w:rFonts w:eastAsia="宋体" w:cs="Arial"/>
          <w:sz w:val="21"/>
          <w:szCs w:val="21"/>
        </w:rPr>
        <w:t>一、市场环境评价</w:t>
      </w:r>
      <w:bookmarkEnd w:id="115"/>
      <w:bookmarkEnd w:id="116"/>
      <w:bookmarkEnd w:id="117"/>
    </w:p>
    <w:p w14:paraId="1B9C69B0" w14:textId="77777777" w:rsidR="00C7455C" w:rsidRPr="00E05368" w:rsidRDefault="00C7455C" w:rsidP="00C7455C">
      <w:pPr>
        <w:pStyle w:val="2"/>
        <w:keepNext w:val="0"/>
        <w:keepLines w:val="0"/>
        <w:widowControl w:val="0"/>
        <w:tabs>
          <w:tab w:val="left" w:pos="5220"/>
        </w:tabs>
        <w:spacing w:before="0" w:after="0" w:line="480" w:lineRule="auto"/>
        <w:ind w:firstLineChars="98" w:firstLine="207"/>
        <w:jc w:val="both"/>
        <w:rPr>
          <w:rFonts w:eastAsia="宋体" w:cs="Arial"/>
          <w:sz w:val="21"/>
          <w:szCs w:val="21"/>
        </w:rPr>
      </w:pPr>
      <w:bookmarkStart w:id="118" w:name="_Toc244917051"/>
      <w:bookmarkStart w:id="119" w:name="_Toc43885856"/>
      <w:bookmarkStart w:id="120" w:name="_Toc74250069"/>
      <w:bookmarkStart w:id="121" w:name="_Toc74662899"/>
      <w:bookmarkEnd w:id="37"/>
      <w:bookmarkEnd w:id="38"/>
      <w:r w:rsidRPr="00E05368">
        <w:rPr>
          <w:rFonts w:eastAsia="宋体" w:cs="Arial"/>
          <w:sz w:val="21"/>
          <w:szCs w:val="21"/>
        </w:rPr>
        <w:t>（</w:t>
      </w:r>
      <w:r w:rsidRPr="00E05368">
        <w:rPr>
          <w:rFonts w:eastAsia="宋体" w:cs="Arial" w:hint="eastAsia"/>
          <w:sz w:val="21"/>
          <w:szCs w:val="21"/>
        </w:rPr>
        <w:t>一</w:t>
      </w:r>
      <w:r w:rsidRPr="00E05368">
        <w:rPr>
          <w:rFonts w:eastAsia="宋体" w:cs="Arial"/>
          <w:sz w:val="21"/>
          <w:szCs w:val="21"/>
        </w:rPr>
        <w:t>）</w:t>
      </w:r>
      <w:bookmarkEnd w:id="118"/>
      <w:r w:rsidRPr="00E05368">
        <w:rPr>
          <w:rFonts w:eastAsia="宋体" w:cs="Arial" w:hint="eastAsia"/>
          <w:sz w:val="21"/>
          <w:szCs w:val="21"/>
        </w:rPr>
        <w:t>城市概况</w:t>
      </w:r>
      <w:bookmarkEnd w:id="119"/>
      <w:bookmarkEnd w:id="120"/>
      <w:bookmarkEnd w:id="121"/>
    </w:p>
    <w:p w14:paraId="696E6BCD" w14:textId="77777777" w:rsidR="00506273" w:rsidRPr="00222B12" w:rsidRDefault="00506273" w:rsidP="00506273">
      <w:pPr>
        <w:adjustRightInd w:val="0"/>
        <w:snapToGrid w:val="0"/>
        <w:spacing w:line="480" w:lineRule="auto"/>
        <w:ind w:firstLineChars="200" w:firstLine="420"/>
        <w:jc w:val="both"/>
        <w:rPr>
          <w:rFonts w:ascii="Arial" w:hAnsi="Arial" w:cs="Arial"/>
          <w:color w:val="000000"/>
          <w:sz w:val="21"/>
          <w:szCs w:val="21"/>
        </w:rPr>
      </w:pPr>
      <w:r w:rsidRPr="007F46EB">
        <w:rPr>
          <w:noProof/>
          <w:sz w:val="21"/>
          <w:szCs w:val="21"/>
        </w:rPr>
        <w:drawing>
          <wp:anchor distT="0" distB="0" distL="114300" distR="114300" simplePos="0" relativeHeight="251656192" behindDoc="0" locked="0" layoutInCell="1" allowOverlap="1" wp14:anchorId="541AD6B0" wp14:editId="24AB0B56">
            <wp:simplePos x="0" y="0"/>
            <wp:positionH relativeFrom="column">
              <wp:posOffset>3230245</wp:posOffset>
            </wp:positionH>
            <wp:positionV relativeFrom="paragraph">
              <wp:posOffset>38735</wp:posOffset>
            </wp:positionV>
            <wp:extent cx="2664460" cy="3736340"/>
            <wp:effectExtent l="0" t="0" r="2540" b="0"/>
            <wp:wrapSquare wrapText="bothSides"/>
            <wp:docPr id="46" name="图片 46" descr="地图上有字&#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664460" cy="3736340"/>
                    </a:xfrm>
                    <a:prstGeom prst="rect">
                      <a:avLst/>
                    </a:prstGeom>
                  </pic:spPr>
                </pic:pic>
              </a:graphicData>
            </a:graphic>
            <wp14:sizeRelH relativeFrom="page">
              <wp14:pctWidth>0</wp14:pctWidth>
            </wp14:sizeRelH>
            <wp14:sizeRelV relativeFrom="page">
              <wp14:pctHeight>0</wp14:pctHeight>
            </wp14:sizeRelV>
          </wp:anchor>
        </w:drawing>
      </w:r>
      <w:r>
        <w:rPr>
          <w:rFonts w:hint="eastAsia"/>
          <w:noProof/>
          <w:sz w:val="21"/>
          <w:szCs w:val="21"/>
        </w:rPr>
        <w:t>【城市概括】</w:t>
      </w:r>
      <w:r w:rsidRPr="00876E1B">
        <w:rPr>
          <w:noProof/>
          <w:sz w:val="21"/>
          <w:szCs w:val="21"/>
        </w:rPr>
        <w:t>南京，简称宁，江</w:t>
      </w:r>
      <w:r w:rsidRPr="00222B12">
        <w:rPr>
          <w:rFonts w:ascii="Arial" w:hAnsi="Arial" w:cs="Arial"/>
          <w:color w:val="000000"/>
          <w:sz w:val="21"/>
          <w:szCs w:val="21"/>
        </w:rPr>
        <w:t>苏省省会，位于江苏省西南部、长江下游，南起北纬</w:t>
      </w:r>
      <w:r w:rsidRPr="00222B12">
        <w:rPr>
          <w:rFonts w:ascii="Arial" w:hAnsi="Arial" w:cs="Arial"/>
          <w:color w:val="000000"/>
          <w:sz w:val="21"/>
          <w:szCs w:val="21"/>
        </w:rPr>
        <w:t>31°14′</w:t>
      </w:r>
      <w:r w:rsidRPr="00222B12">
        <w:rPr>
          <w:rFonts w:ascii="Arial" w:hAnsi="Arial" w:cs="Arial"/>
          <w:color w:val="000000"/>
          <w:sz w:val="21"/>
          <w:szCs w:val="21"/>
        </w:rPr>
        <w:t>，北抵北纬</w:t>
      </w:r>
      <w:r w:rsidRPr="00222B12">
        <w:rPr>
          <w:rFonts w:ascii="Arial" w:hAnsi="Arial" w:cs="Arial"/>
          <w:color w:val="000000"/>
          <w:sz w:val="21"/>
          <w:szCs w:val="21"/>
        </w:rPr>
        <w:t>32°37′</w:t>
      </w:r>
      <w:r w:rsidRPr="00222B12">
        <w:rPr>
          <w:rFonts w:ascii="Arial" w:hAnsi="Arial" w:cs="Arial"/>
          <w:color w:val="000000"/>
          <w:sz w:val="21"/>
          <w:szCs w:val="21"/>
        </w:rPr>
        <w:t>，西起东经</w:t>
      </w:r>
      <w:r w:rsidRPr="00222B12">
        <w:rPr>
          <w:rFonts w:ascii="Arial" w:hAnsi="Arial" w:cs="Arial"/>
          <w:color w:val="000000"/>
          <w:sz w:val="21"/>
          <w:szCs w:val="21"/>
        </w:rPr>
        <w:t>118°22′</w:t>
      </w:r>
      <w:r w:rsidRPr="00222B12">
        <w:rPr>
          <w:rFonts w:ascii="Arial" w:hAnsi="Arial" w:cs="Arial"/>
          <w:color w:val="000000"/>
          <w:sz w:val="21"/>
          <w:szCs w:val="21"/>
        </w:rPr>
        <w:t>，东迄东经</w:t>
      </w:r>
      <w:r w:rsidRPr="00222B12">
        <w:rPr>
          <w:rFonts w:ascii="Arial" w:hAnsi="Arial" w:cs="Arial"/>
          <w:color w:val="000000"/>
          <w:sz w:val="21"/>
          <w:szCs w:val="21"/>
        </w:rPr>
        <w:t>119°14′</w:t>
      </w:r>
      <w:r w:rsidRPr="00222B12">
        <w:rPr>
          <w:rFonts w:ascii="Arial" w:hAnsi="Arial" w:cs="Arial"/>
          <w:color w:val="000000"/>
          <w:sz w:val="21"/>
          <w:szCs w:val="21"/>
        </w:rPr>
        <w:t>，东西最大横距约</w:t>
      </w:r>
      <w:r w:rsidRPr="00222B12">
        <w:rPr>
          <w:rFonts w:ascii="Arial" w:hAnsi="Arial" w:cs="Arial"/>
          <w:color w:val="000000"/>
          <w:sz w:val="21"/>
          <w:szCs w:val="21"/>
        </w:rPr>
        <w:t>70</w:t>
      </w:r>
      <w:r w:rsidRPr="00222B12">
        <w:rPr>
          <w:rFonts w:ascii="Arial" w:hAnsi="Arial" w:cs="Arial"/>
          <w:color w:val="000000"/>
          <w:sz w:val="21"/>
          <w:szCs w:val="21"/>
        </w:rPr>
        <w:t>千米，南北最大纵距约</w:t>
      </w:r>
      <w:r w:rsidRPr="00222B12">
        <w:rPr>
          <w:rFonts w:ascii="Arial" w:hAnsi="Arial" w:cs="Arial"/>
          <w:color w:val="000000"/>
          <w:sz w:val="21"/>
          <w:szCs w:val="21"/>
        </w:rPr>
        <w:t>150</w:t>
      </w:r>
      <w:r w:rsidRPr="00222B12">
        <w:rPr>
          <w:rFonts w:ascii="Arial" w:hAnsi="Arial" w:cs="Arial"/>
          <w:color w:val="000000"/>
          <w:sz w:val="21"/>
          <w:szCs w:val="21"/>
        </w:rPr>
        <w:t>千米，</w:t>
      </w:r>
      <w:proofErr w:type="gramStart"/>
      <w:r w:rsidRPr="00222B12">
        <w:rPr>
          <w:rFonts w:ascii="Arial" w:hAnsi="Arial" w:cs="Arial"/>
          <w:color w:val="000000"/>
          <w:sz w:val="21"/>
          <w:szCs w:val="21"/>
        </w:rPr>
        <w:t>市域平面呈</w:t>
      </w:r>
      <w:proofErr w:type="gramEnd"/>
      <w:r w:rsidRPr="00222B12">
        <w:rPr>
          <w:rFonts w:ascii="Arial" w:hAnsi="Arial" w:cs="Arial"/>
          <w:color w:val="000000"/>
          <w:sz w:val="21"/>
          <w:szCs w:val="21"/>
        </w:rPr>
        <w:t>南北长东西</w:t>
      </w:r>
      <w:proofErr w:type="gramStart"/>
      <w:r w:rsidRPr="00222B12">
        <w:rPr>
          <w:rFonts w:ascii="Arial" w:hAnsi="Arial" w:cs="Arial"/>
          <w:color w:val="000000"/>
          <w:sz w:val="21"/>
          <w:szCs w:val="21"/>
        </w:rPr>
        <w:t>窄</w:t>
      </w:r>
      <w:proofErr w:type="gramEnd"/>
      <w:r w:rsidRPr="00222B12">
        <w:rPr>
          <w:rFonts w:ascii="Arial" w:hAnsi="Arial" w:cs="Arial"/>
          <w:color w:val="000000"/>
          <w:sz w:val="21"/>
          <w:szCs w:val="21"/>
        </w:rPr>
        <w:t>展开，面积</w:t>
      </w:r>
      <w:r w:rsidRPr="00222B12">
        <w:rPr>
          <w:rFonts w:ascii="Arial" w:hAnsi="Arial" w:cs="Arial"/>
          <w:color w:val="000000"/>
          <w:sz w:val="21"/>
          <w:szCs w:val="21"/>
        </w:rPr>
        <w:t>6587.02</w:t>
      </w:r>
      <w:r w:rsidRPr="00222B12">
        <w:rPr>
          <w:rFonts w:ascii="Arial" w:hAnsi="Arial" w:cs="Arial"/>
          <w:color w:val="000000"/>
          <w:sz w:val="21"/>
          <w:szCs w:val="21"/>
        </w:rPr>
        <w:t>平方千米。南京是中国东部地区重要的中心城市、全国重要的科研教育基地和综合交通枢纽，是长江三角洲唯一的特大城市和长三角辐射带动中西部地区发展重要门户城市、首批国家历史文化名城和全国重点风景旅游城市。南京的市民精神是</w:t>
      </w:r>
      <w:r w:rsidRPr="00222B12">
        <w:rPr>
          <w:rFonts w:ascii="Arial" w:hAnsi="Arial" w:cs="Arial"/>
          <w:color w:val="000000"/>
          <w:sz w:val="21"/>
          <w:szCs w:val="21"/>
        </w:rPr>
        <w:t>“</w:t>
      </w:r>
      <w:r w:rsidRPr="00222B12">
        <w:rPr>
          <w:rFonts w:ascii="Arial" w:hAnsi="Arial" w:cs="Arial"/>
          <w:color w:val="000000"/>
          <w:sz w:val="21"/>
          <w:szCs w:val="21"/>
        </w:rPr>
        <w:t>开明开放、诚朴诚信、博爱博雅、创业创新</w:t>
      </w:r>
      <w:r w:rsidRPr="00222B12">
        <w:rPr>
          <w:rFonts w:ascii="Arial" w:hAnsi="Arial" w:cs="Arial"/>
          <w:color w:val="000000"/>
          <w:sz w:val="21"/>
          <w:szCs w:val="21"/>
        </w:rPr>
        <w:t>”</w:t>
      </w:r>
      <w:r w:rsidRPr="00222B12">
        <w:rPr>
          <w:rFonts w:ascii="Arial" w:hAnsi="Arial" w:cs="Arial"/>
          <w:color w:val="000000"/>
          <w:sz w:val="21"/>
          <w:szCs w:val="21"/>
        </w:rPr>
        <w:t>。南京的市树是雪松，市花为梅花，南京旅游城市的标志是</w:t>
      </w:r>
      <w:r w:rsidRPr="00222B12">
        <w:rPr>
          <w:rFonts w:ascii="Arial" w:hAnsi="Arial" w:cs="Arial"/>
          <w:color w:val="000000"/>
          <w:sz w:val="21"/>
          <w:szCs w:val="21"/>
        </w:rPr>
        <w:t>“</w:t>
      </w:r>
      <w:r w:rsidRPr="00222B12">
        <w:rPr>
          <w:rFonts w:ascii="Arial" w:hAnsi="Arial" w:cs="Arial"/>
          <w:color w:val="000000"/>
          <w:sz w:val="21"/>
          <w:szCs w:val="21"/>
        </w:rPr>
        <w:t>龙蟠虎踞</w:t>
      </w:r>
      <w:r w:rsidRPr="00222B12">
        <w:rPr>
          <w:rFonts w:ascii="Arial" w:hAnsi="Arial" w:cs="Arial"/>
          <w:color w:val="000000"/>
          <w:sz w:val="21"/>
          <w:szCs w:val="21"/>
        </w:rPr>
        <w:t>”</w:t>
      </w:r>
      <w:r w:rsidRPr="00222B12">
        <w:rPr>
          <w:rFonts w:ascii="Arial" w:hAnsi="Arial" w:cs="Arial"/>
          <w:color w:val="000000"/>
          <w:sz w:val="21"/>
          <w:szCs w:val="21"/>
        </w:rPr>
        <w:t>。</w:t>
      </w:r>
    </w:p>
    <w:p w14:paraId="4C2A8372" w14:textId="77777777" w:rsidR="00506273" w:rsidRPr="00222B12" w:rsidRDefault="00506273" w:rsidP="00506273">
      <w:pPr>
        <w:adjustRightInd w:val="0"/>
        <w:snapToGrid w:val="0"/>
        <w:spacing w:line="480" w:lineRule="auto"/>
        <w:ind w:firstLineChars="200" w:firstLine="420"/>
        <w:jc w:val="both"/>
        <w:rPr>
          <w:rFonts w:ascii="Arial" w:hAnsi="Arial" w:cs="Arial"/>
          <w:color w:val="000000"/>
          <w:sz w:val="21"/>
          <w:szCs w:val="21"/>
        </w:rPr>
      </w:pPr>
      <w:r w:rsidRPr="00222B12">
        <w:rPr>
          <w:rFonts w:ascii="Arial" w:hAnsi="Arial" w:cs="Arial" w:hint="eastAsia"/>
          <w:color w:val="000000"/>
          <w:sz w:val="21"/>
          <w:szCs w:val="21"/>
        </w:rPr>
        <w:t>【自然状况】</w:t>
      </w:r>
      <w:r w:rsidRPr="00222B12">
        <w:rPr>
          <w:rFonts w:ascii="Arial" w:hAnsi="Arial" w:cs="Arial"/>
          <w:color w:val="000000"/>
          <w:sz w:val="21"/>
          <w:szCs w:val="21"/>
        </w:rPr>
        <w:t>南京市跨江而居，北连辽阔的江淮平原，东接富饶的长江三角洲，</w:t>
      </w:r>
      <w:proofErr w:type="gramStart"/>
      <w:r w:rsidRPr="00222B12">
        <w:rPr>
          <w:rFonts w:ascii="Arial" w:hAnsi="Arial" w:cs="Arial"/>
          <w:color w:val="000000"/>
          <w:sz w:val="21"/>
          <w:szCs w:val="21"/>
        </w:rPr>
        <w:t>市区东倚钟山</w:t>
      </w:r>
      <w:proofErr w:type="gramEnd"/>
      <w:r w:rsidRPr="00222B12">
        <w:rPr>
          <w:rFonts w:ascii="Arial" w:hAnsi="Arial" w:cs="Arial"/>
          <w:color w:val="000000"/>
          <w:sz w:val="21"/>
          <w:szCs w:val="21"/>
        </w:rPr>
        <w:t>，山高海拔</w:t>
      </w:r>
      <w:r w:rsidRPr="00222B12">
        <w:rPr>
          <w:rFonts w:ascii="Arial" w:hAnsi="Arial" w:cs="Arial"/>
          <w:color w:val="000000"/>
          <w:sz w:val="21"/>
          <w:szCs w:val="21"/>
        </w:rPr>
        <w:t>448.9</w:t>
      </w:r>
      <w:r w:rsidRPr="00222B12">
        <w:rPr>
          <w:rFonts w:ascii="Arial" w:hAnsi="Arial" w:cs="Arial"/>
          <w:color w:val="000000"/>
          <w:sz w:val="21"/>
          <w:szCs w:val="21"/>
        </w:rPr>
        <w:t>米，恰似龙</w:t>
      </w:r>
      <w:proofErr w:type="gramStart"/>
      <w:r w:rsidRPr="00222B12">
        <w:rPr>
          <w:rFonts w:ascii="Arial" w:hAnsi="Arial" w:cs="Arial"/>
          <w:color w:val="000000"/>
          <w:sz w:val="21"/>
          <w:szCs w:val="21"/>
        </w:rPr>
        <w:t>蟠</w:t>
      </w:r>
      <w:proofErr w:type="gramEnd"/>
      <w:r w:rsidRPr="00222B12">
        <w:rPr>
          <w:rFonts w:ascii="Arial" w:hAnsi="Arial" w:cs="Arial"/>
          <w:color w:val="000000"/>
          <w:sz w:val="21"/>
          <w:szCs w:val="21"/>
        </w:rPr>
        <w:t>，气势雄伟；西傍长江天堑，大江从西南滚滚奔腾而来，向东北滔滔而去。南京具有典型的北亚热带湿润气候特征，四季分明，雨水充沛，春秋短、冬夏长，年温差较大。自</w:t>
      </w:r>
      <w:r w:rsidRPr="00222B12">
        <w:rPr>
          <w:rFonts w:ascii="Arial" w:hAnsi="Arial" w:cs="Arial"/>
          <w:color w:val="000000"/>
          <w:sz w:val="21"/>
          <w:szCs w:val="21"/>
        </w:rPr>
        <w:t>1905</w:t>
      </w:r>
      <w:r w:rsidRPr="00222B12">
        <w:rPr>
          <w:rFonts w:ascii="Arial" w:hAnsi="Arial" w:cs="Arial"/>
          <w:color w:val="000000"/>
          <w:sz w:val="21"/>
          <w:szCs w:val="21"/>
        </w:rPr>
        <w:t>年有气象记录以来，气温经历先上升再下降又上升的变化。冬季常年以东北风为主，</w:t>
      </w:r>
      <w:r w:rsidRPr="00222B12">
        <w:rPr>
          <w:rFonts w:ascii="Arial" w:hAnsi="Arial" w:cs="Arial"/>
          <w:color w:val="000000"/>
          <w:sz w:val="21"/>
          <w:szCs w:val="21"/>
        </w:rPr>
        <w:t>1</w:t>
      </w:r>
      <w:r w:rsidRPr="00222B12">
        <w:rPr>
          <w:rFonts w:ascii="Arial" w:hAnsi="Arial" w:cs="Arial"/>
          <w:color w:val="000000"/>
          <w:sz w:val="21"/>
          <w:szCs w:val="21"/>
        </w:rPr>
        <w:t>月平均气温</w:t>
      </w:r>
      <w:r w:rsidRPr="00222B12">
        <w:rPr>
          <w:rFonts w:ascii="Arial" w:hAnsi="Arial" w:cs="Arial"/>
          <w:color w:val="000000"/>
          <w:sz w:val="21"/>
          <w:szCs w:val="21"/>
        </w:rPr>
        <w:t>2.7</w:t>
      </w:r>
      <w:r w:rsidRPr="00222B12">
        <w:rPr>
          <w:rFonts w:ascii="微软雅黑" w:eastAsia="微软雅黑" w:hAnsi="微软雅黑" w:cs="微软雅黑"/>
          <w:color w:val="000000"/>
          <w:sz w:val="21"/>
          <w:szCs w:val="21"/>
        </w:rPr>
        <w:t>℃</w:t>
      </w:r>
      <w:r w:rsidRPr="00222B12">
        <w:rPr>
          <w:rFonts w:ascii="Arial" w:hAnsi="Arial" w:cs="Arial"/>
          <w:color w:val="000000"/>
          <w:sz w:val="21"/>
          <w:szCs w:val="21"/>
        </w:rPr>
        <w:t>，极端日最低气温零下</w:t>
      </w:r>
      <w:r w:rsidRPr="00222B12">
        <w:rPr>
          <w:rFonts w:ascii="Arial" w:hAnsi="Arial" w:cs="Arial"/>
          <w:color w:val="000000"/>
          <w:sz w:val="21"/>
          <w:szCs w:val="21"/>
        </w:rPr>
        <w:t>14.0</w:t>
      </w:r>
      <w:r w:rsidRPr="00222B12">
        <w:rPr>
          <w:rFonts w:ascii="微软雅黑" w:eastAsia="微软雅黑" w:hAnsi="微软雅黑" w:cs="微软雅黑"/>
          <w:color w:val="000000"/>
          <w:sz w:val="21"/>
          <w:szCs w:val="21"/>
        </w:rPr>
        <w:t>℃</w:t>
      </w:r>
      <w:r w:rsidRPr="00222B12">
        <w:rPr>
          <w:rFonts w:ascii="Arial" w:hAnsi="Arial" w:cs="Arial"/>
          <w:color w:val="000000"/>
          <w:sz w:val="21"/>
          <w:szCs w:val="21"/>
        </w:rPr>
        <w:t>，出现在</w:t>
      </w:r>
      <w:r w:rsidRPr="00222B12">
        <w:rPr>
          <w:rFonts w:ascii="Arial" w:hAnsi="Arial" w:cs="Arial"/>
          <w:color w:val="000000"/>
          <w:sz w:val="21"/>
          <w:szCs w:val="21"/>
        </w:rPr>
        <w:t>1955</w:t>
      </w:r>
      <w:r w:rsidRPr="00222B12">
        <w:rPr>
          <w:rFonts w:ascii="Arial" w:hAnsi="Arial" w:cs="Arial"/>
          <w:color w:val="000000"/>
          <w:sz w:val="21"/>
          <w:szCs w:val="21"/>
        </w:rPr>
        <w:t>年</w:t>
      </w:r>
      <w:r w:rsidRPr="00222B12">
        <w:rPr>
          <w:rFonts w:ascii="Arial" w:hAnsi="Arial" w:cs="Arial"/>
          <w:color w:val="000000"/>
          <w:sz w:val="21"/>
          <w:szCs w:val="21"/>
        </w:rPr>
        <w:t>1</w:t>
      </w:r>
      <w:r w:rsidRPr="00222B12">
        <w:rPr>
          <w:rFonts w:ascii="Arial" w:hAnsi="Arial" w:cs="Arial"/>
          <w:color w:val="000000"/>
          <w:sz w:val="21"/>
          <w:szCs w:val="21"/>
        </w:rPr>
        <w:t>月</w:t>
      </w:r>
      <w:r w:rsidRPr="00222B12">
        <w:rPr>
          <w:rFonts w:ascii="Arial" w:hAnsi="Arial" w:cs="Arial"/>
          <w:color w:val="000000"/>
          <w:sz w:val="21"/>
          <w:szCs w:val="21"/>
        </w:rPr>
        <w:t>6</w:t>
      </w:r>
      <w:r w:rsidRPr="00222B12">
        <w:rPr>
          <w:rFonts w:ascii="Arial" w:hAnsi="Arial" w:cs="Arial"/>
          <w:color w:val="000000"/>
          <w:sz w:val="21"/>
          <w:szCs w:val="21"/>
        </w:rPr>
        <w:t>日；夏季以东南风为主，</w:t>
      </w:r>
      <w:r w:rsidRPr="00222B12">
        <w:rPr>
          <w:rFonts w:ascii="Arial" w:hAnsi="Arial" w:cs="Arial"/>
          <w:color w:val="000000"/>
          <w:sz w:val="21"/>
          <w:szCs w:val="21"/>
        </w:rPr>
        <w:t>7</w:t>
      </w:r>
      <w:r w:rsidRPr="00222B12">
        <w:rPr>
          <w:rFonts w:ascii="Arial" w:hAnsi="Arial" w:cs="Arial"/>
          <w:color w:val="000000"/>
          <w:sz w:val="21"/>
          <w:szCs w:val="21"/>
        </w:rPr>
        <w:t>月平均气温</w:t>
      </w:r>
      <w:r w:rsidRPr="00222B12">
        <w:rPr>
          <w:rFonts w:ascii="Arial" w:hAnsi="Arial" w:cs="Arial"/>
          <w:color w:val="000000"/>
          <w:sz w:val="21"/>
          <w:szCs w:val="21"/>
        </w:rPr>
        <w:t>28.1</w:t>
      </w:r>
      <w:r w:rsidRPr="00222B12">
        <w:rPr>
          <w:rFonts w:ascii="微软雅黑" w:eastAsia="微软雅黑" w:hAnsi="微软雅黑" w:cs="微软雅黑"/>
          <w:color w:val="000000"/>
          <w:sz w:val="21"/>
          <w:szCs w:val="21"/>
        </w:rPr>
        <w:t>℃</w:t>
      </w:r>
      <w:r w:rsidRPr="00222B12">
        <w:rPr>
          <w:rFonts w:ascii="Arial" w:hAnsi="Arial" w:cs="Arial"/>
          <w:color w:val="000000"/>
          <w:sz w:val="21"/>
          <w:szCs w:val="21"/>
        </w:rPr>
        <w:t>，极端日最高气温</w:t>
      </w:r>
      <w:r w:rsidRPr="00222B12">
        <w:rPr>
          <w:rFonts w:ascii="Arial" w:hAnsi="Arial" w:cs="Arial"/>
          <w:color w:val="000000"/>
          <w:sz w:val="21"/>
          <w:szCs w:val="21"/>
        </w:rPr>
        <w:t>43.0</w:t>
      </w:r>
      <w:r w:rsidRPr="00222B12">
        <w:rPr>
          <w:rFonts w:ascii="微软雅黑" w:eastAsia="微软雅黑" w:hAnsi="微软雅黑" w:cs="微软雅黑"/>
          <w:color w:val="000000"/>
          <w:sz w:val="21"/>
          <w:szCs w:val="21"/>
        </w:rPr>
        <w:t>℃</w:t>
      </w:r>
      <w:r w:rsidRPr="00222B12">
        <w:rPr>
          <w:rFonts w:ascii="Arial" w:hAnsi="Arial" w:cs="Arial"/>
          <w:color w:val="000000"/>
          <w:sz w:val="21"/>
          <w:szCs w:val="21"/>
        </w:rPr>
        <w:t>，出现在</w:t>
      </w:r>
      <w:r w:rsidRPr="00222B12">
        <w:rPr>
          <w:rFonts w:ascii="Arial" w:hAnsi="Arial" w:cs="Arial"/>
          <w:color w:val="000000"/>
          <w:sz w:val="21"/>
          <w:szCs w:val="21"/>
        </w:rPr>
        <w:t>1934</w:t>
      </w:r>
      <w:r w:rsidRPr="00222B12">
        <w:rPr>
          <w:rFonts w:ascii="Arial" w:hAnsi="Arial" w:cs="Arial"/>
          <w:color w:val="000000"/>
          <w:sz w:val="21"/>
          <w:szCs w:val="21"/>
        </w:rPr>
        <w:t>年</w:t>
      </w:r>
      <w:r w:rsidRPr="00222B12">
        <w:rPr>
          <w:rFonts w:ascii="Arial" w:hAnsi="Arial" w:cs="Arial"/>
          <w:color w:val="000000"/>
          <w:sz w:val="21"/>
          <w:szCs w:val="21"/>
        </w:rPr>
        <w:t>7</w:t>
      </w:r>
      <w:r w:rsidRPr="00222B12">
        <w:rPr>
          <w:rFonts w:ascii="Arial" w:hAnsi="Arial" w:cs="Arial"/>
          <w:color w:val="000000"/>
          <w:sz w:val="21"/>
          <w:szCs w:val="21"/>
        </w:rPr>
        <w:t>月</w:t>
      </w:r>
      <w:r w:rsidRPr="00222B12">
        <w:rPr>
          <w:rFonts w:ascii="Arial" w:hAnsi="Arial" w:cs="Arial"/>
          <w:color w:val="000000"/>
          <w:sz w:val="21"/>
          <w:szCs w:val="21"/>
        </w:rPr>
        <w:t>13</w:t>
      </w:r>
      <w:r w:rsidRPr="00222B12">
        <w:rPr>
          <w:rFonts w:ascii="Arial" w:hAnsi="Arial" w:cs="Arial"/>
          <w:color w:val="000000"/>
          <w:sz w:val="21"/>
          <w:szCs w:val="21"/>
        </w:rPr>
        <w:t>日。大于</w:t>
      </w:r>
      <w:r w:rsidRPr="00222B12">
        <w:rPr>
          <w:rFonts w:ascii="Arial" w:hAnsi="Arial" w:cs="Arial"/>
          <w:color w:val="000000"/>
          <w:sz w:val="21"/>
          <w:szCs w:val="21"/>
        </w:rPr>
        <w:t>0.1</w:t>
      </w:r>
      <w:r w:rsidRPr="00222B12">
        <w:rPr>
          <w:rFonts w:ascii="Arial" w:hAnsi="Arial" w:cs="Arial"/>
          <w:color w:val="000000"/>
          <w:sz w:val="21"/>
          <w:szCs w:val="21"/>
        </w:rPr>
        <w:t>毫米的降水日数</w:t>
      </w:r>
      <w:r w:rsidRPr="00222B12">
        <w:rPr>
          <w:rFonts w:ascii="Arial" w:hAnsi="Arial" w:cs="Arial"/>
          <w:color w:val="000000"/>
          <w:sz w:val="21"/>
          <w:szCs w:val="21"/>
        </w:rPr>
        <w:t>113.7</w:t>
      </w:r>
      <w:r w:rsidRPr="00222B12">
        <w:rPr>
          <w:rFonts w:ascii="Arial" w:hAnsi="Arial" w:cs="Arial"/>
          <w:color w:val="000000"/>
          <w:sz w:val="21"/>
          <w:szCs w:val="21"/>
        </w:rPr>
        <w:t>天，极端</w:t>
      </w:r>
      <w:proofErr w:type="gramStart"/>
      <w:r w:rsidRPr="00222B12">
        <w:rPr>
          <w:rFonts w:ascii="Arial" w:hAnsi="Arial" w:cs="Arial"/>
          <w:color w:val="000000"/>
          <w:sz w:val="21"/>
          <w:szCs w:val="21"/>
        </w:rPr>
        <w:t>最多年</w:t>
      </w:r>
      <w:proofErr w:type="gramEnd"/>
      <w:r w:rsidRPr="00222B12">
        <w:rPr>
          <w:rFonts w:ascii="Arial" w:hAnsi="Arial" w:cs="Arial"/>
          <w:color w:val="000000"/>
          <w:sz w:val="21"/>
          <w:szCs w:val="21"/>
        </w:rPr>
        <w:t>降水日数</w:t>
      </w:r>
      <w:r w:rsidRPr="00222B12">
        <w:rPr>
          <w:rFonts w:ascii="Arial" w:hAnsi="Arial" w:cs="Arial"/>
          <w:color w:val="000000"/>
          <w:sz w:val="21"/>
          <w:szCs w:val="21"/>
        </w:rPr>
        <w:t>160</w:t>
      </w:r>
      <w:r w:rsidRPr="00222B12">
        <w:rPr>
          <w:rFonts w:ascii="Arial" w:hAnsi="Arial" w:cs="Arial"/>
          <w:color w:val="000000"/>
          <w:sz w:val="21"/>
          <w:szCs w:val="21"/>
        </w:rPr>
        <w:t>天，出现在</w:t>
      </w:r>
      <w:r w:rsidRPr="00222B12">
        <w:rPr>
          <w:rFonts w:ascii="Arial" w:hAnsi="Arial" w:cs="Arial"/>
          <w:color w:val="000000"/>
          <w:sz w:val="21"/>
          <w:szCs w:val="21"/>
        </w:rPr>
        <w:t>1957</w:t>
      </w:r>
      <w:r w:rsidRPr="00222B12">
        <w:rPr>
          <w:rFonts w:ascii="Arial" w:hAnsi="Arial" w:cs="Arial"/>
          <w:color w:val="000000"/>
          <w:sz w:val="21"/>
          <w:szCs w:val="21"/>
        </w:rPr>
        <w:t>年；年均降水量</w:t>
      </w:r>
      <w:r w:rsidRPr="00222B12">
        <w:rPr>
          <w:rFonts w:ascii="Arial" w:hAnsi="Arial" w:cs="Arial"/>
          <w:color w:val="000000"/>
          <w:sz w:val="21"/>
          <w:szCs w:val="21"/>
        </w:rPr>
        <w:t>1090.4</w:t>
      </w:r>
      <w:r w:rsidRPr="00222B12">
        <w:rPr>
          <w:rFonts w:ascii="Arial" w:hAnsi="Arial" w:cs="Arial"/>
          <w:color w:val="000000"/>
          <w:sz w:val="21"/>
          <w:szCs w:val="21"/>
        </w:rPr>
        <w:t>毫米，极端最多年降水量</w:t>
      </w:r>
      <w:r w:rsidRPr="00222B12">
        <w:rPr>
          <w:rFonts w:ascii="Arial" w:hAnsi="Arial" w:cs="Arial"/>
          <w:color w:val="000000"/>
          <w:sz w:val="21"/>
          <w:szCs w:val="21"/>
        </w:rPr>
        <w:t>1825.8</w:t>
      </w:r>
      <w:r w:rsidRPr="00222B12">
        <w:rPr>
          <w:rFonts w:ascii="Arial" w:hAnsi="Arial" w:cs="Arial"/>
          <w:color w:val="000000"/>
          <w:sz w:val="21"/>
          <w:szCs w:val="21"/>
        </w:rPr>
        <w:t>毫米，出现在</w:t>
      </w:r>
      <w:r w:rsidRPr="00222B12">
        <w:rPr>
          <w:rFonts w:ascii="Arial" w:hAnsi="Arial" w:cs="Arial"/>
          <w:color w:val="000000"/>
          <w:sz w:val="21"/>
          <w:szCs w:val="21"/>
        </w:rPr>
        <w:t>1991</w:t>
      </w:r>
      <w:r w:rsidRPr="00222B12">
        <w:rPr>
          <w:rFonts w:ascii="Arial" w:hAnsi="Arial" w:cs="Arial"/>
          <w:color w:val="000000"/>
          <w:sz w:val="21"/>
          <w:szCs w:val="21"/>
        </w:rPr>
        <w:t>年。</w:t>
      </w:r>
    </w:p>
    <w:p w14:paraId="2CFD50E8" w14:textId="3A59C0FF" w:rsidR="00C01AA7" w:rsidRPr="00222B12" w:rsidRDefault="00506273" w:rsidP="00506273">
      <w:pPr>
        <w:widowControl w:val="0"/>
        <w:adjustRightInd w:val="0"/>
        <w:snapToGrid w:val="0"/>
        <w:spacing w:line="480" w:lineRule="auto"/>
        <w:ind w:firstLineChars="200" w:firstLine="420"/>
        <w:jc w:val="both"/>
        <w:rPr>
          <w:rFonts w:ascii="Arial" w:hAnsi="Arial" w:cs="Arial"/>
          <w:color w:val="000000"/>
          <w:sz w:val="21"/>
          <w:szCs w:val="21"/>
        </w:rPr>
      </w:pPr>
      <w:r w:rsidRPr="00222B12">
        <w:rPr>
          <w:rFonts w:ascii="Arial" w:hAnsi="Arial" w:cs="Arial" w:hint="eastAsia"/>
          <w:color w:val="000000"/>
          <w:sz w:val="21"/>
          <w:szCs w:val="21"/>
        </w:rPr>
        <w:t>【区划人口】</w:t>
      </w:r>
      <w:r w:rsidR="00DD0741" w:rsidRPr="00222B12">
        <w:rPr>
          <w:rFonts w:ascii="Arial" w:hAnsi="Arial" w:cs="Arial" w:hint="eastAsia"/>
          <w:color w:val="000000"/>
          <w:sz w:val="21"/>
          <w:szCs w:val="21"/>
        </w:rPr>
        <w:t>据南京市第七次全国人口普查公报，截至</w:t>
      </w:r>
      <w:r w:rsidR="00DD0741" w:rsidRPr="00222B12">
        <w:rPr>
          <w:rFonts w:ascii="Arial" w:hAnsi="Arial" w:cs="Arial"/>
          <w:color w:val="000000"/>
          <w:sz w:val="21"/>
          <w:szCs w:val="21"/>
        </w:rPr>
        <w:t>2020</w:t>
      </w:r>
      <w:r w:rsidR="00DD0741" w:rsidRPr="00222B12">
        <w:rPr>
          <w:rFonts w:ascii="Arial" w:hAnsi="Arial" w:cs="Arial"/>
          <w:color w:val="000000"/>
          <w:sz w:val="21"/>
          <w:szCs w:val="21"/>
        </w:rPr>
        <w:t>年</w:t>
      </w:r>
      <w:r w:rsidR="00DD0741" w:rsidRPr="00222B12">
        <w:rPr>
          <w:rFonts w:ascii="Arial" w:hAnsi="Arial" w:cs="Arial"/>
          <w:color w:val="000000"/>
          <w:sz w:val="21"/>
          <w:szCs w:val="21"/>
        </w:rPr>
        <w:t>11</w:t>
      </w:r>
      <w:r w:rsidR="00DD0741" w:rsidRPr="00222B12">
        <w:rPr>
          <w:rFonts w:ascii="Arial" w:hAnsi="Arial" w:cs="Arial"/>
          <w:color w:val="000000"/>
          <w:sz w:val="21"/>
          <w:szCs w:val="21"/>
        </w:rPr>
        <w:t>月</w:t>
      </w:r>
      <w:r w:rsidR="00DD0741" w:rsidRPr="00222B12">
        <w:rPr>
          <w:rFonts w:ascii="Arial" w:hAnsi="Arial" w:cs="Arial"/>
          <w:color w:val="000000"/>
          <w:sz w:val="21"/>
          <w:szCs w:val="21"/>
        </w:rPr>
        <w:t>1</w:t>
      </w:r>
      <w:r w:rsidR="00DD0741" w:rsidRPr="00222B12">
        <w:rPr>
          <w:rFonts w:ascii="Arial" w:hAnsi="Arial" w:cs="Arial"/>
          <w:color w:val="000000"/>
          <w:sz w:val="21"/>
          <w:szCs w:val="21"/>
        </w:rPr>
        <w:t>日零时，全市常住人口为</w:t>
      </w:r>
      <w:r w:rsidR="00DD0741" w:rsidRPr="00222B12">
        <w:rPr>
          <w:rFonts w:ascii="Arial" w:hAnsi="Arial" w:cs="Arial"/>
          <w:color w:val="000000"/>
          <w:sz w:val="21"/>
          <w:szCs w:val="21"/>
        </w:rPr>
        <w:lastRenderedPageBreak/>
        <w:t>9314685</w:t>
      </w:r>
      <w:r w:rsidR="00DD0741" w:rsidRPr="00222B12">
        <w:rPr>
          <w:rFonts w:ascii="Arial" w:hAnsi="Arial" w:cs="Arial"/>
          <w:color w:val="000000"/>
          <w:sz w:val="21"/>
          <w:szCs w:val="21"/>
        </w:rPr>
        <w:t>人，与</w:t>
      </w:r>
      <w:r w:rsidR="00DD0741" w:rsidRPr="00222B12">
        <w:rPr>
          <w:rFonts w:ascii="Arial" w:hAnsi="Arial" w:cs="Arial"/>
          <w:color w:val="000000"/>
          <w:sz w:val="21"/>
          <w:szCs w:val="21"/>
        </w:rPr>
        <w:t>2010</w:t>
      </w:r>
      <w:r w:rsidR="00DD0741" w:rsidRPr="00222B12">
        <w:rPr>
          <w:rFonts w:ascii="Arial" w:hAnsi="Arial" w:cs="Arial"/>
          <w:color w:val="000000"/>
          <w:sz w:val="21"/>
          <w:szCs w:val="21"/>
        </w:rPr>
        <w:t>年南京市第六次全国人口普查的</w:t>
      </w:r>
      <w:r w:rsidR="00DD0741" w:rsidRPr="00222B12">
        <w:rPr>
          <w:rFonts w:ascii="Arial" w:hAnsi="Arial" w:cs="Arial"/>
          <w:color w:val="000000"/>
          <w:sz w:val="21"/>
          <w:szCs w:val="21"/>
        </w:rPr>
        <w:t>8003744</w:t>
      </w:r>
      <w:r w:rsidR="00DD0741" w:rsidRPr="00222B12">
        <w:rPr>
          <w:rFonts w:ascii="Arial" w:hAnsi="Arial" w:cs="Arial"/>
          <w:color w:val="000000"/>
          <w:sz w:val="21"/>
          <w:szCs w:val="21"/>
        </w:rPr>
        <w:t>人相比，</w:t>
      </w:r>
      <w:r w:rsidR="00DD0741" w:rsidRPr="00222B12">
        <w:rPr>
          <w:rFonts w:ascii="Arial" w:hAnsi="Arial" w:cs="Arial"/>
          <w:color w:val="000000"/>
          <w:sz w:val="21"/>
          <w:szCs w:val="21"/>
        </w:rPr>
        <w:t>10</w:t>
      </w:r>
      <w:r w:rsidR="00DD0741" w:rsidRPr="00222B12">
        <w:rPr>
          <w:rFonts w:ascii="Arial" w:hAnsi="Arial" w:cs="Arial"/>
          <w:color w:val="000000"/>
          <w:sz w:val="21"/>
          <w:szCs w:val="21"/>
        </w:rPr>
        <w:t>年增加</w:t>
      </w:r>
      <w:r w:rsidR="00DD0741" w:rsidRPr="00222B12">
        <w:rPr>
          <w:rFonts w:ascii="Arial" w:hAnsi="Arial" w:cs="Arial"/>
          <w:color w:val="000000"/>
          <w:sz w:val="21"/>
          <w:szCs w:val="21"/>
        </w:rPr>
        <w:t>1310941</w:t>
      </w:r>
      <w:r w:rsidR="00DD0741" w:rsidRPr="00222B12">
        <w:rPr>
          <w:rFonts w:ascii="Arial" w:hAnsi="Arial" w:cs="Arial"/>
          <w:color w:val="000000"/>
          <w:sz w:val="21"/>
          <w:szCs w:val="21"/>
        </w:rPr>
        <w:t>人，增长</w:t>
      </w:r>
      <w:r w:rsidR="00DD0741" w:rsidRPr="00222B12">
        <w:rPr>
          <w:rFonts w:ascii="Arial" w:hAnsi="Arial" w:cs="Arial"/>
          <w:color w:val="000000"/>
          <w:sz w:val="21"/>
          <w:szCs w:val="21"/>
        </w:rPr>
        <w:t>16.38%</w:t>
      </w:r>
      <w:r w:rsidR="00DD0741" w:rsidRPr="00222B12">
        <w:rPr>
          <w:rFonts w:ascii="Arial" w:hAnsi="Arial" w:cs="Arial"/>
          <w:color w:val="000000"/>
          <w:sz w:val="21"/>
          <w:szCs w:val="21"/>
        </w:rPr>
        <w:t>。</w:t>
      </w:r>
    </w:p>
    <w:p w14:paraId="6C437219" w14:textId="77777777" w:rsidR="00DD0741" w:rsidRDefault="00DD0741" w:rsidP="00DD0741">
      <w:pPr>
        <w:pStyle w:val="ab"/>
        <w:shd w:val="clear" w:color="auto" w:fill="FFFFFF"/>
        <w:spacing w:before="75" w:beforeAutospacing="0" w:after="75" w:afterAutospacing="0" w:line="420" w:lineRule="atLeast"/>
        <w:jc w:val="center"/>
        <w:rPr>
          <w:rFonts w:ascii="Arial" w:hAnsi="Arial" w:cs="Arial"/>
          <w:color w:val="333333"/>
        </w:rPr>
      </w:pPr>
      <w:r>
        <w:rPr>
          <w:rStyle w:val="ae"/>
          <w:rFonts w:ascii="Arial" w:hAnsi="Arial" w:cs="Arial"/>
          <w:color w:val="333333"/>
        </w:rPr>
        <w:t>2019</w:t>
      </w:r>
      <w:r>
        <w:rPr>
          <w:rStyle w:val="ae"/>
          <w:rFonts w:ascii="Arial" w:hAnsi="Arial" w:cs="Arial"/>
          <w:color w:val="333333"/>
        </w:rPr>
        <w:t>年南京市各区所辖街道、镇一览表</w:t>
      </w:r>
    </w:p>
    <w:tbl>
      <w:tblPr>
        <w:tblW w:w="0" w:type="auto"/>
        <w:jc w:val="center"/>
        <w:tblBorders>
          <w:top w:val="single" w:sz="6" w:space="0" w:color="000000"/>
          <w:left w:val="single" w:sz="6" w:space="0" w:color="000000"/>
          <w:bottom w:val="single" w:sz="6" w:space="0" w:color="000000"/>
          <w:right w:val="single" w:sz="6" w:space="0" w:color="000000"/>
        </w:tblBorders>
        <w:tblCellMar>
          <w:top w:w="85" w:type="dxa"/>
          <w:left w:w="85" w:type="dxa"/>
          <w:bottom w:w="85" w:type="dxa"/>
          <w:right w:w="85" w:type="dxa"/>
        </w:tblCellMar>
        <w:tblLook w:val="04A0" w:firstRow="1" w:lastRow="0" w:firstColumn="1" w:lastColumn="0" w:noHBand="0" w:noVBand="1"/>
      </w:tblPr>
      <w:tblGrid>
        <w:gridCol w:w="1275"/>
        <w:gridCol w:w="7275"/>
      </w:tblGrid>
      <w:tr w:rsidR="00DD0741" w:rsidRPr="0045588C" w14:paraId="65CF6AAB" w14:textId="77777777" w:rsidTr="0045588C">
        <w:trPr>
          <w:jc w:val="center"/>
        </w:trPr>
        <w:tc>
          <w:tcPr>
            <w:tcW w:w="1275" w:type="dxa"/>
            <w:tcBorders>
              <w:top w:val="single" w:sz="6" w:space="0" w:color="000000"/>
              <w:left w:val="single" w:sz="6" w:space="0" w:color="000000"/>
              <w:bottom w:val="single" w:sz="6" w:space="0" w:color="000000"/>
              <w:right w:val="single" w:sz="6" w:space="0" w:color="000000"/>
            </w:tcBorders>
            <w:vAlign w:val="center"/>
            <w:hideMark/>
          </w:tcPr>
          <w:p w14:paraId="727D2D07"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r w:rsidRPr="0045588C">
              <w:rPr>
                <w:rStyle w:val="ae"/>
                <w:rFonts w:ascii="华文细黑" w:eastAsia="华文细黑" w:hAnsi="华文细黑" w:cs="Arial"/>
                <w:color w:val="333333"/>
                <w:sz w:val="18"/>
                <w:szCs w:val="18"/>
              </w:rPr>
              <w:t>地区</w:t>
            </w:r>
          </w:p>
        </w:tc>
        <w:tc>
          <w:tcPr>
            <w:tcW w:w="7275" w:type="dxa"/>
            <w:tcBorders>
              <w:top w:val="single" w:sz="6" w:space="0" w:color="000000"/>
              <w:left w:val="single" w:sz="6" w:space="0" w:color="000000"/>
              <w:bottom w:val="single" w:sz="6" w:space="0" w:color="000000"/>
              <w:right w:val="single" w:sz="6" w:space="0" w:color="000000"/>
            </w:tcBorders>
            <w:vAlign w:val="center"/>
            <w:hideMark/>
          </w:tcPr>
          <w:p w14:paraId="473560CD"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r w:rsidRPr="0045588C">
              <w:rPr>
                <w:rStyle w:val="ae"/>
                <w:rFonts w:ascii="华文细黑" w:eastAsia="华文细黑" w:hAnsi="华文细黑" w:cs="Arial"/>
                <w:color w:val="333333"/>
                <w:sz w:val="18"/>
                <w:szCs w:val="18"/>
              </w:rPr>
              <w:t>街道办事处、镇</w:t>
            </w:r>
          </w:p>
        </w:tc>
      </w:tr>
      <w:tr w:rsidR="00DD0741" w:rsidRPr="0045588C" w14:paraId="0C11027C" w14:textId="77777777" w:rsidTr="0045588C">
        <w:trPr>
          <w:jc w:val="center"/>
        </w:trPr>
        <w:tc>
          <w:tcPr>
            <w:tcW w:w="1275" w:type="dxa"/>
            <w:tcBorders>
              <w:top w:val="single" w:sz="6" w:space="0" w:color="000000"/>
              <w:left w:val="single" w:sz="6" w:space="0" w:color="000000"/>
              <w:bottom w:val="single" w:sz="6" w:space="0" w:color="000000"/>
              <w:right w:val="single" w:sz="6" w:space="0" w:color="000000"/>
            </w:tcBorders>
            <w:vAlign w:val="center"/>
            <w:hideMark/>
          </w:tcPr>
          <w:p w14:paraId="613C05ED"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r w:rsidRPr="0045588C">
              <w:rPr>
                <w:rFonts w:ascii="华文细黑" w:eastAsia="华文细黑" w:hAnsi="华文细黑" w:cs="Arial"/>
                <w:color w:val="333333"/>
                <w:sz w:val="18"/>
                <w:szCs w:val="18"/>
              </w:rPr>
              <w:t>玄武区</w:t>
            </w:r>
          </w:p>
        </w:tc>
        <w:tc>
          <w:tcPr>
            <w:tcW w:w="7275" w:type="dxa"/>
            <w:tcBorders>
              <w:top w:val="single" w:sz="6" w:space="0" w:color="000000"/>
              <w:left w:val="single" w:sz="6" w:space="0" w:color="000000"/>
              <w:bottom w:val="single" w:sz="6" w:space="0" w:color="000000"/>
              <w:right w:val="single" w:sz="6" w:space="0" w:color="000000"/>
            </w:tcBorders>
            <w:vAlign w:val="center"/>
            <w:hideMark/>
          </w:tcPr>
          <w:p w14:paraId="56BC2CD6"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r w:rsidRPr="0045588C">
              <w:rPr>
                <w:rFonts w:ascii="华文细黑" w:eastAsia="华文细黑" w:hAnsi="华文细黑" w:cs="Arial"/>
                <w:color w:val="333333"/>
                <w:sz w:val="18"/>
                <w:szCs w:val="18"/>
              </w:rPr>
              <w:t>梅园新村街道、新街口街道、玄武门街道、锁金村街道、红山街道、孝陵卫街道、玄武湖街道</w:t>
            </w:r>
          </w:p>
        </w:tc>
      </w:tr>
      <w:tr w:rsidR="00DD0741" w:rsidRPr="0045588C" w14:paraId="4341A24E" w14:textId="77777777" w:rsidTr="0045588C">
        <w:trPr>
          <w:jc w:val="center"/>
        </w:trPr>
        <w:tc>
          <w:tcPr>
            <w:tcW w:w="1275" w:type="dxa"/>
            <w:tcBorders>
              <w:top w:val="single" w:sz="6" w:space="0" w:color="000000"/>
              <w:left w:val="single" w:sz="6" w:space="0" w:color="000000"/>
              <w:bottom w:val="single" w:sz="6" w:space="0" w:color="000000"/>
              <w:right w:val="single" w:sz="6" w:space="0" w:color="000000"/>
            </w:tcBorders>
            <w:vAlign w:val="center"/>
            <w:hideMark/>
          </w:tcPr>
          <w:p w14:paraId="03990260"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r w:rsidRPr="0045588C">
              <w:rPr>
                <w:rFonts w:ascii="华文细黑" w:eastAsia="华文细黑" w:hAnsi="华文细黑" w:cs="Arial"/>
                <w:color w:val="333333"/>
                <w:sz w:val="18"/>
                <w:szCs w:val="18"/>
              </w:rPr>
              <w:t>秦淮区</w:t>
            </w:r>
          </w:p>
        </w:tc>
        <w:tc>
          <w:tcPr>
            <w:tcW w:w="7275" w:type="dxa"/>
            <w:tcBorders>
              <w:top w:val="single" w:sz="6" w:space="0" w:color="000000"/>
              <w:left w:val="single" w:sz="6" w:space="0" w:color="000000"/>
              <w:bottom w:val="single" w:sz="6" w:space="0" w:color="000000"/>
              <w:right w:val="single" w:sz="6" w:space="0" w:color="000000"/>
            </w:tcBorders>
            <w:vAlign w:val="center"/>
            <w:hideMark/>
          </w:tcPr>
          <w:p w14:paraId="1FFCE09D"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proofErr w:type="gramStart"/>
            <w:r w:rsidRPr="0045588C">
              <w:rPr>
                <w:rFonts w:ascii="华文细黑" w:eastAsia="华文细黑" w:hAnsi="华文细黑" w:cs="Arial"/>
                <w:color w:val="333333"/>
                <w:sz w:val="18"/>
                <w:szCs w:val="18"/>
              </w:rPr>
              <w:t>秦虹街道</w:t>
            </w:r>
            <w:proofErr w:type="gramEnd"/>
            <w:r w:rsidRPr="0045588C">
              <w:rPr>
                <w:rFonts w:ascii="华文细黑" w:eastAsia="华文细黑" w:hAnsi="华文细黑" w:cs="Arial"/>
                <w:color w:val="333333"/>
                <w:sz w:val="18"/>
                <w:szCs w:val="18"/>
              </w:rPr>
              <w:t>、夫子庙街道、双塘街道、中华门街道、红花街道、洪武路街道、五老村街道、大光路街道、瑞金路街道、月牙湖街道、光华路街道、朝天宫街道</w:t>
            </w:r>
          </w:p>
        </w:tc>
      </w:tr>
      <w:tr w:rsidR="00DD0741" w:rsidRPr="0045588C" w14:paraId="3C252D3F" w14:textId="77777777" w:rsidTr="0045588C">
        <w:trPr>
          <w:jc w:val="center"/>
        </w:trPr>
        <w:tc>
          <w:tcPr>
            <w:tcW w:w="1275" w:type="dxa"/>
            <w:tcBorders>
              <w:top w:val="single" w:sz="6" w:space="0" w:color="000000"/>
              <w:left w:val="single" w:sz="6" w:space="0" w:color="000000"/>
              <w:bottom w:val="single" w:sz="6" w:space="0" w:color="000000"/>
              <w:right w:val="single" w:sz="6" w:space="0" w:color="000000"/>
            </w:tcBorders>
            <w:vAlign w:val="center"/>
            <w:hideMark/>
          </w:tcPr>
          <w:p w14:paraId="47FC57D0"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r w:rsidRPr="0045588C">
              <w:rPr>
                <w:rFonts w:ascii="华文细黑" w:eastAsia="华文细黑" w:hAnsi="华文细黑" w:cs="Arial"/>
                <w:color w:val="333333"/>
                <w:sz w:val="18"/>
                <w:szCs w:val="18"/>
              </w:rPr>
              <w:t>建</w:t>
            </w:r>
            <w:proofErr w:type="gramStart"/>
            <w:r w:rsidRPr="0045588C">
              <w:rPr>
                <w:rFonts w:ascii="华文细黑" w:eastAsia="华文细黑" w:hAnsi="华文细黑" w:cs="Arial"/>
                <w:color w:val="333333"/>
                <w:sz w:val="18"/>
                <w:szCs w:val="18"/>
              </w:rPr>
              <w:t>邺</w:t>
            </w:r>
            <w:proofErr w:type="gramEnd"/>
            <w:r w:rsidRPr="0045588C">
              <w:rPr>
                <w:rFonts w:ascii="华文细黑" w:eastAsia="华文细黑" w:hAnsi="华文细黑" w:cs="Arial"/>
                <w:color w:val="333333"/>
                <w:sz w:val="18"/>
                <w:szCs w:val="18"/>
              </w:rPr>
              <w:t>区</w:t>
            </w:r>
          </w:p>
        </w:tc>
        <w:tc>
          <w:tcPr>
            <w:tcW w:w="7275" w:type="dxa"/>
            <w:tcBorders>
              <w:top w:val="single" w:sz="6" w:space="0" w:color="000000"/>
              <w:left w:val="single" w:sz="6" w:space="0" w:color="000000"/>
              <w:bottom w:val="single" w:sz="6" w:space="0" w:color="000000"/>
              <w:right w:val="single" w:sz="6" w:space="0" w:color="000000"/>
            </w:tcBorders>
            <w:vAlign w:val="center"/>
            <w:hideMark/>
          </w:tcPr>
          <w:p w14:paraId="36C1995C"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r w:rsidRPr="0045588C">
              <w:rPr>
                <w:rFonts w:ascii="华文细黑" w:eastAsia="华文细黑" w:hAnsi="华文细黑" w:cs="Arial"/>
                <w:color w:val="333333"/>
                <w:sz w:val="18"/>
                <w:szCs w:val="18"/>
              </w:rPr>
              <w:t>兴隆街道、南苑街道、双闸街道、沙洲街道、江心洲街道、莫愁湖街道</w:t>
            </w:r>
          </w:p>
        </w:tc>
      </w:tr>
      <w:tr w:rsidR="00DD0741" w:rsidRPr="0045588C" w14:paraId="35429F1A" w14:textId="77777777" w:rsidTr="0045588C">
        <w:trPr>
          <w:jc w:val="center"/>
        </w:trPr>
        <w:tc>
          <w:tcPr>
            <w:tcW w:w="1275" w:type="dxa"/>
            <w:tcBorders>
              <w:top w:val="single" w:sz="6" w:space="0" w:color="000000"/>
              <w:left w:val="single" w:sz="6" w:space="0" w:color="000000"/>
              <w:bottom w:val="single" w:sz="6" w:space="0" w:color="000000"/>
              <w:right w:val="single" w:sz="6" w:space="0" w:color="000000"/>
            </w:tcBorders>
            <w:vAlign w:val="center"/>
            <w:hideMark/>
          </w:tcPr>
          <w:p w14:paraId="7945A705"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r w:rsidRPr="0045588C">
              <w:rPr>
                <w:rFonts w:ascii="华文细黑" w:eastAsia="华文细黑" w:hAnsi="华文细黑" w:cs="Arial"/>
                <w:color w:val="333333"/>
                <w:sz w:val="18"/>
                <w:szCs w:val="18"/>
              </w:rPr>
              <w:t>鼓楼区</w:t>
            </w:r>
          </w:p>
        </w:tc>
        <w:tc>
          <w:tcPr>
            <w:tcW w:w="7275" w:type="dxa"/>
            <w:tcBorders>
              <w:top w:val="single" w:sz="6" w:space="0" w:color="000000"/>
              <w:left w:val="single" w:sz="6" w:space="0" w:color="000000"/>
              <w:bottom w:val="single" w:sz="6" w:space="0" w:color="000000"/>
              <w:right w:val="single" w:sz="6" w:space="0" w:color="000000"/>
            </w:tcBorders>
            <w:vAlign w:val="center"/>
            <w:hideMark/>
          </w:tcPr>
          <w:p w14:paraId="0025628E"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r w:rsidRPr="0045588C">
              <w:rPr>
                <w:rFonts w:ascii="华文细黑" w:eastAsia="华文细黑" w:hAnsi="华文细黑" w:cs="Arial"/>
                <w:color w:val="333333"/>
                <w:sz w:val="18"/>
                <w:szCs w:val="18"/>
              </w:rPr>
              <w:t>宁海路街道、华侨路街道、湖南路街道、中央门街道、</w:t>
            </w:r>
            <w:proofErr w:type="gramStart"/>
            <w:r w:rsidRPr="0045588C">
              <w:rPr>
                <w:rFonts w:ascii="华文细黑" w:eastAsia="华文细黑" w:hAnsi="华文细黑" w:cs="Arial"/>
                <w:color w:val="333333"/>
                <w:sz w:val="18"/>
                <w:szCs w:val="18"/>
              </w:rPr>
              <w:t>挹</w:t>
            </w:r>
            <w:proofErr w:type="gramEnd"/>
            <w:r w:rsidRPr="0045588C">
              <w:rPr>
                <w:rFonts w:ascii="华文细黑" w:eastAsia="华文细黑" w:hAnsi="华文细黑" w:cs="Arial"/>
                <w:color w:val="333333"/>
                <w:sz w:val="18"/>
                <w:szCs w:val="18"/>
              </w:rPr>
              <w:t>江门街道、江东街道、凤凰街道、下关街道、热河南路街道、幕府山街道、建宁路街道、宝塔桥街道、小市街道  </w:t>
            </w:r>
          </w:p>
        </w:tc>
      </w:tr>
      <w:tr w:rsidR="00DD0741" w:rsidRPr="0045588C" w14:paraId="3D388741" w14:textId="77777777" w:rsidTr="0045588C">
        <w:trPr>
          <w:jc w:val="center"/>
        </w:trPr>
        <w:tc>
          <w:tcPr>
            <w:tcW w:w="1275" w:type="dxa"/>
            <w:tcBorders>
              <w:top w:val="single" w:sz="6" w:space="0" w:color="000000"/>
              <w:left w:val="single" w:sz="6" w:space="0" w:color="000000"/>
              <w:bottom w:val="single" w:sz="6" w:space="0" w:color="000000"/>
              <w:right w:val="single" w:sz="6" w:space="0" w:color="000000"/>
            </w:tcBorders>
            <w:vAlign w:val="center"/>
            <w:hideMark/>
          </w:tcPr>
          <w:p w14:paraId="57DE8728"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r w:rsidRPr="0045588C">
              <w:rPr>
                <w:rFonts w:ascii="华文细黑" w:eastAsia="华文细黑" w:hAnsi="华文细黑" w:cs="Arial"/>
                <w:color w:val="333333"/>
                <w:sz w:val="18"/>
                <w:szCs w:val="18"/>
              </w:rPr>
              <w:t>栖霞区</w:t>
            </w:r>
          </w:p>
        </w:tc>
        <w:tc>
          <w:tcPr>
            <w:tcW w:w="7275" w:type="dxa"/>
            <w:tcBorders>
              <w:top w:val="single" w:sz="6" w:space="0" w:color="000000"/>
              <w:left w:val="single" w:sz="6" w:space="0" w:color="000000"/>
              <w:bottom w:val="single" w:sz="6" w:space="0" w:color="000000"/>
              <w:right w:val="single" w:sz="6" w:space="0" w:color="000000"/>
            </w:tcBorders>
            <w:vAlign w:val="center"/>
            <w:hideMark/>
          </w:tcPr>
          <w:p w14:paraId="0EF3E22D"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proofErr w:type="gramStart"/>
            <w:r w:rsidRPr="0045588C">
              <w:rPr>
                <w:rFonts w:ascii="华文细黑" w:eastAsia="华文细黑" w:hAnsi="华文细黑" w:cs="Arial"/>
                <w:color w:val="333333"/>
                <w:sz w:val="18"/>
                <w:szCs w:val="18"/>
              </w:rPr>
              <w:t>尧化街道</w:t>
            </w:r>
            <w:proofErr w:type="gramEnd"/>
            <w:r w:rsidRPr="0045588C">
              <w:rPr>
                <w:rFonts w:ascii="华文细黑" w:eastAsia="华文细黑" w:hAnsi="华文细黑" w:cs="Arial"/>
                <w:color w:val="333333"/>
                <w:sz w:val="18"/>
                <w:szCs w:val="18"/>
              </w:rPr>
              <w:t>、马群街道、迈</w:t>
            </w:r>
            <w:proofErr w:type="gramStart"/>
            <w:r w:rsidRPr="0045588C">
              <w:rPr>
                <w:rFonts w:ascii="华文细黑" w:eastAsia="华文细黑" w:hAnsi="华文细黑" w:cs="Arial"/>
                <w:color w:val="333333"/>
                <w:sz w:val="18"/>
                <w:szCs w:val="18"/>
              </w:rPr>
              <w:t>皋</w:t>
            </w:r>
            <w:proofErr w:type="gramEnd"/>
            <w:r w:rsidRPr="0045588C">
              <w:rPr>
                <w:rFonts w:ascii="华文细黑" w:eastAsia="华文细黑" w:hAnsi="华文细黑" w:cs="Arial"/>
                <w:color w:val="333333"/>
                <w:sz w:val="18"/>
                <w:szCs w:val="18"/>
              </w:rPr>
              <w:t>桥街道、燕子</w:t>
            </w:r>
            <w:proofErr w:type="gramStart"/>
            <w:r w:rsidRPr="0045588C">
              <w:rPr>
                <w:rFonts w:ascii="华文细黑" w:eastAsia="华文细黑" w:hAnsi="华文细黑" w:cs="Arial"/>
                <w:color w:val="333333"/>
                <w:sz w:val="18"/>
                <w:szCs w:val="18"/>
              </w:rPr>
              <w:t>矶</w:t>
            </w:r>
            <w:proofErr w:type="gramEnd"/>
            <w:r w:rsidRPr="0045588C">
              <w:rPr>
                <w:rFonts w:ascii="华文细黑" w:eastAsia="华文细黑" w:hAnsi="华文细黑" w:cs="Arial"/>
                <w:color w:val="333333"/>
                <w:sz w:val="18"/>
                <w:szCs w:val="18"/>
              </w:rPr>
              <w:t>街道、仙林街道、龙潭街道、栖霞街道、八卦洲街道、西岗街道  </w:t>
            </w:r>
          </w:p>
        </w:tc>
      </w:tr>
      <w:tr w:rsidR="00DD0741" w:rsidRPr="0045588C" w14:paraId="0F3EB25B" w14:textId="77777777" w:rsidTr="0045588C">
        <w:trPr>
          <w:jc w:val="center"/>
        </w:trPr>
        <w:tc>
          <w:tcPr>
            <w:tcW w:w="1275" w:type="dxa"/>
            <w:tcBorders>
              <w:top w:val="single" w:sz="6" w:space="0" w:color="000000"/>
              <w:left w:val="single" w:sz="6" w:space="0" w:color="000000"/>
              <w:bottom w:val="single" w:sz="6" w:space="0" w:color="000000"/>
              <w:right w:val="single" w:sz="6" w:space="0" w:color="000000"/>
            </w:tcBorders>
            <w:vAlign w:val="center"/>
            <w:hideMark/>
          </w:tcPr>
          <w:p w14:paraId="3CA99737"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r w:rsidRPr="0045588C">
              <w:rPr>
                <w:rFonts w:ascii="华文细黑" w:eastAsia="华文细黑" w:hAnsi="华文细黑" w:cs="Arial"/>
                <w:color w:val="333333"/>
                <w:sz w:val="18"/>
                <w:szCs w:val="18"/>
              </w:rPr>
              <w:t>雨花台区</w:t>
            </w:r>
          </w:p>
        </w:tc>
        <w:tc>
          <w:tcPr>
            <w:tcW w:w="7275" w:type="dxa"/>
            <w:tcBorders>
              <w:top w:val="single" w:sz="6" w:space="0" w:color="000000"/>
              <w:left w:val="single" w:sz="6" w:space="0" w:color="000000"/>
              <w:bottom w:val="single" w:sz="6" w:space="0" w:color="000000"/>
              <w:right w:val="single" w:sz="6" w:space="0" w:color="000000"/>
            </w:tcBorders>
            <w:vAlign w:val="center"/>
            <w:hideMark/>
          </w:tcPr>
          <w:p w14:paraId="511AE136"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r w:rsidRPr="0045588C">
              <w:rPr>
                <w:rFonts w:ascii="华文细黑" w:eastAsia="华文细黑" w:hAnsi="华文细黑" w:cs="Arial"/>
                <w:color w:val="333333"/>
                <w:sz w:val="18"/>
                <w:szCs w:val="18"/>
              </w:rPr>
              <w:t>赛虹桥街道、雨花街道、西善桥街道、板桥街道、铁心桥街道、梅山街道</w:t>
            </w:r>
          </w:p>
        </w:tc>
      </w:tr>
      <w:tr w:rsidR="00DD0741" w:rsidRPr="0045588C" w14:paraId="0CA15682" w14:textId="77777777" w:rsidTr="0045588C">
        <w:trPr>
          <w:jc w:val="center"/>
        </w:trPr>
        <w:tc>
          <w:tcPr>
            <w:tcW w:w="1275" w:type="dxa"/>
            <w:tcBorders>
              <w:top w:val="single" w:sz="6" w:space="0" w:color="000000"/>
              <w:left w:val="single" w:sz="6" w:space="0" w:color="000000"/>
              <w:bottom w:val="single" w:sz="6" w:space="0" w:color="000000"/>
              <w:right w:val="single" w:sz="6" w:space="0" w:color="000000"/>
            </w:tcBorders>
            <w:vAlign w:val="center"/>
            <w:hideMark/>
          </w:tcPr>
          <w:p w14:paraId="734D0973"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r w:rsidRPr="0045588C">
              <w:rPr>
                <w:rFonts w:ascii="华文细黑" w:eastAsia="华文细黑" w:hAnsi="华文细黑" w:cs="Arial"/>
                <w:color w:val="333333"/>
                <w:sz w:val="18"/>
                <w:szCs w:val="18"/>
              </w:rPr>
              <w:t>江宁区</w:t>
            </w:r>
          </w:p>
        </w:tc>
        <w:tc>
          <w:tcPr>
            <w:tcW w:w="7275" w:type="dxa"/>
            <w:tcBorders>
              <w:top w:val="single" w:sz="6" w:space="0" w:color="000000"/>
              <w:left w:val="single" w:sz="6" w:space="0" w:color="000000"/>
              <w:bottom w:val="single" w:sz="6" w:space="0" w:color="000000"/>
              <w:right w:val="single" w:sz="6" w:space="0" w:color="000000"/>
            </w:tcBorders>
            <w:vAlign w:val="center"/>
            <w:hideMark/>
          </w:tcPr>
          <w:p w14:paraId="6D706A0D"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r w:rsidRPr="0045588C">
              <w:rPr>
                <w:rFonts w:ascii="华文细黑" w:eastAsia="华文细黑" w:hAnsi="华文细黑" w:cs="Arial"/>
                <w:color w:val="333333"/>
                <w:sz w:val="18"/>
                <w:szCs w:val="18"/>
              </w:rPr>
              <w:t>东山街道、禄口街道、淳化街道、</w:t>
            </w:r>
            <w:proofErr w:type="gramStart"/>
            <w:r w:rsidRPr="0045588C">
              <w:rPr>
                <w:rFonts w:ascii="华文细黑" w:eastAsia="华文细黑" w:hAnsi="华文细黑" w:cs="Arial"/>
                <w:color w:val="333333"/>
                <w:sz w:val="18"/>
                <w:szCs w:val="18"/>
              </w:rPr>
              <w:t>麟麟</w:t>
            </w:r>
            <w:proofErr w:type="gramEnd"/>
            <w:r w:rsidRPr="0045588C">
              <w:rPr>
                <w:rFonts w:ascii="华文细黑" w:eastAsia="华文细黑" w:hAnsi="华文细黑" w:cs="Arial"/>
                <w:color w:val="333333"/>
                <w:sz w:val="18"/>
                <w:szCs w:val="18"/>
              </w:rPr>
              <w:t>街道、横溪街道、江宁街道、谷里街道、汤山街道、</w:t>
            </w:r>
            <w:proofErr w:type="gramStart"/>
            <w:r w:rsidRPr="0045588C">
              <w:rPr>
                <w:rFonts w:ascii="华文细黑" w:eastAsia="华文细黑" w:hAnsi="华文细黑" w:cs="Arial"/>
                <w:color w:val="333333"/>
                <w:sz w:val="18"/>
                <w:szCs w:val="18"/>
              </w:rPr>
              <w:t>秣</w:t>
            </w:r>
            <w:proofErr w:type="gramEnd"/>
            <w:r w:rsidRPr="0045588C">
              <w:rPr>
                <w:rFonts w:ascii="华文细黑" w:eastAsia="华文细黑" w:hAnsi="华文细黑" w:cs="Arial"/>
                <w:color w:val="333333"/>
                <w:sz w:val="18"/>
                <w:szCs w:val="18"/>
              </w:rPr>
              <w:t>陵街道、湖熟街道  </w:t>
            </w:r>
          </w:p>
        </w:tc>
      </w:tr>
      <w:tr w:rsidR="00DD0741" w:rsidRPr="0045588C" w14:paraId="6743E3CB" w14:textId="77777777" w:rsidTr="0045588C">
        <w:trPr>
          <w:jc w:val="center"/>
        </w:trPr>
        <w:tc>
          <w:tcPr>
            <w:tcW w:w="1275" w:type="dxa"/>
            <w:tcBorders>
              <w:top w:val="single" w:sz="6" w:space="0" w:color="000000"/>
              <w:left w:val="single" w:sz="6" w:space="0" w:color="000000"/>
              <w:bottom w:val="single" w:sz="6" w:space="0" w:color="000000"/>
              <w:right w:val="single" w:sz="6" w:space="0" w:color="000000"/>
            </w:tcBorders>
            <w:vAlign w:val="center"/>
            <w:hideMark/>
          </w:tcPr>
          <w:p w14:paraId="24806E5A"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r w:rsidRPr="0045588C">
              <w:rPr>
                <w:rFonts w:ascii="华文细黑" w:eastAsia="华文细黑" w:hAnsi="华文细黑" w:cs="Arial"/>
                <w:color w:val="333333"/>
                <w:sz w:val="18"/>
                <w:szCs w:val="18"/>
              </w:rPr>
              <w:t>浦口区</w:t>
            </w:r>
          </w:p>
        </w:tc>
        <w:tc>
          <w:tcPr>
            <w:tcW w:w="7275" w:type="dxa"/>
            <w:tcBorders>
              <w:top w:val="single" w:sz="6" w:space="0" w:color="000000"/>
              <w:left w:val="single" w:sz="6" w:space="0" w:color="000000"/>
              <w:bottom w:val="single" w:sz="6" w:space="0" w:color="000000"/>
              <w:right w:val="single" w:sz="6" w:space="0" w:color="000000"/>
            </w:tcBorders>
            <w:vAlign w:val="center"/>
            <w:hideMark/>
          </w:tcPr>
          <w:p w14:paraId="6E164437"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r w:rsidRPr="0045588C">
              <w:rPr>
                <w:rFonts w:ascii="华文细黑" w:eastAsia="华文细黑" w:hAnsi="华文细黑" w:cs="Arial"/>
                <w:color w:val="333333"/>
                <w:sz w:val="18"/>
                <w:szCs w:val="18"/>
              </w:rPr>
              <w:t>泰山街道、顶山街道、沿江街道、江浦街道、</w:t>
            </w:r>
            <w:proofErr w:type="gramStart"/>
            <w:r w:rsidRPr="0045588C">
              <w:rPr>
                <w:rFonts w:ascii="华文细黑" w:eastAsia="华文细黑" w:hAnsi="华文细黑" w:cs="Arial"/>
                <w:color w:val="333333"/>
                <w:sz w:val="18"/>
                <w:szCs w:val="18"/>
              </w:rPr>
              <w:t>桥林街道</w:t>
            </w:r>
            <w:proofErr w:type="gramEnd"/>
            <w:r w:rsidRPr="0045588C">
              <w:rPr>
                <w:rFonts w:ascii="华文细黑" w:eastAsia="华文细黑" w:hAnsi="华文细黑" w:cs="Arial"/>
                <w:color w:val="333333"/>
                <w:sz w:val="18"/>
                <w:szCs w:val="18"/>
              </w:rPr>
              <w:t>、汤泉街道、盘城街道、星</w:t>
            </w:r>
            <w:proofErr w:type="gramStart"/>
            <w:r w:rsidRPr="0045588C">
              <w:rPr>
                <w:rFonts w:ascii="华文细黑" w:eastAsia="华文细黑" w:hAnsi="华文细黑" w:cs="Arial"/>
                <w:color w:val="333333"/>
                <w:sz w:val="18"/>
                <w:szCs w:val="18"/>
              </w:rPr>
              <w:t>甸</w:t>
            </w:r>
            <w:proofErr w:type="gramEnd"/>
            <w:r w:rsidRPr="0045588C">
              <w:rPr>
                <w:rFonts w:ascii="华文细黑" w:eastAsia="华文细黑" w:hAnsi="华文细黑" w:cs="Arial"/>
                <w:color w:val="333333"/>
                <w:sz w:val="18"/>
                <w:szCs w:val="18"/>
              </w:rPr>
              <w:t>街道、永宁街道</w:t>
            </w:r>
          </w:p>
        </w:tc>
      </w:tr>
      <w:tr w:rsidR="00DD0741" w:rsidRPr="0045588C" w14:paraId="357CF17B" w14:textId="77777777" w:rsidTr="0045588C">
        <w:trPr>
          <w:jc w:val="center"/>
        </w:trPr>
        <w:tc>
          <w:tcPr>
            <w:tcW w:w="1275" w:type="dxa"/>
            <w:tcBorders>
              <w:top w:val="single" w:sz="6" w:space="0" w:color="000000"/>
              <w:left w:val="single" w:sz="6" w:space="0" w:color="000000"/>
              <w:bottom w:val="single" w:sz="6" w:space="0" w:color="000000"/>
              <w:right w:val="single" w:sz="6" w:space="0" w:color="000000"/>
            </w:tcBorders>
            <w:vAlign w:val="center"/>
            <w:hideMark/>
          </w:tcPr>
          <w:p w14:paraId="3286DFA7"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proofErr w:type="gramStart"/>
            <w:r w:rsidRPr="0045588C">
              <w:rPr>
                <w:rFonts w:ascii="华文细黑" w:eastAsia="华文细黑" w:hAnsi="华文细黑" w:cs="Arial"/>
                <w:color w:val="333333"/>
                <w:sz w:val="18"/>
                <w:szCs w:val="18"/>
              </w:rPr>
              <w:t>六合区</w:t>
            </w:r>
            <w:proofErr w:type="gramEnd"/>
          </w:p>
        </w:tc>
        <w:tc>
          <w:tcPr>
            <w:tcW w:w="7275" w:type="dxa"/>
            <w:tcBorders>
              <w:top w:val="single" w:sz="6" w:space="0" w:color="000000"/>
              <w:left w:val="single" w:sz="6" w:space="0" w:color="000000"/>
              <w:bottom w:val="single" w:sz="6" w:space="0" w:color="000000"/>
              <w:right w:val="single" w:sz="6" w:space="0" w:color="000000"/>
            </w:tcBorders>
            <w:vAlign w:val="center"/>
            <w:hideMark/>
          </w:tcPr>
          <w:p w14:paraId="7B3EDBA3"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r w:rsidRPr="0045588C">
              <w:rPr>
                <w:rFonts w:ascii="华文细黑" w:eastAsia="华文细黑" w:hAnsi="华文细黑" w:cs="Arial"/>
                <w:color w:val="333333"/>
                <w:sz w:val="18"/>
                <w:szCs w:val="18"/>
              </w:rPr>
              <w:t>龙池街道、雄州街道、横梁街道、金牛湖街道、程桥街道、马鞍街道、龙袍街道、</w:t>
            </w:r>
            <w:proofErr w:type="gramStart"/>
            <w:r w:rsidRPr="0045588C">
              <w:rPr>
                <w:rFonts w:ascii="华文细黑" w:eastAsia="华文细黑" w:hAnsi="华文细黑" w:cs="Arial"/>
                <w:color w:val="333333"/>
                <w:sz w:val="18"/>
                <w:szCs w:val="18"/>
              </w:rPr>
              <w:t>冶山</w:t>
            </w:r>
            <w:proofErr w:type="gramEnd"/>
            <w:r w:rsidRPr="0045588C">
              <w:rPr>
                <w:rFonts w:ascii="华文细黑" w:eastAsia="华文细黑" w:hAnsi="华文细黑" w:cs="Arial"/>
                <w:color w:val="333333"/>
                <w:sz w:val="18"/>
                <w:szCs w:val="18"/>
              </w:rPr>
              <w:t>街道、大厂街道、</w:t>
            </w:r>
            <w:proofErr w:type="gramStart"/>
            <w:r w:rsidRPr="0045588C">
              <w:rPr>
                <w:rFonts w:ascii="华文细黑" w:eastAsia="华文细黑" w:hAnsi="华文细黑" w:cs="Arial"/>
                <w:color w:val="333333"/>
                <w:sz w:val="18"/>
                <w:szCs w:val="18"/>
              </w:rPr>
              <w:t>葛</w:t>
            </w:r>
            <w:proofErr w:type="gramEnd"/>
            <w:r w:rsidRPr="0045588C">
              <w:rPr>
                <w:rFonts w:ascii="华文细黑" w:eastAsia="华文细黑" w:hAnsi="华文细黑" w:cs="Arial"/>
                <w:color w:val="333333"/>
                <w:sz w:val="18"/>
                <w:szCs w:val="18"/>
              </w:rPr>
              <w:t>塘街道、长芦街道、竹镇镇</w:t>
            </w:r>
          </w:p>
        </w:tc>
      </w:tr>
      <w:tr w:rsidR="00DD0741" w:rsidRPr="0045588C" w14:paraId="23C36DFB" w14:textId="77777777" w:rsidTr="0045588C">
        <w:trPr>
          <w:jc w:val="center"/>
        </w:trPr>
        <w:tc>
          <w:tcPr>
            <w:tcW w:w="1275" w:type="dxa"/>
            <w:tcBorders>
              <w:top w:val="single" w:sz="6" w:space="0" w:color="000000"/>
              <w:left w:val="single" w:sz="6" w:space="0" w:color="000000"/>
              <w:bottom w:val="single" w:sz="6" w:space="0" w:color="000000"/>
              <w:right w:val="single" w:sz="6" w:space="0" w:color="000000"/>
            </w:tcBorders>
            <w:vAlign w:val="center"/>
            <w:hideMark/>
          </w:tcPr>
          <w:p w14:paraId="1548B981"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r w:rsidRPr="0045588C">
              <w:rPr>
                <w:rFonts w:ascii="华文细黑" w:eastAsia="华文细黑" w:hAnsi="华文细黑" w:cs="Arial"/>
                <w:color w:val="333333"/>
                <w:sz w:val="18"/>
                <w:szCs w:val="18"/>
              </w:rPr>
              <w:t>溧水区</w:t>
            </w:r>
          </w:p>
        </w:tc>
        <w:tc>
          <w:tcPr>
            <w:tcW w:w="7275" w:type="dxa"/>
            <w:tcBorders>
              <w:top w:val="single" w:sz="6" w:space="0" w:color="000000"/>
              <w:left w:val="single" w:sz="6" w:space="0" w:color="000000"/>
              <w:bottom w:val="single" w:sz="6" w:space="0" w:color="000000"/>
              <w:right w:val="single" w:sz="6" w:space="0" w:color="000000"/>
            </w:tcBorders>
            <w:vAlign w:val="center"/>
            <w:hideMark/>
          </w:tcPr>
          <w:p w14:paraId="220137B9"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r w:rsidRPr="0045588C">
              <w:rPr>
                <w:rFonts w:ascii="华文细黑" w:eastAsia="华文细黑" w:hAnsi="华文细黑" w:cs="Arial"/>
                <w:color w:val="333333"/>
                <w:sz w:val="18"/>
                <w:szCs w:val="18"/>
              </w:rPr>
              <w:t>永阳街道、</w:t>
            </w:r>
            <w:proofErr w:type="gramStart"/>
            <w:r w:rsidRPr="0045588C">
              <w:rPr>
                <w:rFonts w:ascii="华文细黑" w:eastAsia="华文细黑" w:hAnsi="华文细黑" w:cs="Arial"/>
                <w:color w:val="333333"/>
                <w:sz w:val="18"/>
                <w:szCs w:val="18"/>
              </w:rPr>
              <w:t>柘</w:t>
            </w:r>
            <w:proofErr w:type="gramEnd"/>
            <w:r w:rsidRPr="0045588C">
              <w:rPr>
                <w:rFonts w:ascii="华文细黑" w:eastAsia="华文细黑" w:hAnsi="华文细黑" w:cs="Arial"/>
                <w:color w:val="333333"/>
                <w:sz w:val="18"/>
                <w:szCs w:val="18"/>
              </w:rPr>
              <w:t>塘街道、白马镇、东屏街道、石</w:t>
            </w:r>
            <w:proofErr w:type="gramStart"/>
            <w:r w:rsidRPr="0045588C">
              <w:rPr>
                <w:rFonts w:ascii="华文细黑" w:eastAsia="华文细黑" w:hAnsi="华文细黑" w:cs="Arial"/>
                <w:color w:val="333333"/>
                <w:sz w:val="18"/>
                <w:szCs w:val="18"/>
              </w:rPr>
              <w:t>湫</w:t>
            </w:r>
            <w:proofErr w:type="gramEnd"/>
            <w:r w:rsidRPr="0045588C">
              <w:rPr>
                <w:rFonts w:ascii="华文细黑" w:eastAsia="华文细黑" w:hAnsi="华文细黑" w:cs="Arial"/>
                <w:color w:val="333333"/>
                <w:sz w:val="18"/>
                <w:szCs w:val="18"/>
              </w:rPr>
              <w:t>街道、洪蓝街道、</w:t>
            </w:r>
            <w:proofErr w:type="gramStart"/>
            <w:r w:rsidRPr="0045588C">
              <w:rPr>
                <w:rFonts w:ascii="华文细黑" w:eastAsia="华文细黑" w:hAnsi="华文细黑" w:cs="Arial"/>
                <w:color w:val="333333"/>
                <w:sz w:val="18"/>
                <w:szCs w:val="18"/>
              </w:rPr>
              <w:t>晶桥镇</w:t>
            </w:r>
            <w:proofErr w:type="gramEnd"/>
            <w:r w:rsidRPr="0045588C">
              <w:rPr>
                <w:rFonts w:ascii="华文细黑" w:eastAsia="华文细黑" w:hAnsi="华文细黑" w:cs="Arial"/>
                <w:color w:val="333333"/>
                <w:sz w:val="18"/>
                <w:szCs w:val="18"/>
              </w:rPr>
              <w:t>、和</w:t>
            </w:r>
            <w:proofErr w:type="gramStart"/>
            <w:r w:rsidRPr="0045588C">
              <w:rPr>
                <w:rFonts w:ascii="华文细黑" w:eastAsia="华文细黑" w:hAnsi="华文细黑" w:cs="Arial"/>
                <w:color w:val="333333"/>
                <w:sz w:val="18"/>
                <w:szCs w:val="18"/>
              </w:rPr>
              <w:t>凤镇</w:t>
            </w:r>
            <w:proofErr w:type="gramEnd"/>
          </w:p>
        </w:tc>
      </w:tr>
      <w:tr w:rsidR="00DD0741" w:rsidRPr="0045588C" w14:paraId="70464B0C" w14:textId="77777777" w:rsidTr="0045588C">
        <w:trPr>
          <w:jc w:val="center"/>
        </w:trPr>
        <w:tc>
          <w:tcPr>
            <w:tcW w:w="1275" w:type="dxa"/>
            <w:tcBorders>
              <w:top w:val="single" w:sz="6" w:space="0" w:color="000000"/>
              <w:left w:val="single" w:sz="6" w:space="0" w:color="000000"/>
              <w:bottom w:val="single" w:sz="6" w:space="0" w:color="000000"/>
              <w:right w:val="single" w:sz="6" w:space="0" w:color="000000"/>
            </w:tcBorders>
            <w:vAlign w:val="center"/>
            <w:hideMark/>
          </w:tcPr>
          <w:p w14:paraId="1B5EEB63"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r w:rsidRPr="0045588C">
              <w:rPr>
                <w:rFonts w:ascii="华文细黑" w:eastAsia="华文细黑" w:hAnsi="华文细黑" w:cs="Arial"/>
                <w:color w:val="333333"/>
                <w:sz w:val="18"/>
                <w:szCs w:val="18"/>
              </w:rPr>
              <w:t>高淳区</w:t>
            </w:r>
          </w:p>
        </w:tc>
        <w:tc>
          <w:tcPr>
            <w:tcW w:w="7275" w:type="dxa"/>
            <w:tcBorders>
              <w:top w:val="single" w:sz="6" w:space="0" w:color="000000"/>
              <w:left w:val="single" w:sz="6" w:space="0" w:color="000000"/>
              <w:bottom w:val="single" w:sz="6" w:space="0" w:color="000000"/>
              <w:right w:val="single" w:sz="6" w:space="0" w:color="000000"/>
            </w:tcBorders>
            <w:vAlign w:val="center"/>
            <w:hideMark/>
          </w:tcPr>
          <w:p w14:paraId="2378E718"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proofErr w:type="gramStart"/>
            <w:r w:rsidRPr="0045588C">
              <w:rPr>
                <w:rFonts w:ascii="华文细黑" w:eastAsia="华文细黑" w:hAnsi="华文细黑" w:cs="Arial"/>
                <w:color w:val="333333"/>
                <w:sz w:val="18"/>
                <w:szCs w:val="18"/>
              </w:rPr>
              <w:t>淳</w:t>
            </w:r>
            <w:proofErr w:type="gramEnd"/>
            <w:r w:rsidRPr="0045588C">
              <w:rPr>
                <w:rFonts w:ascii="华文细黑" w:eastAsia="华文细黑" w:hAnsi="华文细黑" w:cs="Arial"/>
                <w:color w:val="333333"/>
                <w:sz w:val="18"/>
                <w:szCs w:val="18"/>
              </w:rPr>
              <w:t>溪街道、古柏街道、</w:t>
            </w:r>
            <w:proofErr w:type="gramStart"/>
            <w:r w:rsidRPr="0045588C">
              <w:rPr>
                <w:rFonts w:ascii="华文细黑" w:eastAsia="华文细黑" w:hAnsi="华文细黑" w:cs="Arial"/>
                <w:color w:val="333333"/>
                <w:sz w:val="18"/>
                <w:szCs w:val="18"/>
              </w:rPr>
              <w:t>漆桥</w:t>
            </w:r>
            <w:r w:rsidRPr="0045588C">
              <w:rPr>
                <w:rFonts w:ascii="华文细黑" w:eastAsia="华文细黑" w:hAnsi="华文细黑" w:cs="Arial"/>
                <w:color w:val="000000"/>
                <w:sz w:val="18"/>
                <w:szCs w:val="18"/>
              </w:rPr>
              <w:t>街道</w:t>
            </w:r>
            <w:proofErr w:type="gramEnd"/>
            <w:r w:rsidRPr="0045588C">
              <w:rPr>
                <w:rFonts w:ascii="华文细黑" w:eastAsia="华文细黑" w:hAnsi="华文细黑" w:cs="Arial"/>
                <w:color w:val="333333"/>
                <w:sz w:val="18"/>
                <w:szCs w:val="18"/>
              </w:rPr>
              <w:t>、固城街道、东坝街道、</w:t>
            </w:r>
            <w:proofErr w:type="gramStart"/>
            <w:r w:rsidRPr="0045588C">
              <w:rPr>
                <w:rFonts w:ascii="华文细黑" w:eastAsia="华文细黑" w:hAnsi="华文细黑" w:cs="Arial"/>
                <w:color w:val="333333"/>
                <w:sz w:val="18"/>
                <w:szCs w:val="18"/>
              </w:rPr>
              <w:t>桠</w:t>
            </w:r>
            <w:proofErr w:type="gramEnd"/>
            <w:r w:rsidRPr="0045588C">
              <w:rPr>
                <w:rFonts w:ascii="华文细黑" w:eastAsia="华文细黑" w:hAnsi="华文细黑" w:cs="Arial"/>
                <w:color w:val="333333"/>
                <w:sz w:val="18"/>
                <w:szCs w:val="18"/>
              </w:rPr>
              <w:t>溪街道、阳江镇、砖墙镇</w:t>
            </w:r>
          </w:p>
        </w:tc>
      </w:tr>
    </w:tbl>
    <w:p w14:paraId="204DD86C" w14:textId="77777777" w:rsidR="00DD0741" w:rsidRPr="00DD0741" w:rsidRDefault="00DD0741" w:rsidP="00506273">
      <w:pPr>
        <w:widowControl w:val="0"/>
        <w:adjustRightInd w:val="0"/>
        <w:snapToGrid w:val="0"/>
        <w:spacing w:line="480" w:lineRule="auto"/>
        <w:ind w:firstLineChars="200" w:firstLine="420"/>
        <w:jc w:val="both"/>
        <w:rPr>
          <w:rFonts w:ascii="Arial" w:hAnsi="Arial" w:cs="Arial"/>
          <w:noProof/>
          <w:sz w:val="21"/>
          <w:szCs w:val="21"/>
        </w:rPr>
      </w:pPr>
    </w:p>
    <w:p w14:paraId="0D15B039" w14:textId="2B7A4F1E" w:rsidR="00C01AA7" w:rsidRPr="00E05368" w:rsidRDefault="00C01AA7" w:rsidP="00C01AA7">
      <w:pPr>
        <w:pStyle w:val="2"/>
        <w:keepNext w:val="0"/>
        <w:keepLines w:val="0"/>
        <w:widowControl w:val="0"/>
        <w:tabs>
          <w:tab w:val="left" w:pos="5220"/>
        </w:tabs>
        <w:spacing w:before="0" w:after="0" w:line="480" w:lineRule="auto"/>
        <w:ind w:firstLineChars="98" w:firstLine="207"/>
        <w:jc w:val="both"/>
        <w:rPr>
          <w:rFonts w:eastAsia="宋体" w:cs="Arial"/>
          <w:sz w:val="21"/>
          <w:szCs w:val="21"/>
        </w:rPr>
      </w:pPr>
      <w:bookmarkStart w:id="122" w:name="_Toc43885857"/>
      <w:bookmarkStart w:id="123" w:name="_Toc74250070"/>
      <w:bookmarkStart w:id="124" w:name="_Toc74662900"/>
      <w:r w:rsidRPr="00682663">
        <w:rPr>
          <w:rFonts w:eastAsia="宋体" w:cs="Arial"/>
          <w:sz w:val="21"/>
          <w:szCs w:val="21"/>
        </w:rPr>
        <w:t>（</w:t>
      </w:r>
      <w:r w:rsidRPr="00682663">
        <w:rPr>
          <w:rFonts w:eastAsia="宋体" w:cs="Arial" w:hint="eastAsia"/>
          <w:sz w:val="21"/>
          <w:szCs w:val="21"/>
        </w:rPr>
        <w:t>二</w:t>
      </w:r>
      <w:r w:rsidRPr="00682663">
        <w:rPr>
          <w:rFonts w:eastAsia="宋体" w:cs="Arial"/>
          <w:sz w:val="21"/>
          <w:szCs w:val="21"/>
        </w:rPr>
        <w:t>）</w:t>
      </w:r>
      <w:r w:rsidRPr="00682663">
        <w:rPr>
          <w:rFonts w:eastAsia="宋体" w:cs="Arial" w:hint="eastAsia"/>
          <w:sz w:val="21"/>
          <w:szCs w:val="21"/>
        </w:rPr>
        <w:t>经济运行</w:t>
      </w:r>
      <w:r w:rsidRPr="00682663">
        <w:rPr>
          <w:rFonts w:eastAsia="宋体" w:cs="Arial"/>
          <w:sz w:val="21"/>
          <w:szCs w:val="21"/>
        </w:rPr>
        <w:t>概况</w:t>
      </w:r>
      <w:r w:rsidRPr="00682663">
        <w:rPr>
          <w:rFonts w:eastAsia="宋体" w:cs="Arial" w:hint="eastAsia"/>
          <w:sz w:val="21"/>
          <w:szCs w:val="21"/>
        </w:rPr>
        <w:t>（</w:t>
      </w:r>
      <w:r w:rsidR="00DD0741">
        <w:rPr>
          <w:rFonts w:eastAsia="宋体" w:cs="Arial" w:hint="eastAsia"/>
          <w:sz w:val="21"/>
          <w:szCs w:val="21"/>
        </w:rPr>
        <w:t>2020</w:t>
      </w:r>
      <w:r w:rsidRPr="00682663">
        <w:rPr>
          <w:rFonts w:eastAsia="宋体" w:cs="Arial" w:hint="eastAsia"/>
          <w:sz w:val="21"/>
          <w:szCs w:val="21"/>
        </w:rPr>
        <w:t>年至</w:t>
      </w:r>
      <w:r w:rsidR="00DD0741">
        <w:rPr>
          <w:rFonts w:eastAsia="宋体" w:cs="Arial" w:hint="eastAsia"/>
          <w:sz w:val="21"/>
          <w:szCs w:val="21"/>
        </w:rPr>
        <w:t>2021</w:t>
      </w:r>
      <w:r w:rsidRPr="00682663">
        <w:rPr>
          <w:rFonts w:eastAsia="宋体" w:cs="Arial" w:hint="eastAsia"/>
          <w:sz w:val="21"/>
          <w:szCs w:val="21"/>
        </w:rPr>
        <w:t>年</w:t>
      </w:r>
      <w:r w:rsidR="00DD0741">
        <w:rPr>
          <w:rFonts w:eastAsia="宋体" w:cs="Arial" w:hint="eastAsia"/>
          <w:sz w:val="21"/>
          <w:szCs w:val="21"/>
        </w:rPr>
        <w:t>1</w:t>
      </w:r>
      <w:r w:rsidR="00DD0741">
        <w:rPr>
          <w:rFonts w:eastAsia="宋体" w:cs="Arial" w:hint="eastAsia"/>
          <w:sz w:val="21"/>
          <w:szCs w:val="21"/>
        </w:rPr>
        <w:t>季度</w:t>
      </w:r>
      <w:r w:rsidRPr="00E05368">
        <w:rPr>
          <w:rFonts w:eastAsia="宋体" w:cs="Arial" w:hint="eastAsia"/>
          <w:sz w:val="21"/>
          <w:szCs w:val="21"/>
        </w:rPr>
        <w:t>）</w:t>
      </w:r>
      <w:bookmarkEnd w:id="122"/>
      <w:bookmarkEnd w:id="123"/>
      <w:bookmarkEnd w:id="124"/>
    </w:p>
    <w:p w14:paraId="14162951" w14:textId="1429AC76" w:rsidR="00C01AA7" w:rsidRPr="00E05368" w:rsidRDefault="00DD0741" w:rsidP="00C01AA7">
      <w:pPr>
        <w:pStyle w:val="af1"/>
        <w:widowControl w:val="0"/>
        <w:numPr>
          <w:ilvl w:val="0"/>
          <w:numId w:val="13"/>
        </w:numPr>
        <w:adjustRightInd w:val="0"/>
        <w:snapToGrid w:val="0"/>
        <w:spacing w:line="480" w:lineRule="auto"/>
        <w:ind w:firstLineChars="0"/>
        <w:jc w:val="both"/>
        <w:rPr>
          <w:rFonts w:ascii="Arial" w:hAnsi="Arial" w:cs="Arial"/>
          <w:noProof/>
          <w:sz w:val="21"/>
          <w:szCs w:val="21"/>
        </w:rPr>
      </w:pPr>
      <w:r>
        <w:rPr>
          <w:rFonts w:ascii="Arial" w:hAnsi="Arial" w:cs="Arial" w:hint="eastAsia"/>
          <w:noProof/>
          <w:sz w:val="21"/>
          <w:szCs w:val="21"/>
        </w:rPr>
        <w:t>2020</w:t>
      </w:r>
      <w:r w:rsidR="00C01AA7" w:rsidRPr="00E05368">
        <w:rPr>
          <w:rFonts w:ascii="Arial" w:hAnsi="Arial" w:cs="Arial" w:hint="eastAsia"/>
          <w:noProof/>
          <w:sz w:val="21"/>
          <w:szCs w:val="21"/>
        </w:rPr>
        <w:t>年</w:t>
      </w:r>
    </w:p>
    <w:p w14:paraId="313BBB27" w14:textId="22178FE7" w:rsidR="00C01AA7" w:rsidRPr="00990644" w:rsidRDefault="00DD0741" w:rsidP="00C01AA7">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2020</w:t>
      </w:r>
      <w:r w:rsidR="00C01AA7">
        <w:rPr>
          <w:rFonts w:ascii="Arial" w:hAnsi="Arial" w:cs="Arial" w:hint="eastAsia"/>
          <w:noProof/>
          <w:sz w:val="21"/>
          <w:szCs w:val="21"/>
        </w:rPr>
        <w:t>年</w:t>
      </w:r>
      <w:r w:rsidR="00C01AA7">
        <w:rPr>
          <w:rFonts w:ascii="Arial" w:hAnsi="Arial" w:cs="Arial"/>
          <w:noProof/>
          <w:sz w:val="21"/>
          <w:szCs w:val="21"/>
        </w:rPr>
        <w:t>，</w:t>
      </w:r>
      <w:r>
        <w:rPr>
          <w:rFonts w:ascii="Arial" w:hAnsi="Arial" w:cs="Arial" w:hint="eastAsia"/>
          <w:noProof/>
          <w:sz w:val="21"/>
          <w:szCs w:val="21"/>
        </w:rPr>
        <w:t>南京市</w:t>
      </w:r>
      <w:r w:rsidR="00C01AA7" w:rsidRPr="00990644">
        <w:rPr>
          <w:rFonts w:ascii="Arial" w:hAnsi="Arial" w:cs="Arial"/>
          <w:noProof/>
          <w:sz w:val="21"/>
          <w:szCs w:val="21"/>
        </w:rPr>
        <w:t>宏观经济运行情况如下：</w:t>
      </w:r>
    </w:p>
    <w:p w14:paraId="1884F477" w14:textId="77777777" w:rsidR="00DD0741" w:rsidRPr="00DD0741" w:rsidRDefault="00DD0741" w:rsidP="00DD0741">
      <w:pPr>
        <w:widowControl w:val="0"/>
        <w:adjustRightInd w:val="0"/>
        <w:snapToGrid w:val="0"/>
        <w:spacing w:line="480" w:lineRule="auto"/>
        <w:ind w:firstLineChars="200" w:firstLine="420"/>
        <w:jc w:val="both"/>
        <w:rPr>
          <w:rFonts w:ascii="Arial" w:hAnsi="Arial" w:cs="Arial"/>
          <w:noProof/>
          <w:sz w:val="21"/>
          <w:szCs w:val="21"/>
        </w:rPr>
      </w:pPr>
      <w:r w:rsidRPr="00DD0741">
        <w:rPr>
          <w:rFonts w:ascii="Arial" w:hAnsi="Arial" w:cs="Arial"/>
          <w:noProof/>
          <w:sz w:val="21"/>
          <w:szCs w:val="21"/>
        </w:rPr>
        <w:t>2020</w:t>
      </w:r>
      <w:r w:rsidRPr="00DD0741">
        <w:rPr>
          <w:rFonts w:ascii="Arial" w:hAnsi="Arial" w:cs="Arial"/>
          <w:noProof/>
          <w:sz w:val="21"/>
          <w:szCs w:val="21"/>
        </w:rPr>
        <w:t>年，面对严峻复杂的国内外环境特别是新冠肺炎疫情严重冲击，全市上下坚持以习近平新时代中国特色社会主义思想为指导，全面贯彻党的十九大和十九届二中、三中、四中、五中全会精神，认真学习贯彻习近平总书记视察江苏重要讲话指示精神，坚决落实省委、省政府和市委决策部署，坚持稳中求进工作总基调，统筹推进疫情防控和经济社会发展，扎实做好</w:t>
      </w:r>
      <w:r w:rsidRPr="00DD0741">
        <w:rPr>
          <w:rFonts w:ascii="Arial" w:hAnsi="Arial" w:cs="Arial"/>
          <w:noProof/>
          <w:sz w:val="21"/>
          <w:szCs w:val="21"/>
        </w:rPr>
        <w:t>“</w:t>
      </w:r>
      <w:r w:rsidRPr="00DD0741">
        <w:rPr>
          <w:rFonts w:ascii="Arial" w:hAnsi="Arial" w:cs="Arial"/>
          <w:noProof/>
          <w:sz w:val="21"/>
          <w:szCs w:val="21"/>
        </w:rPr>
        <w:t>六稳</w:t>
      </w:r>
      <w:r w:rsidRPr="00DD0741">
        <w:rPr>
          <w:rFonts w:ascii="Arial" w:hAnsi="Arial" w:cs="Arial"/>
          <w:noProof/>
          <w:sz w:val="21"/>
          <w:szCs w:val="21"/>
        </w:rPr>
        <w:t>”</w:t>
      </w:r>
      <w:r w:rsidRPr="00DD0741">
        <w:rPr>
          <w:rFonts w:ascii="Arial" w:hAnsi="Arial" w:cs="Arial"/>
          <w:noProof/>
          <w:sz w:val="21"/>
          <w:szCs w:val="21"/>
        </w:rPr>
        <w:t>工作，全面落实</w:t>
      </w:r>
      <w:r w:rsidRPr="00DD0741">
        <w:rPr>
          <w:rFonts w:ascii="Arial" w:hAnsi="Arial" w:cs="Arial"/>
          <w:noProof/>
          <w:sz w:val="21"/>
          <w:szCs w:val="21"/>
        </w:rPr>
        <w:t>“</w:t>
      </w:r>
      <w:r w:rsidRPr="00DD0741">
        <w:rPr>
          <w:rFonts w:ascii="Arial" w:hAnsi="Arial" w:cs="Arial"/>
          <w:noProof/>
          <w:sz w:val="21"/>
          <w:szCs w:val="21"/>
        </w:rPr>
        <w:t>六保</w:t>
      </w:r>
      <w:r w:rsidRPr="00DD0741">
        <w:rPr>
          <w:rFonts w:ascii="Arial" w:hAnsi="Arial" w:cs="Arial"/>
          <w:noProof/>
          <w:sz w:val="21"/>
          <w:szCs w:val="21"/>
        </w:rPr>
        <w:t>”</w:t>
      </w:r>
      <w:r w:rsidRPr="00DD0741">
        <w:rPr>
          <w:rFonts w:ascii="Arial" w:hAnsi="Arial" w:cs="Arial"/>
          <w:noProof/>
          <w:sz w:val="21"/>
          <w:szCs w:val="21"/>
        </w:rPr>
        <w:t>任务，经济社会发展主要目标任务完成情况好于预期，高质量发展迈出有力步伐，实现</w:t>
      </w:r>
      <w:r w:rsidRPr="00DD0741">
        <w:rPr>
          <w:rFonts w:ascii="Arial" w:hAnsi="Arial" w:cs="Arial"/>
          <w:noProof/>
          <w:sz w:val="21"/>
          <w:szCs w:val="21"/>
        </w:rPr>
        <w:t>“</w:t>
      </w:r>
      <w:r w:rsidRPr="00DD0741">
        <w:rPr>
          <w:rFonts w:ascii="Arial" w:hAnsi="Arial" w:cs="Arial"/>
          <w:noProof/>
          <w:sz w:val="21"/>
          <w:szCs w:val="21"/>
        </w:rPr>
        <w:t>十三五</w:t>
      </w:r>
      <w:r w:rsidRPr="00DD0741">
        <w:rPr>
          <w:rFonts w:ascii="Arial" w:hAnsi="Arial" w:cs="Arial"/>
          <w:noProof/>
          <w:sz w:val="21"/>
          <w:szCs w:val="21"/>
        </w:rPr>
        <w:t>”</w:t>
      </w:r>
      <w:r w:rsidRPr="00DD0741">
        <w:rPr>
          <w:rFonts w:ascii="Arial" w:hAnsi="Arial" w:cs="Arial"/>
          <w:noProof/>
          <w:sz w:val="21"/>
          <w:szCs w:val="21"/>
        </w:rPr>
        <w:t>圆满收官。</w:t>
      </w:r>
    </w:p>
    <w:p w14:paraId="714A752F" w14:textId="77777777" w:rsidR="00DD0741" w:rsidRPr="00DD0741" w:rsidRDefault="00DD0741" w:rsidP="00DD0741">
      <w:pPr>
        <w:widowControl w:val="0"/>
        <w:adjustRightInd w:val="0"/>
        <w:snapToGrid w:val="0"/>
        <w:spacing w:line="480" w:lineRule="auto"/>
        <w:ind w:firstLineChars="200" w:firstLine="420"/>
        <w:jc w:val="both"/>
        <w:rPr>
          <w:rFonts w:ascii="Arial" w:hAnsi="Arial" w:cs="Arial"/>
          <w:noProof/>
          <w:sz w:val="21"/>
          <w:szCs w:val="21"/>
        </w:rPr>
      </w:pPr>
      <w:r w:rsidRPr="00DD0741">
        <w:rPr>
          <w:rFonts w:ascii="Arial" w:hAnsi="Arial" w:cs="Arial" w:hint="eastAsia"/>
          <w:noProof/>
          <w:sz w:val="21"/>
          <w:szCs w:val="21"/>
        </w:rPr>
        <w:t>根据江苏省地区生产总值统一核算结果，全市地区生产总值</w:t>
      </w:r>
      <w:r w:rsidRPr="00DD0741">
        <w:rPr>
          <w:rFonts w:ascii="Arial" w:hAnsi="Arial" w:cs="Arial"/>
          <w:noProof/>
          <w:sz w:val="21"/>
          <w:szCs w:val="21"/>
        </w:rPr>
        <w:t>14817.95</w:t>
      </w:r>
      <w:r w:rsidRPr="00DD0741">
        <w:rPr>
          <w:rFonts w:ascii="Arial" w:hAnsi="Arial" w:cs="Arial"/>
          <w:noProof/>
          <w:sz w:val="21"/>
          <w:szCs w:val="21"/>
        </w:rPr>
        <w:t>亿元，按可比价格计算，比</w:t>
      </w:r>
      <w:r w:rsidRPr="00DD0741">
        <w:rPr>
          <w:rFonts w:ascii="Arial" w:hAnsi="Arial" w:cs="Arial"/>
          <w:noProof/>
          <w:sz w:val="21"/>
          <w:szCs w:val="21"/>
        </w:rPr>
        <w:lastRenderedPageBreak/>
        <w:t>上年增长</w:t>
      </w:r>
      <w:r w:rsidRPr="00DD0741">
        <w:rPr>
          <w:rFonts w:ascii="Arial" w:hAnsi="Arial" w:cs="Arial"/>
          <w:noProof/>
          <w:sz w:val="21"/>
          <w:szCs w:val="21"/>
        </w:rPr>
        <w:t>4.6%</w:t>
      </w:r>
      <w:r w:rsidRPr="00DD0741">
        <w:rPr>
          <w:rFonts w:ascii="Arial" w:hAnsi="Arial" w:cs="Arial"/>
          <w:noProof/>
          <w:sz w:val="21"/>
          <w:szCs w:val="21"/>
        </w:rPr>
        <w:t>。分产业看，第一产业增加值</w:t>
      </w:r>
      <w:r w:rsidRPr="00DD0741">
        <w:rPr>
          <w:rFonts w:ascii="Arial" w:hAnsi="Arial" w:cs="Arial"/>
          <w:noProof/>
          <w:sz w:val="21"/>
          <w:szCs w:val="21"/>
        </w:rPr>
        <w:t>296.80</w:t>
      </w:r>
      <w:r w:rsidRPr="00DD0741">
        <w:rPr>
          <w:rFonts w:ascii="Arial" w:hAnsi="Arial" w:cs="Arial"/>
          <w:noProof/>
          <w:sz w:val="21"/>
          <w:szCs w:val="21"/>
        </w:rPr>
        <w:t>亿元，增长</w:t>
      </w:r>
      <w:r w:rsidRPr="00DD0741">
        <w:rPr>
          <w:rFonts w:ascii="Arial" w:hAnsi="Arial" w:cs="Arial"/>
          <w:noProof/>
          <w:sz w:val="21"/>
          <w:szCs w:val="21"/>
        </w:rPr>
        <w:t>0.9%</w:t>
      </w:r>
      <w:r w:rsidRPr="00DD0741">
        <w:rPr>
          <w:rFonts w:ascii="Arial" w:hAnsi="Arial" w:cs="Arial"/>
          <w:noProof/>
          <w:sz w:val="21"/>
          <w:szCs w:val="21"/>
        </w:rPr>
        <w:t>；第二产业增加值</w:t>
      </w:r>
      <w:r w:rsidRPr="00DD0741">
        <w:rPr>
          <w:rFonts w:ascii="Arial" w:hAnsi="Arial" w:cs="Arial"/>
          <w:noProof/>
          <w:sz w:val="21"/>
          <w:szCs w:val="21"/>
        </w:rPr>
        <w:t>5214.35</w:t>
      </w:r>
      <w:r w:rsidRPr="00DD0741">
        <w:rPr>
          <w:rFonts w:ascii="Arial" w:hAnsi="Arial" w:cs="Arial"/>
          <w:noProof/>
          <w:sz w:val="21"/>
          <w:szCs w:val="21"/>
        </w:rPr>
        <w:t>亿元，增长</w:t>
      </w:r>
      <w:r w:rsidRPr="00DD0741">
        <w:rPr>
          <w:rFonts w:ascii="Arial" w:hAnsi="Arial" w:cs="Arial"/>
          <w:noProof/>
          <w:sz w:val="21"/>
          <w:szCs w:val="21"/>
        </w:rPr>
        <w:t>5.6%</w:t>
      </w:r>
      <w:r w:rsidRPr="00DD0741">
        <w:rPr>
          <w:rFonts w:ascii="Arial" w:hAnsi="Arial" w:cs="Arial"/>
          <w:noProof/>
          <w:sz w:val="21"/>
          <w:szCs w:val="21"/>
        </w:rPr>
        <w:t>；第三产业增加值</w:t>
      </w:r>
      <w:r w:rsidRPr="00DD0741">
        <w:rPr>
          <w:rFonts w:ascii="Arial" w:hAnsi="Arial" w:cs="Arial"/>
          <w:noProof/>
          <w:sz w:val="21"/>
          <w:szCs w:val="21"/>
        </w:rPr>
        <w:t>9306.80</w:t>
      </w:r>
      <w:r w:rsidRPr="00DD0741">
        <w:rPr>
          <w:rFonts w:ascii="Arial" w:hAnsi="Arial" w:cs="Arial"/>
          <w:noProof/>
          <w:sz w:val="21"/>
          <w:szCs w:val="21"/>
        </w:rPr>
        <w:t>亿元，增长</w:t>
      </w:r>
      <w:r w:rsidRPr="00DD0741">
        <w:rPr>
          <w:rFonts w:ascii="Arial" w:hAnsi="Arial" w:cs="Arial"/>
          <w:noProof/>
          <w:sz w:val="21"/>
          <w:szCs w:val="21"/>
        </w:rPr>
        <w:t>4.1%</w:t>
      </w:r>
      <w:r w:rsidRPr="00DD0741">
        <w:rPr>
          <w:rFonts w:ascii="Arial" w:hAnsi="Arial" w:cs="Arial"/>
          <w:noProof/>
          <w:sz w:val="21"/>
          <w:szCs w:val="21"/>
        </w:rPr>
        <w:t>。</w:t>
      </w:r>
    </w:p>
    <w:p w14:paraId="1E96B70C" w14:textId="128ABED7" w:rsidR="00DD0741" w:rsidRPr="00DD0741" w:rsidRDefault="0061083C" w:rsidP="00DD0741">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1.</w:t>
      </w:r>
      <w:r w:rsidR="00DD0741" w:rsidRPr="00DD0741">
        <w:rPr>
          <w:rFonts w:ascii="Arial" w:hAnsi="Arial" w:cs="Arial" w:hint="eastAsia"/>
          <w:noProof/>
          <w:sz w:val="21"/>
          <w:szCs w:val="21"/>
        </w:rPr>
        <w:t>农业基础地位稳固，主要农产品保障有力</w:t>
      </w:r>
    </w:p>
    <w:p w14:paraId="6A960013" w14:textId="77777777" w:rsidR="00DD0741" w:rsidRPr="00DD0741" w:rsidRDefault="00DD0741" w:rsidP="00DD0741">
      <w:pPr>
        <w:widowControl w:val="0"/>
        <w:adjustRightInd w:val="0"/>
        <w:snapToGrid w:val="0"/>
        <w:spacing w:line="480" w:lineRule="auto"/>
        <w:ind w:firstLineChars="200" w:firstLine="420"/>
        <w:jc w:val="both"/>
        <w:rPr>
          <w:rFonts w:ascii="Arial" w:hAnsi="Arial" w:cs="Arial"/>
          <w:noProof/>
          <w:sz w:val="21"/>
          <w:szCs w:val="21"/>
        </w:rPr>
      </w:pPr>
      <w:r w:rsidRPr="00DD0741">
        <w:rPr>
          <w:rFonts w:ascii="Arial" w:hAnsi="Arial" w:cs="Arial" w:hint="eastAsia"/>
          <w:noProof/>
          <w:sz w:val="21"/>
          <w:szCs w:val="21"/>
        </w:rPr>
        <w:t>全年农林牧渔业总产值</w:t>
      </w:r>
      <w:r w:rsidRPr="00DD0741">
        <w:rPr>
          <w:rFonts w:ascii="Arial" w:hAnsi="Arial" w:cs="Arial"/>
          <w:noProof/>
          <w:sz w:val="21"/>
          <w:szCs w:val="21"/>
        </w:rPr>
        <w:t>489.84</w:t>
      </w:r>
      <w:r w:rsidRPr="00DD0741">
        <w:rPr>
          <w:rFonts w:ascii="Arial" w:hAnsi="Arial" w:cs="Arial"/>
          <w:noProof/>
          <w:sz w:val="21"/>
          <w:szCs w:val="21"/>
        </w:rPr>
        <w:t>亿元，比上年增长</w:t>
      </w:r>
      <w:r w:rsidRPr="00DD0741">
        <w:rPr>
          <w:rFonts w:ascii="Arial" w:hAnsi="Arial" w:cs="Arial"/>
          <w:noProof/>
          <w:sz w:val="21"/>
          <w:szCs w:val="21"/>
        </w:rPr>
        <w:t>3.7%</w:t>
      </w:r>
      <w:r w:rsidRPr="00DD0741">
        <w:rPr>
          <w:rFonts w:ascii="Arial" w:hAnsi="Arial" w:cs="Arial"/>
          <w:noProof/>
          <w:sz w:val="21"/>
          <w:szCs w:val="21"/>
        </w:rPr>
        <w:t>。粮食总产量</w:t>
      </w:r>
      <w:r w:rsidRPr="00DD0741">
        <w:rPr>
          <w:rFonts w:ascii="Arial" w:hAnsi="Arial" w:cs="Arial"/>
          <w:noProof/>
          <w:sz w:val="21"/>
          <w:szCs w:val="21"/>
        </w:rPr>
        <w:t>97.83</w:t>
      </w:r>
      <w:r w:rsidRPr="00DD0741">
        <w:rPr>
          <w:rFonts w:ascii="Arial" w:hAnsi="Arial" w:cs="Arial"/>
          <w:noProof/>
          <w:sz w:val="21"/>
          <w:szCs w:val="21"/>
        </w:rPr>
        <w:t>万吨，增长</w:t>
      </w:r>
      <w:r w:rsidRPr="00DD0741">
        <w:rPr>
          <w:rFonts w:ascii="Arial" w:hAnsi="Arial" w:cs="Arial"/>
          <w:noProof/>
          <w:sz w:val="21"/>
          <w:szCs w:val="21"/>
        </w:rPr>
        <w:t>1.3%</w:t>
      </w:r>
      <w:r w:rsidRPr="00DD0741">
        <w:rPr>
          <w:rFonts w:ascii="Arial" w:hAnsi="Arial" w:cs="Arial"/>
          <w:noProof/>
          <w:sz w:val="21"/>
          <w:szCs w:val="21"/>
        </w:rPr>
        <w:t>；油料总产量</w:t>
      </w:r>
      <w:r w:rsidRPr="00DD0741">
        <w:rPr>
          <w:rFonts w:ascii="Arial" w:hAnsi="Arial" w:cs="Arial"/>
          <w:noProof/>
          <w:sz w:val="21"/>
          <w:szCs w:val="21"/>
        </w:rPr>
        <w:t>3.20</w:t>
      </w:r>
      <w:r w:rsidRPr="00DD0741">
        <w:rPr>
          <w:rFonts w:ascii="Arial" w:hAnsi="Arial" w:cs="Arial"/>
          <w:noProof/>
          <w:sz w:val="21"/>
          <w:szCs w:val="21"/>
        </w:rPr>
        <w:t>万吨，下降</w:t>
      </w:r>
      <w:r w:rsidRPr="00DD0741">
        <w:rPr>
          <w:rFonts w:ascii="Arial" w:hAnsi="Arial" w:cs="Arial"/>
          <w:noProof/>
          <w:sz w:val="21"/>
          <w:szCs w:val="21"/>
        </w:rPr>
        <w:t>10.8%</w:t>
      </w:r>
      <w:r w:rsidRPr="00DD0741">
        <w:rPr>
          <w:rFonts w:ascii="Arial" w:hAnsi="Arial" w:cs="Arial"/>
          <w:noProof/>
          <w:sz w:val="21"/>
          <w:szCs w:val="21"/>
        </w:rPr>
        <w:t>；蔬菜总产量</w:t>
      </w:r>
      <w:r w:rsidRPr="00DD0741">
        <w:rPr>
          <w:rFonts w:ascii="Arial" w:hAnsi="Arial" w:cs="Arial"/>
          <w:noProof/>
          <w:sz w:val="21"/>
          <w:szCs w:val="21"/>
        </w:rPr>
        <w:t>279.74</w:t>
      </w:r>
      <w:r w:rsidRPr="00DD0741">
        <w:rPr>
          <w:rFonts w:ascii="Arial" w:hAnsi="Arial" w:cs="Arial"/>
          <w:noProof/>
          <w:sz w:val="21"/>
          <w:szCs w:val="21"/>
        </w:rPr>
        <w:t>万吨，基本持平。全年生猪出栏增长</w:t>
      </w:r>
      <w:r w:rsidRPr="00DD0741">
        <w:rPr>
          <w:rFonts w:ascii="Arial" w:hAnsi="Arial" w:cs="Arial"/>
          <w:noProof/>
          <w:sz w:val="21"/>
          <w:szCs w:val="21"/>
        </w:rPr>
        <w:t>62.4%</w:t>
      </w:r>
      <w:r w:rsidRPr="00DD0741">
        <w:rPr>
          <w:rFonts w:ascii="Arial" w:hAnsi="Arial" w:cs="Arial"/>
          <w:noProof/>
          <w:sz w:val="21"/>
          <w:szCs w:val="21"/>
        </w:rPr>
        <w:t>，家禽出栏增长</w:t>
      </w:r>
      <w:r w:rsidRPr="00DD0741">
        <w:rPr>
          <w:rFonts w:ascii="Arial" w:hAnsi="Arial" w:cs="Arial"/>
          <w:noProof/>
          <w:sz w:val="21"/>
          <w:szCs w:val="21"/>
        </w:rPr>
        <w:t>32.1%</w:t>
      </w:r>
      <w:r w:rsidRPr="00DD0741">
        <w:rPr>
          <w:rFonts w:ascii="Arial" w:hAnsi="Arial" w:cs="Arial"/>
          <w:noProof/>
          <w:sz w:val="21"/>
          <w:szCs w:val="21"/>
        </w:rPr>
        <w:t>。年末生猪存栏、能繁殖母猪存栏比上年末分别增长</w:t>
      </w:r>
      <w:r w:rsidRPr="00DD0741">
        <w:rPr>
          <w:rFonts w:ascii="Arial" w:hAnsi="Arial" w:cs="Arial"/>
          <w:noProof/>
          <w:sz w:val="21"/>
          <w:szCs w:val="21"/>
        </w:rPr>
        <w:t>382.0%</w:t>
      </w:r>
      <w:r w:rsidRPr="00DD0741">
        <w:rPr>
          <w:rFonts w:ascii="Arial" w:hAnsi="Arial" w:cs="Arial"/>
          <w:noProof/>
          <w:sz w:val="21"/>
          <w:szCs w:val="21"/>
        </w:rPr>
        <w:t>、</w:t>
      </w:r>
      <w:r w:rsidRPr="00DD0741">
        <w:rPr>
          <w:rFonts w:ascii="Arial" w:hAnsi="Arial" w:cs="Arial"/>
          <w:noProof/>
          <w:sz w:val="21"/>
          <w:szCs w:val="21"/>
        </w:rPr>
        <w:t>209.2%</w:t>
      </w:r>
      <w:r w:rsidRPr="00DD0741">
        <w:rPr>
          <w:rFonts w:ascii="Arial" w:hAnsi="Arial" w:cs="Arial"/>
          <w:noProof/>
          <w:sz w:val="21"/>
          <w:szCs w:val="21"/>
        </w:rPr>
        <w:t>。</w:t>
      </w:r>
    </w:p>
    <w:p w14:paraId="3393033D" w14:textId="6E7FD2E2" w:rsidR="00DD0741" w:rsidRPr="00DD0741" w:rsidRDefault="0012683E" w:rsidP="00DD0741">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2.</w:t>
      </w:r>
      <w:r w:rsidR="00DD0741" w:rsidRPr="00DD0741">
        <w:rPr>
          <w:rFonts w:ascii="Arial" w:hAnsi="Arial" w:cs="Arial" w:hint="eastAsia"/>
          <w:noProof/>
          <w:sz w:val="21"/>
          <w:szCs w:val="21"/>
        </w:rPr>
        <w:t>工业生产持续回升，高技术制造业和装备制造业较快增长</w:t>
      </w:r>
    </w:p>
    <w:p w14:paraId="776E74AE" w14:textId="77777777" w:rsidR="00DD0741" w:rsidRPr="00DD0741" w:rsidRDefault="00DD0741" w:rsidP="00DD0741">
      <w:pPr>
        <w:widowControl w:val="0"/>
        <w:adjustRightInd w:val="0"/>
        <w:snapToGrid w:val="0"/>
        <w:spacing w:line="480" w:lineRule="auto"/>
        <w:ind w:firstLineChars="200" w:firstLine="420"/>
        <w:jc w:val="both"/>
        <w:rPr>
          <w:rFonts w:ascii="Arial" w:hAnsi="Arial" w:cs="Arial"/>
          <w:noProof/>
          <w:sz w:val="21"/>
          <w:szCs w:val="21"/>
        </w:rPr>
      </w:pPr>
      <w:r w:rsidRPr="00DD0741">
        <w:rPr>
          <w:rFonts w:ascii="Arial" w:hAnsi="Arial" w:cs="Arial" w:hint="eastAsia"/>
          <w:noProof/>
          <w:sz w:val="21"/>
          <w:szCs w:val="21"/>
        </w:rPr>
        <w:t>全年规模以上工业增加值比上年增长</w:t>
      </w:r>
      <w:r w:rsidRPr="00DD0741">
        <w:rPr>
          <w:rFonts w:ascii="Arial" w:hAnsi="Arial" w:cs="Arial"/>
          <w:noProof/>
          <w:sz w:val="21"/>
          <w:szCs w:val="21"/>
        </w:rPr>
        <w:t>6.5%</w:t>
      </w:r>
      <w:r w:rsidRPr="00DD0741">
        <w:rPr>
          <w:rFonts w:ascii="Arial" w:hAnsi="Arial" w:cs="Arial"/>
          <w:noProof/>
          <w:sz w:val="21"/>
          <w:szCs w:val="21"/>
        </w:rPr>
        <w:t>。规模以上工业中，计算机、通信和其他电子设备制造业、电器机械和器材制造业、通用和专用设备制造业等重点行业增加值分别增长</w:t>
      </w:r>
      <w:r w:rsidRPr="00DD0741">
        <w:rPr>
          <w:rFonts w:ascii="Arial" w:hAnsi="Arial" w:cs="Arial"/>
          <w:noProof/>
          <w:sz w:val="21"/>
          <w:szCs w:val="21"/>
        </w:rPr>
        <w:t>48.0%</w:t>
      </w:r>
      <w:r w:rsidRPr="00DD0741">
        <w:rPr>
          <w:rFonts w:ascii="Arial" w:hAnsi="Arial" w:cs="Arial"/>
          <w:noProof/>
          <w:sz w:val="21"/>
          <w:szCs w:val="21"/>
        </w:rPr>
        <w:t>、</w:t>
      </w:r>
      <w:r w:rsidRPr="00DD0741">
        <w:rPr>
          <w:rFonts w:ascii="Arial" w:hAnsi="Arial" w:cs="Arial"/>
          <w:noProof/>
          <w:sz w:val="21"/>
          <w:szCs w:val="21"/>
        </w:rPr>
        <w:t>23.5%</w:t>
      </w:r>
      <w:r w:rsidRPr="00DD0741">
        <w:rPr>
          <w:rFonts w:ascii="Arial" w:hAnsi="Arial" w:cs="Arial"/>
          <w:noProof/>
          <w:sz w:val="21"/>
          <w:szCs w:val="21"/>
        </w:rPr>
        <w:t>、</w:t>
      </w:r>
      <w:r w:rsidRPr="00DD0741">
        <w:rPr>
          <w:rFonts w:ascii="Arial" w:hAnsi="Arial" w:cs="Arial"/>
          <w:noProof/>
          <w:sz w:val="21"/>
          <w:szCs w:val="21"/>
        </w:rPr>
        <w:t>16.4%</w:t>
      </w:r>
      <w:r w:rsidRPr="00DD0741">
        <w:rPr>
          <w:rFonts w:ascii="Arial" w:hAnsi="Arial" w:cs="Arial"/>
          <w:noProof/>
          <w:sz w:val="21"/>
          <w:szCs w:val="21"/>
        </w:rPr>
        <w:t>和</w:t>
      </w:r>
      <w:r w:rsidRPr="00DD0741">
        <w:rPr>
          <w:rFonts w:ascii="Arial" w:hAnsi="Arial" w:cs="Arial"/>
          <w:noProof/>
          <w:sz w:val="21"/>
          <w:szCs w:val="21"/>
        </w:rPr>
        <w:t>9.5%</w:t>
      </w:r>
      <w:r w:rsidRPr="00DD0741">
        <w:rPr>
          <w:rFonts w:ascii="Arial" w:hAnsi="Arial" w:cs="Arial"/>
          <w:noProof/>
          <w:sz w:val="21"/>
          <w:szCs w:val="21"/>
        </w:rPr>
        <w:t>，增速分别快于规上工业</w:t>
      </w:r>
      <w:r w:rsidRPr="00DD0741">
        <w:rPr>
          <w:rFonts w:ascii="Arial" w:hAnsi="Arial" w:cs="Arial"/>
          <w:noProof/>
          <w:sz w:val="21"/>
          <w:szCs w:val="21"/>
        </w:rPr>
        <w:t>41.5</w:t>
      </w:r>
      <w:r w:rsidRPr="00DD0741">
        <w:rPr>
          <w:rFonts w:ascii="Arial" w:hAnsi="Arial" w:cs="Arial"/>
          <w:noProof/>
          <w:sz w:val="21"/>
          <w:szCs w:val="21"/>
        </w:rPr>
        <w:t>、</w:t>
      </w:r>
      <w:r w:rsidRPr="00DD0741">
        <w:rPr>
          <w:rFonts w:ascii="Arial" w:hAnsi="Arial" w:cs="Arial"/>
          <w:noProof/>
          <w:sz w:val="21"/>
          <w:szCs w:val="21"/>
        </w:rPr>
        <w:t>17.0</w:t>
      </w:r>
      <w:r w:rsidRPr="00DD0741">
        <w:rPr>
          <w:rFonts w:ascii="Arial" w:hAnsi="Arial" w:cs="Arial"/>
          <w:noProof/>
          <w:sz w:val="21"/>
          <w:szCs w:val="21"/>
        </w:rPr>
        <w:t>、</w:t>
      </w:r>
      <w:r w:rsidRPr="00DD0741">
        <w:rPr>
          <w:rFonts w:ascii="Arial" w:hAnsi="Arial" w:cs="Arial"/>
          <w:noProof/>
          <w:sz w:val="21"/>
          <w:szCs w:val="21"/>
        </w:rPr>
        <w:t>9.9</w:t>
      </w:r>
      <w:r w:rsidRPr="00DD0741">
        <w:rPr>
          <w:rFonts w:ascii="Arial" w:hAnsi="Arial" w:cs="Arial"/>
          <w:noProof/>
          <w:sz w:val="21"/>
          <w:szCs w:val="21"/>
        </w:rPr>
        <w:t>和</w:t>
      </w:r>
      <w:r w:rsidRPr="00DD0741">
        <w:rPr>
          <w:rFonts w:ascii="Arial" w:hAnsi="Arial" w:cs="Arial"/>
          <w:noProof/>
          <w:sz w:val="21"/>
          <w:szCs w:val="21"/>
        </w:rPr>
        <w:t>3.0</w:t>
      </w:r>
      <w:r w:rsidRPr="00DD0741">
        <w:rPr>
          <w:rFonts w:ascii="Arial" w:hAnsi="Arial" w:cs="Arial"/>
          <w:noProof/>
          <w:sz w:val="21"/>
          <w:szCs w:val="21"/>
        </w:rPr>
        <w:t>个百分点。分登记注册类型看，股份制企业增加值增长</w:t>
      </w:r>
      <w:r w:rsidRPr="00DD0741">
        <w:rPr>
          <w:rFonts w:ascii="Arial" w:hAnsi="Arial" w:cs="Arial"/>
          <w:noProof/>
          <w:sz w:val="21"/>
          <w:szCs w:val="21"/>
        </w:rPr>
        <w:t>8.1%</w:t>
      </w:r>
      <w:r w:rsidRPr="00DD0741">
        <w:rPr>
          <w:rFonts w:ascii="Arial" w:hAnsi="Arial" w:cs="Arial"/>
          <w:noProof/>
          <w:sz w:val="21"/>
          <w:szCs w:val="21"/>
        </w:rPr>
        <w:t>，外商港澳台企业增长</w:t>
      </w:r>
      <w:r w:rsidRPr="00DD0741">
        <w:rPr>
          <w:rFonts w:ascii="Arial" w:hAnsi="Arial" w:cs="Arial"/>
          <w:noProof/>
          <w:sz w:val="21"/>
          <w:szCs w:val="21"/>
        </w:rPr>
        <w:t>2.3%</w:t>
      </w:r>
      <w:r w:rsidRPr="00DD0741">
        <w:rPr>
          <w:rFonts w:ascii="Arial" w:hAnsi="Arial" w:cs="Arial"/>
          <w:noProof/>
          <w:sz w:val="21"/>
          <w:szCs w:val="21"/>
        </w:rPr>
        <w:t>。从企业规模看，大中型企业增加值增长</w:t>
      </w:r>
      <w:r w:rsidRPr="00DD0741">
        <w:rPr>
          <w:rFonts w:ascii="Arial" w:hAnsi="Arial" w:cs="Arial"/>
          <w:noProof/>
          <w:sz w:val="21"/>
          <w:szCs w:val="21"/>
        </w:rPr>
        <w:t>1.7%</w:t>
      </w:r>
      <w:r w:rsidRPr="00DD0741">
        <w:rPr>
          <w:rFonts w:ascii="Arial" w:hAnsi="Arial" w:cs="Arial"/>
          <w:noProof/>
          <w:sz w:val="21"/>
          <w:szCs w:val="21"/>
        </w:rPr>
        <w:t>；小微型企业增长</w:t>
      </w:r>
      <w:r w:rsidRPr="00DD0741">
        <w:rPr>
          <w:rFonts w:ascii="Arial" w:hAnsi="Arial" w:cs="Arial"/>
          <w:noProof/>
          <w:sz w:val="21"/>
          <w:szCs w:val="21"/>
        </w:rPr>
        <w:t>23.5 %</w:t>
      </w:r>
      <w:r w:rsidRPr="00DD0741">
        <w:rPr>
          <w:rFonts w:ascii="Arial" w:hAnsi="Arial" w:cs="Arial"/>
          <w:noProof/>
          <w:sz w:val="21"/>
          <w:szCs w:val="21"/>
        </w:rPr>
        <w:t>。从产品产量看，列统</w:t>
      </w:r>
      <w:r w:rsidRPr="00DD0741">
        <w:rPr>
          <w:rFonts w:ascii="Arial" w:hAnsi="Arial" w:cs="Arial"/>
          <w:noProof/>
          <w:sz w:val="21"/>
          <w:szCs w:val="21"/>
        </w:rPr>
        <w:t>274</w:t>
      </w:r>
      <w:r w:rsidRPr="00DD0741">
        <w:rPr>
          <w:rFonts w:ascii="Arial" w:hAnsi="Arial" w:cs="Arial"/>
          <w:noProof/>
          <w:sz w:val="21"/>
          <w:szCs w:val="21"/>
        </w:rPr>
        <w:t>种工业产品中，有</w:t>
      </w:r>
      <w:r w:rsidRPr="00DD0741">
        <w:rPr>
          <w:rFonts w:ascii="Arial" w:hAnsi="Arial" w:cs="Arial"/>
          <w:noProof/>
          <w:sz w:val="21"/>
          <w:szCs w:val="21"/>
        </w:rPr>
        <w:t>129</w:t>
      </w:r>
      <w:r w:rsidRPr="00DD0741">
        <w:rPr>
          <w:rFonts w:ascii="Arial" w:hAnsi="Arial" w:cs="Arial"/>
          <w:noProof/>
          <w:sz w:val="21"/>
          <w:szCs w:val="21"/>
        </w:rPr>
        <w:t>种产品产量同比增长，增长面</w:t>
      </w:r>
      <w:r w:rsidRPr="00DD0741">
        <w:rPr>
          <w:rFonts w:ascii="Arial" w:hAnsi="Arial" w:cs="Arial"/>
          <w:noProof/>
          <w:sz w:val="21"/>
          <w:szCs w:val="21"/>
        </w:rPr>
        <w:t>47.1%</w:t>
      </w:r>
      <w:r w:rsidRPr="00DD0741">
        <w:rPr>
          <w:rFonts w:ascii="Arial" w:hAnsi="Arial" w:cs="Arial"/>
          <w:noProof/>
          <w:sz w:val="21"/>
          <w:szCs w:val="21"/>
        </w:rPr>
        <w:t>，较上半年、前</w:t>
      </w:r>
      <w:r w:rsidRPr="00DD0741">
        <w:rPr>
          <w:rFonts w:ascii="Arial" w:hAnsi="Arial" w:cs="Arial" w:hint="eastAsia"/>
          <w:noProof/>
          <w:sz w:val="21"/>
          <w:szCs w:val="21"/>
        </w:rPr>
        <w:t>三季度分别提高</w:t>
      </w:r>
      <w:r w:rsidRPr="00DD0741">
        <w:rPr>
          <w:rFonts w:ascii="Arial" w:hAnsi="Arial" w:cs="Arial"/>
          <w:noProof/>
          <w:sz w:val="21"/>
          <w:szCs w:val="21"/>
        </w:rPr>
        <w:t>6.6</w:t>
      </w:r>
      <w:r w:rsidRPr="00DD0741">
        <w:rPr>
          <w:rFonts w:ascii="Arial" w:hAnsi="Arial" w:cs="Arial"/>
          <w:noProof/>
          <w:sz w:val="21"/>
          <w:szCs w:val="21"/>
        </w:rPr>
        <w:t>、</w:t>
      </w:r>
      <w:r w:rsidRPr="00DD0741">
        <w:rPr>
          <w:rFonts w:ascii="Arial" w:hAnsi="Arial" w:cs="Arial"/>
          <w:noProof/>
          <w:sz w:val="21"/>
          <w:szCs w:val="21"/>
        </w:rPr>
        <w:t>6.2</w:t>
      </w:r>
      <w:r w:rsidRPr="00DD0741">
        <w:rPr>
          <w:rFonts w:ascii="Arial" w:hAnsi="Arial" w:cs="Arial"/>
          <w:noProof/>
          <w:sz w:val="21"/>
          <w:szCs w:val="21"/>
        </w:rPr>
        <w:t>个百分点。其中工业机器人产量增长</w:t>
      </w:r>
      <w:r w:rsidRPr="00DD0741">
        <w:rPr>
          <w:rFonts w:ascii="Arial" w:hAnsi="Arial" w:cs="Arial"/>
          <w:noProof/>
          <w:sz w:val="21"/>
          <w:szCs w:val="21"/>
        </w:rPr>
        <w:t>39.0%</w:t>
      </w:r>
      <w:r w:rsidRPr="00DD0741">
        <w:rPr>
          <w:rFonts w:ascii="Arial" w:hAnsi="Arial" w:cs="Arial"/>
          <w:noProof/>
          <w:sz w:val="21"/>
          <w:szCs w:val="21"/>
        </w:rPr>
        <w:t>、智能手机增长</w:t>
      </w:r>
      <w:r w:rsidRPr="00DD0741">
        <w:rPr>
          <w:rFonts w:ascii="Arial" w:hAnsi="Arial" w:cs="Arial"/>
          <w:noProof/>
          <w:sz w:val="21"/>
          <w:szCs w:val="21"/>
        </w:rPr>
        <w:t>8.7%</w:t>
      </w:r>
      <w:r w:rsidRPr="00DD0741">
        <w:rPr>
          <w:rFonts w:ascii="Arial" w:hAnsi="Arial" w:cs="Arial"/>
          <w:noProof/>
          <w:sz w:val="21"/>
          <w:szCs w:val="21"/>
        </w:rPr>
        <w:t>、光缆增长</w:t>
      </w:r>
      <w:r w:rsidRPr="00DD0741">
        <w:rPr>
          <w:rFonts w:ascii="Arial" w:hAnsi="Arial" w:cs="Arial"/>
          <w:noProof/>
          <w:sz w:val="21"/>
          <w:szCs w:val="21"/>
        </w:rPr>
        <w:t>11.0%</w:t>
      </w:r>
      <w:r w:rsidRPr="00DD0741">
        <w:rPr>
          <w:rFonts w:ascii="Arial" w:hAnsi="Arial" w:cs="Arial"/>
          <w:noProof/>
          <w:sz w:val="21"/>
          <w:szCs w:val="21"/>
        </w:rPr>
        <w:t>、锂离子电池增长</w:t>
      </w:r>
      <w:r w:rsidRPr="00DD0741">
        <w:rPr>
          <w:rFonts w:ascii="Arial" w:hAnsi="Arial" w:cs="Arial"/>
          <w:noProof/>
          <w:sz w:val="21"/>
          <w:szCs w:val="21"/>
        </w:rPr>
        <w:t>39.9%</w:t>
      </w:r>
      <w:r w:rsidRPr="00DD0741">
        <w:rPr>
          <w:rFonts w:ascii="Arial" w:hAnsi="Arial" w:cs="Arial"/>
          <w:noProof/>
          <w:sz w:val="21"/>
          <w:szCs w:val="21"/>
        </w:rPr>
        <w:t>、城市轨道车辆增长</w:t>
      </w:r>
      <w:r w:rsidRPr="00DD0741">
        <w:rPr>
          <w:rFonts w:ascii="Arial" w:hAnsi="Arial" w:cs="Arial"/>
          <w:noProof/>
          <w:sz w:val="21"/>
          <w:szCs w:val="21"/>
        </w:rPr>
        <w:t>24.5%</w:t>
      </w:r>
      <w:r w:rsidRPr="00DD0741">
        <w:rPr>
          <w:rFonts w:ascii="Arial" w:hAnsi="Arial" w:cs="Arial"/>
          <w:noProof/>
          <w:sz w:val="21"/>
          <w:szCs w:val="21"/>
        </w:rPr>
        <w:t>、集成电路圆片增长</w:t>
      </w:r>
      <w:r w:rsidRPr="00DD0741">
        <w:rPr>
          <w:rFonts w:ascii="Arial" w:hAnsi="Arial" w:cs="Arial"/>
          <w:noProof/>
          <w:sz w:val="21"/>
          <w:szCs w:val="21"/>
        </w:rPr>
        <w:t>56.1%</w:t>
      </w:r>
      <w:r w:rsidRPr="00DD0741">
        <w:rPr>
          <w:rFonts w:ascii="Arial" w:hAnsi="Arial" w:cs="Arial"/>
          <w:noProof/>
          <w:sz w:val="21"/>
          <w:szCs w:val="21"/>
        </w:rPr>
        <w:t>。高技术制造业和装备制造业增加值较快增长，增速分别为</w:t>
      </w:r>
      <w:r w:rsidRPr="00DD0741">
        <w:rPr>
          <w:rFonts w:ascii="Arial" w:hAnsi="Arial" w:cs="Arial"/>
          <w:noProof/>
          <w:sz w:val="21"/>
          <w:szCs w:val="21"/>
        </w:rPr>
        <w:t>28.8%</w:t>
      </w:r>
      <w:r w:rsidRPr="00DD0741">
        <w:rPr>
          <w:rFonts w:ascii="Arial" w:hAnsi="Arial" w:cs="Arial"/>
          <w:noProof/>
          <w:sz w:val="21"/>
          <w:szCs w:val="21"/>
        </w:rPr>
        <w:t>、</w:t>
      </w:r>
      <w:r w:rsidRPr="00DD0741">
        <w:rPr>
          <w:rFonts w:ascii="Arial" w:hAnsi="Arial" w:cs="Arial"/>
          <w:noProof/>
          <w:sz w:val="21"/>
          <w:szCs w:val="21"/>
        </w:rPr>
        <w:t>14.1%</w:t>
      </w:r>
      <w:r w:rsidRPr="00DD0741">
        <w:rPr>
          <w:rFonts w:ascii="Arial" w:hAnsi="Arial" w:cs="Arial"/>
          <w:noProof/>
          <w:sz w:val="21"/>
          <w:szCs w:val="21"/>
        </w:rPr>
        <w:t>，快于规上工业</w:t>
      </w:r>
      <w:r w:rsidRPr="00DD0741">
        <w:rPr>
          <w:rFonts w:ascii="Arial" w:hAnsi="Arial" w:cs="Arial"/>
          <w:noProof/>
          <w:sz w:val="21"/>
          <w:szCs w:val="21"/>
        </w:rPr>
        <w:t>22.3</w:t>
      </w:r>
      <w:r w:rsidRPr="00DD0741">
        <w:rPr>
          <w:rFonts w:ascii="Arial" w:hAnsi="Arial" w:cs="Arial"/>
          <w:noProof/>
          <w:sz w:val="21"/>
          <w:szCs w:val="21"/>
        </w:rPr>
        <w:t>、</w:t>
      </w:r>
      <w:r w:rsidRPr="00DD0741">
        <w:rPr>
          <w:rFonts w:ascii="Arial" w:hAnsi="Arial" w:cs="Arial"/>
          <w:noProof/>
          <w:sz w:val="21"/>
          <w:szCs w:val="21"/>
        </w:rPr>
        <w:t>7.6</w:t>
      </w:r>
      <w:r w:rsidRPr="00DD0741">
        <w:rPr>
          <w:rFonts w:ascii="Arial" w:hAnsi="Arial" w:cs="Arial"/>
          <w:noProof/>
          <w:sz w:val="21"/>
          <w:szCs w:val="21"/>
        </w:rPr>
        <w:t>个百分点。新型电子、绿色智能汽车、高端智能装备、生物医药与节能环保新材料四大主导产业增加值增长</w:t>
      </w:r>
      <w:r w:rsidRPr="00DD0741">
        <w:rPr>
          <w:rFonts w:ascii="Arial" w:hAnsi="Arial" w:cs="Arial"/>
          <w:noProof/>
          <w:sz w:val="21"/>
          <w:szCs w:val="21"/>
        </w:rPr>
        <w:t>9.9%</w:t>
      </w:r>
      <w:r w:rsidRPr="00DD0741">
        <w:rPr>
          <w:rFonts w:ascii="Arial" w:hAnsi="Arial" w:cs="Arial"/>
          <w:noProof/>
          <w:sz w:val="21"/>
          <w:szCs w:val="21"/>
        </w:rPr>
        <w:t>，快于规上工业</w:t>
      </w:r>
      <w:r w:rsidRPr="00DD0741">
        <w:rPr>
          <w:rFonts w:ascii="Arial" w:hAnsi="Arial" w:cs="Arial"/>
          <w:noProof/>
          <w:sz w:val="21"/>
          <w:szCs w:val="21"/>
        </w:rPr>
        <w:t>3.4</w:t>
      </w:r>
      <w:r w:rsidRPr="00DD0741">
        <w:rPr>
          <w:rFonts w:ascii="Arial" w:hAnsi="Arial" w:cs="Arial"/>
          <w:noProof/>
          <w:sz w:val="21"/>
          <w:szCs w:val="21"/>
        </w:rPr>
        <w:t>个百分点。</w:t>
      </w:r>
    </w:p>
    <w:p w14:paraId="23DF3F46" w14:textId="5444075C" w:rsidR="00DD0741" w:rsidRPr="00DD0741" w:rsidRDefault="001B058A" w:rsidP="00DD0741">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3.</w:t>
      </w:r>
      <w:r w:rsidR="00DD0741" w:rsidRPr="00DD0741">
        <w:rPr>
          <w:rFonts w:ascii="Arial" w:hAnsi="Arial" w:cs="Arial" w:hint="eastAsia"/>
          <w:noProof/>
          <w:sz w:val="21"/>
          <w:szCs w:val="21"/>
        </w:rPr>
        <w:t>服务业生产平稳复苏，现代服务业增势良好</w:t>
      </w:r>
    </w:p>
    <w:p w14:paraId="64FCA99C" w14:textId="77777777" w:rsidR="00DD0741" w:rsidRPr="00DD0741" w:rsidRDefault="00DD0741" w:rsidP="00DD0741">
      <w:pPr>
        <w:widowControl w:val="0"/>
        <w:adjustRightInd w:val="0"/>
        <w:snapToGrid w:val="0"/>
        <w:spacing w:line="480" w:lineRule="auto"/>
        <w:ind w:firstLineChars="200" w:firstLine="420"/>
        <w:jc w:val="both"/>
        <w:rPr>
          <w:rFonts w:ascii="Arial" w:hAnsi="Arial" w:cs="Arial"/>
          <w:noProof/>
          <w:sz w:val="21"/>
          <w:szCs w:val="21"/>
        </w:rPr>
      </w:pPr>
      <w:r w:rsidRPr="00DD0741">
        <w:rPr>
          <w:rFonts w:ascii="Arial" w:hAnsi="Arial" w:cs="Arial" w:hint="eastAsia"/>
          <w:noProof/>
          <w:sz w:val="21"/>
          <w:szCs w:val="21"/>
        </w:rPr>
        <w:t>全年规模以上服务业企业营业收入比上年增长</w:t>
      </w:r>
      <w:r w:rsidRPr="00DD0741">
        <w:rPr>
          <w:rFonts w:ascii="Arial" w:hAnsi="Arial" w:cs="Arial"/>
          <w:noProof/>
          <w:sz w:val="21"/>
          <w:szCs w:val="21"/>
        </w:rPr>
        <w:t>2.1%</w:t>
      </w:r>
      <w:r w:rsidRPr="00DD0741">
        <w:rPr>
          <w:rFonts w:ascii="Arial" w:hAnsi="Arial" w:cs="Arial"/>
          <w:noProof/>
          <w:sz w:val="21"/>
          <w:szCs w:val="21"/>
        </w:rPr>
        <w:t>。规模以上服务业中，信息传输、软件和信息技术服务业营业收入增长</w:t>
      </w:r>
      <w:r w:rsidRPr="00DD0741">
        <w:rPr>
          <w:rFonts w:ascii="Arial" w:hAnsi="Arial" w:cs="Arial"/>
          <w:noProof/>
          <w:sz w:val="21"/>
          <w:szCs w:val="21"/>
        </w:rPr>
        <w:t>14.1%</w:t>
      </w:r>
      <w:r w:rsidRPr="00DD0741">
        <w:rPr>
          <w:rFonts w:ascii="Arial" w:hAnsi="Arial" w:cs="Arial"/>
          <w:noProof/>
          <w:sz w:val="21"/>
          <w:szCs w:val="21"/>
        </w:rPr>
        <w:t>，增速快于规模以上服务业</w:t>
      </w:r>
      <w:r w:rsidRPr="00DD0741">
        <w:rPr>
          <w:rFonts w:ascii="Arial" w:hAnsi="Arial" w:cs="Arial"/>
          <w:noProof/>
          <w:sz w:val="21"/>
          <w:szCs w:val="21"/>
        </w:rPr>
        <w:t>12</w:t>
      </w:r>
      <w:r w:rsidRPr="00DD0741">
        <w:rPr>
          <w:rFonts w:ascii="Arial" w:hAnsi="Arial" w:cs="Arial"/>
          <w:noProof/>
          <w:sz w:val="21"/>
          <w:szCs w:val="21"/>
        </w:rPr>
        <w:t>个百分点；科学研究和技术服务业增长</w:t>
      </w:r>
      <w:r w:rsidRPr="00DD0741">
        <w:rPr>
          <w:rFonts w:ascii="Arial" w:hAnsi="Arial" w:cs="Arial"/>
          <w:noProof/>
          <w:sz w:val="21"/>
          <w:szCs w:val="21"/>
        </w:rPr>
        <w:t>9.4%</w:t>
      </w:r>
      <w:r w:rsidRPr="00DD0741">
        <w:rPr>
          <w:rFonts w:ascii="Arial" w:hAnsi="Arial" w:cs="Arial"/>
          <w:noProof/>
          <w:sz w:val="21"/>
          <w:szCs w:val="21"/>
        </w:rPr>
        <w:t>，增速快于规模以上服务业</w:t>
      </w:r>
      <w:r w:rsidRPr="00DD0741">
        <w:rPr>
          <w:rFonts w:ascii="Arial" w:hAnsi="Arial" w:cs="Arial"/>
          <w:noProof/>
          <w:sz w:val="21"/>
          <w:szCs w:val="21"/>
        </w:rPr>
        <w:t>7.3</w:t>
      </w:r>
      <w:r w:rsidRPr="00DD0741">
        <w:rPr>
          <w:rFonts w:ascii="Arial" w:hAnsi="Arial" w:cs="Arial"/>
          <w:noProof/>
          <w:sz w:val="21"/>
          <w:szCs w:val="21"/>
        </w:rPr>
        <w:t>个百分点；居民服务、修理和其他服务业增长</w:t>
      </w:r>
      <w:r w:rsidRPr="00DD0741">
        <w:rPr>
          <w:rFonts w:ascii="Arial" w:hAnsi="Arial" w:cs="Arial"/>
          <w:noProof/>
          <w:sz w:val="21"/>
          <w:szCs w:val="21"/>
        </w:rPr>
        <w:t>2.5%</w:t>
      </w:r>
      <w:r w:rsidRPr="00DD0741">
        <w:rPr>
          <w:rFonts w:ascii="Arial" w:hAnsi="Arial" w:cs="Arial"/>
          <w:noProof/>
          <w:sz w:val="21"/>
          <w:szCs w:val="21"/>
        </w:rPr>
        <w:t>，增速快于规模以上服务业</w:t>
      </w:r>
      <w:r w:rsidRPr="00DD0741">
        <w:rPr>
          <w:rFonts w:ascii="Arial" w:hAnsi="Arial" w:cs="Arial"/>
          <w:noProof/>
          <w:sz w:val="21"/>
          <w:szCs w:val="21"/>
        </w:rPr>
        <w:t>0.4</w:t>
      </w:r>
      <w:r w:rsidRPr="00DD0741">
        <w:rPr>
          <w:rFonts w:ascii="Arial" w:hAnsi="Arial" w:cs="Arial"/>
          <w:noProof/>
          <w:sz w:val="21"/>
          <w:szCs w:val="21"/>
        </w:rPr>
        <w:t>个百分点。以新技术为引领的现代服务业增势较好。规模以上高技术服务业、科技服务业营业收入分别增长</w:t>
      </w:r>
      <w:r w:rsidRPr="00DD0741">
        <w:rPr>
          <w:rFonts w:ascii="Arial" w:hAnsi="Arial" w:cs="Arial"/>
          <w:noProof/>
          <w:sz w:val="21"/>
          <w:szCs w:val="21"/>
        </w:rPr>
        <w:t>11.8%</w:t>
      </w:r>
      <w:r w:rsidRPr="00DD0741">
        <w:rPr>
          <w:rFonts w:ascii="Arial" w:hAnsi="Arial" w:cs="Arial"/>
          <w:noProof/>
          <w:sz w:val="21"/>
          <w:szCs w:val="21"/>
        </w:rPr>
        <w:t>、</w:t>
      </w:r>
      <w:r w:rsidRPr="00DD0741">
        <w:rPr>
          <w:rFonts w:ascii="Arial" w:hAnsi="Arial" w:cs="Arial"/>
          <w:noProof/>
          <w:sz w:val="21"/>
          <w:szCs w:val="21"/>
        </w:rPr>
        <w:t>16.5%</w:t>
      </w:r>
      <w:r w:rsidRPr="00DD0741">
        <w:rPr>
          <w:rFonts w:ascii="Arial" w:hAnsi="Arial" w:cs="Arial"/>
          <w:noProof/>
          <w:sz w:val="21"/>
          <w:szCs w:val="21"/>
        </w:rPr>
        <w:t>；与数字经济相关的信息传输、软件和信息技术服务业营业收入增长</w:t>
      </w:r>
      <w:r w:rsidRPr="00DD0741">
        <w:rPr>
          <w:rFonts w:ascii="Arial" w:hAnsi="Arial" w:cs="Arial"/>
          <w:noProof/>
          <w:sz w:val="21"/>
          <w:szCs w:val="21"/>
        </w:rPr>
        <w:t>14.1%</w:t>
      </w:r>
      <w:r w:rsidRPr="00DD0741">
        <w:rPr>
          <w:rFonts w:ascii="Arial" w:hAnsi="Arial" w:cs="Arial"/>
          <w:noProof/>
          <w:sz w:val="21"/>
          <w:szCs w:val="21"/>
        </w:rPr>
        <w:t>，其中互联网和相关服务、软件</w:t>
      </w:r>
      <w:r w:rsidRPr="00DD0741">
        <w:rPr>
          <w:rFonts w:ascii="Arial" w:hAnsi="Arial" w:cs="Arial" w:hint="eastAsia"/>
          <w:noProof/>
          <w:sz w:val="21"/>
          <w:szCs w:val="21"/>
        </w:rPr>
        <w:t>和信息技术服务业营业收入分别增长</w:t>
      </w:r>
      <w:r w:rsidRPr="00DD0741">
        <w:rPr>
          <w:rFonts w:ascii="Arial" w:hAnsi="Arial" w:cs="Arial"/>
          <w:noProof/>
          <w:sz w:val="21"/>
          <w:szCs w:val="21"/>
        </w:rPr>
        <w:t>28.3%</w:t>
      </w:r>
      <w:r w:rsidRPr="00DD0741">
        <w:rPr>
          <w:rFonts w:ascii="Arial" w:hAnsi="Arial" w:cs="Arial"/>
          <w:noProof/>
          <w:sz w:val="21"/>
          <w:szCs w:val="21"/>
        </w:rPr>
        <w:t>、</w:t>
      </w:r>
      <w:r w:rsidRPr="00DD0741">
        <w:rPr>
          <w:rFonts w:ascii="Arial" w:hAnsi="Arial" w:cs="Arial"/>
          <w:noProof/>
          <w:sz w:val="21"/>
          <w:szCs w:val="21"/>
        </w:rPr>
        <w:t>13.3%</w:t>
      </w:r>
      <w:r w:rsidRPr="00DD0741">
        <w:rPr>
          <w:rFonts w:ascii="Arial" w:hAnsi="Arial" w:cs="Arial"/>
          <w:noProof/>
          <w:sz w:val="21"/>
          <w:szCs w:val="21"/>
        </w:rPr>
        <w:t>。</w:t>
      </w:r>
    </w:p>
    <w:p w14:paraId="44023FA1" w14:textId="3E803BA9" w:rsidR="00DD0741" w:rsidRPr="00DD0741" w:rsidRDefault="001B058A" w:rsidP="00DD0741">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4.</w:t>
      </w:r>
      <w:r w:rsidR="00DD0741" w:rsidRPr="00DD0741">
        <w:rPr>
          <w:rFonts w:ascii="Arial" w:hAnsi="Arial" w:cs="Arial" w:hint="eastAsia"/>
          <w:noProof/>
          <w:sz w:val="21"/>
          <w:szCs w:val="21"/>
        </w:rPr>
        <w:t>消费市场有效恢复，消费升级类商品销售较快</w:t>
      </w:r>
    </w:p>
    <w:p w14:paraId="050184A6" w14:textId="77777777" w:rsidR="00DD0741" w:rsidRPr="00DD0741" w:rsidRDefault="00DD0741" w:rsidP="00DD0741">
      <w:pPr>
        <w:widowControl w:val="0"/>
        <w:adjustRightInd w:val="0"/>
        <w:snapToGrid w:val="0"/>
        <w:spacing w:line="480" w:lineRule="auto"/>
        <w:ind w:firstLineChars="200" w:firstLine="420"/>
        <w:jc w:val="both"/>
        <w:rPr>
          <w:rFonts w:ascii="Arial" w:hAnsi="Arial" w:cs="Arial"/>
          <w:noProof/>
          <w:sz w:val="21"/>
          <w:szCs w:val="21"/>
        </w:rPr>
      </w:pPr>
      <w:r w:rsidRPr="00DD0741">
        <w:rPr>
          <w:rFonts w:ascii="Arial" w:hAnsi="Arial" w:cs="Arial" w:hint="eastAsia"/>
          <w:noProof/>
          <w:sz w:val="21"/>
          <w:szCs w:val="21"/>
        </w:rPr>
        <w:lastRenderedPageBreak/>
        <w:t>全年实现社会消费品零售总额</w:t>
      </w:r>
      <w:r w:rsidRPr="00DD0741">
        <w:rPr>
          <w:rFonts w:ascii="Arial" w:hAnsi="Arial" w:cs="Arial"/>
          <w:noProof/>
          <w:sz w:val="21"/>
          <w:szCs w:val="21"/>
        </w:rPr>
        <w:t>7203.03</w:t>
      </w:r>
      <w:r w:rsidRPr="00DD0741">
        <w:rPr>
          <w:rFonts w:ascii="Arial" w:hAnsi="Arial" w:cs="Arial"/>
          <w:noProof/>
          <w:sz w:val="21"/>
          <w:szCs w:val="21"/>
        </w:rPr>
        <w:t>亿元，比上年增长</w:t>
      </w:r>
      <w:r w:rsidRPr="00DD0741">
        <w:rPr>
          <w:rFonts w:ascii="Arial" w:hAnsi="Arial" w:cs="Arial"/>
          <w:noProof/>
          <w:sz w:val="21"/>
          <w:szCs w:val="21"/>
        </w:rPr>
        <w:t>0.9%</w:t>
      </w:r>
      <w:r w:rsidRPr="00DD0741">
        <w:rPr>
          <w:rFonts w:ascii="Arial" w:hAnsi="Arial" w:cs="Arial"/>
          <w:noProof/>
          <w:sz w:val="21"/>
          <w:szCs w:val="21"/>
        </w:rPr>
        <w:t>，增速年内首次转正，位列全省首位。其中，限额以上单位消费品零售额</w:t>
      </w:r>
      <w:r w:rsidRPr="00DD0741">
        <w:rPr>
          <w:rFonts w:ascii="Arial" w:hAnsi="Arial" w:cs="Arial"/>
          <w:noProof/>
          <w:sz w:val="21"/>
          <w:szCs w:val="21"/>
        </w:rPr>
        <w:t>4034.7</w:t>
      </w:r>
      <w:r w:rsidRPr="00DD0741">
        <w:rPr>
          <w:rFonts w:ascii="Arial" w:hAnsi="Arial" w:cs="Arial"/>
          <w:noProof/>
          <w:sz w:val="21"/>
          <w:szCs w:val="21"/>
        </w:rPr>
        <w:t>亿元，增长</w:t>
      </w:r>
      <w:r w:rsidRPr="00DD0741">
        <w:rPr>
          <w:rFonts w:ascii="Arial" w:hAnsi="Arial" w:cs="Arial"/>
          <w:noProof/>
          <w:sz w:val="21"/>
          <w:szCs w:val="21"/>
        </w:rPr>
        <w:t>8.6%</w:t>
      </w:r>
      <w:r w:rsidRPr="00DD0741">
        <w:rPr>
          <w:rFonts w:ascii="Arial" w:hAnsi="Arial" w:cs="Arial"/>
          <w:noProof/>
          <w:sz w:val="21"/>
          <w:szCs w:val="21"/>
        </w:rPr>
        <w:t>。商品零售继续向好，在有零售额统计的</w:t>
      </w:r>
      <w:r w:rsidRPr="00DD0741">
        <w:rPr>
          <w:rFonts w:ascii="Arial" w:hAnsi="Arial" w:cs="Arial"/>
          <w:noProof/>
          <w:sz w:val="21"/>
          <w:szCs w:val="21"/>
        </w:rPr>
        <w:t>23</w:t>
      </w:r>
      <w:r w:rsidRPr="00DD0741">
        <w:rPr>
          <w:rFonts w:ascii="Arial" w:hAnsi="Arial" w:cs="Arial"/>
          <w:noProof/>
          <w:sz w:val="21"/>
          <w:szCs w:val="21"/>
        </w:rPr>
        <w:t>个大类商品中，正增长的有</w:t>
      </w:r>
      <w:r w:rsidRPr="00DD0741">
        <w:rPr>
          <w:rFonts w:ascii="Arial" w:hAnsi="Arial" w:cs="Arial"/>
          <w:noProof/>
          <w:sz w:val="21"/>
          <w:szCs w:val="21"/>
        </w:rPr>
        <w:t>18</w:t>
      </w:r>
      <w:r w:rsidRPr="00DD0741">
        <w:rPr>
          <w:rFonts w:ascii="Arial" w:hAnsi="Arial" w:cs="Arial"/>
          <w:noProof/>
          <w:sz w:val="21"/>
          <w:szCs w:val="21"/>
        </w:rPr>
        <w:t>个大类，增幅超过</w:t>
      </w:r>
      <w:r w:rsidRPr="00DD0741">
        <w:rPr>
          <w:rFonts w:ascii="Arial" w:hAnsi="Arial" w:cs="Arial"/>
          <w:noProof/>
          <w:sz w:val="21"/>
          <w:szCs w:val="21"/>
        </w:rPr>
        <w:t>10%</w:t>
      </w:r>
      <w:r w:rsidRPr="00DD0741">
        <w:rPr>
          <w:rFonts w:ascii="Arial" w:hAnsi="Arial" w:cs="Arial"/>
          <w:noProof/>
          <w:sz w:val="21"/>
          <w:szCs w:val="21"/>
        </w:rPr>
        <w:t>的有</w:t>
      </w:r>
      <w:r w:rsidRPr="00DD0741">
        <w:rPr>
          <w:rFonts w:ascii="Arial" w:hAnsi="Arial" w:cs="Arial"/>
          <w:noProof/>
          <w:sz w:val="21"/>
          <w:szCs w:val="21"/>
        </w:rPr>
        <w:t>12</w:t>
      </w:r>
      <w:r w:rsidRPr="00DD0741">
        <w:rPr>
          <w:rFonts w:ascii="Arial" w:hAnsi="Arial" w:cs="Arial"/>
          <w:noProof/>
          <w:sz w:val="21"/>
          <w:szCs w:val="21"/>
        </w:rPr>
        <w:t>类。粮油食品类、饮料类、日用品类、中西药品等日常消费类商品零售分别增长</w:t>
      </w:r>
      <w:r w:rsidRPr="00DD0741">
        <w:rPr>
          <w:rFonts w:ascii="Arial" w:hAnsi="Arial" w:cs="Arial"/>
          <w:noProof/>
          <w:sz w:val="21"/>
          <w:szCs w:val="21"/>
        </w:rPr>
        <w:t>17.4%</w:t>
      </w:r>
      <w:r w:rsidRPr="00DD0741">
        <w:rPr>
          <w:rFonts w:ascii="Arial" w:hAnsi="Arial" w:cs="Arial"/>
          <w:noProof/>
          <w:sz w:val="21"/>
          <w:szCs w:val="21"/>
        </w:rPr>
        <w:t>、</w:t>
      </w:r>
      <w:r w:rsidRPr="00DD0741">
        <w:rPr>
          <w:rFonts w:ascii="Arial" w:hAnsi="Arial" w:cs="Arial"/>
          <w:noProof/>
          <w:sz w:val="21"/>
          <w:szCs w:val="21"/>
        </w:rPr>
        <w:t>30.5%</w:t>
      </w:r>
      <w:r w:rsidRPr="00DD0741">
        <w:rPr>
          <w:rFonts w:ascii="Arial" w:hAnsi="Arial" w:cs="Arial"/>
          <w:noProof/>
          <w:sz w:val="21"/>
          <w:szCs w:val="21"/>
        </w:rPr>
        <w:t>、</w:t>
      </w:r>
      <w:r w:rsidRPr="00DD0741">
        <w:rPr>
          <w:rFonts w:ascii="Arial" w:hAnsi="Arial" w:cs="Arial"/>
          <w:noProof/>
          <w:sz w:val="21"/>
          <w:szCs w:val="21"/>
        </w:rPr>
        <w:t>29%</w:t>
      </w:r>
      <w:r w:rsidRPr="00DD0741">
        <w:rPr>
          <w:rFonts w:ascii="Arial" w:hAnsi="Arial" w:cs="Arial"/>
          <w:noProof/>
          <w:sz w:val="21"/>
          <w:szCs w:val="21"/>
        </w:rPr>
        <w:t>和</w:t>
      </w:r>
      <w:r w:rsidRPr="00DD0741">
        <w:rPr>
          <w:rFonts w:ascii="Arial" w:hAnsi="Arial" w:cs="Arial"/>
          <w:noProof/>
          <w:sz w:val="21"/>
          <w:szCs w:val="21"/>
        </w:rPr>
        <w:t>9.6%</w:t>
      </w:r>
      <w:r w:rsidRPr="00DD0741">
        <w:rPr>
          <w:rFonts w:ascii="Arial" w:hAnsi="Arial" w:cs="Arial"/>
          <w:noProof/>
          <w:sz w:val="21"/>
          <w:szCs w:val="21"/>
        </w:rPr>
        <w:t>；化妆品类、书报杂志类、通讯器材类、汽车类、建筑及装潢材料等消费升级类商品零售分别增长</w:t>
      </w:r>
      <w:r w:rsidRPr="00DD0741">
        <w:rPr>
          <w:rFonts w:ascii="Arial" w:hAnsi="Arial" w:cs="Arial"/>
          <w:noProof/>
          <w:sz w:val="21"/>
          <w:szCs w:val="21"/>
        </w:rPr>
        <w:t>25.8%</w:t>
      </w:r>
      <w:r w:rsidRPr="00DD0741">
        <w:rPr>
          <w:rFonts w:ascii="Arial" w:hAnsi="Arial" w:cs="Arial"/>
          <w:noProof/>
          <w:sz w:val="21"/>
          <w:szCs w:val="21"/>
        </w:rPr>
        <w:t>、</w:t>
      </w:r>
      <w:r w:rsidRPr="00DD0741">
        <w:rPr>
          <w:rFonts w:ascii="Arial" w:hAnsi="Arial" w:cs="Arial"/>
          <w:noProof/>
          <w:sz w:val="21"/>
          <w:szCs w:val="21"/>
        </w:rPr>
        <w:t>18.0%</w:t>
      </w:r>
      <w:r w:rsidRPr="00DD0741">
        <w:rPr>
          <w:rFonts w:ascii="Arial" w:hAnsi="Arial" w:cs="Arial"/>
          <w:noProof/>
          <w:sz w:val="21"/>
          <w:szCs w:val="21"/>
        </w:rPr>
        <w:t>、</w:t>
      </w:r>
      <w:r w:rsidRPr="00DD0741">
        <w:rPr>
          <w:rFonts w:ascii="Arial" w:hAnsi="Arial" w:cs="Arial"/>
          <w:noProof/>
          <w:sz w:val="21"/>
          <w:szCs w:val="21"/>
        </w:rPr>
        <w:t>12.9%</w:t>
      </w:r>
      <w:r w:rsidRPr="00DD0741">
        <w:rPr>
          <w:rFonts w:ascii="Arial" w:hAnsi="Arial" w:cs="Arial"/>
          <w:noProof/>
          <w:sz w:val="21"/>
          <w:szCs w:val="21"/>
        </w:rPr>
        <w:t>、</w:t>
      </w:r>
      <w:r w:rsidRPr="00DD0741">
        <w:rPr>
          <w:rFonts w:ascii="Arial" w:hAnsi="Arial" w:cs="Arial"/>
          <w:noProof/>
          <w:sz w:val="21"/>
          <w:szCs w:val="21"/>
        </w:rPr>
        <w:t>12.1%</w:t>
      </w:r>
      <w:r w:rsidRPr="00DD0741">
        <w:rPr>
          <w:rFonts w:ascii="Arial" w:hAnsi="Arial" w:cs="Arial"/>
          <w:noProof/>
          <w:sz w:val="21"/>
          <w:szCs w:val="21"/>
        </w:rPr>
        <w:t>、</w:t>
      </w:r>
      <w:r w:rsidRPr="00DD0741">
        <w:rPr>
          <w:rFonts w:ascii="Arial" w:hAnsi="Arial" w:cs="Arial"/>
          <w:noProof/>
          <w:sz w:val="21"/>
          <w:szCs w:val="21"/>
        </w:rPr>
        <w:t>23.0%</w:t>
      </w:r>
      <w:r w:rsidRPr="00DD0741">
        <w:rPr>
          <w:rFonts w:ascii="Arial" w:hAnsi="Arial" w:cs="Arial"/>
          <w:noProof/>
          <w:sz w:val="21"/>
          <w:szCs w:val="21"/>
        </w:rPr>
        <w:t>。</w:t>
      </w:r>
      <w:r w:rsidRPr="00DD0741">
        <w:rPr>
          <w:rFonts w:ascii="Arial" w:hAnsi="Arial" w:cs="Arial" w:hint="eastAsia"/>
          <w:noProof/>
          <w:sz w:val="21"/>
          <w:szCs w:val="21"/>
        </w:rPr>
        <w:t>新消费形态不断发展，限额以上批零住餐业通过公共网络实现零售额增长</w:t>
      </w:r>
      <w:r w:rsidRPr="00DD0741">
        <w:rPr>
          <w:rFonts w:ascii="Arial" w:hAnsi="Arial" w:cs="Arial"/>
          <w:noProof/>
          <w:sz w:val="21"/>
          <w:szCs w:val="21"/>
        </w:rPr>
        <w:t>24.8%</w:t>
      </w:r>
      <w:r w:rsidRPr="00DD0741">
        <w:rPr>
          <w:rFonts w:ascii="Arial" w:hAnsi="Arial" w:cs="Arial"/>
          <w:noProof/>
          <w:sz w:val="21"/>
          <w:szCs w:val="21"/>
        </w:rPr>
        <w:t>，占限上社会消费零售额</w:t>
      </w:r>
      <w:r w:rsidRPr="00DD0741">
        <w:rPr>
          <w:rFonts w:ascii="Arial" w:hAnsi="Arial" w:cs="Arial"/>
          <w:noProof/>
          <w:sz w:val="21"/>
          <w:szCs w:val="21"/>
        </w:rPr>
        <w:t>18.4%</w:t>
      </w:r>
      <w:r w:rsidRPr="00DD0741">
        <w:rPr>
          <w:rFonts w:ascii="Arial" w:hAnsi="Arial" w:cs="Arial"/>
          <w:noProof/>
          <w:sz w:val="21"/>
          <w:szCs w:val="21"/>
        </w:rPr>
        <w:t>，比上年同期提升</w:t>
      </w:r>
      <w:r w:rsidRPr="00DD0741">
        <w:rPr>
          <w:rFonts w:ascii="Arial" w:hAnsi="Arial" w:cs="Arial"/>
          <w:noProof/>
          <w:sz w:val="21"/>
          <w:szCs w:val="21"/>
        </w:rPr>
        <w:t>3.5</w:t>
      </w:r>
      <w:r w:rsidRPr="00DD0741">
        <w:rPr>
          <w:rFonts w:ascii="Arial" w:hAnsi="Arial" w:cs="Arial"/>
          <w:noProof/>
          <w:sz w:val="21"/>
          <w:szCs w:val="21"/>
        </w:rPr>
        <w:t>个百分点。无店铺零售额增长</w:t>
      </w:r>
      <w:r w:rsidRPr="00DD0741">
        <w:rPr>
          <w:rFonts w:ascii="Arial" w:hAnsi="Arial" w:cs="Arial"/>
          <w:noProof/>
          <w:sz w:val="21"/>
          <w:szCs w:val="21"/>
        </w:rPr>
        <w:t>19.2%</w:t>
      </w:r>
      <w:r w:rsidRPr="00DD0741">
        <w:rPr>
          <w:rFonts w:ascii="Arial" w:hAnsi="Arial" w:cs="Arial"/>
          <w:noProof/>
          <w:sz w:val="21"/>
          <w:szCs w:val="21"/>
        </w:rPr>
        <w:t>，其中网上商店零售额增长</w:t>
      </w:r>
      <w:r w:rsidRPr="00DD0741">
        <w:rPr>
          <w:rFonts w:ascii="Arial" w:hAnsi="Arial" w:cs="Arial"/>
          <w:noProof/>
          <w:sz w:val="21"/>
          <w:szCs w:val="21"/>
        </w:rPr>
        <w:t>25.9%</w:t>
      </w:r>
      <w:r w:rsidRPr="00DD0741">
        <w:rPr>
          <w:rFonts w:ascii="Arial" w:hAnsi="Arial" w:cs="Arial"/>
          <w:noProof/>
          <w:sz w:val="21"/>
          <w:szCs w:val="21"/>
        </w:rPr>
        <w:t>。</w:t>
      </w:r>
    </w:p>
    <w:p w14:paraId="11CC91EA" w14:textId="557650CB" w:rsidR="00DD0741" w:rsidRPr="00DD0741" w:rsidRDefault="001B058A" w:rsidP="00DD0741">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5.</w:t>
      </w:r>
      <w:r w:rsidR="00DD0741" w:rsidRPr="00DD0741">
        <w:rPr>
          <w:rFonts w:ascii="Arial" w:hAnsi="Arial" w:cs="Arial" w:hint="eastAsia"/>
          <w:noProof/>
          <w:sz w:val="21"/>
          <w:szCs w:val="21"/>
        </w:rPr>
        <w:t>固定资产投资稳步回升，高新技术产业投资较快增长</w:t>
      </w:r>
    </w:p>
    <w:p w14:paraId="40ACE5B2" w14:textId="77777777" w:rsidR="00DD0741" w:rsidRPr="00DD0741" w:rsidRDefault="00DD0741" w:rsidP="00DD0741">
      <w:pPr>
        <w:widowControl w:val="0"/>
        <w:adjustRightInd w:val="0"/>
        <w:snapToGrid w:val="0"/>
        <w:spacing w:line="480" w:lineRule="auto"/>
        <w:ind w:firstLineChars="200" w:firstLine="420"/>
        <w:jc w:val="both"/>
        <w:rPr>
          <w:rFonts w:ascii="Arial" w:hAnsi="Arial" w:cs="Arial"/>
          <w:noProof/>
          <w:sz w:val="21"/>
          <w:szCs w:val="21"/>
        </w:rPr>
      </w:pPr>
      <w:r w:rsidRPr="00DD0741">
        <w:rPr>
          <w:rFonts w:ascii="Arial" w:hAnsi="Arial" w:cs="Arial" w:hint="eastAsia"/>
          <w:noProof/>
          <w:sz w:val="21"/>
          <w:szCs w:val="21"/>
        </w:rPr>
        <w:t>全年固定资产投资比上年增长</w:t>
      </w:r>
      <w:r w:rsidRPr="00DD0741">
        <w:rPr>
          <w:rFonts w:ascii="Arial" w:hAnsi="Arial" w:cs="Arial"/>
          <w:noProof/>
          <w:sz w:val="21"/>
          <w:szCs w:val="21"/>
        </w:rPr>
        <w:t>6.6%</w:t>
      </w:r>
      <w:r w:rsidRPr="00DD0741">
        <w:rPr>
          <w:rFonts w:ascii="Arial" w:hAnsi="Arial" w:cs="Arial"/>
          <w:noProof/>
          <w:sz w:val="21"/>
          <w:szCs w:val="21"/>
        </w:rPr>
        <w:t>，增速较前三季度提高</w:t>
      </w:r>
      <w:r w:rsidRPr="00DD0741">
        <w:rPr>
          <w:rFonts w:ascii="Arial" w:hAnsi="Arial" w:cs="Arial"/>
          <w:noProof/>
          <w:sz w:val="21"/>
          <w:szCs w:val="21"/>
        </w:rPr>
        <w:t>0.7</w:t>
      </w:r>
      <w:r w:rsidRPr="00DD0741">
        <w:rPr>
          <w:rFonts w:ascii="Arial" w:hAnsi="Arial" w:cs="Arial"/>
          <w:noProof/>
          <w:sz w:val="21"/>
          <w:szCs w:val="21"/>
        </w:rPr>
        <w:t>个百分点。分领域看，工业投资增长</w:t>
      </w:r>
      <w:r w:rsidRPr="00DD0741">
        <w:rPr>
          <w:rFonts w:ascii="Arial" w:hAnsi="Arial" w:cs="Arial"/>
          <w:noProof/>
          <w:sz w:val="21"/>
          <w:szCs w:val="21"/>
        </w:rPr>
        <w:t>11%</w:t>
      </w:r>
      <w:r w:rsidRPr="00DD0741">
        <w:rPr>
          <w:rFonts w:ascii="Arial" w:hAnsi="Arial" w:cs="Arial"/>
          <w:noProof/>
          <w:sz w:val="21"/>
          <w:szCs w:val="21"/>
        </w:rPr>
        <w:t>、房地产开发投资增长</w:t>
      </w:r>
      <w:r w:rsidRPr="00DD0741">
        <w:rPr>
          <w:rFonts w:ascii="Arial" w:hAnsi="Arial" w:cs="Arial"/>
          <w:noProof/>
          <w:sz w:val="21"/>
          <w:szCs w:val="21"/>
        </w:rPr>
        <w:t>5.2%</w:t>
      </w:r>
      <w:r w:rsidRPr="00DD0741">
        <w:rPr>
          <w:rFonts w:ascii="Arial" w:hAnsi="Arial" w:cs="Arial"/>
          <w:noProof/>
          <w:sz w:val="21"/>
          <w:szCs w:val="21"/>
        </w:rPr>
        <w:t>，增幅分别较前三季度提升</w:t>
      </w:r>
      <w:r w:rsidRPr="00DD0741">
        <w:rPr>
          <w:rFonts w:ascii="Arial" w:hAnsi="Arial" w:cs="Arial"/>
          <w:noProof/>
          <w:sz w:val="21"/>
          <w:szCs w:val="21"/>
        </w:rPr>
        <w:t>4.1</w:t>
      </w:r>
      <w:r w:rsidRPr="00DD0741">
        <w:rPr>
          <w:rFonts w:ascii="Arial" w:hAnsi="Arial" w:cs="Arial"/>
          <w:noProof/>
          <w:sz w:val="21"/>
          <w:szCs w:val="21"/>
        </w:rPr>
        <w:t>个、</w:t>
      </w:r>
      <w:r w:rsidRPr="00DD0741">
        <w:rPr>
          <w:rFonts w:ascii="Arial" w:hAnsi="Arial" w:cs="Arial"/>
          <w:noProof/>
          <w:sz w:val="21"/>
          <w:szCs w:val="21"/>
        </w:rPr>
        <w:t>5</w:t>
      </w:r>
      <w:r w:rsidRPr="00DD0741">
        <w:rPr>
          <w:rFonts w:ascii="Arial" w:hAnsi="Arial" w:cs="Arial"/>
          <w:noProof/>
          <w:sz w:val="21"/>
          <w:szCs w:val="21"/>
        </w:rPr>
        <w:t>个百分点。高新技术产业投资增长</w:t>
      </w:r>
      <w:r w:rsidRPr="00DD0741">
        <w:rPr>
          <w:rFonts w:ascii="Arial" w:hAnsi="Arial" w:cs="Arial"/>
          <w:noProof/>
          <w:sz w:val="21"/>
          <w:szCs w:val="21"/>
        </w:rPr>
        <w:t>13.2%</w:t>
      </w:r>
      <w:r w:rsidRPr="00DD0741">
        <w:rPr>
          <w:rFonts w:ascii="Arial" w:hAnsi="Arial" w:cs="Arial"/>
          <w:noProof/>
          <w:sz w:val="21"/>
          <w:szCs w:val="21"/>
        </w:rPr>
        <w:t>，快于全部投资</w:t>
      </w:r>
      <w:r w:rsidRPr="00DD0741">
        <w:rPr>
          <w:rFonts w:ascii="Arial" w:hAnsi="Arial" w:cs="Arial"/>
          <w:noProof/>
          <w:sz w:val="21"/>
          <w:szCs w:val="21"/>
        </w:rPr>
        <w:t>6.6</w:t>
      </w:r>
      <w:r w:rsidRPr="00DD0741">
        <w:rPr>
          <w:rFonts w:ascii="Arial" w:hAnsi="Arial" w:cs="Arial"/>
          <w:noProof/>
          <w:sz w:val="21"/>
          <w:szCs w:val="21"/>
        </w:rPr>
        <w:t>个百分点。高技术制造业投资中，电子计算机及办公设备制造业投资增长</w:t>
      </w:r>
      <w:r w:rsidRPr="00DD0741">
        <w:rPr>
          <w:rFonts w:ascii="Arial" w:hAnsi="Arial" w:cs="Arial"/>
          <w:noProof/>
          <w:sz w:val="21"/>
          <w:szCs w:val="21"/>
        </w:rPr>
        <w:t>24.1%</w:t>
      </w:r>
      <w:r w:rsidRPr="00DD0741">
        <w:rPr>
          <w:rFonts w:ascii="Arial" w:hAnsi="Arial" w:cs="Arial"/>
          <w:noProof/>
          <w:sz w:val="21"/>
          <w:szCs w:val="21"/>
        </w:rPr>
        <w:t>、医药制造业投资增长</w:t>
      </w:r>
      <w:r w:rsidRPr="00DD0741">
        <w:rPr>
          <w:rFonts w:ascii="Arial" w:hAnsi="Arial" w:cs="Arial"/>
          <w:noProof/>
          <w:sz w:val="21"/>
          <w:szCs w:val="21"/>
        </w:rPr>
        <w:t>51.4 %</w:t>
      </w:r>
      <w:r w:rsidRPr="00DD0741">
        <w:rPr>
          <w:rFonts w:ascii="Arial" w:hAnsi="Arial" w:cs="Arial"/>
          <w:noProof/>
          <w:sz w:val="21"/>
          <w:szCs w:val="21"/>
        </w:rPr>
        <w:t>、仪器仪表制造业投资增长</w:t>
      </w:r>
      <w:r w:rsidRPr="00DD0741">
        <w:rPr>
          <w:rFonts w:ascii="Arial" w:hAnsi="Arial" w:cs="Arial"/>
          <w:noProof/>
          <w:sz w:val="21"/>
          <w:szCs w:val="21"/>
        </w:rPr>
        <w:t>79.2%</w:t>
      </w:r>
      <w:r w:rsidRPr="00DD0741">
        <w:rPr>
          <w:rFonts w:ascii="Arial" w:hAnsi="Arial" w:cs="Arial"/>
          <w:noProof/>
          <w:sz w:val="21"/>
          <w:szCs w:val="21"/>
        </w:rPr>
        <w:t>、智能装备制造业投资增长</w:t>
      </w:r>
      <w:r w:rsidRPr="00DD0741">
        <w:rPr>
          <w:rFonts w:ascii="Arial" w:hAnsi="Arial" w:cs="Arial"/>
          <w:noProof/>
          <w:sz w:val="21"/>
          <w:szCs w:val="21"/>
        </w:rPr>
        <w:t>30.5%</w:t>
      </w:r>
      <w:r w:rsidRPr="00DD0741">
        <w:rPr>
          <w:rFonts w:ascii="Arial" w:hAnsi="Arial" w:cs="Arial"/>
          <w:noProof/>
          <w:sz w:val="21"/>
          <w:szCs w:val="21"/>
        </w:rPr>
        <w:t>。全年工业技术改造投资比重</w:t>
      </w:r>
      <w:r w:rsidRPr="00DD0741">
        <w:rPr>
          <w:rFonts w:ascii="Arial" w:hAnsi="Arial" w:cs="Arial"/>
          <w:noProof/>
          <w:sz w:val="21"/>
          <w:szCs w:val="21"/>
        </w:rPr>
        <w:t>52.4%</w:t>
      </w:r>
      <w:r w:rsidRPr="00DD0741">
        <w:rPr>
          <w:rFonts w:ascii="Arial" w:hAnsi="Arial" w:cs="Arial"/>
          <w:noProof/>
          <w:sz w:val="21"/>
          <w:szCs w:val="21"/>
        </w:rPr>
        <w:t>。民间投资增长</w:t>
      </w:r>
      <w:r w:rsidRPr="00DD0741">
        <w:rPr>
          <w:rFonts w:ascii="Arial" w:hAnsi="Arial" w:cs="Arial"/>
          <w:noProof/>
          <w:sz w:val="21"/>
          <w:szCs w:val="21"/>
        </w:rPr>
        <w:t>12.4%</w:t>
      </w:r>
      <w:r w:rsidRPr="00DD0741">
        <w:rPr>
          <w:rFonts w:ascii="Arial" w:hAnsi="Arial" w:cs="Arial"/>
          <w:noProof/>
          <w:sz w:val="21"/>
          <w:szCs w:val="21"/>
        </w:rPr>
        <w:t>。</w:t>
      </w:r>
    </w:p>
    <w:p w14:paraId="1DBDA6B6" w14:textId="039628AC" w:rsidR="00DD0741" w:rsidRPr="00DD0741" w:rsidRDefault="001B058A" w:rsidP="00DD0741">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6.</w:t>
      </w:r>
      <w:r w:rsidR="00DD0741" w:rsidRPr="00DD0741">
        <w:rPr>
          <w:rFonts w:ascii="Arial" w:hAnsi="Arial" w:cs="Arial" w:hint="eastAsia"/>
          <w:noProof/>
          <w:sz w:val="21"/>
          <w:szCs w:val="21"/>
        </w:rPr>
        <w:t>对外经济平稳增长，利用外资增速较快</w:t>
      </w:r>
    </w:p>
    <w:p w14:paraId="20B81103" w14:textId="77777777" w:rsidR="00DD0741" w:rsidRPr="00DD0741" w:rsidRDefault="00DD0741" w:rsidP="00DD0741">
      <w:pPr>
        <w:widowControl w:val="0"/>
        <w:adjustRightInd w:val="0"/>
        <w:snapToGrid w:val="0"/>
        <w:spacing w:line="480" w:lineRule="auto"/>
        <w:ind w:firstLineChars="200" w:firstLine="420"/>
        <w:jc w:val="both"/>
        <w:rPr>
          <w:rFonts w:ascii="Arial" w:hAnsi="Arial" w:cs="Arial"/>
          <w:noProof/>
          <w:sz w:val="21"/>
          <w:szCs w:val="21"/>
        </w:rPr>
      </w:pPr>
      <w:r w:rsidRPr="00DD0741">
        <w:rPr>
          <w:rFonts w:ascii="Arial" w:hAnsi="Arial" w:cs="Arial" w:hint="eastAsia"/>
          <w:noProof/>
          <w:sz w:val="21"/>
          <w:szCs w:val="21"/>
        </w:rPr>
        <w:t>全年货物进出口总额</w:t>
      </w:r>
      <w:r w:rsidRPr="00DD0741">
        <w:rPr>
          <w:rFonts w:ascii="Arial" w:hAnsi="Arial" w:cs="Arial"/>
          <w:noProof/>
          <w:sz w:val="21"/>
          <w:szCs w:val="21"/>
        </w:rPr>
        <w:t>5340.21</w:t>
      </w:r>
      <w:r w:rsidRPr="00DD0741">
        <w:rPr>
          <w:rFonts w:ascii="Arial" w:hAnsi="Arial" w:cs="Arial"/>
          <w:noProof/>
          <w:sz w:val="21"/>
          <w:szCs w:val="21"/>
        </w:rPr>
        <w:t>亿元，比上年增长</w:t>
      </w:r>
      <w:r w:rsidRPr="00DD0741">
        <w:rPr>
          <w:rFonts w:ascii="Arial" w:hAnsi="Arial" w:cs="Arial"/>
          <w:noProof/>
          <w:sz w:val="21"/>
          <w:szCs w:val="21"/>
        </w:rPr>
        <w:t>10.6%</w:t>
      </w:r>
      <w:r w:rsidRPr="00DD0741">
        <w:rPr>
          <w:rFonts w:ascii="Arial" w:hAnsi="Arial" w:cs="Arial"/>
          <w:noProof/>
          <w:sz w:val="21"/>
          <w:szCs w:val="21"/>
        </w:rPr>
        <w:t>，占全省比重</w:t>
      </w:r>
      <w:r w:rsidRPr="00DD0741">
        <w:rPr>
          <w:rFonts w:ascii="Arial" w:hAnsi="Arial" w:cs="Arial"/>
          <w:noProof/>
          <w:sz w:val="21"/>
          <w:szCs w:val="21"/>
        </w:rPr>
        <w:t>12%</w:t>
      </w:r>
      <w:r w:rsidRPr="00DD0741">
        <w:rPr>
          <w:rFonts w:ascii="Arial" w:hAnsi="Arial" w:cs="Arial"/>
          <w:noProof/>
          <w:sz w:val="21"/>
          <w:szCs w:val="21"/>
        </w:rPr>
        <w:t>，贡献全省近五成增量。其中，出口</w:t>
      </w:r>
      <w:r w:rsidRPr="00DD0741">
        <w:rPr>
          <w:rFonts w:ascii="Arial" w:hAnsi="Arial" w:cs="Arial"/>
          <w:noProof/>
          <w:sz w:val="21"/>
          <w:szCs w:val="21"/>
        </w:rPr>
        <w:t>3398.92</w:t>
      </w:r>
      <w:r w:rsidRPr="00DD0741">
        <w:rPr>
          <w:rFonts w:ascii="Arial" w:hAnsi="Arial" w:cs="Arial"/>
          <w:noProof/>
          <w:sz w:val="21"/>
          <w:szCs w:val="21"/>
        </w:rPr>
        <w:t>亿元，增长</w:t>
      </w:r>
      <w:r w:rsidRPr="00DD0741">
        <w:rPr>
          <w:rFonts w:ascii="Arial" w:hAnsi="Arial" w:cs="Arial"/>
          <w:noProof/>
          <w:sz w:val="21"/>
          <w:szCs w:val="21"/>
        </w:rPr>
        <w:t>13.0%</w:t>
      </w:r>
      <w:r w:rsidRPr="00DD0741">
        <w:rPr>
          <w:rFonts w:ascii="Arial" w:hAnsi="Arial" w:cs="Arial"/>
          <w:noProof/>
          <w:sz w:val="21"/>
          <w:szCs w:val="21"/>
        </w:rPr>
        <w:t>；进口</w:t>
      </w:r>
      <w:r w:rsidRPr="00DD0741">
        <w:rPr>
          <w:rFonts w:ascii="Arial" w:hAnsi="Arial" w:cs="Arial"/>
          <w:noProof/>
          <w:sz w:val="21"/>
          <w:szCs w:val="21"/>
        </w:rPr>
        <w:t>1941.30</w:t>
      </w:r>
      <w:r w:rsidRPr="00DD0741">
        <w:rPr>
          <w:rFonts w:ascii="Arial" w:hAnsi="Arial" w:cs="Arial"/>
          <w:noProof/>
          <w:sz w:val="21"/>
          <w:szCs w:val="21"/>
        </w:rPr>
        <w:t>亿元，增长</w:t>
      </w:r>
      <w:r w:rsidRPr="00DD0741">
        <w:rPr>
          <w:rFonts w:ascii="Arial" w:hAnsi="Arial" w:cs="Arial"/>
          <w:noProof/>
          <w:sz w:val="21"/>
          <w:szCs w:val="21"/>
        </w:rPr>
        <w:t>6.6%</w:t>
      </w:r>
      <w:r w:rsidRPr="00DD0741">
        <w:rPr>
          <w:rFonts w:ascii="Arial" w:hAnsi="Arial" w:cs="Arial"/>
          <w:noProof/>
          <w:sz w:val="21"/>
          <w:szCs w:val="21"/>
        </w:rPr>
        <w:t>。与</w:t>
      </w:r>
      <w:r w:rsidRPr="00DD0741">
        <w:rPr>
          <w:rFonts w:ascii="Arial" w:hAnsi="Arial" w:cs="Arial"/>
          <w:noProof/>
          <w:sz w:val="21"/>
          <w:szCs w:val="21"/>
        </w:rPr>
        <w:t>“</w:t>
      </w:r>
      <w:r w:rsidRPr="00DD0741">
        <w:rPr>
          <w:rFonts w:ascii="Arial" w:hAnsi="Arial" w:cs="Arial"/>
          <w:noProof/>
          <w:sz w:val="21"/>
          <w:szCs w:val="21"/>
        </w:rPr>
        <w:t>一带一路</w:t>
      </w:r>
      <w:r w:rsidRPr="00DD0741">
        <w:rPr>
          <w:rFonts w:ascii="Arial" w:hAnsi="Arial" w:cs="Arial"/>
          <w:noProof/>
          <w:sz w:val="21"/>
          <w:szCs w:val="21"/>
        </w:rPr>
        <w:t>”</w:t>
      </w:r>
      <w:r w:rsidRPr="00DD0741">
        <w:rPr>
          <w:rFonts w:ascii="Arial" w:hAnsi="Arial" w:cs="Arial"/>
          <w:noProof/>
          <w:sz w:val="21"/>
          <w:szCs w:val="21"/>
        </w:rPr>
        <w:t>国家贸易占比提升，对</w:t>
      </w:r>
      <w:r w:rsidRPr="00DD0741">
        <w:rPr>
          <w:rFonts w:ascii="Arial" w:hAnsi="Arial" w:cs="Arial"/>
          <w:noProof/>
          <w:sz w:val="21"/>
          <w:szCs w:val="21"/>
        </w:rPr>
        <w:t>“</w:t>
      </w:r>
      <w:r w:rsidRPr="00DD0741">
        <w:rPr>
          <w:rFonts w:ascii="Arial" w:hAnsi="Arial" w:cs="Arial"/>
          <w:noProof/>
          <w:sz w:val="21"/>
          <w:szCs w:val="21"/>
        </w:rPr>
        <w:t>一带一路</w:t>
      </w:r>
      <w:r w:rsidRPr="00DD0741">
        <w:rPr>
          <w:rFonts w:ascii="Arial" w:hAnsi="Arial" w:cs="Arial"/>
          <w:noProof/>
          <w:sz w:val="21"/>
          <w:szCs w:val="21"/>
        </w:rPr>
        <w:t>”</w:t>
      </w:r>
      <w:r w:rsidRPr="00DD0741">
        <w:rPr>
          <w:rFonts w:ascii="Arial" w:hAnsi="Arial" w:cs="Arial"/>
          <w:noProof/>
          <w:sz w:val="21"/>
          <w:szCs w:val="21"/>
        </w:rPr>
        <w:t>国家出口增长</w:t>
      </w:r>
      <w:r w:rsidRPr="00DD0741">
        <w:rPr>
          <w:rFonts w:ascii="Arial" w:hAnsi="Arial" w:cs="Arial"/>
          <w:noProof/>
          <w:sz w:val="21"/>
          <w:szCs w:val="21"/>
        </w:rPr>
        <w:t>15.2%</w:t>
      </w:r>
      <w:r w:rsidRPr="00DD0741">
        <w:rPr>
          <w:rFonts w:ascii="Arial" w:hAnsi="Arial" w:cs="Arial"/>
          <w:noProof/>
          <w:sz w:val="21"/>
          <w:szCs w:val="21"/>
        </w:rPr>
        <w:t>，占全市比重</w:t>
      </w:r>
      <w:r w:rsidRPr="00DD0741">
        <w:rPr>
          <w:rFonts w:ascii="Arial" w:hAnsi="Arial" w:cs="Arial"/>
          <w:noProof/>
          <w:sz w:val="21"/>
          <w:szCs w:val="21"/>
        </w:rPr>
        <w:t>30.6%</w:t>
      </w:r>
      <w:r w:rsidRPr="00DD0741">
        <w:rPr>
          <w:rFonts w:ascii="Arial" w:hAnsi="Arial" w:cs="Arial"/>
          <w:noProof/>
          <w:sz w:val="21"/>
          <w:szCs w:val="21"/>
        </w:rPr>
        <w:t>；进口增长</w:t>
      </w:r>
      <w:r w:rsidRPr="00DD0741">
        <w:rPr>
          <w:rFonts w:ascii="Arial" w:hAnsi="Arial" w:cs="Arial"/>
          <w:noProof/>
          <w:sz w:val="21"/>
          <w:szCs w:val="21"/>
        </w:rPr>
        <w:t>12.5%</w:t>
      </w:r>
      <w:r w:rsidRPr="00DD0741">
        <w:rPr>
          <w:rFonts w:ascii="Arial" w:hAnsi="Arial" w:cs="Arial"/>
          <w:noProof/>
          <w:sz w:val="21"/>
          <w:szCs w:val="21"/>
        </w:rPr>
        <w:t>，占全市比重</w:t>
      </w:r>
      <w:r w:rsidRPr="00DD0741">
        <w:rPr>
          <w:rFonts w:ascii="Arial" w:hAnsi="Arial" w:cs="Arial"/>
          <w:noProof/>
          <w:sz w:val="21"/>
          <w:szCs w:val="21"/>
        </w:rPr>
        <w:t>18.3%</w:t>
      </w:r>
      <w:r w:rsidRPr="00DD0741">
        <w:rPr>
          <w:rFonts w:ascii="Arial" w:hAnsi="Arial" w:cs="Arial"/>
          <w:noProof/>
          <w:sz w:val="21"/>
          <w:szCs w:val="21"/>
        </w:rPr>
        <w:t>。机电产品、医疗物资出口显著增长，机电产品出口增长</w:t>
      </w:r>
      <w:r w:rsidRPr="00DD0741">
        <w:rPr>
          <w:rFonts w:ascii="Arial" w:hAnsi="Arial" w:cs="Arial"/>
          <w:noProof/>
          <w:sz w:val="21"/>
          <w:szCs w:val="21"/>
        </w:rPr>
        <w:t>18.9%</w:t>
      </w:r>
      <w:r w:rsidRPr="00DD0741">
        <w:rPr>
          <w:rFonts w:ascii="Arial" w:hAnsi="Arial" w:cs="Arial"/>
          <w:noProof/>
          <w:sz w:val="21"/>
          <w:szCs w:val="21"/>
        </w:rPr>
        <w:t>，其中集成电路出口增长</w:t>
      </w:r>
      <w:r w:rsidRPr="00DD0741">
        <w:rPr>
          <w:rFonts w:ascii="Arial" w:hAnsi="Arial" w:cs="Arial"/>
          <w:noProof/>
          <w:sz w:val="21"/>
          <w:szCs w:val="21"/>
        </w:rPr>
        <w:t>49.7%</w:t>
      </w:r>
      <w:r w:rsidRPr="00DD0741">
        <w:rPr>
          <w:rFonts w:ascii="Arial" w:hAnsi="Arial" w:cs="Arial"/>
          <w:noProof/>
          <w:sz w:val="21"/>
          <w:szCs w:val="21"/>
        </w:rPr>
        <w:t>、医疗仪器及器械出口增长</w:t>
      </w:r>
      <w:r w:rsidRPr="00DD0741">
        <w:rPr>
          <w:rFonts w:ascii="Arial" w:hAnsi="Arial" w:cs="Arial"/>
          <w:noProof/>
          <w:sz w:val="21"/>
          <w:szCs w:val="21"/>
        </w:rPr>
        <w:t>121.2%</w:t>
      </w:r>
      <w:r w:rsidRPr="00DD0741">
        <w:rPr>
          <w:rFonts w:ascii="Arial" w:hAnsi="Arial" w:cs="Arial"/>
          <w:noProof/>
          <w:sz w:val="21"/>
          <w:szCs w:val="21"/>
        </w:rPr>
        <w:t>。民营企业出口占比过半，民营企业进出口总额增长</w:t>
      </w:r>
      <w:r w:rsidRPr="00DD0741">
        <w:rPr>
          <w:rFonts w:ascii="Arial" w:hAnsi="Arial" w:cs="Arial"/>
          <w:noProof/>
          <w:sz w:val="21"/>
          <w:szCs w:val="21"/>
        </w:rPr>
        <w:t>26.6%</w:t>
      </w:r>
      <w:r w:rsidRPr="00DD0741">
        <w:rPr>
          <w:rFonts w:ascii="Arial" w:hAnsi="Arial" w:cs="Arial"/>
          <w:noProof/>
          <w:sz w:val="21"/>
          <w:szCs w:val="21"/>
        </w:rPr>
        <w:t>，较上年同期提</w:t>
      </w:r>
      <w:r w:rsidRPr="00DD0741">
        <w:rPr>
          <w:rFonts w:ascii="Arial" w:hAnsi="Arial" w:cs="Arial" w:hint="eastAsia"/>
          <w:noProof/>
          <w:sz w:val="21"/>
          <w:szCs w:val="21"/>
        </w:rPr>
        <w:t>升</w:t>
      </w:r>
      <w:r w:rsidRPr="00DD0741">
        <w:rPr>
          <w:rFonts w:ascii="Arial" w:hAnsi="Arial" w:cs="Arial"/>
          <w:noProof/>
          <w:sz w:val="21"/>
          <w:szCs w:val="21"/>
        </w:rPr>
        <w:t>4.3</w:t>
      </w:r>
      <w:r w:rsidRPr="00DD0741">
        <w:rPr>
          <w:rFonts w:ascii="Arial" w:hAnsi="Arial" w:cs="Arial"/>
          <w:noProof/>
          <w:sz w:val="21"/>
          <w:szCs w:val="21"/>
        </w:rPr>
        <w:t>个百分点。全年实际使用外资</w:t>
      </w:r>
      <w:r w:rsidRPr="00DD0741">
        <w:rPr>
          <w:rFonts w:ascii="Arial" w:hAnsi="Arial" w:cs="Arial"/>
          <w:noProof/>
          <w:sz w:val="21"/>
          <w:szCs w:val="21"/>
        </w:rPr>
        <w:t>45.15</w:t>
      </w:r>
      <w:r w:rsidRPr="00DD0741">
        <w:rPr>
          <w:rFonts w:ascii="Arial" w:hAnsi="Arial" w:cs="Arial"/>
          <w:noProof/>
          <w:sz w:val="21"/>
          <w:szCs w:val="21"/>
        </w:rPr>
        <w:t>亿美元，比上年增长</w:t>
      </w:r>
      <w:r w:rsidRPr="00DD0741">
        <w:rPr>
          <w:rFonts w:ascii="Arial" w:hAnsi="Arial" w:cs="Arial"/>
          <w:noProof/>
          <w:sz w:val="21"/>
          <w:szCs w:val="21"/>
        </w:rPr>
        <w:t>10.1%</w:t>
      </w:r>
      <w:r w:rsidRPr="00DD0741">
        <w:rPr>
          <w:rFonts w:ascii="Arial" w:hAnsi="Arial" w:cs="Arial"/>
          <w:noProof/>
          <w:sz w:val="21"/>
          <w:szCs w:val="21"/>
        </w:rPr>
        <w:t>。合同利用外资</w:t>
      </w:r>
      <w:r w:rsidRPr="00DD0741">
        <w:rPr>
          <w:rFonts w:ascii="Arial" w:hAnsi="Arial" w:cs="Arial"/>
          <w:noProof/>
          <w:sz w:val="21"/>
          <w:szCs w:val="21"/>
        </w:rPr>
        <w:t>152.62</w:t>
      </w:r>
      <w:r w:rsidRPr="00DD0741">
        <w:rPr>
          <w:rFonts w:ascii="Arial" w:hAnsi="Arial" w:cs="Arial"/>
          <w:noProof/>
          <w:sz w:val="21"/>
          <w:szCs w:val="21"/>
        </w:rPr>
        <w:t>亿美元，增长</w:t>
      </w:r>
      <w:r w:rsidRPr="00DD0741">
        <w:rPr>
          <w:rFonts w:ascii="Arial" w:hAnsi="Arial" w:cs="Arial"/>
          <w:noProof/>
          <w:sz w:val="21"/>
          <w:szCs w:val="21"/>
        </w:rPr>
        <w:t>79.1%</w:t>
      </w:r>
      <w:r w:rsidRPr="00DD0741">
        <w:rPr>
          <w:rFonts w:ascii="Arial" w:hAnsi="Arial" w:cs="Arial"/>
          <w:noProof/>
          <w:sz w:val="21"/>
          <w:szCs w:val="21"/>
        </w:rPr>
        <w:t>。</w:t>
      </w:r>
    </w:p>
    <w:p w14:paraId="28601F2D" w14:textId="75C1270D" w:rsidR="00DD0741" w:rsidRPr="00DD0741" w:rsidRDefault="001B058A" w:rsidP="00DD0741">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7.</w:t>
      </w:r>
      <w:r w:rsidR="00DD0741" w:rsidRPr="00DD0741">
        <w:rPr>
          <w:rFonts w:ascii="Arial" w:hAnsi="Arial" w:cs="Arial" w:hint="eastAsia"/>
          <w:noProof/>
          <w:sz w:val="21"/>
          <w:szCs w:val="21"/>
        </w:rPr>
        <w:t>财政收入平稳增长，金融存贷款较快增长</w:t>
      </w:r>
    </w:p>
    <w:p w14:paraId="20B10511" w14:textId="77777777" w:rsidR="00DD0741" w:rsidRPr="00DD0741" w:rsidRDefault="00DD0741" w:rsidP="00DD0741">
      <w:pPr>
        <w:widowControl w:val="0"/>
        <w:adjustRightInd w:val="0"/>
        <w:snapToGrid w:val="0"/>
        <w:spacing w:line="480" w:lineRule="auto"/>
        <w:ind w:firstLineChars="200" w:firstLine="420"/>
        <w:jc w:val="both"/>
        <w:rPr>
          <w:rFonts w:ascii="Arial" w:hAnsi="Arial" w:cs="Arial"/>
          <w:noProof/>
          <w:sz w:val="21"/>
          <w:szCs w:val="21"/>
        </w:rPr>
      </w:pPr>
      <w:r w:rsidRPr="00DD0741">
        <w:rPr>
          <w:rFonts w:ascii="Arial" w:hAnsi="Arial" w:cs="Arial" w:hint="eastAsia"/>
          <w:noProof/>
          <w:sz w:val="21"/>
          <w:szCs w:val="21"/>
        </w:rPr>
        <w:t>全年一般公共预算收入</w:t>
      </w:r>
      <w:r w:rsidRPr="00DD0741">
        <w:rPr>
          <w:rFonts w:ascii="Arial" w:hAnsi="Arial" w:cs="Arial"/>
          <w:noProof/>
          <w:sz w:val="21"/>
          <w:szCs w:val="21"/>
        </w:rPr>
        <w:t>1637.70</w:t>
      </w:r>
      <w:r w:rsidRPr="00DD0741">
        <w:rPr>
          <w:rFonts w:ascii="Arial" w:hAnsi="Arial" w:cs="Arial"/>
          <w:noProof/>
          <w:sz w:val="21"/>
          <w:szCs w:val="21"/>
        </w:rPr>
        <w:t>亿元，比上年增长</w:t>
      </w:r>
      <w:r w:rsidRPr="00DD0741">
        <w:rPr>
          <w:rFonts w:ascii="Arial" w:hAnsi="Arial" w:cs="Arial"/>
          <w:noProof/>
          <w:sz w:val="21"/>
          <w:szCs w:val="21"/>
        </w:rPr>
        <w:t>3.7%</w:t>
      </w:r>
      <w:r w:rsidRPr="00DD0741">
        <w:rPr>
          <w:rFonts w:ascii="Arial" w:hAnsi="Arial" w:cs="Arial"/>
          <w:noProof/>
          <w:sz w:val="21"/>
          <w:szCs w:val="21"/>
        </w:rPr>
        <w:t>。其中，税收收入</w:t>
      </w:r>
      <w:r w:rsidRPr="00DD0741">
        <w:rPr>
          <w:rFonts w:ascii="Arial" w:hAnsi="Arial" w:cs="Arial"/>
          <w:noProof/>
          <w:sz w:val="21"/>
          <w:szCs w:val="21"/>
        </w:rPr>
        <w:t>1395.56</w:t>
      </w:r>
      <w:r w:rsidRPr="00DD0741">
        <w:rPr>
          <w:rFonts w:ascii="Arial" w:hAnsi="Arial" w:cs="Arial"/>
          <w:noProof/>
          <w:sz w:val="21"/>
          <w:szCs w:val="21"/>
        </w:rPr>
        <w:t>亿元，增长</w:t>
      </w:r>
      <w:r w:rsidRPr="00DD0741">
        <w:rPr>
          <w:rFonts w:ascii="Arial" w:hAnsi="Arial" w:cs="Arial"/>
          <w:noProof/>
          <w:sz w:val="21"/>
          <w:szCs w:val="21"/>
        </w:rPr>
        <w:t>1.6%</w:t>
      </w:r>
      <w:r w:rsidRPr="00DD0741">
        <w:rPr>
          <w:rFonts w:ascii="Arial" w:hAnsi="Arial" w:cs="Arial"/>
          <w:noProof/>
          <w:sz w:val="21"/>
          <w:szCs w:val="21"/>
        </w:rPr>
        <w:t>；税收占比</w:t>
      </w:r>
      <w:r w:rsidRPr="00DD0741">
        <w:rPr>
          <w:rFonts w:ascii="Arial" w:hAnsi="Arial" w:cs="Arial"/>
          <w:noProof/>
          <w:sz w:val="21"/>
          <w:szCs w:val="21"/>
        </w:rPr>
        <w:t>85.2 %</w:t>
      </w:r>
      <w:r w:rsidRPr="00DD0741">
        <w:rPr>
          <w:rFonts w:ascii="Arial" w:hAnsi="Arial" w:cs="Arial"/>
          <w:noProof/>
          <w:sz w:val="21"/>
          <w:szCs w:val="21"/>
        </w:rPr>
        <w:t>。一般公共预算支出</w:t>
      </w:r>
      <w:r w:rsidRPr="00DD0741">
        <w:rPr>
          <w:rFonts w:ascii="Arial" w:hAnsi="Arial" w:cs="Arial"/>
          <w:noProof/>
          <w:sz w:val="21"/>
          <w:szCs w:val="21"/>
        </w:rPr>
        <w:t>1754.62</w:t>
      </w:r>
      <w:r w:rsidRPr="00DD0741">
        <w:rPr>
          <w:rFonts w:ascii="Arial" w:hAnsi="Arial" w:cs="Arial"/>
          <w:noProof/>
          <w:sz w:val="21"/>
          <w:szCs w:val="21"/>
        </w:rPr>
        <w:t>亿元，比上年增长</w:t>
      </w:r>
      <w:r w:rsidRPr="00DD0741">
        <w:rPr>
          <w:rFonts w:ascii="Arial" w:hAnsi="Arial" w:cs="Arial"/>
          <w:noProof/>
          <w:sz w:val="21"/>
          <w:szCs w:val="21"/>
        </w:rPr>
        <w:t>5.8%</w:t>
      </w:r>
      <w:r w:rsidRPr="00DD0741">
        <w:rPr>
          <w:rFonts w:ascii="Arial" w:hAnsi="Arial" w:cs="Arial"/>
          <w:noProof/>
          <w:sz w:val="21"/>
          <w:szCs w:val="21"/>
        </w:rPr>
        <w:t>。其中，住房保障支出</w:t>
      </w:r>
      <w:r w:rsidRPr="00DD0741">
        <w:rPr>
          <w:rFonts w:ascii="Arial" w:hAnsi="Arial" w:cs="Arial"/>
          <w:noProof/>
          <w:sz w:val="21"/>
          <w:szCs w:val="21"/>
        </w:rPr>
        <w:lastRenderedPageBreak/>
        <w:t>增长</w:t>
      </w:r>
      <w:r w:rsidRPr="00DD0741">
        <w:rPr>
          <w:rFonts w:ascii="Arial" w:hAnsi="Arial" w:cs="Arial"/>
          <w:noProof/>
          <w:sz w:val="21"/>
          <w:szCs w:val="21"/>
        </w:rPr>
        <w:t>84.6%</w:t>
      </w:r>
      <w:r w:rsidRPr="00DD0741">
        <w:rPr>
          <w:rFonts w:ascii="Arial" w:hAnsi="Arial" w:cs="Arial"/>
          <w:noProof/>
          <w:sz w:val="21"/>
          <w:szCs w:val="21"/>
        </w:rPr>
        <w:t>，社会保障和就业支出增长</w:t>
      </w:r>
      <w:r w:rsidRPr="00DD0741">
        <w:rPr>
          <w:rFonts w:ascii="Arial" w:hAnsi="Arial" w:cs="Arial"/>
          <w:noProof/>
          <w:sz w:val="21"/>
          <w:szCs w:val="21"/>
        </w:rPr>
        <w:t>8.8%</w:t>
      </w:r>
      <w:r w:rsidRPr="00DD0741">
        <w:rPr>
          <w:rFonts w:ascii="Arial" w:hAnsi="Arial" w:cs="Arial"/>
          <w:noProof/>
          <w:sz w:val="21"/>
          <w:szCs w:val="21"/>
        </w:rPr>
        <w:t>，教育支出增长</w:t>
      </w:r>
      <w:r w:rsidRPr="00DD0741">
        <w:rPr>
          <w:rFonts w:ascii="Arial" w:hAnsi="Arial" w:cs="Arial"/>
          <w:noProof/>
          <w:sz w:val="21"/>
          <w:szCs w:val="21"/>
        </w:rPr>
        <w:t>6.0%</w:t>
      </w:r>
      <w:r w:rsidRPr="00DD0741">
        <w:rPr>
          <w:rFonts w:ascii="Arial" w:hAnsi="Arial" w:cs="Arial"/>
          <w:noProof/>
          <w:sz w:val="21"/>
          <w:szCs w:val="21"/>
        </w:rPr>
        <w:t>，农林水事务支出增长</w:t>
      </w:r>
      <w:r w:rsidRPr="00DD0741">
        <w:rPr>
          <w:rFonts w:ascii="Arial" w:hAnsi="Arial" w:cs="Arial"/>
          <w:noProof/>
          <w:sz w:val="21"/>
          <w:szCs w:val="21"/>
        </w:rPr>
        <w:t>7.8%</w:t>
      </w:r>
      <w:r w:rsidRPr="00DD0741">
        <w:rPr>
          <w:rFonts w:ascii="Arial" w:hAnsi="Arial" w:cs="Arial"/>
          <w:noProof/>
          <w:sz w:val="21"/>
          <w:szCs w:val="21"/>
        </w:rPr>
        <w:t>。年末金融机构本外币各项存款余额</w:t>
      </w:r>
      <w:r w:rsidRPr="00DD0741">
        <w:rPr>
          <w:rFonts w:ascii="Arial" w:hAnsi="Arial" w:cs="Arial"/>
          <w:noProof/>
          <w:sz w:val="21"/>
          <w:szCs w:val="21"/>
        </w:rPr>
        <w:t>40056.45</w:t>
      </w:r>
      <w:r w:rsidRPr="00DD0741">
        <w:rPr>
          <w:rFonts w:ascii="Arial" w:hAnsi="Arial" w:cs="Arial"/>
          <w:noProof/>
          <w:sz w:val="21"/>
          <w:szCs w:val="21"/>
        </w:rPr>
        <w:t>亿元，比上年增长</w:t>
      </w:r>
      <w:r w:rsidRPr="00DD0741">
        <w:rPr>
          <w:rFonts w:ascii="Arial" w:hAnsi="Arial" w:cs="Arial"/>
          <w:noProof/>
          <w:sz w:val="21"/>
          <w:szCs w:val="21"/>
        </w:rPr>
        <w:t>12.7%</w:t>
      </w:r>
      <w:r w:rsidRPr="00DD0741">
        <w:rPr>
          <w:rFonts w:ascii="Arial" w:hAnsi="Arial" w:cs="Arial"/>
          <w:noProof/>
          <w:sz w:val="21"/>
          <w:szCs w:val="21"/>
        </w:rPr>
        <w:t>；金融机构本外币各项贷款余额</w:t>
      </w:r>
      <w:r w:rsidRPr="00DD0741">
        <w:rPr>
          <w:rFonts w:ascii="Arial" w:hAnsi="Arial" w:cs="Arial"/>
          <w:noProof/>
          <w:sz w:val="21"/>
          <w:szCs w:val="21"/>
        </w:rPr>
        <w:t>38189.99</w:t>
      </w:r>
      <w:r w:rsidRPr="00DD0741">
        <w:rPr>
          <w:rFonts w:ascii="Arial" w:hAnsi="Arial" w:cs="Arial"/>
          <w:noProof/>
          <w:sz w:val="21"/>
          <w:szCs w:val="21"/>
        </w:rPr>
        <w:t>亿元，增长</w:t>
      </w:r>
      <w:r w:rsidRPr="00DD0741">
        <w:rPr>
          <w:rFonts w:ascii="Arial" w:hAnsi="Arial" w:cs="Arial"/>
          <w:noProof/>
          <w:sz w:val="21"/>
          <w:szCs w:val="21"/>
        </w:rPr>
        <w:t>13.7%</w:t>
      </w:r>
      <w:r w:rsidRPr="00DD0741">
        <w:rPr>
          <w:rFonts w:ascii="Arial" w:hAnsi="Arial" w:cs="Arial"/>
          <w:noProof/>
          <w:sz w:val="21"/>
          <w:szCs w:val="21"/>
        </w:rPr>
        <w:t>。</w:t>
      </w:r>
    </w:p>
    <w:p w14:paraId="4B8393A6" w14:textId="561A2210" w:rsidR="00DD0741" w:rsidRPr="00DD0741" w:rsidRDefault="001B058A" w:rsidP="00DD0741">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8.</w:t>
      </w:r>
      <w:r w:rsidR="00DD0741" w:rsidRPr="00DD0741">
        <w:rPr>
          <w:rFonts w:ascii="Arial" w:hAnsi="Arial" w:cs="Arial" w:hint="eastAsia"/>
          <w:noProof/>
          <w:sz w:val="21"/>
          <w:szCs w:val="21"/>
        </w:rPr>
        <w:t>居民消费价格涨幅回落，工业生产者价格下降</w:t>
      </w:r>
    </w:p>
    <w:p w14:paraId="2B13274E" w14:textId="77777777" w:rsidR="00DD0741" w:rsidRPr="00DD0741" w:rsidRDefault="00DD0741" w:rsidP="00DD0741">
      <w:pPr>
        <w:widowControl w:val="0"/>
        <w:adjustRightInd w:val="0"/>
        <w:snapToGrid w:val="0"/>
        <w:spacing w:line="480" w:lineRule="auto"/>
        <w:ind w:firstLineChars="200" w:firstLine="420"/>
        <w:jc w:val="both"/>
        <w:rPr>
          <w:rFonts w:ascii="Arial" w:hAnsi="Arial" w:cs="Arial"/>
          <w:noProof/>
          <w:sz w:val="21"/>
          <w:szCs w:val="21"/>
        </w:rPr>
      </w:pPr>
      <w:r w:rsidRPr="00DD0741">
        <w:rPr>
          <w:rFonts w:ascii="Arial" w:hAnsi="Arial" w:cs="Arial" w:hint="eastAsia"/>
          <w:noProof/>
          <w:sz w:val="21"/>
          <w:szCs w:val="21"/>
        </w:rPr>
        <w:t>全年居民消费价格上涨</w:t>
      </w:r>
      <w:r w:rsidRPr="00DD0741">
        <w:rPr>
          <w:rFonts w:ascii="Arial" w:hAnsi="Arial" w:cs="Arial"/>
          <w:noProof/>
          <w:sz w:val="21"/>
          <w:szCs w:val="21"/>
        </w:rPr>
        <w:t>2.4%</w:t>
      </w:r>
      <w:r w:rsidRPr="00DD0741">
        <w:rPr>
          <w:rFonts w:ascii="Arial" w:hAnsi="Arial" w:cs="Arial"/>
          <w:noProof/>
          <w:sz w:val="21"/>
          <w:szCs w:val="21"/>
        </w:rPr>
        <w:t>，涨幅较</w:t>
      </w:r>
      <w:r w:rsidRPr="00DD0741">
        <w:rPr>
          <w:rFonts w:ascii="Arial" w:hAnsi="Arial" w:cs="Arial"/>
          <w:noProof/>
          <w:sz w:val="21"/>
          <w:szCs w:val="21"/>
        </w:rPr>
        <w:t>1-11</w:t>
      </w:r>
      <w:r w:rsidRPr="00DD0741">
        <w:rPr>
          <w:rFonts w:ascii="Arial" w:hAnsi="Arial" w:cs="Arial"/>
          <w:noProof/>
          <w:sz w:val="21"/>
          <w:szCs w:val="21"/>
        </w:rPr>
        <w:t>月回落</w:t>
      </w:r>
      <w:r w:rsidRPr="00DD0741">
        <w:rPr>
          <w:rFonts w:ascii="Arial" w:hAnsi="Arial" w:cs="Arial"/>
          <w:noProof/>
          <w:sz w:val="21"/>
          <w:szCs w:val="21"/>
        </w:rPr>
        <w:t>0.1</w:t>
      </w:r>
      <w:r w:rsidRPr="00DD0741">
        <w:rPr>
          <w:rFonts w:ascii="Arial" w:hAnsi="Arial" w:cs="Arial"/>
          <w:noProof/>
          <w:sz w:val="21"/>
          <w:szCs w:val="21"/>
        </w:rPr>
        <w:t>个百分点。分类别看，食品烟酒价格上涨</w:t>
      </w:r>
      <w:r w:rsidRPr="00DD0741">
        <w:rPr>
          <w:rFonts w:ascii="Arial" w:hAnsi="Arial" w:cs="Arial"/>
          <w:noProof/>
          <w:sz w:val="21"/>
          <w:szCs w:val="21"/>
        </w:rPr>
        <w:t>9.4%</w:t>
      </w:r>
      <w:r w:rsidRPr="00DD0741">
        <w:rPr>
          <w:rFonts w:ascii="Arial" w:hAnsi="Arial" w:cs="Arial"/>
          <w:noProof/>
          <w:sz w:val="21"/>
          <w:szCs w:val="21"/>
        </w:rPr>
        <w:t>，衣着下降</w:t>
      </w:r>
      <w:r w:rsidRPr="00DD0741">
        <w:rPr>
          <w:rFonts w:ascii="Arial" w:hAnsi="Arial" w:cs="Arial"/>
          <w:noProof/>
          <w:sz w:val="21"/>
          <w:szCs w:val="21"/>
        </w:rPr>
        <w:t>2.4%</w:t>
      </w:r>
      <w:r w:rsidRPr="00DD0741">
        <w:rPr>
          <w:rFonts w:ascii="Arial" w:hAnsi="Arial" w:cs="Arial"/>
          <w:noProof/>
          <w:sz w:val="21"/>
          <w:szCs w:val="21"/>
        </w:rPr>
        <w:t>，居住上涨</w:t>
      </w:r>
      <w:r w:rsidRPr="00DD0741">
        <w:rPr>
          <w:rFonts w:ascii="Arial" w:hAnsi="Arial" w:cs="Arial"/>
          <w:noProof/>
          <w:sz w:val="21"/>
          <w:szCs w:val="21"/>
        </w:rPr>
        <w:t>0.2%</w:t>
      </w:r>
      <w:r w:rsidRPr="00DD0741">
        <w:rPr>
          <w:rFonts w:ascii="Arial" w:hAnsi="Arial" w:cs="Arial"/>
          <w:noProof/>
          <w:sz w:val="21"/>
          <w:szCs w:val="21"/>
        </w:rPr>
        <w:t>，生活用品及服务上涨</w:t>
      </w:r>
      <w:r w:rsidRPr="00DD0741">
        <w:rPr>
          <w:rFonts w:ascii="Arial" w:hAnsi="Arial" w:cs="Arial"/>
          <w:noProof/>
          <w:sz w:val="21"/>
          <w:szCs w:val="21"/>
        </w:rPr>
        <w:t>0.3%</w:t>
      </w:r>
      <w:r w:rsidRPr="00DD0741">
        <w:rPr>
          <w:rFonts w:ascii="Arial" w:hAnsi="Arial" w:cs="Arial"/>
          <w:noProof/>
          <w:sz w:val="21"/>
          <w:szCs w:val="21"/>
        </w:rPr>
        <w:t>，交通和通信下降</w:t>
      </w:r>
      <w:r w:rsidRPr="00DD0741">
        <w:rPr>
          <w:rFonts w:ascii="Arial" w:hAnsi="Arial" w:cs="Arial"/>
          <w:noProof/>
          <w:sz w:val="21"/>
          <w:szCs w:val="21"/>
        </w:rPr>
        <w:t>4.1%</w:t>
      </w:r>
      <w:r w:rsidRPr="00DD0741">
        <w:rPr>
          <w:rFonts w:ascii="Arial" w:hAnsi="Arial" w:cs="Arial"/>
          <w:noProof/>
          <w:sz w:val="21"/>
          <w:szCs w:val="21"/>
        </w:rPr>
        <w:t>，教育文化和娱乐上涨</w:t>
      </w:r>
      <w:r w:rsidRPr="00DD0741">
        <w:rPr>
          <w:rFonts w:ascii="Arial" w:hAnsi="Arial" w:cs="Arial"/>
          <w:noProof/>
          <w:sz w:val="21"/>
          <w:szCs w:val="21"/>
        </w:rPr>
        <w:t>1.3%</w:t>
      </w:r>
      <w:r w:rsidRPr="00DD0741">
        <w:rPr>
          <w:rFonts w:ascii="Arial" w:hAnsi="Arial" w:cs="Arial"/>
          <w:noProof/>
          <w:sz w:val="21"/>
          <w:szCs w:val="21"/>
        </w:rPr>
        <w:t>，医疗保健下降</w:t>
      </w:r>
      <w:r w:rsidRPr="00DD0741">
        <w:rPr>
          <w:rFonts w:ascii="Arial" w:hAnsi="Arial" w:cs="Arial"/>
          <w:noProof/>
          <w:sz w:val="21"/>
          <w:szCs w:val="21"/>
        </w:rPr>
        <w:t>0.3%</w:t>
      </w:r>
      <w:r w:rsidRPr="00DD0741">
        <w:rPr>
          <w:rFonts w:ascii="Arial" w:hAnsi="Arial" w:cs="Arial"/>
          <w:noProof/>
          <w:sz w:val="21"/>
          <w:szCs w:val="21"/>
        </w:rPr>
        <w:t>，其他用品和服务上涨</w:t>
      </w:r>
      <w:r w:rsidRPr="00DD0741">
        <w:rPr>
          <w:rFonts w:ascii="Arial" w:hAnsi="Arial" w:cs="Arial"/>
          <w:noProof/>
          <w:sz w:val="21"/>
          <w:szCs w:val="21"/>
        </w:rPr>
        <w:t>8.0%</w:t>
      </w:r>
      <w:r w:rsidRPr="00DD0741">
        <w:rPr>
          <w:rFonts w:ascii="Arial" w:hAnsi="Arial" w:cs="Arial"/>
          <w:noProof/>
          <w:sz w:val="21"/>
          <w:szCs w:val="21"/>
        </w:rPr>
        <w:t>。全年工业生产者出厂价格比上年下降</w:t>
      </w:r>
      <w:r w:rsidRPr="00DD0741">
        <w:rPr>
          <w:rFonts w:ascii="Arial" w:hAnsi="Arial" w:cs="Arial"/>
          <w:noProof/>
          <w:sz w:val="21"/>
          <w:szCs w:val="21"/>
        </w:rPr>
        <w:t>0.9%</w:t>
      </w:r>
      <w:r w:rsidRPr="00DD0741">
        <w:rPr>
          <w:rFonts w:ascii="Arial" w:hAnsi="Arial" w:cs="Arial"/>
          <w:noProof/>
          <w:sz w:val="21"/>
          <w:szCs w:val="21"/>
        </w:rPr>
        <w:t>，</w:t>
      </w:r>
      <w:r w:rsidRPr="00DD0741">
        <w:rPr>
          <w:rFonts w:ascii="Arial" w:hAnsi="Arial" w:cs="Arial"/>
          <w:noProof/>
          <w:sz w:val="21"/>
          <w:szCs w:val="21"/>
        </w:rPr>
        <w:t>12</w:t>
      </w:r>
      <w:r w:rsidRPr="00DD0741">
        <w:rPr>
          <w:rFonts w:ascii="Arial" w:hAnsi="Arial" w:cs="Arial"/>
          <w:noProof/>
          <w:sz w:val="21"/>
          <w:szCs w:val="21"/>
        </w:rPr>
        <w:t>月份同比上涨</w:t>
      </w:r>
      <w:r w:rsidRPr="00DD0741">
        <w:rPr>
          <w:rFonts w:ascii="Arial" w:hAnsi="Arial" w:cs="Arial"/>
          <w:noProof/>
          <w:sz w:val="21"/>
          <w:szCs w:val="21"/>
        </w:rPr>
        <w:t>3.4%</w:t>
      </w:r>
      <w:r w:rsidRPr="00DD0741">
        <w:rPr>
          <w:rFonts w:ascii="Arial" w:hAnsi="Arial" w:cs="Arial"/>
          <w:noProof/>
          <w:sz w:val="21"/>
          <w:szCs w:val="21"/>
        </w:rPr>
        <w:t>，环比上涨</w:t>
      </w:r>
      <w:r w:rsidRPr="00DD0741">
        <w:rPr>
          <w:rFonts w:ascii="Arial" w:hAnsi="Arial" w:cs="Arial"/>
          <w:noProof/>
          <w:sz w:val="21"/>
          <w:szCs w:val="21"/>
        </w:rPr>
        <w:t>2.6%</w:t>
      </w:r>
      <w:r w:rsidRPr="00DD0741">
        <w:rPr>
          <w:rFonts w:ascii="Arial" w:hAnsi="Arial" w:cs="Arial"/>
          <w:noProof/>
          <w:sz w:val="21"/>
          <w:szCs w:val="21"/>
        </w:rPr>
        <w:t>。全年工业生产者购进价格比上年下降</w:t>
      </w:r>
      <w:r w:rsidRPr="00DD0741">
        <w:rPr>
          <w:rFonts w:ascii="Arial" w:hAnsi="Arial" w:cs="Arial"/>
          <w:noProof/>
          <w:sz w:val="21"/>
          <w:szCs w:val="21"/>
        </w:rPr>
        <w:t>4.5%</w:t>
      </w:r>
      <w:r w:rsidRPr="00DD0741">
        <w:rPr>
          <w:rFonts w:ascii="Arial" w:hAnsi="Arial" w:cs="Arial"/>
          <w:noProof/>
          <w:sz w:val="21"/>
          <w:szCs w:val="21"/>
        </w:rPr>
        <w:t>，</w:t>
      </w:r>
      <w:r w:rsidRPr="00DD0741">
        <w:rPr>
          <w:rFonts w:ascii="Arial" w:hAnsi="Arial" w:cs="Arial"/>
          <w:noProof/>
          <w:sz w:val="21"/>
          <w:szCs w:val="21"/>
        </w:rPr>
        <w:t>12</w:t>
      </w:r>
      <w:r w:rsidRPr="00DD0741">
        <w:rPr>
          <w:rFonts w:ascii="Arial" w:hAnsi="Arial" w:cs="Arial"/>
          <w:noProof/>
          <w:sz w:val="21"/>
          <w:szCs w:val="21"/>
        </w:rPr>
        <w:t>月份同比下降</w:t>
      </w:r>
      <w:r w:rsidRPr="00DD0741">
        <w:rPr>
          <w:rFonts w:ascii="Arial" w:hAnsi="Arial" w:cs="Arial"/>
          <w:noProof/>
          <w:sz w:val="21"/>
          <w:szCs w:val="21"/>
        </w:rPr>
        <w:t>4.6%</w:t>
      </w:r>
      <w:r w:rsidRPr="00DD0741">
        <w:rPr>
          <w:rFonts w:ascii="Arial" w:hAnsi="Arial" w:cs="Arial"/>
          <w:noProof/>
          <w:sz w:val="21"/>
          <w:szCs w:val="21"/>
        </w:rPr>
        <w:t>，环比下降</w:t>
      </w:r>
      <w:r w:rsidRPr="00DD0741">
        <w:rPr>
          <w:rFonts w:ascii="Arial" w:hAnsi="Arial" w:cs="Arial"/>
          <w:noProof/>
          <w:sz w:val="21"/>
          <w:szCs w:val="21"/>
        </w:rPr>
        <w:t>0.2%</w:t>
      </w:r>
      <w:r w:rsidRPr="00DD0741">
        <w:rPr>
          <w:rFonts w:ascii="Arial" w:hAnsi="Arial" w:cs="Arial"/>
          <w:noProof/>
          <w:sz w:val="21"/>
          <w:szCs w:val="21"/>
        </w:rPr>
        <w:t>。</w:t>
      </w:r>
    </w:p>
    <w:p w14:paraId="25FDD4A4" w14:textId="7F44B87E" w:rsidR="00DD0741" w:rsidRPr="00DD0741" w:rsidRDefault="001B058A" w:rsidP="00DD0741">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9.</w:t>
      </w:r>
      <w:r w:rsidR="00DD0741" w:rsidRPr="00DD0741">
        <w:rPr>
          <w:rFonts w:ascii="Arial" w:hAnsi="Arial" w:cs="Arial" w:hint="eastAsia"/>
          <w:noProof/>
          <w:sz w:val="21"/>
          <w:szCs w:val="21"/>
        </w:rPr>
        <w:t>居民收入稳定增长，城乡居民收入比继续缩小</w:t>
      </w:r>
    </w:p>
    <w:p w14:paraId="6BAD27CD" w14:textId="77777777" w:rsidR="00DD0741" w:rsidRPr="00DD0741" w:rsidRDefault="00DD0741" w:rsidP="00DD0741">
      <w:pPr>
        <w:widowControl w:val="0"/>
        <w:adjustRightInd w:val="0"/>
        <w:snapToGrid w:val="0"/>
        <w:spacing w:line="480" w:lineRule="auto"/>
        <w:ind w:firstLineChars="200" w:firstLine="420"/>
        <w:jc w:val="both"/>
        <w:rPr>
          <w:rFonts w:ascii="Arial" w:hAnsi="Arial" w:cs="Arial"/>
          <w:noProof/>
          <w:sz w:val="21"/>
          <w:szCs w:val="21"/>
        </w:rPr>
      </w:pPr>
      <w:r w:rsidRPr="00DD0741">
        <w:rPr>
          <w:rFonts w:ascii="Arial" w:hAnsi="Arial" w:cs="Arial" w:hint="eastAsia"/>
          <w:noProof/>
          <w:sz w:val="21"/>
          <w:szCs w:val="21"/>
        </w:rPr>
        <w:t>全年居民人均可支配收入</w:t>
      </w:r>
      <w:r w:rsidRPr="00DD0741">
        <w:rPr>
          <w:rFonts w:ascii="Arial" w:hAnsi="Arial" w:cs="Arial"/>
          <w:noProof/>
          <w:sz w:val="21"/>
          <w:szCs w:val="21"/>
        </w:rPr>
        <w:t>60606</w:t>
      </w:r>
      <w:r w:rsidRPr="00DD0741">
        <w:rPr>
          <w:rFonts w:ascii="Arial" w:hAnsi="Arial" w:cs="Arial"/>
          <w:noProof/>
          <w:sz w:val="21"/>
          <w:szCs w:val="21"/>
        </w:rPr>
        <w:t>元，同比增长</w:t>
      </w:r>
      <w:r w:rsidRPr="00DD0741">
        <w:rPr>
          <w:rFonts w:ascii="Arial" w:hAnsi="Arial" w:cs="Arial"/>
          <w:noProof/>
          <w:sz w:val="21"/>
          <w:szCs w:val="21"/>
        </w:rPr>
        <w:t>5.2%</w:t>
      </w:r>
      <w:r w:rsidRPr="00DD0741">
        <w:rPr>
          <w:rFonts w:ascii="Arial" w:hAnsi="Arial" w:cs="Arial"/>
          <w:noProof/>
          <w:sz w:val="21"/>
          <w:szCs w:val="21"/>
        </w:rPr>
        <w:t>。从收入构成看，工资性收入</w:t>
      </w:r>
      <w:r w:rsidRPr="00DD0741">
        <w:rPr>
          <w:rFonts w:ascii="Arial" w:hAnsi="Arial" w:cs="Arial"/>
          <w:noProof/>
          <w:sz w:val="21"/>
          <w:szCs w:val="21"/>
        </w:rPr>
        <w:t>37798</w:t>
      </w:r>
      <w:r w:rsidRPr="00DD0741">
        <w:rPr>
          <w:rFonts w:ascii="Arial" w:hAnsi="Arial" w:cs="Arial"/>
          <w:noProof/>
          <w:sz w:val="21"/>
          <w:szCs w:val="21"/>
        </w:rPr>
        <w:t>元，同比增长</w:t>
      </w:r>
      <w:r w:rsidRPr="00DD0741">
        <w:rPr>
          <w:rFonts w:ascii="Arial" w:hAnsi="Arial" w:cs="Arial"/>
          <w:noProof/>
          <w:sz w:val="21"/>
          <w:szCs w:val="21"/>
        </w:rPr>
        <w:t>4.9%</w:t>
      </w:r>
      <w:r w:rsidRPr="00DD0741">
        <w:rPr>
          <w:rFonts w:ascii="Arial" w:hAnsi="Arial" w:cs="Arial"/>
          <w:noProof/>
          <w:sz w:val="21"/>
          <w:szCs w:val="21"/>
        </w:rPr>
        <w:t>；经营净收入</w:t>
      </w:r>
      <w:r w:rsidRPr="00DD0741">
        <w:rPr>
          <w:rFonts w:ascii="Arial" w:hAnsi="Arial" w:cs="Arial"/>
          <w:noProof/>
          <w:sz w:val="21"/>
          <w:szCs w:val="21"/>
        </w:rPr>
        <w:t>6463</w:t>
      </w:r>
      <w:r w:rsidRPr="00DD0741">
        <w:rPr>
          <w:rFonts w:ascii="Arial" w:hAnsi="Arial" w:cs="Arial"/>
          <w:noProof/>
          <w:sz w:val="21"/>
          <w:szCs w:val="21"/>
        </w:rPr>
        <w:t>元，增长</w:t>
      </w:r>
      <w:r w:rsidRPr="00DD0741">
        <w:rPr>
          <w:rFonts w:ascii="Arial" w:hAnsi="Arial" w:cs="Arial"/>
          <w:noProof/>
          <w:sz w:val="21"/>
          <w:szCs w:val="21"/>
        </w:rPr>
        <w:t>2.1%</w:t>
      </w:r>
      <w:r w:rsidRPr="00DD0741">
        <w:rPr>
          <w:rFonts w:ascii="Arial" w:hAnsi="Arial" w:cs="Arial"/>
          <w:noProof/>
          <w:sz w:val="21"/>
          <w:szCs w:val="21"/>
        </w:rPr>
        <w:t>；财产净收入</w:t>
      </w:r>
      <w:r w:rsidRPr="00DD0741">
        <w:rPr>
          <w:rFonts w:ascii="Arial" w:hAnsi="Arial" w:cs="Arial"/>
          <w:noProof/>
          <w:sz w:val="21"/>
          <w:szCs w:val="21"/>
        </w:rPr>
        <w:t>6280</w:t>
      </w:r>
      <w:r w:rsidRPr="00DD0741">
        <w:rPr>
          <w:rFonts w:ascii="Arial" w:hAnsi="Arial" w:cs="Arial"/>
          <w:noProof/>
          <w:sz w:val="21"/>
          <w:szCs w:val="21"/>
        </w:rPr>
        <w:t>元，增长</w:t>
      </w:r>
      <w:r w:rsidRPr="00DD0741">
        <w:rPr>
          <w:rFonts w:ascii="Arial" w:hAnsi="Arial" w:cs="Arial"/>
          <w:noProof/>
          <w:sz w:val="21"/>
          <w:szCs w:val="21"/>
        </w:rPr>
        <w:t>5.3%</w:t>
      </w:r>
      <w:r w:rsidRPr="00DD0741">
        <w:rPr>
          <w:rFonts w:ascii="Arial" w:hAnsi="Arial" w:cs="Arial"/>
          <w:noProof/>
          <w:sz w:val="21"/>
          <w:szCs w:val="21"/>
        </w:rPr>
        <w:t>；转移净收入</w:t>
      </w:r>
      <w:r w:rsidRPr="00DD0741">
        <w:rPr>
          <w:rFonts w:ascii="Arial" w:hAnsi="Arial" w:cs="Arial"/>
          <w:noProof/>
          <w:sz w:val="21"/>
          <w:szCs w:val="21"/>
        </w:rPr>
        <w:t>10065</w:t>
      </w:r>
      <w:r w:rsidRPr="00DD0741">
        <w:rPr>
          <w:rFonts w:ascii="Arial" w:hAnsi="Arial" w:cs="Arial"/>
          <w:noProof/>
          <w:sz w:val="21"/>
          <w:szCs w:val="21"/>
        </w:rPr>
        <w:t>元，增长</w:t>
      </w:r>
      <w:r w:rsidRPr="00DD0741">
        <w:rPr>
          <w:rFonts w:ascii="Arial" w:hAnsi="Arial" w:cs="Arial"/>
          <w:noProof/>
          <w:sz w:val="21"/>
          <w:szCs w:val="21"/>
        </w:rPr>
        <w:t>8.3%</w:t>
      </w:r>
      <w:r w:rsidRPr="00DD0741">
        <w:rPr>
          <w:rFonts w:ascii="Arial" w:hAnsi="Arial" w:cs="Arial"/>
          <w:noProof/>
          <w:sz w:val="21"/>
          <w:szCs w:val="21"/>
        </w:rPr>
        <w:t>。按常住地分，城镇居民人均可支配收入</w:t>
      </w:r>
      <w:r w:rsidRPr="00DD0741">
        <w:rPr>
          <w:rFonts w:ascii="Arial" w:hAnsi="Arial" w:cs="Arial"/>
          <w:noProof/>
          <w:sz w:val="21"/>
          <w:szCs w:val="21"/>
        </w:rPr>
        <w:t>67553</w:t>
      </w:r>
      <w:r w:rsidRPr="00DD0741">
        <w:rPr>
          <w:rFonts w:ascii="Arial" w:hAnsi="Arial" w:cs="Arial"/>
          <w:noProof/>
          <w:sz w:val="21"/>
          <w:szCs w:val="21"/>
        </w:rPr>
        <w:t>元，增长</w:t>
      </w:r>
      <w:r w:rsidRPr="00DD0741">
        <w:rPr>
          <w:rFonts w:ascii="Arial" w:hAnsi="Arial" w:cs="Arial"/>
          <w:noProof/>
          <w:sz w:val="21"/>
          <w:szCs w:val="21"/>
        </w:rPr>
        <w:t>4.9%</w:t>
      </w:r>
      <w:r w:rsidRPr="00DD0741">
        <w:rPr>
          <w:rFonts w:ascii="Arial" w:hAnsi="Arial" w:cs="Arial"/>
          <w:noProof/>
          <w:sz w:val="21"/>
          <w:szCs w:val="21"/>
        </w:rPr>
        <w:t>；农村居民人均可支配收入</w:t>
      </w:r>
      <w:r w:rsidRPr="00DD0741">
        <w:rPr>
          <w:rFonts w:ascii="Arial" w:hAnsi="Arial" w:cs="Arial"/>
          <w:noProof/>
          <w:sz w:val="21"/>
          <w:szCs w:val="21"/>
        </w:rPr>
        <w:t>29621</w:t>
      </w:r>
      <w:r w:rsidRPr="00DD0741">
        <w:rPr>
          <w:rFonts w:ascii="Arial" w:hAnsi="Arial" w:cs="Arial"/>
          <w:noProof/>
          <w:sz w:val="21"/>
          <w:szCs w:val="21"/>
        </w:rPr>
        <w:t>元，增长</w:t>
      </w:r>
      <w:r w:rsidRPr="00DD0741">
        <w:rPr>
          <w:rFonts w:ascii="Arial" w:hAnsi="Arial" w:cs="Arial"/>
          <w:noProof/>
          <w:sz w:val="21"/>
          <w:szCs w:val="21"/>
        </w:rPr>
        <w:t>7.2%</w:t>
      </w:r>
      <w:r w:rsidRPr="00DD0741">
        <w:rPr>
          <w:rFonts w:ascii="Arial" w:hAnsi="Arial" w:cs="Arial"/>
          <w:noProof/>
          <w:sz w:val="21"/>
          <w:szCs w:val="21"/>
        </w:rPr>
        <w:t>。农村居民收入增长快于城镇居民收入增长</w:t>
      </w:r>
      <w:r w:rsidRPr="00DD0741">
        <w:rPr>
          <w:rFonts w:ascii="Arial" w:hAnsi="Arial" w:cs="Arial"/>
          <w:noProof/>
          <w:sz w:val="21"/>
          <w:szCs w:val="21"/>
        </w:rPr>
        <w:t>2.3</w:t>
      </w:r>
      <w:r w:rsidRPr="00DD0741">
        <w:rPr>
          <w:rFonts w:ascii="Arial" w:hAnsi="Arial" w:cs="Arial"/>
          <w:noProof/>
          <w:sz w:val="21"/>
          <w:szCs w:val="21"/>
        </w:rPr>
        <w:t>个百分点，城乡居民收入比值为</w:t>
      </w:r>
      <w:r w:rsidRPr="00DD0741">
        <w:rPr>
          <w:rFonts w:ascii="Arial" w:hAnsi="Arial" w:cs="Arial"/>
          <w:noProof/>
          <w:sz w:val="21"/>
          <w:szCs w:val="21"/>
        </w:rPr>
        <w:t>2.28</w:t>
      </w:r>
      <w:r w:rsidRPr="00DD0741">
        <w:rPr>
          <w:rFonts w:ascii="Arial" w:hAnsi="Arial" w:cs="Arial"/>
          <w:noProof/>
          <w:sz w:val="21"/>
          <w:szCs w:val="21"/>
        </w:rPr>
        <w:t>，较上年同期的</w:t>
      </w:r>
      <w:r w:rsidRPr="00DD0741">
        <w:rPr>
          <w:rFonts w:ascii="Arial" w:hAnsi="Arial" w:cs="Arial"/>
          <w:noProof/>
          <w:sz w:val="21"/>
          <w:szCs w:val="21"/>
        </w:rPr>
        <w:t>2.33</w:t>
      </w:r>
      <w:r w:rsidRPr="00DD0741">
        <w:rPr>
          <w:rFonts w:ascii="Arial" w:hAnsi="Arial" w:cs="Arial"/>
          <w:noProof/>
          <w:sz w:val="21"/>
          <w:szCs w:val="21"/>
        </w:rPr>
        <w:t>进一步缩小。</w:t>
      </w:r>
    </w:p>
    <w:p w14:paraId="6C826A5B" w14:textId="10F97F61" w:rsidR="00DD0741" w:rsidRPr="00DD0741" w:rsidRDefault="001B058A" w:rsidP="00DD0741">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10.</w:t>
      </w:r>
      <w:r w:rsidR="00DD0741" w:rsidRPr="00DD0741">
        <w:rPr>
          <w:rFonts w:ascii="Arial" w:hAnsi="Arial" w:cs="Arial" w:hint="eastAsia"/>
          <w:noProof/>
          <w:sz w:val="21"/>
          <w:szCs w:val="21"/>
        </w:rPr>
        <w:t>改革创新深入推进，高质量发展取得新成效</w:t>
      </w:r>
    </w:p>
    <w:p w14:paraId="789D4D15" w14:textId="77777777" w:rsidR="00DD0741" w:rsidRPr="00DD0741" w:rsidRDefault="00DD0741" w:rsidP="00DD0741">
      <w:pPr>
        <w:widowControl w:val="0"/>
        <w:adjustRightInd w:val="0"/>
        <w:snapToGrid w:val="0"/>
        <w:spacing w:line="480" w:lineRule="auto"/>
        <w:ind w:firstLineChars="200" w:firstLine="420"/>
        <w:jc w:val="both"/>
        <w:rPr>
          <w:rFonts w:ascii="Arial" w:hAnsi="Arial" w:cs="Arial"/>
          <w:noProof/>
          <w:sz w:val="21"/>
          <w:szCs w:val="21"/>
        </w:rPr>
      </w:pPr>
      <w:r w:rsidRPr="00DD0741">
        <w:rPr>
          <w:rFonts w:ascii="Arial" w:hAnsi="Arial" w:cs="Arial" w:hint="eastAsia"/>
          <w:noProof/>
          <w:sz w:val="21"/>
          <w:szCs w:val="21"/>
        </w:rPr>
        <w:t>科技创新动力进一步激发。全年高新技术产业实现工业总产值增长</w:t>
      </w:r>
      <w:r w:rsidRPr="00DD0741">
        <w:rPr>
          <w:rFonts w:ascii="Arial" w:hAnsi="Arial" w:cs="Arial"/>
          <w:noProof/>
          <w:sz w:val="21"/>
          <w:szCs w:val="21"/>
        </w:rPr>
        <w:t>9.2%</w:t>
      </w:r>
      <w:r w:rsidRPr="00DD0741">
        <w:rPr>
          <w:rFonts w:ascii="Arial" w:hAnsi="Arial" w:cs="Arial"/>
          <w:noProof/>
          <w:sz w:val="21"/>
          <w:szCs w:val="21"/>
        </w:rPr>
        <w:t>，占规上工业比重</w:t>
      </w:r>
      <w:r w:rsidRPr="00DD0741">
        <w:rPr>
          <w:rFonts w:ascii="Arial" w:hAnsi="Arial" w:cs="Arial"/>
          <w:noProof/>
          <w:sz w:val="21"/>
          <w:szCs w:val="21"/>
        </w:rPr>
        <w:t>53.4%</w:t>
      </w:r>
      <w:r w:rsidRPr="00DD0741">
        <w:rPr>
          <w:rFonts w:ascii="Arial" w:hAnsi="Arial" w:cs="Arial"/>
          <w:noProof/>
          <w:sz w:val="21"/>
          <w:szCs w:val="21"/>
        </w:rPr>
        <w:t>，比上年同期提高</w:t>
      </w:r>
      <w:r w:rsidRPr="00DD0741">
        <w:rPr>
          <w:rFonts w:ascii="Arial" w:hAnsi="Arial" w:cs="Arial"/>
          <w:noProof/>
          <w:sz w:val="21"/>
          <w:szCs w:val="21"/>
        </w:rPr>
        <w:t>2.7</w:t>
      </w:r>
      <w:r w:rsidRPr="00DD0741">
        <w:rPr>
          <w:rFonts w:ascii="Arial" w:hAnsi="Arial" w:cs="Arial"/>
          <w:noProof/>
          <w:sz w:val="21"/>
          <w:szCs w:val="21"/>
        </w:rPr>
        <w:t>个百分点。净增高新技术企业超</w:t>
      </w:r>
      <w:r w:rsidRPr="00DD0741">
        <w:rPr>
          <w:rFonts w:ascii="Arial" w:hAnsi="Arial" w:cs="Arial"/>
          <w:noProof/>
          <w:sz w:val="21"/>
          <w:szCs w:val="21"/>
        </w:rPr>
        <w:t>1800</w:t>
      </w:r>
      <w:r w:rsidRPr="00DD0741">
        <w:rPr>
          <w:rFonts w:ascii="Arial" w:hAnsi="Arial" w:cs="Arial"/>
          <w:noProof/>
          <w:sz w:val="21"/>
          <w:szCs w:val="21"/>
        </w:rPr>
        <w:t>家、总数突破</w:t>
      </w:r>
      <w:r w:rsidRPr="00DD0741">
        <w:rPr>
          <w:rFonts w:ascii="Arial" w:hAnsi="Arial" w:cs="Arial"/>
          <w:noProof/>
          <w:sz w:val="21"/>
          <w:szCs w:val="21"/>
        </w:rPr>
        <w:t>6500</w:t>
      </w:r>
      <w:r w:rsidRPr="00DD0741">
        <w:rPr>
          <w:rFonts w:ascii="Arial" w:hAnsi="Arial" w:cs="Arial"/>
          <w:noProof/>
          <w:sz w:val="21"/>
          <w:szCs w:val="21"/>
        </w:rPr>
        <w:t>家；入库科技型中小企业</w:t>
      </w:r>
      <w:r w:rsidRPr="00DD0741">
        <w:rPr>
          <w:rFonts w:ascii="Arial" w:hAnsi="Arial" w:cs="Arial"/>
          <w:noProof/>
          <w:sz w:val="21"/>
          <w:szCs w:val="21"/>
        </w:rPr>
        <w:t>10042</w:t>
      </w:r>
      <w:r w:rsidRPr="00DD0741">
        <w:rPr>
          <w:rFonts w:ascii="Arial" w:hAnsi="Arial" w:cs="Arial"/>
          <w:noProof/>
          <w:sz w:val="21"/>
          <w:szCs w:val="21"/>
        </w:rPr>
        <w:t>家、增长</w:t>
      </w:r>
      <w:r w:rsidRPr="00DD0741">
        <w:rPr>
          <w:rFonts w:ascii="Arial" w:hAnsi="Arial" w:cs="Arial"/>
          <w:noProof/>
          <w:sz w:val="21"/>
          <w:szCs w:val="21"/>
        </w:rPr>
        <w:t>50.2%</w:t>
      </w:r>
      <w:r w:rsidRPr="00DD0741">
        <w:rPr>
          <w:rFonts w:ascii="Arial" w:hAnsi="Arial" w:cs="Arial"/>
          <w:noProof/>
          <w:sz w:val="21"/>
          <w:szCs w:val="21"/>
        </w:rPr>
        <w:t>；新增市级新型研发机构</w:t>
      </w:r>
      <w:r w:rsidRPr="00DD0741">
        <w:rPr>
          <w:rFonts w:ascii="Arial" w:hAnsi="Arial" w:cs="Arial"/>
          <w:noProof/>
          <w:sz w:val="21"/>
          <w:szCs w:val="21"/>
        </w:rPr>
        <w:t>113</w:t>
      </w:r>
      <w:r w:rsidRPr="00DD0741">
        <w:rPr>
          <w:rFonts w:ascii="Arial" w:hAnsi="Arial" w:cs="Arial"/>
          <w:noProof/>
          <w:sz w:val="21"/>
          <w:szCs w:val="21"/>
        </w:rPr>
        <w:t>家；孵化和引进科技企业</w:t>
      </w:r>
      <w:r w:rsidRPr="00DD0741">
        <w:rPr>
          <w:rFonts w:ascii="Arial" w:hAnsi="Arial" w:cs="Arial"/>
          <w:noProof/>
          <w:sz w:val="21"/>
          <w:szCs w:val="21"/>
        </w:rPr>
        <w:t>7248</w:t>
      </w:r>
      <w:r w:rsidRPr="00DD0741">
        <w:rPr>
          <w:rFonts w:ascii="Arial" w:hAnsi="Arial" w:cs="Arial"/>
          <w:noProof/>
          <w:sz w:val="21"/>
          <w:szCs w:val="21"/>
        </w:rPr>
        <w:t>家，建成并投入使用城市</w:t>
      </w:r>
      <w:r w:rsidRPr="00DD0741">
        <w:rPr>
          <w:rFonts w:ascii="Arial" w:hAnsi="Arial" w:cs="Arial"/>
          <w:noProof/>
          <w:sz w:val="21"/>
          <w:szCs w:val="21"/>
        </w:rPr>
        <w:t>“</w:t>
      </w:r>
      <w:r w:rsidRPr="00DD0741">
        <w:rPr>
          <w:rFonts w:ascii="Arial" w:hAnsi="Arial" w:cs="Arial"/>
          <w:noProof/>
          <w:sz w:val="21"/>
          <w:szCs w:val="21"/>
        </w:rPr>
        <w:t>硅巷</w:t>
      </w:r>
      <w:r w:rsidRPr="00DD0741">
        <w:rPr>
          <w:rFonts w:ascii="Arial" w:hAnsi="Arial" w:cs="Arial"/>
          <w:noProof/>
          <w:sz w:val="21"/>
          <w:szCs w:val="21"/>
        </w:rPr>
        <w:t>”104</w:t>
      </w:r>
      <w:r w:rsidRPr="00DD0741">
        <w:rPr>
          <w:rFonts w:ascii="Arial" w:hAnsi="Arial" w:cs="Arial"/>
          <w:noProof/>
          <w:sz w:val="21"/>
          <w:szCs w:val="21"/>
        </w:rPr>
        <w:t>万平方米。市场主体活力进一步释放。全年规模以上工业利润增长</w:t>
      </w:r>
      <w:r w:rsidRPr="00DD0741">
        <w:rPr>
          <w:rFonts w:ascii="Arial" w:hAnsi="Arial" w:cs="Arial"/>
          <w:noProof/>
          <w:sz w:val="21"/>
          <w:szCs w:val="21"/>
        </w:rPr>
        <w:t>9.5%</w:t>
      </w:r>
      <w:r w:rsidRPr="00DD0741">
        <w:rPr>
          <w:rFonts w:ascii="Arial" w:hAnsi="Arial" w:cs="Arial"/>
          <w:noProof/>
          <w:sz w:val="21"/>
          <w:szCs w:val="21"/>
        </w:rPr>
        <w:t>，连续</w:t>
      </w:r>
      <w:r w:rsidRPr="00DD0741">
        <w:rPr>
          <w:rFonts w:ascii="Arial" w:hAnsi="Arial" w:cs="Arial"/>
          <w:noProof/>
          <w:sz w:val="21"/>
          <w:szCs w:val="21"/>
        </w:rPr>
        <w:t>4</w:t>
      </w:r>
      <w:r w:rsidRPr="00DD0741">
        <w:rPr>
          <w:rFonts w:ascii="Arial" w:hAnsi="Arial" w:cs="Arial"/>
          <w:noProof/>
          <w:sz w:val="21"/>
          <w:szCs w:val="21"/>
        </w:rPr>
        <w:t>个月增速保持增长。新增</w:t>
      </w:r>
      <w:r w:rsidRPr="00DD0741">
        <w:rPr>
          <w:rFonts w:ascii="Arial" w:hAnsi="Arial" w:cs="Arial"/>
          <w:noProof/>
          <w:sz w:val="21"/>
          <w:szCs w:val="21"/>
        </w:rPr>
        <w:t>“</w:t>
      </w:r>
      <w:r w:rsidRPr="00DD0741">
        <w:rPr>
          <w:rFonts w:ascii="Arial" w:hAnsi="Arial" w:cs="Arial"/>
          <w:noProof/>
          <w:sz w:val="21"/>
          <w:szCs w:val="21"/>
        </w:rPr>
        <w:t>四上</w:t>
      </w:r>
      <w:r w:rsidRPr="00DD0741">
        <w:rPr>
          <w:rFonts w:ascii="Arial" w:hAnsi="Arial" w:cs="Arial"/>
          <w:noProof/>
          <w:sz w:val="21"/>
          <w:szCs w:val="21"/>
        </w:rPr>
        <w:t>”</w:t>
      </w:r>
      <w:r w:rsidRPr="00DD0741">
        <w:rPr>
          <w:rFonts w:ascii="Arial" w:hAnsi="Arial" w:cs="Arial"/>
          <w:noProof/>
          <w:sz w:val="21"/>
          <w:szCs w:val="21"/>
        </w:rPr>
        <w:t>调查单位</w:t>
      </w:r>
      <w:r w:rsidRPr="00DD0741">
        <w:rPr>
          <w:rFonts w:ascii="Arial" w:hAnsi="Arial" w:cs="Arial"/>
          <w:noProof/>
          <w:sz w:val="21"/>
          <w:szCs w:val="21"/>
        </w:rPr>
        <w:t>3433</w:t>
      </w:r>
      <w:r w:rsidRPr="00DD0741">
        <w:rPr>
          <w:rFonts w:ascii="Arial" w:hAnsi="Arial" w:cs="Arial"/>
          <w:noProof/>
          <w:sz w:val="21"/>
          <w:szCs w:val="21"/>
        </w:rPr>
        <w:t>个。新设立各类市场主体</w:t>
      </w:r>
      <w:r w:rsidRPr="00DD0741">
        <w:rPr>
          <w:rFonts w:ascii="Arial" w:hAnsi="Arial" w:cs="Arial"/>
          <w:noProof/>
          <w:sz w:val="21"/>
          <w:szCs w:val="21"/>
        </w:rPr>
        <w:t>28</w:t>
      </w:r>
      <w:r w:rsidRPr="00DD0741">
        <w:rPr>
          <w:rFonts w:ascii="Arial" w:hAnsi="Arial" w:cs="Arial"/>
          <w:noProof/>
          <w:sz w:val="21"/>
          <w:szCs w:val="21"/>
        </w:rPr>
        <w:t>万户、新设立企业</w:t>
      </w:r>
      <w:r w:rsidRPr="00DD0741">
        <w:rPr>
          <w:rFonts w:ascii="Arial" w:hAnsi="Arial" w:cs="Arial"/>
          <w:noProof/>
          <w:sz w:val="21"/>
          <w:szCs w:val="21"/>
        </w:rPr>
        <w:t>9.53</w:t>
      </w:r>
      <w:r w:rsidRPr="00DD0741">
        <w:rPr>
          <w:rFonts w:ascii="Arial" w:hAnsi="Arial" w:cs="Arial"/>
          <w:noProof/>
          <w:sz w:val="21"/>
          <w:szCs w:val="21"/>
        </w:rPr>
        <w:t>万户。规上民营工业增加值增长</w:t>
      </w:r>
      <w:r w:rsidRPr="00DD0741">
        <w:rPr>
          <w:rFonts w:ascii="Arial" w:hAnsi="Arial" w:cs="Arial"/>
          <w:noProof/>
          <w:sz w:val="21"/>
          <w:szCs w:val="21"/>
        </w:rPr>
        <w:t>22.4%</w:t>
      </w:r>
      <w:r w:rsidRPr="00DD0741">
        <w:rPr>
          <w:rFonts w:ascii="Arial" w:hAnsi="Arial" w:cs="Arial"/>
          <w:noProof/>
          <w:sz w:val="21"/>
          <w:szCs w:val="21"/>
        </w:rPr>
        <w:t>，民间投资增长</w:t>
      </w:r>
      <w:r w:rsidRPr="00DD0741">
        <w:rPr>
          <w:rFonts w:ascii="Arial" w:hAnsi="Arial" w:cs="Arial"/>
          <w:noProof/>
          <w:sz w:val="21"/>
          <w:szCs w:val="21"/>
        </w:rPr>
        <w:t>12.4%</w:t>
      </w:r>
      <w:r w:rsidRPr="00DD0741">
        <w:rPr>
          <w:rFonts w:ascii="Arial" w:hAnsi="Arial" w:cs="Arial"/>
          <w:noProof/>
          <w:sz w:val="21"/>
          <w:szCs w:val="21"/>
        </w:rPr>
        <w:t>。绿色发展成效显著。单位</w:t>
      </w:r>
      <w:r w:rsidRPr="00DD0741">
        <w:rPr>
          <w:rFonts w:ascii="Arial" w:hAnsi="Arial" w:cs="Arial"/>
          <w:noProof/>
          <w:sz w:val="21"/>
          <w:szCs w:val="21"/>
        </w:rPr>
        <w:t>GDP</w:t>
      </w:r>
      <w:r w:rsidRPr="00DD0741">
        <w:rPr>
          <w:rFonts w:ascii="Arial" w:hAnsi="Arial" w:cs="Arial"/>
          <w:noProof/>
          <w:sz w:val="21"/>
          <w:szCs w:val="21"/>
        </w:rPr>
        <w:t>能耗下降</w:t>
      </w:r>
      <w:r w:rsidRPr="00DD0741">
        <w:rPr>
          <w:rFonts w:ascii="Arial" w:hAnsi="Arial" w:cs="Arial"/>
          <w:noProof/>
          <w:sz w:val="21"/>
          <w:szCs w:val="21"/>
        </w:rPr>
        <w:t>3%</w:t>
      </w:r>
      <w:r w:rsidRPr="00DD0741">
        <w:rPr>
          <w:rFonts w:ascii="Arial" w:hAnsi="Arial" w:cs="Arial"/>
          <w:noProof/>
          <w:sz w:val="21"/>
          <w:szCs w:val="21"/>
        </w:rPr>
        <w:t>以上。</w:t>
      </w:r>
      <w:r w:rsidRPr="00DD0741">
        <w:rPr>
          <w:rFonts w:ascii="Arial" w:hAnsi="Arial" w:cs="Arial"/>
          <w:noProof/>
          <w:sz w:val="21"/>
          <w:szCs w:val="21"/>
        </w:rPr>
        <w:t>PM2.5</w:t>
      </w:r>
      <w:r w:rsidRPr="00DD0741">
        <w:rPr>
          <w:rFonts w:ascii="Arial" w:hAnsi="Arial" w:cs="Arial"/>
          <w:noProof/>
          <w:sz w:val="21"/>
          <w:szCs w:val="21"/>
        </w:rPr>
        <w:t>平均浓度全省最低，环境空气优良率</w:t>
      </w:r>
      <w:r w:rsidRPr="00DD0741">
        <w:rPr>
          <w:rFonts w:ascii="Arial" w:hAnsi="Arial" w:cs="Arial"/>
          <w:noProof/>
          <w:sz w:val="21"/>
          <w:szCs w:val="21"/>
        </w:rPr>
        <w:t>83.1%</w:t>
      </w:r>
      <w:r w:rsidRPr="00DD0741">
        <w:rPr>
          <w:rFonts w:ascii="Arial" w:hAnsi="Arial" w:cs="Arial"/>
          <w:noProof/>
          <w:sz w:val="21"/>
          <w:szCs w:val="21"/>
        </w:rPr>
        <w:t>，超过年度目标</w:t>
      </w:r>
      <w:r w:rsidRPr="00DD0741">
        <w:rPr>
          <w:rFonts w:ascii="Arial" w:hAnsi="Arial" w:cs="Arial"/>
          <w:noProof/>
          <w:sz w:val="21"/>
          <w:szCs w:val="21"/>
        </w:rPr>
        <w:t>6.3</w:t>
      </w:r>
      <w:r w:rsidRPr="00DD0741">
        <w:rPr>
          <w:rFonts w:ascii="Arial" w:hAnsi="Arial" w:cs="Arial"/>
          <w:noProof/>
          <w:sz w:val="21"/>
          <w:szCs w:val="21"/>
        </w:rPr>
        <w:t>个百分点。完成</w:t>
      </w:r>
      <w:r w:rsidRPr="00DD0741">
        <w:rPr>
          <w:rFonts w:ascii="Arial" w:hAnsi="Arial" w:cs="Arial"/>
          <w:noProof/>
          <w:sz w:val="21"/>
          <w:szCs w:val="21"/>
        </w:rPr>
        <w:t>31</w:t>
      </w:r>
      <w:r w:rsidRPr="00DD0741">
        <w:rPr>
          <w:rFonts w:ascii="Arial" w:hAnsi="Arial" w:cs="Arial"/>
          <w:noProof/>
          <w:sz w:val="21"/>
          <w:szCs w:val="21"/>
        </w:rPr>
        <w:t>项水环境治理、</w:t>
      </w:r>
      <w:r w:rsidRPr="00DD0741">
        <w:rPr>
          <w:rFonts w:ascii="Arial" w:hAnsi="Arial" w:cs="Arial"/>
          <w:noProof/>
          <w:sz w:val="21"/>
          <w:szCs w:val="21"/>
        </w:rPr>
        <w:t>50</w:t>
      </w:r>
      <w:r w:rsidRPr="00DD0741">
        <w:rPr>
          <w:rFonts w:ascii="Arial" w:hAnsi="Arial" w:cs="Arial"/>
          <w:noProof/>
          <w:sz w:val="21"/>
          <w:szCs w:val="21"/>
        </w:rPr>
        <w:t>公里污水管网新改建等工程，国省考断面和省控入江支流水质均达</w:t>
      </w:r>
      <w:r w:rsidRPr="00DD0741">
        <w:rPr>
          <w:rFonts w:hint="eastAsia"/>
          <w:noProof/>
          <w:sz w:val="21"/>
          <w:szCs w:val="21"/>
        </w:rPr>
        <w:t>Ⅲ</w:t>
      </w:r>
      <w:r w:rsidRPr="00DD0741">
        <w:rPr>
          <w:rFonts w:ascii="Arial" w:hAnsi="Arial" w:cs="Arial"/>
          <w:noProof/>
          <w:sz w:val="21"/>
          <w:szCs w:val="21"/>
        </w:rPr>
        <w:t>类以上。实施造林</w:t>
      </w:r>
      <w:r w:rsidRPr="00DD0741">
        <w:rPr>
          <w:rFonts w:ascii="Arial" w:hAnsi="Arial" w:cs="Arial"/>
          <w:noProof/>
          <w:sz w:val="21"/>
          <w:szCs w:val="21"/>
        </w:rPr>
        <w:t>3.3</w:t>
      </w:r>
      <w:r w:rsidRPr="00DD0741">
        <w:rPr>
          <w:rFonts w:ascii="Arial" w:hAnsi="Arial" w:cs="Arial"/>
          <w:noProof/>
          <w:sz w:val="21"/>
          <w:szCs w:val="21"/>
        </w:rPr>
        <w:t>万亩。民生保障持续加强。保就业成效显著，发放稳岗补贴</w:t>
      </w:r>
      <w:r w:rsidRPr="00DD0741">
        <w:rPr>
          <w:rFonts w:ascii="Arial" w:hAnsi="Arial" w:cs="Arial"/>
          <w:noProof/>
          <w:sz w:val="21"/>
          <w:szCs w:val="21"/>
        </w:rPr>
        <w:t>13.7</w:t>
      </w:r>
      <w:r w:rsidRPr="00DD0741">
        <w:rPr>
          <w:rFonts w:ascii="Arial" w:hAnsi="Arial" w:cs="Arial"/>
          <w:noProof/>
          <w:sz w:val="21"/>
          <w:szCs w:val="21"/>
        </w:rPr>
        <w:t>亿元，开发见习岗位</w:t>
      </w:r>
      <w:r w:rsidRPr="00DD0741">
        <w:rPr>
          <w:rFonts w:ascii="Arial" w:hAnsi="Arial" w:cs="Arial"/>
          <w:noProof/>
          <w:sz w:val="21"/>
          <w:szCs w:val="21"/>
        </w:rPr>
        <w:t>11</w:t>
      </w:r>
      <w:r w:rsidRPr="00DD0741">
        <w:rPr>
          <w:rFonts w:ascii="Arial" w:hAnsi="Arial" w:cs="Arial"/>
          <w:noProof/>
          <w:sz w:val="21"/>
          <w:szCs w:val="21"/>
        </w:rPr>
        <w:lastRenderedPageBreak/>
        <w:t>万个，新增城镇就业人数</w:t>
      </w:r>
      <w:r w:rsidRPr="00DD0741">
        <w:rPr>
          <w:rFonts w:ascii="Arial" w:hAnsi="Arial" w:cs="Arial"/>
          <w:noProof/>
          <w:sz w:val="21"/>
          <w:szCs w:val="21"/>
        </w:rPr>
        <w:t>33</w:t>
      </w:r>
      <w:r w:rsidRPr="00DD0741">
        <w:rPr>
          <w:rFonts w:ascii="Arial" w:hAnsi="Arial" w:cs="Arial"/>
          <w:noProof/>
          <w:sz w:val="21"/>
          <w:szCs w:val="21"/>
        </w:rPr>
        <w:t>万人，完成年度目标的</w:t>
      </w:r>
      <w:r w:rsidRPr="00DD0741">
        <w:rPr>
          <w:rFonts w:ascii="Arial" w:hAnsi="Arial" w:cs="Arial"/>
          <w:noProof/>
          <w:sz w:val="21"/>
          <w:szCs w:val="21"/>
        </w:rPr>
        <w:t>126.9%</w:t>
      </w:r>
      <w:r w:rsidRPr="00DD0741">
        <w:rPr>
          <w:rFonts w:ascii="Arial" w:hAnsi="Arial" w:cs="Arial"/>
          <w:noProof/>
          <w:sz w:val="21"/>
          <w:szCs w:val="21"/>
        </w:rPr>
        <w:t>，新增就业参保大学生</w:t>
      </w:r>
      <w:r w:rsidRPr="00DD0741">
        <w:rPr>
          <w:rFonts w:ascii="Arial" w:hAnsi="Arial" w:cs="Arial"/>
          <w:noProof/>
          <w:sz w:val="21"/>
          <w:szCs w:val="21"/>
        </w:rPr>
        <w:t>40.1</w:t>
      </w:r>
      <w:r w:rsidRPr="00DD0741">
        <w:rPr>
          <w:rFonts w:ascii="Arial" w:hAnsi="Arial" w:cs="Arial"/>
          <w:noProof/>
          <w:sz w:val="21"/>
          <w:szCs w:val="21"/>
        </w:rPr>
        <w:t>万人，城镇登记失业率</w:t>
      </w:r>
      <w:r w:rsidRPr="00DD0741">
        <w:rPr>
          <w:rFonts w:ascii="Arial" w:hAnsi="Arial" w:cs="Arial"/>
          <w:noProof/>
          <w:sz w:val="21"/>
          <w:szCs w:val="21"/>
        </w:rPr>
        <w:t>1.71%</w:t>
      </w:r>
      <w:r w:rsidRPr="00DD0741">
        <w:rPr>
          <w:rFonts w:ascii="Arial" w:hAnsi="Arial" w:cs="Arial"/>
          <w:noProof/>
          <w:sz w:val="21"/>
          <w:szCs w:val="21"/>
        </w:rPr>
        <w:t>。低保标准提高到</w:t>
      </w:r>
      <w:r w:rsidRPr="00DD0741">
        <w:rPr>
          <w:rFonts w:ascii="Arial" w:hAnsi="Arial" w:cs="Arial"/>
          <w:noProof/>
          <w:sz w:val="21"/>
          <w:szCs w:val="21"/>
        </w:rPr>
        <w:t>945</w:t>
      </w:r>
      <w:r w:rsidRPr="00DD0741">
        <w:rPr>
          <w:rFonts w:ascii="Arial" w:hAnsi="Arial" w:cs="Arial"/>
          <w:noProof/>
          <w:sz w:val="21"/>
          <w:szCs w:val="21"/>
        </w:rPr>
        <w:t>元。新开工保障房</w:t>
      </w:r>
      <w:r w:rsidRPr="00DD0741">
        <w:rPr>
          <w:rFonts w:ascii="Arial" w:hAnsi="Arial" w:cs="Arial"/>
          <w:noProof/>
          <w:sz w:val="21"/>
          <w:szCs w:val="21"/>
        </w:rPr>
        <w:t>622</w:t>
      </w:r>
      <w:r w:rsidRPr="00DD0741">
        <w:rPr>
          <w:rFonts w:ascii="Arial" w:hAnsi="Arial" w:cs="Arial"/>
          <w:noProof/>
          <w:sz w:val="21"/>
          <w:szCs w:val="21"/>
        </w:rPr>
        <w:t>万平方米、竣工</w:t>
      </w:r>
      <w:r w:rsidRPr="00DD0741">
        <w:rPr>
          <w:rFonts w:ascii="Arial" w:hAnsi="Arial" w:cs="Arial"/>
          <w:noProof/>
          <w:sz w:val="21"/>
          <w:szCs w:val="21"/>
        </w:rPr>
        <w:t>208</w:t>
      </w:r>
      <w:r w:rsidRPr="00DD0741">
        <w:rPr>
          <w:rFonts w:ascii="Arial" w:hAnsi="Arial" w:cs="Arial"/>
          <w:noProof/>
          <w:sz w:val="21"/>
          <w:szCs w:val="21"/>
        </w:rPr>
        <w:t>万平方米，新改建租赁住房</w:t>
      </w:r>
      <w:r w:rsidRPr="00DD0741">
        <w:rPr>
          <w:rFonts w:ascii="Arial" w:hAnsi="Arial" w:cs="Arial"/>
          <w:noProof/>
          <w:sz w:val="21"/>
          <w:szCs w:val="21"/>
        </w:rPr>
        <w:t>3</w:t>
      </w:r>
      <w:r w:rsidRPr="00DD0741">
        <w:rPr>
          <w:rFonts w:ascii="Arial" w:hAnsi="Arial" w:cs="Arial"/>
          <w:noProof/>
          <w:sz w:val="21"/>
          <w:szCs w:val="21"/>
        </w:rPr>
        <w:t>万套。教育现代化水平连续五年全省第一，公立医院改革获国务院通报表扬。</w:t>
      </w:r>
    </w:p>
    <w:p w14:paraId="23D4DEBA" w14:textId="1EDCB7CD" w:rsidR="00C01AA7" w:rsidRPr="00E05368" w:rsidRDefault="00DD0741" w:rsidP="00DD0741">
      <w:pPr>
        <w:widowControl w:val="0"/>
        <w:adjustRightInd w:val="0"/>
        <w:snapToGrid w:val="0"/>
        <w:spacing w:line="480" w:lineRule="auto"/>
        <w:ind w:firstLineChars="200" w:firstLine="420"/>
        <w:jc w:val="both"/>
        <w:rPr>
          <w:rFonts w:ascii="Arial" w:hAnsi="Arial" w:cs="Arial"/>
          <w:noProof/>
          <w:sz w:val="21"/>
          <w:szCs w:val="21"/>
        </w:rPr>
      </w:pPr>
      <w:r w:rsidRPr="00DD0741">
        <w:rPr>
          <w:rFonts w:ascii="Arial" w:hAnsi="Arial" w:cs="Arial"/>
          <w:noProof/>
          <w:sz w:val="21"/>
          <w:szCs w:val="21"/>
        </w:rPr>
        <w:t>2021</w:t>
      </w:r>
      <w:r w:rsidRPr="00DD0741">
        <w:rPr>
          <w:rFonts w:ascii="Arial" w:hAnsi="Arial" w:cs="Arial"/>
          <w:noProof/>
          <w:sz w:val="21"/>
          <w:szCs w:val="21"/>
        </w:rPr>
        <w:t>年是</w:t>
      </w:r>
      <w:r w:rsidRPr="00DD0741">
        <w:rPr>
          <w:rFonts w:ascii="Arial" w:hAnsi="Arial" w:cs="Arial"/>
          <w:noProof/>
          <w:sz w:val="21"/>
          <w:szCs w:val="21"/>
        </w:rPr>
        <w:t>“</w:t>
      </w:r>
      <w:r w:rsidRPr="00DD0741">
        <w:rPr>
          <w:rFonts w:ascii="Arial" w:hAnsi="Arial" w:cs="Arial"/>
          <w:noProof/>
          <w:sz w:val="21"/>
          <w:szCs w:val="21"/>
        </w:rPr>
        <w:t>十四五</w:t>
      </w:r>
      <w:r w:rsidRPr="00DD0741">
        <w:rPr>
          <w:rFonts w:ascii="Arial" w:hAnsi="Arial" w:cs="Arial"/>
          <w:noProof/>
          <w:sz w:val="21"/>
          <w:szCs w:val="21"/>
        </w:rPr>
        <w:t>”</w:t>
      </w:r>
      <w:r w:rsidRPr="00DD0741">
        <w:rPr>
          <w:rFonts w:ascii="Arial" w:hAnsi="Arial" w:cs="Arial"/>
          <w:noProof/>
          <w:sz w:val="21"/>
          <w:szCs w:val="21"/>
        </w:rPr>
        <w:t>规划的第一年，也是开启全面建设社会主义现代化国家新征程的起步之年，全市上下将以习近平新时代中国特色社会主义思想为指引，认真贯彻落实党的十九届五中全会精神以及省委省政府决策部署，在常态化疫情防控前提下，以高质量发展为主题，坚持目标导向、问题导向，积极融入以国内大循环为主、国内国际双循环相互促进的新发展格局，扎实做好</w:t>
      </w:r>
      <w:r w:rsidRPr="00DD0741">
        <w:rPr>
          <w:rFonts w:ascii="Arial" w:hAnsi="Arial" w:cs="Arial"/>
          <w:noProof/>
          <w:sz w:val="21"/>
          <w:szCs w:val="21"/>
        </w:rPr>
        <w:t>“</w:t>
      </w:r>
      <w:r w:rsidRPr="00DD0741">
        <w:rPr>
          <w:rFonts w:ascii="Arial" w:hAnsi="Arial" w:cs="Arial"/>
          <w:noProof/>
          <w:sz w:val="21"/>
          <w:szCs w:val="21"/>
        </w:rPr>
        <w:t>六稳</w:t>
      </w:r>
      <w:r w:rsidRPr="00DD0741">
        <w:rPr>
          <w:rFonts w:ascii="Arial" w:hAnsi="Arial" w:cs="Arial"/>
          <w:noProof/>
          <w:sz w:val="21"/>
          <w:szCs w:val="21"/>
        </w:rPr>
        <w:t>”“</w:t>
      </w:r>
      <w:r w:rsidRPr="00DD0741">
        <w:rPr>
          <w:rFonts w:ascii="Arial" w:hAnsi="Arial" w:cs="Arial"/>
          <w:noProof/>
          <w:sz w:val="21"/>
          <w:szCs w:val="21"/>
        </w:rPr>
        <w:t>六保</w:t>
      </w:r>
      <w:r w:rsidRPr="00DD0741">
        <w:rPr>
          <w:rFonts w:ascii="Arial" w:hAnsi="Arial" w:cs="Arial"/>
          <w:noProof/>
          <w:sz w:val="21"/>
          <w:szCs w:val="21"/>
        </w:rPr>
        <w:t>”</w:t>
      </w:r>
      <w:r w:rsidRPr="00DD0741">
        <w:rPr>
          <w:rFonts w:ascii="Arial" w:hAnsi="Arial" w:cs="Arial"/>
          <w:noProof/>
          <w:sz w:val="21"/>
          <w:szCs w:val="21"/>
        </w:rPr>
        <w:t>工作，统筹推进促发展、抓创新、扩内需、保稳定等各项措施，努力保持经济运行在合理区间，着力提升发展的质量和效益，确保</w:t>
      </w:r>
      <w:r w:rsidRPr="00DD0741">
        <w:rPr>
          <w:rFonts w:ascii="Arial" w:hAnsi="Arial" w:cs="Arial"/>
          <w:noProof/>
          <w:sz w:val="21"/>
          <w:szCs w:val="21"/>
        </w:rPr>
        <w:t>“</w:t>
      </w:r>
      <w:r w:rsidRPr="00DD0741">
        <w:rPr>
          <w:rFonts w:ascii="Arial" w:hAnsi="Arial" w:cs="Arial"/>
          <w:noProof/>
          <w:sz w:val="21"/>
          <w:szCs w:val="21"/>
        </w:rPr>
        <w:t>十四五</w:t>
      </w:r>
      <w:r w:rsidRPr="00DD0741">
        <w:rPr>
          <w:rFonts w:ascii="Arial" w:hAnsi="Arial" w:cs="Arial"/>
          <w:noProof/>
          <w:sz w:val="21"/>
          <w:szCs w:val="21"/>
        </w:rPr>
        <w:t>”</w:t>
      </w:r>
      <w:r w:rsidRPr="00DD0741">
        <w:rPr>
          <w:rFonts w:ascii="Arial" w:hAnsi="Arial" w:cs="Arial"/>
          <w:noProof/>
          <w:sz w:val="21"/>
          <w:szCs w:val="21"/>
        </w:rPr>
        <w:t>开好局、起好步，以实在的发展成效践行</w:t>
      </w:r>
      <w:r w:rsidRPr="00DD0741">
        <w:rPr>
          <w:rFonts w:ascii="Arial" w:hAnsi="Arial" w:cs="Arial" w:hint="eastAsia"/>
          <w:noProof/>
          <w:sz w:val="21"/>
          <w:szCs w:val="21"/>
        </w:rPr>
        <w:t>省会城市“争当表率、争做示范、走在前列”的使命担当。</w:t>
      </w:r>
    </w:p>
    <w:p w14:paraId="38713FB7" w14:textId="7266F7C9" w:rsidR="00C01AA7" w:rsidRPr="00E05368" w:rsidRDefault="001B058A" w:rsidP="00C01AA7">
      <w:pPr>
        <w:pStyle w:val="af1"/>
        <w:widowControl w:val="0"/>
        <w:numPr>
          <w:ilvl w:val="0"/>
          <w:numId w:val="13"/>
        </w:numPr>
        <w:adjustRightInd w:val="0"/>
        <w:snapToGrid w:val="0"/>
        <w:spacing w:line="480" w:lineRule="auto"/>
        <w:ind w:firstLineChars="0"/>
        <w:jc w:val="both"/>
        <w:rPr>
          <w:rFonts w:ascii="Arial" w:hAnsi="Arial" w:cs="Arial"/>
          <w:noProof/>
          <w:sz w:val="21"/>
          <w:szCs w:val="21"/>
        </w:rPr>
      </w:pPr>
      <w:r>
        <w:rPr>
          <w:rFonts w:ascii="Arial" w:hAnsi="Arial" w:cs="Arial" w:hint="eastAsia"/>
          <w:noProof/>
          <w:sz w:val="21"/>
          <w:szCs w:val="21"/>
        </w:rPr>
        <w:t>2021</w:t>
      </w:r>
      <w:r w:rsidR="00C01AA7" w:rsidRPr="00E05368">
        <w:rPr>
          <w:rFonts w:ascii="Arial" w:hAnsi="Arial" w:cs="Arial" w:hint="eastAsia"/>
          <w:noProof/>
          <w:sz w:val="21"/>
          <w:szCs w:val="21"/>
        </w:rPr>
        <w:t>年</w:t>
      </w:r>
      <w:r>
        <w:rPr>
          <w:rFonts w:ascii="Arial" w:hAnsi="Arial" w:cs="Arial" w:hint="eastAsia"/>
          <w:noProof/>
          <w:sz w:val="21"/>
          <w:szCs w:val="21"/>
        </w:rPr>
        <w:t>1</w:t>
      </w:r>
      <w:r>
        <w:rPr>
          <w:rFonts w:ascii="Arial" w:hAnsi="Arial" w:cs="Arial" w:hint="eastAsia"/>
          <w:noProof/>
          <w:sz w:val="21"/>
          <w:szCs w:val="21"/>
        </w:rPr>
        <w:t>季度</w:t>
      </w:r>
    </w:p>
    <w:p w14:paraId="6BA62785" w14:textId="4F4FC339" w:rsidR="00C01AA7" w:rsidRPr="00990644" w:rsidRDefault="001B058A" w:rsidP="00C01AA7">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2021</w:t>
      </w:r>
      <w:r w:rsidR="00C01AA7">
        <w:rPr>
          <w:rFonts w:ascii="Arial" w:hAnsi="Arial" w:cs="Arial" w:hint="eastAsia"/>
          <w:noProof/>
          <w:sz w:val="21"/>
          <w:szCs w:val="21"/>
        </w:rPr>
        <w:t>年</w:t>
      </w:r>
      <w:r>
        <w:rPr>
          <w:rFonts w:ascii="Arial" w:hAnsi="Arial" w:cs="Arial" w:hint="eastAsia"/>
          <w:noProof/>
          <w:sz w:val="21"/>
          <w:szCs w:val="21"/>
        </w:rPr>
        <w:t>1</w:t>
      </w:r>
      <w:r>
        <w:rPr>
          <w:rFonts w:ascii="Arial" w:hAnsi="Arial" w:cs="Arial" w:hint="eastAsia"/>
          <w:noProof/>
          <w:sz w:val="21"/>
          <w:szCs w:val="21"/>
        </w:rPr>
        <w:t>季度</w:t>
      </w:r>
      <w:r w:rsidR="00C01AA7">
        <w:rPr>
          <w:rFonts w:ascii="Arial" w:hAnsi="Arial" w:cs="Arial"/>
          <w:noProof/>
          <w:sz w:val="21"/>
          <w:szCs w:val="21"/>
        </w:rPr>
        <w:t>，</w:t>
      </w:r>
      <w:r>
        <w:rPr>
          <w:rFonts w:ascii="Arial" w:hAnsi="Arial" w:cs="Arial" w:hint="eastAsia"/>
          <w:noProof/>
          <w:sz w:val="21"/>
          <w:szCs w:val="21"/>
        </w:rPr>
        <w:t>南京</w:t>
      </w:r>
      <w:r w:rsidR="00C01AA7" w:rsidRPr="00990644">
        <w:rPr>
          <w:rFonts w:ascii="Arial" w:hAnsi="Arial" w:cs="Arial"/>
          <w:noProof/>
          <w:sz w:val="21"/>
          <w:szCs w:val="21"/>
        </w:rPr>
        <w:t>市宏观经济运行情况如下：</w:t>
      </w:r>
    </w:p>
    <w:p w14:paraId="5C247E72" w14:textId="77777777" w:rsidR="001B058A" w:rsidRPr="001B058A" w:rsidRDefault="001B058A" w:rsidP="001B058A">
      <w:pPr>
        <w:widowControl w:val="0"/>
        <w:adjustRightInd w:val="0"/>
        <w:snapToGrid w:val="0"/>
        <w:spacing w:line="480" w:lineRule="auto"/>
        <w:ind w:firstLineChars="200" w:firstLine="420"/>
        <w:jc w:val="both"/>
        <w:rPr>
          <w:rFonts w:ascii="Arial" w:hAnsi="Arial" w:cs="Arial"/>
          <w:noProof/>
          <w:sz w:val="21"/>
          <w:szCs w:val="21"/>
        </w:rPr>
      </w:pPr>
      <w:r w:rsidRPr="001B058A">
        <w:rPr>
          <w:rFonts w:ascii="Arial" w:hAnsi="Arial" w:cs="Arial" w:hint="eastAsia"/>
          <w:noProof/>
          <w:sz w:val="21"/>
          <w:szCs w:val="21"/>
        </w:rPr>
        <w:t>根据地区生产总值统一核算结果，</w:t>
      </w:r>
      <w:r w:rsidRPr="001B058A">
        <w:rPr>
          <w:rFonts w:ascii="Arial" w:hAnsi="Arial" w:cs="Arial"/>
          <w:noProof/>
          <w:sz w:val="21"/>
          <w:szCs w:val="21"/>
        </w:rPr>
        <w:t>2021</w:t>
      </w:r>
      <w:r w:rsidRPr="001B058A">
        <w:rPr>
          <w:rFonts w:ascii="Arial" w:hAnsi="Arial" w:cs="Arial"/>
          <w:noProof/>
          <w:sz w:val="21"/>
          <w:szCs w:val="21"/>
        </w:rPr>
        <w:t>年一季度全市地区生产总值为</w:t>
      </w:r>
      <w:r w:rsidRPr="001B058A">
        <w:rPr>
          <w:rFonts w:ascii="Arial" w:hAnsi="Arial" w:cs="Arial"/>
          <w:noProof/>
          <w:sz w:val="21"/>
          <w:szCs w:val="21"/>
        </w:rPr>
        <w:t>3824.36</w:t>
      </w:r>
      <w:r w:rsidRPr="001B058A">
        <w:rPr>
          <w:rFonts w:ascii="Arial" w:hAnsi="Arial" w:cs="Arial"/>
          <w:noProof/>
          <w:sz w:val="21"/>
          <w:szCs w:val="21"/>
        </w:rPr>
        <w:t>亿元，同比增长</w:t>
      </w:r>
      <w:r w:rsidRPr="001B058A">
        <w:rPr>
          <w:rFonts w:ascii="Arial" w:hAnsi="Arial" w:cs="Arial"/>
          <w:noProof/>
          <w:sz w:val="21"/>
          <w:szCs w:val="21"/>
        </w:rPr>
        <w:t>16.0%</w:t>
      </w:r>
      <w:r w:rsidRPr="001B058A">
        <w:rPr>
          <w:rFonts w:ascii="Arial" w:hAnsi="Arial" w:cs="Arial"/>
          <w:noProof/>
          <w:sz w:val="21"/>
          <w:szCs w:val="21"/>
        </w:rPr>
        <w:t>，</w:t>
      </w:r>
      <w:r w:rsidRPr="001B058A">
        <w:rPr>
          <w:rFonts w:ascii="Arial" w:hAnsi="Arial" w:cs="Arial"/>
          <w:noProof/>
          <w:sz w:val="21"/>
          <w:szCs w:val="21"/>
        </w:rPr>
        <w:t>2020</w:t>
      </w:r>
      <w:r w:rsidRPr="001B058A">
        <w:rPr>
          <w:rFonts w:ascii="Arial" w:hAnsi="Arial" w:cs="Arial"/>
          <w:noProof/>
          <w:sz w:val="21"/>
          <w:szCs w:val="21"/>
        </w:rPr>
        <w:t>年、</w:t>
      </w:r>
      <w:r w:rsidRPr="001B058A">
        <w:rPr>
          <w:rFonts w:ascii="Arial" w:hAnsi="Arial" w:cs="Arial"/>
          <w:noProof/>
          <w:sz w:val="21"/>
          <w:szCs w:val="21"/>
        </w:rPr>
        <w:t>2021</w:t>
      </w:r>
      <w:r w:rsidRPr="001B058A">
        <w:rPr>
          <w:rFonts w:ascii="Arial" w:hAnsi="Arial" w:cs="Arial"/>
          <w:noProof/>
          <w:sz w:val="21"/>
          <w:szCs w:val="21"/>
        </w:rPr>
        <w:t>年两年一季度平均增长</w:t>
      </w:r>
      <w:r w:rsidRPr="001B058A">
        <w:rPr>
          <w:rFonts w:ascii="Arial" w:hAnsi="Arial" w:cs="Arial"/>
          <w:noProof/>
          <w:sz w:val="21"/>
          <w:szCs w:val="21"/>
        </w:rPr>
        <w:t>8.6%</w:t>
      </w:r>
      <w:r w:rsidRPr="001B058A">
        <w:rPr>
          <w:rFonts w:ascii="Arial" w:hAnsi="Arial" w:cs="Arial"/>
          <w:noProof/>
          <w:sz w:val="21"/>
          <w:szCs w:val="21"/>
        </w:rPr>
        <w:t>，为</w:t>
      </w:r>
      <w:r w:rsidRPr="001B058A">
        <w:rPr>
          <w:rFonts w:ascii="Arial" w:hAnsi="Arial" w:cs="Arial"/>
          <w:noProof/>
          <w:sz w:val="21"/>
          <w:szCs w:val="21"/>
        </w:rPr>
        <w:t>2016</w:t>
      </w:r>
      <w:r w:rsidRPr="001B058A">
        <w:rPr>
          <w:rFonts w:ascii="Arial" w:hAnsi="Arial" w:cs="Arial"/>
          <w:noProof/>
          <w:sz w:val="21"/>
          <w:szCs w:val="21"/>
        </w:rPr>
        <w:t>年第</w:t>
      </w:r>
      <w:r w:rsidRPr="001B058A">
        <w:rPr>
          <w:rFonts w:ascii="Arial" w:hAnsi="Arial" w:cs="Arial"/>
          <w:noProof/>
          <w:sz w:val="21"/>
          <w:szCs w:val="21"/>
        </w:rPr>
        <w:t>1</w:t>
      </w:r>
      <w:r w:rsidRPr="001B058A">
        <w:rPr>
          <w:rFonts w:ascii="Arial" w:hAnsi="Arial" w:cs="Arial"/>
          <w:noProof/>
          <w:sz w:val="21"/>
          <w:szCs w:val="21"/>
        </w:rPr>
        <w:t>季度以来最高水平。分产业看，第一产业增加值为</w:t>
      </w:r>
      <w:r w:rsidRPr="001B058A">
        <w:rPr>
          <w:rFonts w:ascii="Arial" w:hAnsi="Arial" w:cs="Arial"/>
          <w:noProof/>
          <w:sz w:val="21"/>
          <w:szCs w:val="21"/>
        </w:rPr>
        <w:t>42.64</w:t>
      </w:r>
      <w:r w:rsidRPr="001B058A">
        <w:rPr>
          <w:rFonts w:ascii="Arial" w:hAnsi="Arial" w:cs="Arial"/>
          <w:noProof/>
          <w:sz w:val="21"/>
          <w:szCs w:val="21"/>
        </w:rPr>
        <w:t>亿元，同比增长</w:t>
      </w:r>
      <w:r w:rsidRPr="001B058A">
        <w:rPr>
          <w:rFonts w:ascii="Arial" w:hAnsi="Arial" w:cs="Arial"/>
          <w:noProof/>
          <w:sz w:val="21"/>
          <w:szCs w:val="21"/>
        </w:rPr>
        <w:t>0.1%</w:t>
      </w:r>
      <w:r w:rsidRPr="001B058A">
        <w:rPr>
          <w:rFonts w:ascii="Arial" w:hAnsi="Arial" w:cs="Arial"/>
          <w:noProof/>
          <w:sz w:val="21"/>
          <w:szCs w:val="21"/>
        </w:rPr>
        <w:t>；第二产业增加值为</w:t>
      </w:r>
      <w:r w:rsidRPr="001B058A">
        <w:rPr>
          <w:rFonts w:ascii="Arial" w:hAnsi="Arial" w:cs="Arial"/>
          <w:noProof/>
          <w:sz w:val="21"/>
          <w:szCs w:val="21"/>
        </w:rPr>
        <w:t>1251.08</w:t>
      </w:r>
      <w:r w:rsidRPr="001B058A">
        <w:rPr>
          <w:rFonts w:ascii="Arial" w:hAnsi="Arial" w:cs="Arial"/>
          <w:noProof/>
          <w:sz w:val="21"/>
          <w:szCs w:val="21"/>
        </w:rPr>
        <w:t>亿元，同比增长</w:t>
      </w:r>
      <w:r w:rsidRPr="001B058A">
        <w:rPr>
          <w:rFonts w:ascii="Arial" w:hAnsi="Arial" w:cs="Arial"/>
          <w:noProof/>
          <w:sz w:val="21"/>
          <w:szCs w:val="21"/>
        </w:rPr>
        <w:t>17.6%</w:t>
      </w:r>
      <w:r w:rsidRPr="001B058A">
        <w:rPr>
          <w:rFonts w:ascii="Arial" w:hAnsi="Arial" w:cs="Arial"/>
          <w:noProof/>
          <w:sz w:val="21"/>
          <w:szCs w:val="21"/>
        </w:rPr>
        <w:t>；第三产业增加值</w:t>
      </w:r>
      <w:r w:rsidRPr="001B058A">
        <w:rPr>
          <w:rFonts w:ascii="Arial" w:hAnsi="Arial" w:cs="Arial"/>
          <w:noProof/>
          <w:sz w:val="21"/>
          <w:szCs w:val="21"/>
        </w:rPr>
        <w:t>2530.64</w:t>
      </w:r>
      <w:r w:rsidRPr="001B058A">
        <w:rPr>
          <w:rFonts w:ascii="Arial" w:hAnsi="Arial" w:cs="Arial"/>
          <w:noProof/>
          <w:sz w:val="21"/>
          <w:szCs w:val="21"/>
        </w:rPr>
        <w:t>亿元，同比增长</w:t>
      </w:r>
      <w:r w:rsidRPr="001B058A">
        <w:rPr>
          <w:rFonts w:ascii="Arial" w:hAnsi="Arial" w:cs="Arial"/>
          <w:noProof/>
          <w:sz w:val="21"/>
          <w:szCs w:val="21"/>
        </w:rPr>
        <w:t>15.5%</w:t>
      </w:r>
      <w:r w:rsidRPr="001B058A">
        <w:rPr>
          <w:rFonts w:ascii="Arial" w:hAnsi="Arial" w:cs="Arial"/>
          <w:noProof/>
          <w:sz w:val="21"/>
          <w:szCs w:val="21"/>
        </w:rPr>
        <w:t>。</w:t>
      </w:r>
    </w:p>
    <w:p w14:paraId="34C691A3" w14:textId="01AF3B87" w:rsidR="001B058A" w:rsidRPr="001B058A" w:rsidRDefault="001B058A" w:rsidP="001B058A">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1.</w:t>
      </w:r>
      <w:r w:rsidRPr="001B058A">
        <w:rPr>
          <w:rFonts w:ascii="Arial" w:hAnsi="Arial" w:cs="Arial" w:hint="eastAsia"/>
          <w:noProof/>
          <w:sz w:val="21"/>
          <w:szCs w:val="21"/>
        </w:rPr>
        <w:t>复苏势头强劲，发展韧性持续提升</w:t>
      </w:r>
    </w:p>
    <w:p w14:paraId="3566ADCC" w14:textId="442A77E3" w:rsidR="001B058A" w:rsidRPr="001B058A" w:rsidRDefault="001B058A" w:rsidP="001B058A">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w:t>
      </w:r>
      <w:r>
        <w:rPr>
          <w:rFonts w:ascii="Arial" w:hAnsi="Arial" w:cs="Arial" w:hint="eastAsia"/>
          <w:noProof/>
          <w:sz w:val="21"/>
          <w:szCs w:val="21"/>
        </w:rPr>
        <w:t>1</w:t>
      </w:r>
      <w:r>
        <w:rPr>
          <w:rFonts w:ascii="Arial" w:hAnsi="Arial" w:cs="Arial" w:hint="eastAsia"/>
          <w:noProof/>
          <w:sz w:val="21"/>
          <w:szCs w:val="21"/>
        </w:rPr>
        <w:t>）</w:t>
      </w:r>
      <w:r w:rsidRPr="001B058A">
        <w:rPr>
          <w:rFonts w:ascii="Arial" w:hAnsi="Arial" w:cs="Arial" w:hint="eastAsia"/>
          <w:noProof/>
          <w:sz w:val="21"/>
          <w:szCs w:val="21"/>
        </w:rPr>
        <w:t>产业发展稳中加固。工业生产稳定增长。一季度，全市规模以上工业增加值</w:t>
      </w:r>
      <w:r w:rsidRPr="001B058A">
        <w:rPr>
          <w:rFonts w:ascii="Arial" w:hAnsi="Arial" w:cs="Arial"/>
          <w:noProof/>
          <w:sz w:val="21"/>
          <w:szCs w:val="21"/>
        </w:rPr>
        <w:t>813.51</w:t>
      </w:r>
      <w:r w:rsidRPr="001B058A">
        <w:rPr>
          <w:rFonts w:ascii="Arial" w:hAnsi="Arial" w:cs="Arial"/>
          <w:noProof/>
          <w:sz w:val="21"/>
          <w:szCs w:val="21"/>
        </w:rPr>
        <w:t>亿元，同比增长</w:t>
      </w:r>
      <w:r w:rsidRPr="001B058A">
        <w:rPr>
          <w:rFonts w:ascii="Arial" w:hAnsi="Arial" w:cs="Arial"/>
          <w:noProof/>
          <w:sz w:val="21"/>
          <w:szCs w:val="21"/>
        </w:rPr>
        <w:t>19.8%</w:t>
      </w:r>
      <w:r w:rsidRPr="001B058A">
        <w:rPr>
          <w:rFonts w:ascii="Arial" w:hAnsi="Arial" w:cs="Arial"/>
          <w:noProof/>
          <w:sz w:val="21"/>
          <w:szCs w:val="21"/>
        </w:rPr>
        <w:t>，两年平均增长</w:t>
      </w:r>
      <w:r w:rsidRPr="001B058A">
        <w:rPr>
          <w:rFonts w:ascii="Arial" w:hAnsi="Arial" w:cs="Arial"/>
          <w:noProof/>
          <w:sz w:val="21"/>
          <w:szCs w:val="21"/>
        </w:rPr>
        <w:t>10.3%</w:t>
      </w:r>
      <w:r w:rsidRPr="001B058A">
        <w:rPr>
          <w:rFonts w:ascii="Arial" w:hAnsi="Arial" w:cs="Arial"/>
          <w:noProof/>
          <w:sz w:val="21"/>
          <w:szCs w:val="21"/>
        </w:rPr>
        <w:t>。</w:t>
      </w:r>
      <w:r w:rsidRPr="001B058A">
        <w:rPr>
          <w:rFonts w:ascii="Arial" w:hAnsi="Arial" w:cs="Arial"/>
          <w:noProof/>
          <w:sz w:val="21"/>
          <w:szCs w:val="21"/>
        </w:rPr>
        <w:t>36</w:t>
      </w:r>
      <w:r w:rsidRPr="001B058A">
        <w:rPr>
          <w:rFonts w:ascii="Arial" w:hAnsi="Arial" w:cs="Arial"/>
          <w:noProof/>
          <w:sz w:val="21"/>
          <w:szCs w:val="21"/>
        </w:rPr>
        <w:t>个大类行业中有</w:t>
      </w:r>
      <w:r w:rsidRPr="001B058A">
        <w:rPr>
          <w:rFonts w:ascii="Arial" w:hAnsi="Arial" w:cs="Arial"/>
          <w:noProof/>
          <w:sz w:val="21"/>
          <w:szCs w:val="21"/>
        </w:rPr>
        <w:t>33</w:t>
      </w:r>
      <w:r w:rsidRPr="001B058A">
        <w:rPr>
          <w:rFonts w:ascii="Arial" w:hAnsi="Arial" w:cs="Arial"/>
          <w:noProof/>
          <w:sz w:val="21"/>
          <w:szCs w:val="21"/>
        </w:rPr>
        <w:t>个行业增加值增长，行业增长面</w:t>
      </w:r>
      <w:r w:rsidRPr="001B058A">
        <w:rPr>
          <w:rFonts w:ascii="Arial" w:hAnsi="Arial" w:cs="Arial"/>
          <w:noProof/>
          <w:sz w:val="21"/>
          <w:szCs w:val="21"/>
        </w:rPr>
        <w:t>91.7%</w:t>
      </w:r>
      <w:r w:rsidRPr="001B058A">
        <w:rPr>
          <w:rFonts w:ascii="Arial" w:hAnsi="Arial" w:cs="Arial"/>
          <w:noProof/>
          <w:sz w:val="21"/>
          <w:szCs w:val="21"/>
        </w:rPr>
        <w:t>。列统的</w:t>
      </w:r>
      <w:r w:rsidRPr="001B058A">
        <w:rPr>
          <w:rFonts w:ascii="Arial" w:hAnsi="Arial" w:cs="Arial"/>
          <w:noProof/>
          <w:sz w:val="21"/>
          <w:szCs w:val="21"/>
        </w:rPr>
        <w:t>268</w:t>
      </w:r>
      <w:r w:rsidRPr="001B058A">
        <w:rPr>
          <w:rFonts w:ascii="Arial" w:hAnsi="Arial" w:cs="Arial"/>
          <w:noProof/>
          <w:sz w:val="21"/>
          <w:szCs w:val="21"/>
        </w:rPr>
        <w:t>种工业产品中有</w:t>
      </w:r>
      <w:r w:rsidRPr="001B058A">
        <w:rPr>
          <w:rFonts w:ascii="Arial" w:hAnsi="Arial" w:cs="Arial"/>
          <w:noProof/>
          <w:sz w:val="21"/>
          <w:szCs w:val="21"/>
        </w:rPr>
        <w:t>215</w:t>
      </w:r>
      <w:r w:rsidRPr="001B058A">
        <w:rPr>
          <w:rFonts w:ascii="Arial" w:hAnsi="Arial" w:cs="Arial"/>
          <w:noProof/>
          <w:sz w:val="21"/>
          <w:szCs w:val="21"/>
        </w:rPr>
        <w:t>种产品产量同比增长，增长面</w:t>
      </w:r>
      <w:r w:rsidRPr="001B058A">
        <w:rPr>
          <w:rFonts w:ascii="Arial" w:hAnsi="Arial" w:cs="Arial"/>
          <w:noProof/>
          <w:sz w:val="21"/>
          <w:szCs w:val="21"/>
        </w:rPr>
        <w:t>80.2%</w:t>
      </w:r>
      <w:r w:rsidRPr="001B058A">
        <w:rPr>
          <w:rFonts w:ascii="Arial" w:hAnsi="Arial" w:cs="Arial"/>
          <w:noProof/>
          <w:sz w:val="21"/>
          <w:szCs w:val="21"/>
        </w:rPr>
        <w:t>。服务业快速恢复。一季度，全市规模以上服务业营业收入</w:t>
      </w:r>
      <w:r w:rsidRPr="001B058A">
        <w:rPr>
          <w:rFonts w:ascii="Arial" w:hAnsi="Arial" w:cs="Arial"/>
          <w:noProof/>
          <w:sz w:val="21"/>
          <w:szCs w:val="21"/>
        </w:rPr>
        <w:t>1606.72</w:t>
      </w:r>
      <w:r w:rsidRPr="001B058A">
        <w:rPr>
          <w:rFonts w:ascii="Arial" w:hAnsi="Arial" w:cs="Arial"/>
          <w:noProof/>
          <w:sz w:val="21"/>
          <w:szCs w:val="21"/>
        </w:rPr>
        <w:t>亿元，同比增长</w:t>
      </w:r>
      <w:r w:rsidRPr="001B058A">
        <w:rPr>
          <w:rFonts w:ascii="Arial" w:hAnsi="Arial" w:cs="Arial"/>
          <w:noProof/>
          <w:sz w:val="21"/>
          <w:szCs w:val="21"/>
        </w:rPr>
        <w:t>42.9%</w:t>
      </w:r>
      <w:r w:rsidRPr="001B058A">
        <w:rPr>
          <w:rFonts w:ascii="Arial" w:hAnsi="Arial" w:cs="Arial"/>
          <w:noProof/>
          <w:sz w:val="21"/>
          <w:szCs w:val="21"/>
        </w:rPr>
        <w:t>，两年平均增长</w:t>
      </w:r>
      <w:r w:rsidRPr="001B058A">
        <w:rPr>
          <w:rFonts w:ascii="Arial" w:hAnsi="Arial" w:cs="Arial"/>
          <w:noProof/>
          <w:sz w:val="21"/>
          <w:szCs w:val="21"/>
        </w:rPr>
        <w:t>13%</w:t>
      </w:r>
      <w:r w:rsidRPr="001B058A">
        <w:rPr>
          <w:rFonts w:ascii="Arial" w:hAnsi="Arial" w:cs="Arial"/>
          <w:noProof/>
          <w:sz w:val="21"/>
          <w:szCs w:val="21"/>
        </w:rPr>
        <w:t>。规上服务业十大行业门类中有九个行业实现两位数增长，前期受疫情影响大的文化体育和娱乐业、交通运输仓储和邮政业、租赁和商务服务业以及居民服务</w:t>
      </w:r>
      <w:r w:rsidRPr="001B058A">
        <w:rPr>
          <w:rFonts w:ascii="Arial" w:hAnsi="Arial" w:cs="Arial" w:hint="eastAsia"/>
          <w:noProof/>
          <w:sz w:val="21"/>
          <w:szCs w:val="21"/>
        </w:rPr>
        <w:t>修理和其他服务业四个行业门类大幅回升，营业收入同比分别增长</w:t>
      </w:r>
      <w:r w:rsidRPr="001B058A">
        <w:rPr>
          <w:rFonts w:ascii="Arial" w:hAnsi="Arial" w:cs="Arial"/>
          <w:noProof/>
          <w:sz w:val="21"/>
          <w:szCs w:val="21"/>
        </w:rPr>
        <w:t>55.3%</w:t>
      </w:r>
      <w:r w:rsidRPr="001B058A">
        <w:rPr>
          <w:rFonts w:ascii="Arial" w:hAnsi="Arial" w:cs="Arial"/>
          <w:noProof/>
          <w:sz w:val="21"/>
          <w:szCs w:val="21"/>
        </w:rPr>
        <w:t>、</w:t>
      </w:r>
      <w:r w:rsidRPr="001B058A">
        <w:rPr>
          <w:rFonts w:ascii="Arial" w:hAnsi="Arial" w:cs="Arial"/>
          <w:noProof/>
          <w:sz w:val="21"/>
          <w:szCs w:val="21"/>
        </w:rPr>
        <w:t>72.7%</w:t>
      </w:r>
      <w:r w:rsidRPr="001B058A">
        <w:rPr>
          <w:rFonts w:ascii="Arial" w:hAnsi="Arial" w:cs="Arial"/>
          <w:noProof/>
          <w:sz w:val="21"/>
          <w:szCs w:val="21"/>
        </w:rPr>
        <w:t>、</w:t>
      </w:r>
      <w:r w:rsidRPr="001B058A">
        <w:rPr>
          <w:rFonts w:ascii="Arial" w:hAnsi="Arial" w:cs="Arial"/>
          <w:noProof/>
          <w:sz w:val="21"/>
          <w:szCs w:val="21"/>
        </w:rPr>
        <w:t>29.4%</w:t>
      </w:r>
      <w:r w:rsidRPr="001B058A">
        <w:rPr>
          <w:rFonts w:ascii="Arial" w:hAnsi="Arial" w:cs="Arial"/>
          <w:noProof/>
          <w:sz w:val="21"/>
          <w:szCs w:val="21"/>
        </w:rPr>
        <w:t>、</w:t>
      </w:r>
      <w:r w:rsidRPr="001B058A">
        <w:rPr>
          <w:rFonts w:ascii="Arial" w:hAnsi="Arial" w:cs="Arial"/>
          <w:noProof/>
          <w:sz w:val="21"/>
          <w:szCs w:val="21"/>
        </w:rPr>
        <w:t>28.9%</w:t>
      </w:r>
      <w:r w:rsidRPr="001B058A">
        <w:rPr>
          <w:rFonts w:ascii="Arial" w:hAnsi="Arial" w:cs="Arial"/>
          <w:noProof/>
          <w:sz w:val="21"/>
          <w:szCs w:val="21"/>
        </w:rPr>
        <w:t>；互联网和相关服务业、软件和信息技术服务业较快增长，同比分别增长</w:t>
      </w:r>
      <w:r w:rsidRPr="001B058A">
        <w:rPr>
          <w:rFonts w:ascii="Arial" w:hAnsi="Arial" w:cs="Arial"/>
          <w:noProof/>
          <w:sz w:val="21"/>
          <w:szCs w:val="21"/>
        </w:rPr>
        <w:t>50.5%</w:t>
      </w:r>
      <w:r w:rsidRPr="001B058A">
        <w:rPr>
          <w:rFonts w:ascii="Arial" w:hAnsi="Arial" w:cs="Arial"/>
          <w:noProof/>
          <w:sz w:val="21"/>
          <w:szCs w:val="21"/>
        </w:rPr>
        <w:t>、</w:t>
      </w:r>
      <w:r w:rsidRPr="001B058A">
        <w:rPr>
          <w:rFonts w:ascii="Arial" w:hAnsi="Arial" w:cs="Arial"/>
          <w:noProof/>
          <w:sz w:val="21"/>
          <w:szCs w:val="21"/>
        </w:rPr>
        <w:t>26.5%</w:t>
      </w:r>
      <w:r w:rsidRPr="001B058A">
        <w:rPr>
          <w:rFonts w:ascii="Arial" w:hAnsi="Arial" w:cs="Arial"/>
          <w:noProof/>
          <w:sz w:val="21"/>
          <w:szCs w:val="21"/>
        </w:rPr>
        <w:t>，两年平均分别增长</w:t>
      </w:r>
      <w:r w:rsidRPr="001B058A">
        <w:rPr>
          <w:rFonts w:ascii="Arial" w:hAnsi="Arial" w:cs="Arial"/>
          <w:noProof/>
          <w:sz w:val="21"/>
          <w:szCs w:val="21"/>
        </w:rPr>
        <w:t>30.1%</w:t>
      </w:r>
      <w:r w:rsidRPr="001B058A">
        <w:rPr>
          <w:rFonts w:ascii="Arial" w:hAnsi="Arial" w:cs="Arial"/>
          <w:noProof/>
          <w:sz w:val="21"/>
          <w:szCs w:val="21"/>
        </w:rPr>
        <w:t>、</w:t>
      </w:r>
      <w:r w:rsidRPr="001B058A">
        <w:rPr>
          <w:rFonts w:ascii="Arial" w:hAnsi="Arial" w:cs="Arial"/>
          <w:noProof/>
          <w:sz w:val="21"/>
          <w:szCs w:val="21"/>
        </w:rPr>
        <w:t>21.7%</w:t>
      </w:r>
      <w:r w:rsidRPr="001B058A">
        <w:rPr>
          <w:rFonts w:ascii="Arial" w:hAnsi="Arial" w:cs="Arial"/>
          <w:noProof/>
          <w:sz w:val="21"/>
          <w:szCs w:val="21"/>
        </w:rPr>
        <w:t>。农业生产总体稳定。一季度全市农林牧</w:t>
      </w:r>
      <w:r w:rsidRPr="001B058A">
        <w:rPr>
          <w:rFonts w:ascii="Arial" w:hAnsi="Arial" w:cs="Arial"/>
          <w:noProof/>
          <w:sz w:val="21"/>
          <w:szCs w:val="21"/>
        </w:rPr>
        <w:lastRenderedPageBreak/>
        <w:t>渔业总产值</w:t>
      </w:r>
      <w:r w:rsidRPr="001B058A">
        <w:rPr>
          <w:rFonts w:ascii="Arial" w:hAnsi="Arial" w:cs="Arial"/>
          <w:noProof/>
          <w:sz w:val="21"/>
          <w:szCs w:val="21"/>
        </w:rPr>
        <w:t>80.15</w:t>
      </w:r>
      <w:r w:rsidRPr="001B058A">
        <w:rPr>
          <w:rFonts w:ascii="Arial" w:hAnsi="Arial" w:cs="Arial"/>
          <w:noProof/>
          <w:sz w:val="21"/>
          <w:szCs w:val="21"/>
        </w:rPr>
        <w:t>亿元，同比增长</w:t>
      </w:r>
      <w:r w:rsidRPr="001B058A">
        <w:rPr>
          <w:rFonts w:ascii="Arial" w:hAnsi="Arial" w:cs="Arial"/>
          <w:noProof/>
          <w:sz w:val="21"/>
          <w:szCs w:val="21"/>
        </w:rPr>
        <w:t>6.4%</w:t>
      </w:r>
      <w:r w:rsidRPr="001B058A">
        <w:rPr>
          <w:rFonts w:ascii="Arial" w:hAnsi="Arial" w:cs="Arial"/>
          <w:noProof/>
          <w:sz w:val="21"/>
          <w:szCs w:val="21"/>
        </w:rPr>
        <w:t>。</w:t>
      </w:r>
    </w:p>
    <w:p w14:paraId="38DCBF36" w14:textId="05803B48" w:rsidR="001B058A" w:rsidRPr="001B058A" w:rsidRDefault="001B058A" w:rsidP="001B058A">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w:t>
      </w:r>
      <w:r>
        <w:rPr>
          <w:rFonts w:ascii="Arial" w:hAnsi="Arial" w:cs="Arial" w:hint="eastAsia"/>
          <w:noProof/>
          <w:sz w:val="21"/>
          <w:szCs w:val="21"/>
        </w:rPr>
        <w:t>2</w:t>
      </w:r>
      <w:r>
        <w:rPr>
          <w:rFonts w:ascii="Arial" w:hAnsi="Arial" w:cs="Arial" w:hint="eastAsia"/>
          <w:noProof/>
          <w:sz w:val="21"/>
          <w:szCs w:val="21"/>
        </w:rPr>
        <w:t>）</w:t>
      </w:r>
      <w:r w:rsidRPr="001B058A">
        <w:rPr>
          <w:rFonts w:ascii="Arial" w:hAnsi="Arial" w:cs="Arial" w:hint="eastAsia"/>
          <w:noProof/>
          <w:sz w:val="21"/>
          <w:szCs w:val="21"/>
        </w:rPr>
        <w:t>内外需求持续复苏。消费市场加速回暖。一季度，全市社会消费品零售总额</w:t>
      </w:r>
      <w:r w:rsidRPr="001B058A">
        <w:rPr>
          <w:rFonts w:ascii="Arial" w:hAnsi="Arial" w:cs="Arial"/>
          <w:noProof/>
          <w:sz w:val="21"/>
          <w:szCs w:val="21"/>
        </w:rPr>
        <w:t>2107.27</w:t>
      </w:r>
      <w:r w:rsidRPr="001B058A">
        <w:rPr>
          <w:rFonts w:ascii="Arial" w:hAnsi="Arial" w:cs="Arial"/>
          <w:noProof/>
          <w:sz w:val="21"/>
          <w:szCs w:val="21"/>
        </w:rPr>
        <w:t>亿元，同比增长</w:t>
      </w:r>
      <w:r w:rsidRPr="001B058A">
        <w:rPr>
          <w:rFonts w:ascii="Arial" w:hAnsi="Arial" w:cs="Arial"/>
          <w:noProof/>
          <w:sz w:val="21"/>
          <w:szCs w:val="21"/>
        </w:rPr>
        <w:t>39.6%</w:t>
      </w:r>
      <w:r w:rsidRPr="001B058A">
        <w:rPr>
          <w:rFonts w:ascii="Arial" w:hAnsi="Arial" w:cs="Arial"/>
          <w:noProof/>
          <w:sz w:val="21"/>
          <w:szCs w:val="21"/>
        </w:rPr>
        <w:t>，两年平均增长</w:t>
      </w:r>
      <w:r w:rsidRPr="001B058A">
        <w:rPr>
          <w:rFonts w:ascii="Arial" w:hAnsi="Arial" w:cs="Arial"/>
          <w:noProof/>
          <w:sz w:val="21"/>
          <w:szCs w:val="21"/>
        </w:rPr>
        <w:t>8.1%</w:t>
      </w:r>
      <w:r w:rsidRPr="001B058A">
        <w:rPr>
          <w:rFonts w:ascii="Arial" w:hAnsi="Arial" w:cs="Arial"/>
          <w:noProof/>
          <w:sz w:val="21"/>
          <w:szCs w:val="21"/>
        </w:rPr>
        <w:t>。限额以上商品零售中，</w:t>
      </w:r>
      <w:r w:rsidRPr="001B058A">
        <w:rPr>
          <w:rFonts w:ascii="Arial" w:hAnsi="Arial" w:cs="Arial"/>
          <w:noProof/>
          <w:sz w:val="21"/>
          <w:szCs w:val="21"/>
        </w:rPr>
        <w:t>23</w:t>
      </w:r>
      <w:r w:rsidRPr="001B058A">
        <w:rPr>
          <w:rFonts w:ascii="Arial" w:hAnsi="Arial" w:cs="Arial"/>
          <w:noProof/>
          <w:sz w:val="21"/>
          <w:szCs w:val="21"/>
        </w:rPr>
        <w:t>类主要商品中有</w:t>
      </w:r>
      <w:r w:rsidRPr="001B058A">
        <w:rPr>
          <w:rFonts w:ascii="Arial" w:hAnsi="Arial" w:cs="Arial"/>
          <w:noProof/>
          <w:sz w:val="21"/>
          <w:szCs w:val="21"/>
        </w:rPr>
        <w:t>22</w:t>
      </w:r>
      <w:r w:rsidRPr="001B058A">
        <w:rPr>
          <w:rFonts w:ascii="Arial" w:hAnsi="Arial" w:cs="Arial"/>
          <w:noProof/>
          <w:sz w:val="21"/>
          <w:szCs w:val="21"/>
        </w:rPr>
        <w:t>类保持增长，建筑及装潢材料类、家用电器和音像器材类、汽车类等升级类消费品零售额分别增长</w:t>
      </w:r>
      <w:r w:rsidRPr="001B058A">
        <w:rPr>
          <w:rFonts w:ascii="Arial" w:hAnsi="Arial" w:cs="Arial"/>
          <w:noProof/>
          <w:sz w:val="21"/>
          <w:szCs w:val="21"/>
        </w:rPr>
        <w:t>80.8%</w:t>
      </w:r>
      <w:r w:rsidRPr="001B058A">
        <w:rPr>
          <w:rFonts w:ascii="Arial" w:hAnsi="Arial" w:cs="Arial"/>
          <w:noProof/>
          <w:sz w:val="21"/>
          <w:szCs w:val="21"/>
        </w:rPr>
        <w:t>、</w:t>
      </w:r>
      <w:r w:rsidRPr="001B058A">
        <w:rPr>
          <w:rFonts w:ascii="Arial" w:hAnsi="Arial" w:cs="Arial"/>
          <w:noProof/>
          <w:sz w:val="21"/>
          <w:szCs w:val="21"/>
        </w:rPr>
        <w:t>76.2%</w:t>
      </w:r>
      <w:r w:rsidRPr="001B058A">
        <w:rPr>
          <w:rFonts w:ascii="Arial" w:hAnsi="Arial" w:cs="Arial"/>
          <w:noProof/>
          <w:sz w:val="21"/>
          <w:szCs w:val="21"/>
        </w:rPr>
        <w:t>、</w:t>
      </w:r>
      <w:r w:rsidRPr="001B058A">
        <w:rPr>
          <w:rFonts w:ascii="Arial" w:hAnsi="Arial" w:cs="Arial"/>
          <w:noProof/>
          <w:sz w:val="21"/>
          <w:szCs w:val="21"/>
        </w:rPr>
        <w:t>74.9%</w:t>
      </w:r>
      <w:r w:rsidRPr="001B058A">
        <w:rPr>
          <w:rFonts w:ascii="Arial" w:hAnsi="Arial" w:cs="Arial"/>
          <w:noProof/>
          <w:sz w:val="21"/>
          <w:szCs w:val="21"/>
        </w:rPr>
        <w:t>，新能源汽车零售额增长</w:t>
      </w:r>
      <w:r w:rsidRPr="001B058A">
        <w:rPr>
          <w:rFonts w:ascii="Arial" w:hAnsi="Arial" w:cs="Arial"/>
          <w:noProof/>
          <w:sz w:val="21"/>
          <w:szCs w:val="21"/>
        </w:rPr>
        <w:t>272.7%</w:t>
      </w:r>
      <w:r w:rsidRPr="001B058A">
        <w:rPr>
          <w:rFonts w:ascii="Arial" w:hAnsi="Arial" w:cs="Arial"/>
          <w:noProof/>
          <w:sz w:val="21"/>
          <w:szCs w:val="21"/>
        </w:rPr>
        <w:t>；服装、鞋帽、针纺织品类和粮油、食品类等必需品零售额分别增长</w:t>
      </w:r>
      <w:r w:rsidRPr="001B058A">
        <w:rPr>
          <w:rFonts w:ascii="Arial" w:hAnsi="Arial" w:cs="Arial"/>
          <w:noProof/>
          <w:sz w:val="21"/>
          <w:szCs w:val="21"/>
        </w:rPr>
        <w:t>67.5%</w:t>
      </w:r>
      <w:r w:rsidRPr="001B058A">
        <w:rPr>
          <w:rFonts w:ascii="Arial" w:hAnsi="Arial" w:cs="Arial"/>
          <w:noProof/>
          <w:sz w:val="21"/>
          <w:szCs w:val="21"/>
        </w:rPr>
        <w:t>和</w:t>
      </w:r>
      <w:r w:rsidRPr="001B058A">
        <w:rPr>
          <w:rFonts w:ascii="Arial" w:hAnsi="Arial" w:cs="Arial"/>
          <w:noProof/>
          <w:sz w:val="21"/>
          <w:szCs w:val="21"/>
        </w:rPr>
        <w:t>28%</w:t>
      </w:r>
      <w:r w:rsidRPr="001B058A">
        <w:rPr>
          <w:rFonts w:ascii="Arial" w:hAnsi="Arial" w:cs="Arial"/>
          <w:noProof/>
          <w:sz w:val="21"/>
          <w:szCs w:val="21"/>
        </w:rPr>
        <w:t>。投资保持稳步增长。一季度，全市固定资产投资</w:t>
      </w:r>
      <w:r w:rsidRPr="001B058A">
        <w:rPr>
          <w:rFonts w:ascii="Arial" w:hAnsi="Arial" w:cs="Arial"/>
          <w:noProof/>
          <w:sz w:val="21"/>
          <w:szCs w:val="21"/>
        </w:rPr>
        <w:t>1238.83</w:t>
      </w:r>
      <w:r w:rsidRPr="001B058A">
        <w:rPr>
          <w:rFonts w:ascii="Arial" w:hAnsi="Arial" w:cs="Arial"/>
          <w:noProof/>
          <w:sz w:val="21"/>
          <w:szCs w:val="21"/>
        </w:rPr>
        <w:t>亿元，同比增长</w:t>
      </w:r>
      <w:r w:rsidRPr="001B058A">
        <w:rPr>
          <w:rFonts w:ascii="Arial" w:hAnsi="Arial" w:cs="Arial"/>
          <w:noProof/>
          <w:sz w:val="21"/>
          <w:szCs w:val="21"/>
        </w:rPr>
        <w:t>22.1%</w:t>
      </w:r>
      <w:r w:rsidRPr="001B058A">
        <w:rPr>
          <w:rFonts w:ascii="Arial" w:hAnsi="Arial" w:cs="Arial"/>
          <w:noProof/>
          <w:sz w:val="21"/>
          <w:szCs w:val="21"/>
        </w:rPr>
        <w:t>，两年平均增长</w:t>
      </w:r>
      <w:r w:rsidRPr="001B058A">
        <w:rPr>
          <w:rFonts w:ascii="Arial" w:hAnsi="Arial" w:cs="Arial"/>
          <w:noProof/>
          <w:sz w:val="21"/>
          <w:szCs w:val="21"/>
        </w:rPr>
        <w:t>8.3%</w:t>
      </w:r>
      <w:r w:rsidRPr="001B058A">
        <w:rPr>
          <w:rFonts w:ascii="Arial" w:hAnsi="Arial" w:cs="Arial" w:hint="eastAsia"/>
          <w:noProof/>
          <w:sz w:val="21"/>
          <w:szCs w:val="21"/>
        </w:rPr>
        <w:t>。外资外贸增势良好。一季度，全市进出口</w:t>
      </w:r>
      <w:r w:rsidRPr="001B058A">
        <w:rPr>
          <w:rFonts w:ascii="Arial" w:hAnsi="Arial" w:cs="Arial"/>
          <w:noProof/>
          <w:sz w:val="21"/>
          <w:szCs w:val="21"/>
        </w:rPr>
        <w:t>1378.52</w:t>
      </w:r>
      <w:r w:rsidRPr="001B058A">
        <w:rPr>
          <w:rFonts w:ascii="Arial" w:hAnsi="Arial" w:cs="Arial"/>
          <w:noProof/>
          <w:sz w:val="21"/>
          <w:szCs w:val="21"/>
        </w:rPr>
        <w:t>亿元，同比增长</w:t>
      </w:r>
      <w:r w:rsidRPr="001B058A">
        <w:rPr>
          <w:rFonts w:ascii="Arial" w:hAnsi="Arial" w:cs="Arial"/>
          <w:noProof/>
          <w:sz w:val="21"/>
          <w:szCs w:val="21"/>
        </w:rPr>
        <w:t>37.3%</w:t>
      </w:r>
      <w:r w:rsidRPr="001B058A">
        <w:rPr>
          <w:rFonts w:ascii="Arial" w:hAnsi="Arial" w:cs="Arial"/>
          <w:noProof/>
          <w:sz w:val="21"/>
          <w:szCs w:val="21"/>
        </w:rPr>
        <w:t>。其中，出口</w:t>
      </w:r>
      <w:r w:rsidRPr="001B058A">
        <w:rPr>
          <w:rFonts w:ascii="Arial" w:hAnsi="Arial" w:cs="Arial"/>
          <w:noProof/>
          <w:sz w:val="21"/>
          <w:szCs w:val="21"/>
        </w:rPr>
        <w:t>842.57</w:t>
      </w:r>
      <w:r w:rsidRPr="001B058A">
        <w:rPr>
          <w:rFonts w:ascii="Arial" w:hAnsi="Arial" w:cs="Arial"/>
          <w:noProof/>
          <w:sz w:val="21"/>
          <w:szCs w:val="21"/>
        </w:rPr>
        <w:t>亿元，增长</w:t>
      </w:r>
      <w:r w:rsidRPr="001B058A">
        <w:rPr>
          <w:rFonts w:ascii="Arial" w:hAnsi="Arial" w:cs="Arial"/>
          <w:noProof/>
          <w:sz w:val="21"/>
          <w:szCs w:val="21"/>
        </w:rPr>
        <w:t>48.5%</w:t>
      </w:r>
      <w:r w:rsidRPr="001B058A">
        <w:rPr>
          <w:rFonts w:ascii="Arial" w:hAnsi="Arial" w:cs="Arial"/>
          <w:noProof/>
          <w:sz w:val="21"/>
          <w:szCs w:val="21"/>
        </w:rPr>
        <w:t>；进口</w:t>
      </w:r>
      <w:r w:rsidRPr="001B058A">
        <w:rPr>
          <w:rFonts w:ascii="Arial" w:hAnsi="Arial" w:cs="Arial"/>
          <w:noProof/>
          <w:sz w:val="21"/>
          <w:szCs w:val="21"/>
        </w:rPr>
        <w:t>535.95</w:t>
      </w:r>
      <w:r w:rsidRPr="001B058A">
        <w:rPr>
          <w:rFonts w:ascii="Arial" w:hAnsi="Arial" w:cs="Arial"/>
          <w:noProof/>
          <w:sz w:val="21"/>
          <w:szCs w:val="21"/>
        </w:rPr>
        <w:t>亿元，增长</w:t>
      </w:r>
      <w:r w:rsidRPr="001B058A">
        <w:rPr>
          <w:rFonts w:ascii="Arial" w:hAnsi="Arial" w:cs="Arial"/>
          <w:noProof/>
          <w:sz w:val="21"/>
          <w:szCs w:val="21"/>
        </w:rPr>
        <w:t>22.6%</w:t>
      </w:r>
      <w:r w:rsidRPr="001B058A">
        <w:rPr>
          <w:rFonts w:ascii="Arial" w:hAnsi="Arial" w:cs="Arial"/>
          <w:noProof/>
          <w:sz w:val="21"/>
          <w:szCs w:val="21"/>
        </w:rPr>
        <w:t>。规模以上工业企业出口交货值同比增长</w:t>
      </w:r>
      <w:r w:rsidRPr="001B058A">
        <w:rPr>
          <w:rFonts w:ascii="Arial" w:hAnsi="Arial" w:cs="Arial"/>
          <w:noProof/>
          <w:sz w:val="21"/>
          <w:szCs w:val="21"/>
        </w:rPr>
        <w:t>26.1%</w:t>
      </w:r>
      <w:r w:rsidRPr="001B058A">
        <w:rPr>
          <w:rFonts w:ascii="Arial" w:hAnsi="Arial" w:cs="Arial"/>
          <w:noProof/>
          <w:sz w:val="21"/>
          <w:szCs w:val="21"/>
        </w:rPr>
        <w:t>，其中汽车制造业、计算机通信和其他电子设备制造业、电气机械和器材制造业、通用设备制造业等全市四大主要行业出口交货值分别增长</w:t>
      </w:r>
      <w:r w:rsidRPr="001B058A">
        <w:rPr>
          <w:rFonts w:ascii="Arial" w:hAnsi="Arial" w:cs="Arial"/>
          <w:noProof/>
          <w:sz w:val="21"/>
          <w:szCs w:val="21"/>
        </w:rPr>
        <w:t>71.0%</w:t>
      </w:r>
      <w:r w:rsidRPr="001B058A">
        <w:rPr>
          <w:rFonts w:ascii="Arial" w:hAnsi="Arial" w:cs="Arial"/>
          <w:noProof/>
          <w:sz w:val="21"/>
          <w:szCs w:val="21"/>
        </w:rPr>
        <w:t>、</w:t>
      </w:r>
      <w:r w:rsidRPr="001B058A">
        <w:rPr>
          <w:rFonts w:ascii="Arial" w:hAnsi="Arial" w:cs="Arial"/>
          <w:noProof/>
          <w:sz w:val="21"/>
          <w:szCs w:val="21"/>
        </w:rPr>
        <w:t>41.7%</w:t>
      </w:r>
      <w:r w:rsidRPr="001B058A">
        <w:rPr>
          <w:rFonts w:ascii="Arial" w:hAnsi="Arial" w:cs="Arial"/>
          <w:noProof/>
          <w:sz w:val="21"/>
          <w:szCs w:val="21"/>
        </w:rPr>
        <w:t>、</w:t>
      </w:r>
      <w:r w:rsidRPr="001B058A">
        <w:rPr>
          <w:rFonts w:ascii="Arial" w:hAnsi="Arial" w:cs="Arial"/>
          <w:noProof/>
          <w:sz w:val="21"/>
          <w:szCs w:val="21"/>
        </w:rPr>
        <w:t>29.2%</w:t>
      </w:r>
      <w:r w:rsidRPr="001B058A">
        <w:rPr>
          <w:rFonts w:ascii="Arial" w:hAnsi="Arial" w:cs="Arial"/>
          <w:noProof/>
          <w:sz w:val="21"/>
          <w:szCs w:val="21"/>
        </w:rPr>
        <w:t>、</w:t>
      </w:r>
      <w:r w:rsidRPr="001B058A">
        <w:rPr>
          <w:rFonts w:ascii="Arial" w:hAnsi="Arial" w:cs="Arial"/>
          <w:noProof/>
          <w:sz w:val="21"/>
          <w:szCs w:val="21"/>
        </w:rPr>
        <w:t>27.8%</w:t>
      </w:r>
      <w:r w:rsidRPr="001B058A">
        <w:rPr>
          <w:rFonts w:ascii="Arial" w:hAnsi="Arial" w:cs="Arial"/>
          <w:noProof/>
          <w:sz w:val="21"/>
          <w:szCs w:val="21"/>
        </w:rPr>
        <w:t>。实际使用外资</w:t>
      </w:r>
      <w:r w:rsidRPr="001B058A">
        <w:rPr>
          <w:rFonts w:ascii="Arial" w:hAnsi="Arial" w:cs="Arial"/>
          <w:noProof/>
          <w:sz w:val="21"/>
          <w:szCs w:val="21"/>
        </w:rPr>
        <w:t>15.79</w:t>
      </w:r>
      <w:r w:rsidRPr="001B058A">
        <w:rPr>
          <w:rFonts w:ascii="Arial" w:hAnsi="Arial" w:cs="Arial"/>
          <w:noProof/>
          <w:sz w:val="21"/>
          <w:szCs w:val="21"/>
        </w:rPr>
        <w:t>亿美元，同比增长</w:t>
      </w:r>
      <w:r w:rsidRPr="001B058A">
        <w:rPr>
          <w:rFonts w:ascii="Arial" w:hAnsi="Arial" w:cs="Arial"/>
          <w:noProof/>
          <w:sz w:val="21"/>
          <w:szCs w:val="21"/>
        </w:rPr>
        <w:t>10.2%</w:t>
      </w:r>
      <w:r w:rsidRPr="001B058A">
        <w:rPr>
          <w:rFonts w:ascii="Arial" w:hAnsi="Arial" w:cs="Arial"/>
          <w:noProof/>
          <w:sz w:val="21"/>
          <w:szCs w:val="21"/>
        </w:rPr>
        <w:t>。</w:t>
      </w:r>
    </w:p>
    <w:p w14:paraId="2AE6746C" w14:textId="49CE2FCC" w:rsidR="001B058A" w:rsidRPr="001B058A" w:rsidRDefault="001B058A" w:rsidP="001B058A">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w:t>
      </w:r>
      <w:r>
        <w:rPr>
          <w:rFonts w:ascii="Arial" w:hAnsi="Arial" w:cs="Arial" w:hint="eastAsia"/>
          <w:noProof/>
          <w:sz w:val="21"/>
          <w:szCs w:val="21"/>
        </w:rPr>
        <w:t>3</w:t>
      </w:r>
      <w:r>
        <w:rPr>
          <w:rFonts w:ascii="Arial" w:hAnsi="Arial" w:cs="Arial" w:hint="eastAsia"/>
          <w:noProof/>
          <w:sz w:val="21"/>
          <w:szCs w:val="21"/>
        </w:rPr>
        <w:t>）</w:t>
      </w:r>
      <w:r w:rsidRPr="001B058A">
        <w:rPr>
          <w:rFonts w:ascii="Arial" w:hAnsi="Arial" w:cs="Arial" w:hint="eastAsia"/>
          <w:noProof/>
          <w:sz w:val="21"/>
          <w:szCs w:val="21"/>
        </w:rPr>
        <w:t>发展预期稳中向好。金融对实体经济支持力度加大。</w:t>
      </w:r>
      <w:r w:rsidRPr="001B058A">
        <w:rPr>
          <w:rFonts w:ascii="Arial" w:hAnsi="Arial" w:cs="Arial"/>
          <w:noProof/>
          <w:sz w:val="21"/>
          <w:szCs w:val="21"/>
        </w:rPr>
        <w:t>3</w:t>
      </w:r>
      <w:r w:rsidRPr="001B058A">
        <w:rPr>
          <w:rFonts w:ascii="Arial" w:hAnsi="Arial" w:cs="Arial"/>
          <w:noProof/>
          <w:sz w:val="21"/>
          <w:szCs w:val="21"/>
        </w:rPr>
        <w:t>月末，全市金融机构本外币贷款余额增长</w:t>
      </w:r>
      <w:r w:rsidRPr="001B058A">
        <w:rPr>
          <w:rFonts w:ascii="Arial" w:hAnsi="Arial" w:cs="Arial"/>
          <w:noProof/>
          <w:sz w:val="21"/>
          <w:szCs w:val="21"/>
        </w:rPr>
        <w:t>14.3%</w:t>
      </w:r>
      <w:r w:rsidRPr="001B058A">
        <w:rPr>
          <w:rFonts w:ascii="Arial" w:hAnsi="Arial" w:cs="Arial"/>
          <w:noProof/>
          <w:sz w:val="21"/>
          <w:szCs w:val="21"/>
        </w:rPr>
        <w:t>，增速较</w:t>
      </w:r>
      <w:r w:rsidRPr="001B058A">
        <w:rPr>
          <w:rFonts w:ascii="Arial" w:hAnsi="Arial" w:cs="Arial"/>
          <w:noProof/>
          <w:sz w:val="21"/>
          <w:szCs w:val="21"/>
        </w:rPr>
        <w:t>2</w:t>
      </w:r>
      <w:r w:rsidRPr="001B058A">
        <w:rPr>
          <w:rFonts w:ascii="Arial" w:hAnsi="Arial" w:cs="Arial"/>
          <w:noProof/>
          <w:sz w:val="21"/>
          <w:szCs w:val="21"/>
        </w:rPr>
        <w:t>月末提升</w:t>
      </w:r>
      <w:r w:rsidRPr="001B058A">
        <w:rPr>
          <w:rFonts w:ascii="Arial" w:hAnsi="Arial" w:cs="Arial"/>
          <w:noProof/>
          <w:sz w:val="21"/>
          <w:szCs w:val="21"/>
        </w:rPr>
        <w:t>1</w:t>
      </w:r>
      <w:r w:rsidRPr="001B058A">
        <w:rPr>
          <w:rFonts w:ascii="Arial" w:hAnsi="Arial" w:cs="Arial"/>
          <w:noProof/>
          <w:sz w:val="21"/>
          <w:szCs w:val="21"/>
        </w:rPr>
        <w:t>个百分点，其中制造业本外币贷款余额比年初增加</w:t>
      </w:r>
      <w:r w:rsidRPr="001B058A">
        <w:rPr>
          <w:rFonts w:ascii="Arial" w:hAnsi="Arial" w:cs="Arial"/>
          <w:noProof/>
          <w:sz w:val="21"/>
          <w:szCs w:val="21"/>
        </w:rPr>
        <w:t>134.50</w:t>
      </w:r>
      <w:r w:rsidRPr="001B058A">
        <w:rPr>
          <w:rFonts w:ascii="Arial" w:hAnsi="Arial" w:cs="Arial"/>
          <w:noProof/>
          <w:sz w:val="21"/>
          <w:szCs w:val="21"/>
        </w:rPr>
        <w:t>亿元。交通运输业持续恢复。一季度，公路和水路货运周转量分别增长</w:t>
      </w:r>
      <w:r w:rsidRPr="001B058A">
        <w:rPr>
          <w:rFonts w:ascii="Arial" w:hAnsi="Arial" w:cs="Arial"/>
          <w:noProof/>
          <w:sz w:val="21"/>
          <w:szCs w:val="21"/>
        </w:rPr>
        <w:t>33.4%</w:t>
      </w:r>
      <w:r w:rsidRPr="001B058A">
        <w:rPr>
          <w:rFonts w:ascii="Arial" w:hAnsi="Arial" w:cs="Arial"/>
          <w:noProof/>
          <w:sz w:val="21"/>
          <w:szCs w:val="21"/>
        </w:rPr>
        <w:t>、</w:t>
      </w:r>
      <w:r w:rsidRPr="001B058A">
        <w:rPr>
          <w:rFonts w:ascii="Arial" w:hAnsi="Arial" w:cs="Arial"/>
          <w:noProof/>
          <w:sz w:val="21"/>
          <w:szCs w:val="21"/>
        </w:rPr>
        <w:t>12.6%</w:t>
      </w:r>
      <w:r w:rsidRPr="001B058A">
        <w:rPr>
          <w:rFonts w:ascii="Arial" w:hAnsi="Arial" w:cs="Arial"/>
          <w:noProof/>
          <w:sz w:val="21"/>
          <w:szCs w:val="21"/>
        </w:rPr>
        <w:t>，较去年同期分别提升</w:t>
      </w:r>
      <w:r w:rsidRPr="001B058A">
        <w:rPr>
          <w:rFonts w:ascii="Arial" w:hAnsi="Arial" w:cs="Arial"/>
          <w:noProof/>
          <w:sz w:val="21"/>
          <w:szCs w:val="21"/>
        </w:rPr>
        <w:t>45.3</w:t>
      </w:r>
      <w:r w:rsidRPr="001B058A">
        <w:rPr>
          <w:rFonts w:ascii="Arial" w:hAnsi="Arial" w:cs="Arial"/>
          <w:noProof/>
          <w:sz w:val="21"/>
          <w:szCs w:val="21"/>
        </w:rPr>
        <w:t>个、</w:t>
      </w:r>
      <w:r w:rsidRPr="001B058A">
        <w:rPr>
          <w:rFonts w:ascii="Arial" w:hAnsi="Arial" w:cs="Arial"/>
          <w:noProof/>
          <w:sz w:val="21"/>
          <w:szCs w:val="21"/>
        </w:rPr>
        <w:t>15.7</w:t>
      </w:r>
      <w:r w:rsidRPr="001B058A">
        <w:rPr>
          <w:rFonts w:ascii="Arial" w:hAnsi="Arial" w:cs="Arial"/>
          <w:noProof/>
          <w:sz w:val="21"/>
          <w:szCs w:val="21"/>
        </w:rPr>
        <w:t>个百分点；港口运输货物吞吐量、集装箱吞吐量分别增长</w:t>
      </w:r>
      <w:r w:rsidRPr="001B058A">
        <w:rPr>
          <w:rFonts w:ascii="Arial" w:hAnsi="Arial" w:cs="Arial"/>
          <w:noProof/>
          <w:sz w:val="21"/>
          <w:szCs w:val="21"/>
        </w:rPr>
        <w:t>21.8%</w:t>
      </w:r>
      <w:r w:rsidRPr="001B058A">
        <w:rPr>
          <w:rFonts w:ascii="Arial" w:hAnsi="Arial" w:cs="Arial"/>
          <w:noProof/>
          <w:sz w:val="21"/>
          <w:szCs w:val="21"/>
        </w:rPr>
        <w:t>、</w:t>
      </w:r>
      <w:r w:rsidRPr="001B058A">
        <w:rPr>
          <w:rFonts w:ascii="Arial" w:hAnsi="Arial" w:cs="Arial"/>
          <w:noProof/>
          <w:sz w:val="21"/>
          <w:szCs w:val="21"/>
        </w:rPr>
        <w:t>7.1%</w:t>
      </w:r>
      <w:r w:rsidRPr="001B058A">
        <w:rPr>
          <w:rFonts w:ascii="Arial" w:hAnsi="Arial" w:cs="Arial"/>
          <w:noProof/>
          <w:sz w:val="21"/>
          <w:szCs w:val="21"/>
        </w:rPr>
        <w:t>，较去年同期分别提升</w:t>
      </w:r>
      <w:r w:rsidRPr="001B058A">
        <w:rPr>
          <w:rFonts w:ascii="Arial" w:hAnsi="Arial" w:cs="Arial"/>
          <w:noProof/>
          <w:sz w:val="21"/>
          <w:szCs w:val="21"/>
        </w:rPr>
        <w:t>31.5</w:t>
      </w:r>
      <w:r w:rsidRPr="001B058A">
        <w:rPr>
          <w:rFonts w:ascii="Arial" w:hAnsi="Arial" w:cs="Arial"/>
          <w:noProof/>
          <w:sz w:val="21"/>
          <w:szCs w:val="21"/>
        </w:rPr>
        <w:t>个、</w:t>
      </w:r>
      <w:r w:rsidRPr="001B058A">
        <w:rPr>
          <w:rFonts w:ascii="Arial" w:hAnsi="Arial" w:cs="Arial"/>
          <w:noProof/>
          <w:sz w:val="21"/>
          <w:szCs w:val="21"/>
        </w:rPr>
        <w:t>19.2</w:t>
      </w:r>
      <w:r w:rsidRPr="001B058A">
        <w:rPr>
          <w:rFonts w:ascii="Arial" w:hAnsi="Arial" w:cs="Arial"/>
          <w:noProof/>
          <w:sz w:val="21"/>
          <w:szCs w:val="21"/>
        </w:rPr>
        <w:t>个百分点；民用航空旅客周转量、机场货邮吞吐量分别增长</w:t>
      </w:r>
      <w:r w:rsidRPr="001B058A">
        <w:rPr>
          <w:rFonts w:ascii="Arial" w:hAnsi="Arial" w:cs="Arial"/>
          <w:noProof/>
          <w:sz w:val="21"/>
          <w:szCs w:val="21"/>
        </w:rPr>
        <w:t>57.8%</w:t>
      </w:r>
      <w:r w:rsidRPr="001B058A">
        <w:rPr>
          <w:rFonts w:ascii="Arial" w:hAnsi="Arial" w:cs="Arial"/>
          <w:noProof/>
          <w:sz w:val="21"/>
          <w:szCs w:val="21"/>
        </w:rPr>
        <w:t>、</w:t>
      </w:r>
      <w:r w:rsidRPr="001B058A">
        <w:rPr>
          <w:rFonts w:ascii="Arial" w:hAnsi="Arial" w:cs="Arial"/>
          <w:noProof/>
          <w:sz w:val="21"/>
          <w:szCs w:val="21"/>
        </w:rPr>
        <w:t>23.6%</w:t>
      </w:r>
      <w:r w:rsidRPr="001B058A">
        <w:rPr>
          <w:rFonts w:ascii="Arial" w:hAnsi="Arial" w:cs="Arial"/>
          <w:noProof/>
          <w:sz w:val="21"/>
          <w:szCs w:val="21"/>
        </w:rPr>
        <w:t>，较去年同期分别提升</w:t>
      </w:r>
      <w:r w:rsidRPr="001B058A">
        <w:rPr>
          <w:rFonts w:ascii="Arial" w:hAnsi="Arial" w:cs="Arial"/>
          <w:noProof/>
          <w:sz w:val="21"/>
          <w:szCs w:val="21"/>
        </w:rPr>
        <w:t>116.9</w:t>
      </w:r>
      <w:r w:rsidRPr="001B058A">
        <w:rPr>
          <w:rFonts w:ascii="Arial" w:hAnsi="Arial" w:cs="Arial"/>
          <w:noProof/>
          <w:sz w:val="21"/>
          <w:szCs w:val="21"/>
        </w:rPr>
        <w:t>个、</w:t>
      </w:r>
      <w:r w:rsidRPr="001B058A">
        <w:rPr>
          <w:rFonts w:ascii="Arial" w:hAnsi="Arial" w:cs="Arial"/>
          <w:noProof/>
          <w:sz w:val="21"/>
          <w:szCs w:val="21"/>
        </w:rPr>
        <w:t>25.8</w:t>
      </w:r>
      <w:r w:rsidRPr="001B058A">
        <w:rPr>
          <w:rFonts w:ascii="Arial" w:hAnsi="Arial" w:cs="Arial"/>
          <w:noProof/>
          <w:sz w:val="21"/>
          <w:szCs w:val="21"/>
        </w:rPr>
        <w:t>个百分点。企业预期整体向好。一季度，全市规上工业企业景气指数为</w:t>
      </w:r>
      <w:r w:rsidRPr="001B058A">
        <w:rPr>
          <w:rFonts w:ascii="Arial" w:hAnsi="Arial" w:cs="Arial"/>
          <w:noProof/>
          <w:sz w:val="21"/>
          <w:szCs w:val="21"/>
        </w:rPr>
        <w:t>149.6</w:t>
      </w:r>
      <w:r w:rsidRPr="001B058A">
        <w:rPr>
          <w:rFonts w:ascii="Arial" w:hAnsi="Arial" w:cs="Arial"/>
          <w:noProof/>
          <w:sz w:val="21"/>
          <w:szCs w:val="21"/>
        </w:rPr>
        <w:t>，接近</w:t>
      </w:r>
      <w:r w:rsidRPr="001B058A">
        <w:rPr>
          <w:rFonts w:ascii="Arial" w:hAnsi="Arial" w:cs="Arial"/>
          <w:noProof/>
          <w:sz w:val="21"/>
          <w:szCs w:val="21"/>
        </w:rPr>
        <w:t>“</w:t>
      </w:r>
      <w:r w:rsidRPr="001B058A">
        <w:rPr>
          <w:rFonts w:ascii="Arial" w:hAnsi="Arial" w:cs="Arial"/>
          <w:noProof/>
          <w:sz w:val="21"/>
          <w:szCs w:val="21"/>
        </w:rPr>
        <w:t>较强景气</w:t>
      </w:r>
      <w:r w:rsidRPr="001B058A">
        <w:rPr>
          <w:rFonts w:ascii="Arial" w:hAnsi="Arial" w:cs="Arial"/>
          <w:noProof/>
          <w:sz w:val="21"/>
          <w:szCs w:val="21"/>
        </w:rPr>
        <w:t>”</w:t>
      </w:r>
      <w:r w:rsidRPr="001B058A">
        <w:rPr>
          <w:rFonts w:ascii="Arial" w:hAnsi="Arial" w:cs="Arial"/>
          <w:noProof/>
          <w:sz w:val="21"/>
          <w:szCs w:val="21"/>
        </w:rPr>
        <w:t>区间，企业家信心指数为</w:t>
      </w:r>
      <w:r w:rsidRPr="001B058A">
        <w:rPr>
          <w:rFonts w:ascii="Arial" w:hAnsi="Arial" w:cs="Arial"/>
          <w:noProof/>
          <w:sz w:val="21"/>
          <w:szCs w:val="21"/>
        </w:rPr>
        <w:t>150.8</w:t>
      </w:r>
      <w:r w:rsidRPr="001B058A">
        <w:rPr>
          <w:rFonts w:ascii="Arial" w:hAnsi="Arial" w:cs="Arial"/>
          <w:noProof/>
          <w:sz w:val="21"/>
          <w:szCs w:val="21"/>
        </w:rPr>
        <w:t>，达到近年来最高水平。全市规上服务业企业景气指数为</w:t>
      </w:r>
      <w:r w:rsidRPr="001B058A">
        <w:rPr>
          <w:rFonts w:ascii="Arial" w:hAnsi="Arial" w:cs="Arial"/>
          <w:noProof/>
          <w:sz w:val="21"/>
          <w:szCs w:val="21"/>
        </w:rPr>
        <w:t>129.8</w:t>
      </w:r>
      <w:r w:rsidRPr="001B058A">
        <w:rPr>
          <w:rFonts w:ascii="Arial" w:hAnsi="Arial" w:cs="Arial"/>
          <w:noProof/>
          <w:sz w:val="21"/>
          <w:szCs w:val="21"/>
        </w:rPr>
        <w:t>，企业家信心指数为</w:t>
      </w:r>
      <w:r w:rsidRPr="001B058A">
        <w:rPr>
          <w:rFonts w:ascii="Arial" w:hAnsi="Arial" w:cs="Arial"/>
          <w:noProof/>
          <w:sz w:val="21"/>
          <w:szCs w:val="21"/>
        </w:rPr>
        <w:t>131.8</w:t>
      </w:r>
      <w:r w:rsidRPr="001B058A">
        <w:rPr>
          <w:rFonts w:ascii="Arial" w:hAnsi="Arial" w:cs="Arial"/>
          <w:noProof/>
          <w:sz w:val="21"/>
          <w:szCs w:val="21"/>
        </w:rPr>
        <w:t>，与</w:t>
      </w:r>
      <w:r w:rsidRPr="001B058A">
        <w:rPr>
          <w:rFonts w:ascii="Arial" w:hAnsi="Arial" w:cs="Arial"/>
          <w:noProof/>
          <w:sz w:val="21"/>
          <w:szCs w:val="21"/>
        </w:rPr>
        <w:t>2019</w:t>
      </w:r>
      <w:r w:rsidRPr="001B058A">
        <w:rPr>
          <w:rFonts w:ascii="Arial" w:hAnsi="Arial" w:cs="Arial"/>
          <w:noProof/>
          <w:sz w:val="21"/>
          <w:szCs w:val="21"/>
        </w:rPr>
        <w:t>年同期一致处于</w:t>
      </w:r>
      <w:r w:rsidRPr="001B058A">
        <w:rPr>
          <w:rFonts w:ascii="Arial" w:hAnsi="Arial" w:cs="Arial"/>
          <w:noProof/>
          <w:sz w:val="21"/>
          <w:szCs w:val="21"/>
        </w:rPr>
        <w:t>“</w:t>
      </w:r>
      <w:r w:rsidRPr="001B058A">
        <w:rPr>
          <w:rFonts w:ascii="Arial" w:hAnsi="Arial" w:cs="Arial"/>
          <w:noProof/>
          <w:sz w:val="21"/>
          <w:szCs w:val="21"/>
        </w:rPr>
        <w:t>较为景气</w:t>
      </w:r>
      <w:r w:rsidRPr="001B058A">
        <w:rPr>
          <w:rFonts w:ascii="Arial" w:hAnsi="Arial" w:cs="Arial"/>
          <w:noProof/>
          <w:sz w:val="21"/>
          <w:szCs w:val="21"/>
        </w:rPr>
        <w:t>”</w:t>
      </w:r>
      <w:r w:rsidRPr="001B058A">
        <w:rPr>
          <w:rFonts w:ascii="Arial" w:hAnsi="Arial" w:cs="Arial"/>
          <w:noProof/>
          <w:sz w:val="21"/>
          <w:szCs w:val="21"/>
        </w:rPr>
        <w:t>区间。</w:t>
      </w:r>
    </w:p>
    <w:p w14:paraId="1F736703" w14:textId="3A414849" w:rsidR="001B058A" w:rsidRPr="001B058A" w:rsidRDefault="001B058A" w:rsidP="001B058A">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2.</w:t>
      </w:r>
      <w:r w:rsidRPr="001B058A">
        <w:rPr>
          <w:rFonts w:ascii="Arial" w:hAnsi="Arial" w:cs="Arial" w:hint="eastAsia"/>
          <w:noProof/>
          <w:sz w:val="21"/>
          <w:szCs w:val="21"/>
        </w:rPr>
        <w:t>结构提档升级，发展动能持续增强</w:t>
      </w:r>
    </w:p>
    <w:p w14:paraId="22A11D6A" w14:textId="0A097C42" w:rsidR="001B058A" w:rsidRPr="001B058A" w:rsidRDefault="001B058A" w:rsidP="001B058A">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w:t>
      </w:r>
      <w:r>
        <w:rPr>
          <w:rFonts w:ascii="Arial" w:hAnsi="Arial" w:cs="Arial" w:hint="eastAsia"/>
          <w:noProof/>
          <w:sz w:val="21"/>
          <w:szCs w:val="21"/>
        </w:rPr>
        <w:t>1</w:t>
      </w:r>
      <w:r>
        <w:rPr>
          <w:rFonts w:ascii="Arial" w:hAnsi="Arial" w:cs="Arial" w:hint="eastAsia"/>
          <w:noProof/>
          <w:sz w:val="21"/>
          <w:szCs w:val="21"/>
        </w:rPr>
        <w:t>）</w:t>
      </w:r>
      <w:r w:rsidRPr="001B058A">
        <w:rPr>
          <w:rFonts w:ascii="Arial" w:hAnsi="Arial" w:cs="Arial" w:hint="eastAsia"/>
          <w:noProof/>
          <w:sz w:val="21"/>
          <w:szCs w:val="21"/>
        </w:rPr>
        <w:t>创新实力显著增强。一季度，全市完成第一批省科技型中小企业入库</w:t>
      </w:r>
      <w:r w:rsidRPr="001B058A">
        <w:rPr>
          <w:rFonts w:ascii="Arial" w:hAnsi="Arial" w:cs="Arial"/>
          <w:noProof/>
          <w:sz w:val="21"/>
          <w:szCs w:val="21"/>
        </w:rPr>
        <w:t>2736</w:t>
      </w:r>
      <w:r w:rsidRPr="001B058A">
        <w:rPr>
          <w:rFonts w:ascii="Arial" w:hAnsi="Arial" w:cs="Arial"/>
          <w:noProof/>
          <w:sz w:val="21"/>
          <w:szCs w:val="21"/>
        </w:rPr>
        <w:t>家，同比增长</w:t>
      </w:r>
      <w:r w:rsidRPr="001B058A">
        <w:rPr>
          <w:rFonts w:ascii="Arial" w:hAnsi="Arial" w:cs="Arial"/>
          <w:noProof/>
          <w:sz w:val="21"/>
          <w:szCs w:val="21"/>
        </w:rPr>
        <w:t>19.9%</w:t>
      </w:r>
      <w:r w:rsidRPr="001B058A">
        <w:rPr>
          <w:rFonts w:ascii="Arial" w:hAnsi="Arial" w:cs="Arial"/>
          <w:noProof/>
          <w:sz w:val="21"/>
          <w:szCs w:val="21"/>
        </w:rPr>
        <w:t>。共登记技术合同</w:t>
      </w:r>
      <w:r w:rsidRPr="001B058A">
        <w:rPr>
          <w:rFonts w:ascii="Arial" w:hAnsi="Arial" w:cs="Arial"/>
          <w:noProof/>
          <w:sz w:val="21"/>
          <w:szCs w:val="21"/>
        </w:rPr>
        <w:t>4418</w:t>
      </w:r>
      <w:r w:rsidRPr="001B058A">
        <w:rPr>
          <w:rFonts w:ascii="Arial" w:hAnsi="Arial" w:cs="Arial"/>
          <w:noProof/>
          <w:sz w:val="21"/>
          <w:szCs w:val="21"/>
        </w:rPr>
        <w:t>项，成交额</w:t>
      </w:r>
      <w:r w:rsidRPr="001B058A">
        <w:rPr>
          <w:rFonts w:ascii="Arial" w:hAnsi="Arial" w:cs="Arial"/>
          <w:noProof/>
          <w:sz w:val="21"/>
          <w:szCs w:val="21"/>
        </w:rPr>
        <w:t>172.78</w:t>
      </w:r>
      <w:r w:rsidRPr="001B058A">
        <w:rPr>
          <w:rFonts w:ascii="Arial" w:hAnsi="Arial" w:cs="Arial"/>
          <w:noProof/>
          <w:sz w:val="21"/>
          <w:szCs w:val="21"/>
        </w:rPr>
        <w:t>亿元。新增大学生就业人数</w:t>
      </w:r>
      <w:r w:rsidRPr="001B058A">
        <w:rPr>
          <w:rFonts w:ascii="Arial" w:hAnsi="Arial" w:cs="Arial"/>
          <w:noProof/>
          <w:sz w:val="21"/>
          <w:szCs w:val="21"/>
        </w:rPr>
        <w:t>8.7</w:t>
      </w:r>
      <w:r w:rsidRPr="001B058A">
        <w:rPr>
          <w:rFonts w:ascii="Arial" w:hAnsi="Arial" w:cs="Arial"/>
          <w:noProof/>
          <w:sz w:val="21"/>
          <w:szCs w:val="21"/>
        </w:rPr>
        <w:t>万人，同比增长</w:t>
      </w:r>
      <w:r w:rsidRPr="001B058A">
        <w:rPr>
          <w:rFonts w:ascii="Arial" w:hAnsi="Arial" w:cs="Arial"/>
          <w:noProof/>
          <w:sz w:val="21"/>
          <w:szCs w:val="21"/>
        </w:rPr>
        <w:t>52%</w:t>
      </w:r>
      <w:r w:rsidRPr="001B058A">
        <w:rPr>
          <w:rFonts w:ascii="Arial" w:hAnsi="Arial" w:cs="Arial"/>
          <w:noProof/>
          <w:sz w:val="21"/>
          <w:szCs w:val="21"/>
        </w:rPr>
        <w:t>。实现高新技术产业产值同比增长</w:t>
      </w:r>
      <w:r w:rsidRPr="001B058A">
        <w:rPr>
          <w:rFonts w:ascii="Arial" w:hAnsi="Arial" w:cs="Arial"/>
          <w:noProof/>
          <w:sz w:val="21"/>
          <w:szCs w:val="21"/>
        </w:rPr>
        <w:t>22.9%</w:t>
      </w:r>
      <w:r w:rsidRPr="001B058A">
        <w:rPr>
          <w:rFonts w:ascii="Arial" w:hAnsi="Arial" w:cs="Arial"/>
          <w:noProof/>
          <w:sz w:val="21"/>
          <w:szCs w:val="21"/>
        </w:rPr>
        <w:t>，增幅较去年同期提高</w:t>
      </w:r>
      <w:r w:rsidRPr="001B058A">
        <w:rPr>
          <w:rFonts w:ascii="Arial" w:hAnsi="Arial" w:cs="Arial"/>
          <w:noProof/>
          <w:sz w:val="21"/>
          <w:szCs w:val="21"/>
        </w:rPr>
        <w:t>15.0</w:t>
      </w:r>
      <w:r w:rsidRPr="001B058A">
        <w:rPr>
          <w:rFonts w:ascii="Arial" w:hAnsi="Arial" w:cs="Arial"/>
          <w:noProof/>
          <w:sz w:val="21"/>
          <w:szCs w:val="21"/>
        </w:rPr>
        <w:t>个百分点，高新技术产业产值占全市规上工业比重达到</w:t>
      </w:r>
      <w:r w:rsidRPr="001B058A">
        <w:rPr>
          <w:rFonts w:ascii="Arial" w:hAnsi="Arial" w:cs="Arial"/>
          <w:noProof/>
          <w:sz w:val="21"/>
          <w:szCs w:val="21"/>
        </w:rPr>
        <w:t>52.8%</w:t>
      </w:r>
      <w:r w:rsidRPr="001B058A">
        <w:rPr>
          <w:rFonts w:ascii="Arial" w:hAnsi="Arial" w:cs="Arial"/>
          <w:noProof/>
          <w:sz w:val="21"/>
          <w:szCs w:val="21"/>
        </w:rPr>
        <w:t>，同比提高</w:t>
      </w:r>
      <w:r w:rsidRPr="001B058A">
        <w:rPr>
          <w:rFonts w:ascii="Arial" w:hAnsi="Arial" w:cs="Arial"/>
          <w:noProof/>
          <w:sz w:val="21"/>
          <w:szCs w:val="21"/>
        </w:rPr>
        <w:t>2.3</w:t>
      </w:r>
      <w:r w:rsidRPr="001B058A">
        <w:rPr>
          <w:rFonts w:ascii="Arial" w:hAnsi="Arial" w:cs="Arial"/>
          <w:noProof/>
          <w:sz w:val="21"/>
          <w:szCs w:val="21"/>
        </w:rPr>
        <w:t>个百分点。</w:t>
      </w:r>
    </w:p>
    <w:p w14:paraId="7D1F073A" w14:textId="4B690F1F" w:rsidR="001B058A" w:rsidRPr="001B058A" w:rsidRDefault="001B058A" w:rsidP="001B058A">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w:t>
      </w:r>
      <w:r>
        <w:rPr>
          <w:rFonts w:ascii="Arial" w:hAnsi="Arial" w:cs="Arial" w:hint="eastAsia"/>
          <w:noProof/>
          <w:sz w:val="21"/>
          <w:szCs w:val="21"/>
        </w:rPr>
        <w:t>2</w:t>
      </w:r>
      <w:r>
        <w:rPr>
          <w:rFonts w:ascii="Arial" w:hAnsi="Arial" w:cs="Arial" w:hint="eastAsia"/>
          <w:noProof/>
          <w:sz w:val="21"/>
          <w:szCs w:val="21"/>
        </w:rPr>
        <w:t>）</w:t>
      </w:r>
      <w:r w:rsidRPr="001B058A">
        <w:rPr>
          <w:rFonts w:ascii="Arial" w:hAnsi="Arial" w:cs="Arial" w:hint="eastAsia"/>
          <w:noProof/>
          <w:sz w:val="21"/>
          <w:szCs w:val="21"/>
        </w:rPr>
        <w:t>供给质量持续提升。先进制造业快速发展。一季度，规模以上高技术制造业增加值同比增长</w:t>
      </w:r>
      <w:r w:rsidRPr="001B058A">
        <w:rPr>
          <w:rFonts w:ascii="Arial" w:hAnsi="Arial" w:cs="Arial"/>
          <w:noProof/>
          <w:sz w:val="21"/>
          <w:szCs w:val="21"/>
        </w:rPr>
        <w:lastRenderedPageBreak/>
        <w:t>33.1%</w:t>
      </w:r>
      <w:r w:rsidRPr="001B058A">
        <w:rPr>
          <w:rFonts w:ascii="Arial" w:hAnsi="Arial" w:cs="Arial"/>
          <w:noProof/>
          <w:sz w:val="21"/>
          <w:szCs w:val="21"/>
        </w:rPr>
        <w:t>，两年平均增长</w:t>
      </w:r>
      <w:r w:rsidRPr="001B058A">
        <w:rPr>
          <w:rFonts w:ascii="Arial" w:hAnsi="Arial" w:cs="Arial"/>
          <w:noProof/>
          <w:sz w:val="21"/>
          <w:szCs w:val="21"/>
        </w:rPr>
        <w:t>27.9%</w:t>
      </w:r>
      <w:r w:rsidRPr="001B058A">
        <w:rPr>
          <w:rFonts w:ascii="Arial" w:hAnsi="Arial" w:cs="Arial"/>
          <w:noProof/>
          <w:sz w:val="21"/>
          <w:szCs w:val="21"/>
        </w:rPr>
        <w:t>。战略性新兴产业产值同比增长</w:t>
      </w:r>
      <w:r w:rsidRPr="001B058A">
        <w:rPr>
          <w:rFonts w:ascii="Arial" w:hAnsi="Arial" w:cs="Arial"/>
          <w:noProof/>
          <w:sz w:val="21"/>
          <w:szCs w:val="21"/>
        </w:rPr>
        <w:t>36.6%</w:t>
      </w:r>
      <w:r w:rsidRPr="001B058A">
        <w:rPr>
          <w:rFonts w:ascii="Arial" w:hAnsi="Arial" w:cs="Arial"/>
          <w:noProof/>
          <w:sz w:val="21"/>
          <w:szCs w:val="21"/>
        </w:rPr>
        <w:t>。集成电路、轨道交通、新能源汽车增加值分别增长</w:t>
      </w:r>
      <w:r w:rsidRPr="001B058A">
        <w:rPr>
          <w:rFonts w:ascii="Arial" w:hAnsi="Arial" w:cs="Arial"/>
          <w:noProof/>
          <w:sz w:val="21"/>
          <w:szCs w:val="21"/>
        </w:rPr>
        <w:t>64.3%</w:t>
      </w:r>
      <w:r w:rsidRPr="001B058A">
        <w:rPr>
          <w:rFonts w:ascii="Arial" w:hAnsi="Arial" w:cs="Arial"/>
          <w:noProof/>
          <w:sz w:val="21"/>
          <w:szCs w:val="21"/>
        </w:rPr>
        <w:t>、</w:t>
      </w:r>
      <w:r w:rsidRPr="001B058A">
        <w:rPr>
          <w:rFonts w:ascii="Arial" w:hAnsi="Arial" w:cs="Arial"/>
          <w:noProof/>
          <w:sz w:val="21"/>
          <w:szCs w:val="21"/>
        </w:rPr>
        <w:t>38.1%</w:t>
      </w:r>
      <w:r w:rsidRPr="001B058A">
        <w:rPr>
          <w:rFonts w:ascii="Arial" w:hAnsi="Arial" w:cs="Arial"/>
          <w:noProof/>
          <w:sz w:val="21"/>
          <w:szCs w:val="21"/>
        </w:rPr>
        <w:t>、</w:t>
      </w:r>
      <w:r w:rsidRPr="001B058A">
        <w:rPr>
          <w:rFonts w:ascii="Arial" w:hAnsi="Arial" w:cs="Arial"/>
          <w:noProof/>
          <w:sz w:val="21"/>
          <w:szCs w:val="21"/>
        </w:rPr>
        <w:t>25.4%</w:t>
      </w:r>
      <w:r w:rsidRPr="001B058A">
        <w:rPr>
          <w:rFonts w:ascii="Arial" w:hAnsi="Arial" w:cs="Arial"/>
          <w:noProof/>
          <w:sz w:val="21"/>
          <w:szCs w:val="21"/>
        </w:rPr>
        <w:t>，两年平均分别增长</w:t>
      </w:r>
      <w:r w:rsidRPr="001B058A">
        <w:rPr>
          <w:rFonts w:ascii="Arial" w:hAnsi="Arial" w:cs="Arial"/>
          <w:noProof/>
          <w:sz w:val="21"/>
          <w:szCs w:val="21"/>
        </w:rPr>
        <w:t>54.5%</w:t>
      </w:r>
      <w:r w:rsidRPr="001B058A">
        <w:rPr>
          <w:rFonts w:ascii="Arial" w:hAnsi="Arial" w:cs="Arial"/>
          <w:noProof/>
          <w:sz w:val="21"/>
          <w:szCs w:val="21"/>
        </w:rPr>
        <w:t>、</w:t>
      </w:r>
      <w:r w:rsidRPr="001B058A">
        <w:rPr>
          <w:rFonts w:ascii="Arial" w:hAnsi="Arial" w:cs="Arial"/>
          <w:noProof/>
          <w:sz w:val="21"/>
          <w:szCs w:val="21"/>
        </w:rPr>
        <w:t>34.3%</w:t>
      </w:r>
      <w:r w:rsidRPr="001B058A">
        <w:rPr>
          <w:rFonts w:ascii="Arial" w:hAnsi="Arial" w:cs="Arial"/>
          <w:noProof/>
          <w:sz w:val="21"/>
          <w:szCs w:val="21"/>
        </w:rPr>
        <w:t>、</w:t>
      </w:r>
      <w:r w:rsidRPr="001B058A">
        <w:rPr>
          <w:rFonts w:ascii="Arial" w:hAnsi="Arial" w:cs="Arial"/>
          <w:noProof/>
          <w:sz w:val="21"/>
          <w:szCs w:val="21"/>
        </w:rPr>
        <w:t>33.9%</w:t>
      </w:r>
      <w:r w:rsidRPr="001B058A">
        <w:rPr>
          <w:rFonts w:ascii="Arial" w:hAnsi="Arial" w:cs="Arial"/>
          <w:noProof/>
          <w:sz w:val="21"/>
          <w:szCs w:val="21"/>
        </w:rPr>
        <w:t>。集成电路、城市轨道车辆、工业机器人、锂离子电池等新兴产品产量分别增长</w:t>
      </w:r>
      <w:r w:rsidRPr="001B058A">
        <w:rPr>
          <w:rFonts w:ascii="Arial" w:hAnsi="Arial" w:cs="Arial"/>
          <w:noProof/>
          <w:sz w:val="21"/>
          <w:szCs w:val="21"/>
        </w:rPr>
        <w:t>131.3%</w:t>
      </w:r>
      <w:r w:rsidRPr="001B058A">
        <w:rPr>
          <w:rFonts w:ascii="Arial" w:hAnsi="Arial" w:cs="Arial"/>
          <w:noProof/>
          <w:sz w:val="21"/>
          <w:szCs w:val="21"/>
        </w:rPr>
        <w:t>、</w:t>
      </w:r>
      <w:r w:rsidRPr="001B058A">
        <w:rPr>
          <w:rFonts w:ascii="Arial" w:hAnsi="Arial" w:cs="Arial"/>
          <w:noProof/>
          <w:sz w:val="21"/>
          <w:szCs w:val="21"/>
        </w:rPr>
        <w:t>122.4%</w:t>
      </w:r>
      <w:r w:rsidRPr="001B058A">
        <w:rPr>
          <w:rFonts w:ascii="Arial" w:hAnsi="Arial" w:cs="Arial"/>
          <w:noProof/>
          <w:sz w:val="21"/>
          <w:szCs w:val="21"/>
        </w:rPr>
        <w:t>、</w:t>
      </w:r>
      <w:r w:rsidRPr="001B058A">
        <w:rPr>
          <w:rFonts w:ascii="Arial" w:hAnsi="Arial" w:cs="Arial"/>
          <w:noProof/>
          <w:sz w:val="21"/>
          <w:szCs w:val="21"/>
        </w:rPr>
        <w:t>103.5%</w:t>
      </w:r>
      <w:r w:rsidRPr="001B058A">
        <w:rPr>
          <w:rFonts w:ascii="Arial" w:hAnsi="Arial" w:cs="Arial"/>
          <w:noProof/>
          <w:sz w:val="21"/>
          <w:szCs w:val="21"/>
        </w:rPr>
        <w:t>、</w:t>
      </w:r>
      <w:r w:rsidRPr="001B058A">
        <w:rPr>
          <w:rFonts w:ascii="Arial" w:hAnsi="Arial" w:cs="Arial"/>
          <w:noProof/>
          <w:sz w:val="21"/>
          <w:szCs w:val="21"/>
        </w:rPr>
        <w:t>93.2%</w:t>
      </w:r>
      <w:r w:rsidRPr="001B058A">
        <w:rPr>
          <w:rFonts w:ascii="Arial" w:hAnsi="Arial" w:cs="Arial"/>
          <w:noProof/>
          <w:sz w:val="21"/>
          <w:szCs w:val="21"/>
        </w:rPr>
        <w:t>，两年平均分别增长</w:t>
      </w:r>
      <w:r w:rsidRPr="001B058A">
        <w:rPr>
          <w:rFonts w:ascii="Arial" w:hAnsi="Arial" w:cs="Arial"/>
          <w:noProof/>
          <w:sz w:val="21"/>
          <w:szCs w:val="21"/>
        </w:rPr>
        <w:t>104.3%</w:t>
      </w:r>
      <w:r w:rsidRPr="001B058A">
        <w:rPr>
          <w:rFonts w:ascii="Arial" w:hAnsi="Arial" w:cs="Arial"/>
          <w:noProof/>
          <w:sz w:val="21"/>
          <w:szCs w:val="21"/>
        </w:rPr>
        <w:t>、</w:t>
      </w:r>
      <w:r w:rsidRPr="001B058A">
        <w:rPr>
          <w:rFonts w:ascii="Arial" w:hAnsi="Arial" w:cs="Arial"/>
          <w:noProof/>
          <w:sz w:val="21"/>
          <w:szCs w:val="21"/>
        </w:rPr>
        <w:t>48.0%</w:t>
      </w:r>
      <w:r w:rsidRPr="001B058A">
        <w:rPr>
          <w:rFonts w:ascii="Arial" w:hAnsi="Arial" w:cs="Arial"/>
          <w:noProof/>
          <w:sz w:val="21"/>
          <w:szCs w:val="21"/>
        </w:rPr>
        <w:t>、</w:t>
      </w:r>
      <w:r w:rsidRPr="001B058A">
        <w:rPr>
          <w:rFonts w:ascii="Arial" w:hAnsi="Arial" w:cs="Arial"/>
          <w:noProof/>
          <w:sz w:val="21"/>
          <w:szCs w:val="21"/>
        </w:rPr>
        <w:t>274.4%</w:t>
      </w:r>
      <w:r w:rsidRPr="001B058A">
        <w:rPr>
          <w:rFonts w:ascii="Arial" w:hAnsi="Arial" w:cs="Arial"/>
          <w:noProof/>
          <w:sz w:val="21"/>
          <w:szCs w:val="21"/>
        </w:rPr>
        <w:t>、</w:t>
      </w:r>
      <w:r w:rsidRPr="001B058A">
        <w:rPr>
          <w:rFonts w:ascii="Arial" w:hAnsi="Arial" w:cs="Arial"/>
          <w:noProof/>
          <w:sz w:val="21"/>
          <w:szCs w:val="21"/>
        </w:rPr>
        <w:t>39.1%</w:t>
      </w:r>
      <w:r w:rsidRPr="001B058A">
        <w:rPr>
          <w:rFonts w:ascii="Arial" w:hAnsi="Arial" w:cs="Arial"/>
          <w:noProof/>
          <w:sz w:val="21"/>
          <w:szCs w:val="21"/>
        </w:rPr>
        <w:t>。现代服务业发展势头良好。一季度</w:t>
      </w:r>
      <w:r w:rsidRPr="001B058A">
        <w:rPr>
          <w:rFonts w:ascii="Arial" w:hAnsi="Arial" w:cs="Arial" w:hint="eastAsia"/>
          <w:noProof/>
          <w:sz w:val="21"/>
          <w:szCs w:val="21"/>
        </w:rPr>
        <w:t>，金融业、信息传输软件和信息技术服务业增加值分别增长</w:t>
      </w:r>
      <w:r w:rsidRPr="001B058A">
        <w:rPr>
          <w:rFonts w:ascii="Arial" w:hAnsi="Arial" w:cs="Arial"/>
          <w:noProof/>
          <w:sz w:val="21"/>
          <w:szCs w:val="21"/>
        </w:rPr>
        <w:t>9.0%</w:t>
      </w:r>
      <w:r w:rsidRPr="001B058A">
        <w:rPr>
          <w:rFonts w:ascii="Arial" w:hAnsi="Arial" w:cs="Arial"/>
          <w:noProof/>
          <w:sz w:val="21"/>
          <w:szCs w:val="21"/>
        </w:rPr>
        <w:t>、</w:t>
      </w:r>
      <w:r w:rsidRPr="001B058A">
        <w:rPr>
          <w:rFonts w:ascii="Arial" w:hAnsi="Arial" w:cs="Arial"/>
          <w:noProof/>
          <w:sz w:val="21"/>
          <w:szCs w:val="21"/>
        </w:rPr>
        <w:t>20.7%</w:t>
      </w:r>
      <w:r w:rsidRPr="001B058A">
        <w:rPr>
          <w:rFonts w:ascii="Arial" w:hAnsi="Arial" w:cs="Arial"/>
          <w:noProof/>
          <w:sz w:val="21"/>
          <w:szCs w:val="21"/>
        </w:rPr>
        <w:t>，两年平均分别增长</w:t>
      </w:r>
      <w:r w:rsidRPr="001B058A">
        <w:rPr>
          <w:rFonts w:ascii="Arial" w:hAnsi="Arial" w:cs="Arial"/>
          <w:noProof/>
          <w:sz w:val="21"/>
          <w:szCs w:val="21"/>
        </w:rPr>
        <w:t>7.6%</w:t>
      </w:r>
      <w:r w:rsidRPr="001B058A">
        <w:rPr>
          <w:rFonts w:ascii="Arial" w:hAnsi="Arial" w:cs="Arial"/>
          <w:noProof/>
          <w:sz w:val="21"/>
          <w:szCs w:val="21"/>
        </w:rPr>
        <w:t>、</w:t>
      </w:r>
      <w:r w:rsidRPr="001B058A">
        <w:rPr>
          <w:rFonts w:ascii="Arial" w:hAnsi="Arial" w:cs="Arial"/>
          <w:noProof/>
          <w:sz w:val="21"/>
          <w:szCs w:val="21"/>
        </w:rPr>
        <w:t>21.7%</w:t>
      </w:r>
      <w:r w:rsidRPr="001B058A">
        <w:rPr>
          <w:rFonts w:ascii="Arial" w:hAnsi="Arial" w:cs="Arial"/>
          <w:noProof/>
          <w:sz w:val="21"/>
          <w:szCs w:val="21"/>
        </w:rPr>
        <w:t>。快递业务量同比增长</w:t>
      </w:r>
      <w:r w:rsidRPr="001B058A">
        <w:rPr>
          <w:rFonts w:ascii="Arial" w:hAnsi="Arial" w:cs="Arial"/>
          <w:noProof/>
          <w:sz w:val="21"/>
          <w:szCs w:val="21"/>
        </w:rPr>
        <w:t>49.2%</w:t>
      </w:r>
      <w:r w:rsidRPr="001B058A">
        <w:rPr>
          <w:rFonts w:ascii="Arial" w:hAnsi="Arial" w:cs="Arial"/>
          <w:noProof/>
          <w:sz w:val="21"/>
          <w:szCs w:val="21"/>
        </w:rPr>
        <w:t>、电信业务总量增长</w:t>
      </w:r>
      <w:r w:rsidRPr="001B058A">
        <w:rPr>
          <w:rFonts w:ascii="Arial" w:hAnsi="Arial" w:cs="Arial"/>
          <w:noProof/>
          <w:sz w:val="21"/>
          <w:szCs w:val="21"/>
        </w:rPr>
        <w:t>31%</w:t>
      </w:r>
      <w:r w:rsidRPr="001B058A">
        <w:rPr>
          <w:rFonts w:ascii="Arial" w:hAnsi="Arial" w:cs="Arial"/>
          <w:noProof/>
          <w:sz w:val="21"/>
          <w:szCs w:val="21"/>
        </w:rPr>
        <w:t>。</w:t>
      </w:r>
    </w:p>
    <w:p w14:paraId="07A6A81D" w14:textId="3BDE2919" w:rsidR="001B058A" w:rsidRPr="001B058A" w:rsidRDefault="001B058A" w:rsidP="001B058A">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w:t>
      </w:r>
      <w:r>
        <w:rPr>
          <w:rFonts w:ascii="Arial" w:hAnsi="Arial" w:cs="Arial" w:hint="eastAsia"/>
          <w:noProof/>
          <w:sz w:val="21"/>
          <w:szCs w:val="21"/>
        </w:rPr>
        <w:t>3</w:t>
      </w:r>
      <w:r>
        <w:rPr>
          <w:rFonts w:ascii="Arial" w:hAnsi="Arial" w:cs="Arial" w:hint="eastAsia"/>
          <w:noProof/>
          <w:sz w:val="21"/>
          <w:szCs w:val="21"/>
        </w:rPr>
        <w:t>）</w:t>
      </w:r>
      <w:r w:rsidRPr="001B058A">
        <w:rPr>
          <w:rFonts w:ascii="Arial" w:hAnsi="Arial" w:cs="Arial" w:hint="eastAsia"/>
          <w:noProof/>
          <w:sz w:val="21"/>
          <w:szCs w:val="21"/>
        </w:rPr>
        <w:t>内生动力不断集聚。网上零售高位增长。一季度，限额以上企业通过公共网络实现的商品零售额</w:t>
      </w:r>
      <w:r w:rsidRPr="001B058A">
        <w:rPr>
          <w:rFonts w:ascii="Arial" w:hAnsi="Arial" w:cs="Arial"/>
          <w:noProof/>
          <w:sz w:val="21"/>
          <w:szCs w:val="21"/>
        </w:rPr>
        <w:t>199.87</w:t>
      </w:r>
      <w:r w:rsidRPr="001B058A">
        <w:rPr>
          <w:rFonts w:ascii="Arial" w:hAnsi="Arial" w:cs="Arial"/>
          <w:noProof/>
          <w:sz w:val="21"/>
          <w:szCs w:val="21"/>
        </w:rPr>
        <w:t>亿元，同比增长</w:t>
      </w:r>
      <w:r w:rsidRPr="001B058A">
        <w:rPr>
          <w:rFonts w:ascii="Arial" w:hAnsi="Arial" w:cs="Arial"/>
          <w:noProof/>
          <w:sz w:val="21"/>
          <w:szCs w:val="21"/>
        </w:rPr>
        <w:t>46.3%</w:t>
      </w:r>
      <w:r w:rsidRPr="001B058A">
        <w:rPr>
          <w:rFonts w:ascii="Arial" w:hAnsi="Arial" w:cs="Arial"/>
          <w:noProof/>
          <w:sz w:val="21"/>
          <w:szCs w:val="21"/>
        </w:rPr>
        <w:t>，两年平均增长</w:t>
      </w:r>
      <w:r w:rsidRPr="001B058A">
        <w:rPr>
          <w:rFonts w:ascii="Arial" w:hAnsi="Arial" w:cs="Arial"/>
          <w:noProof/>
          <w:sz w:val="21"/>
          <w:szCs w:val="21"/>
        </w:rPr>
        <w:t>38.6%</w:t>
      </w:r>
      <w:r w:rsidRPr="001B058A">
        <w:rPr>
          <w:rFonts w:ascii="Arial" w:hAnsi="Arial" w:cs="Arial"/>
          <w:noProof/>
          <w:sz w:val="21"/>
          <w:szCs w:val="21"/>
        </w:rPr>
        <w:t>。网上商店实现零售额</w:t>
      </w:r>
      <w:r w:rsidRPr="001B058A">
        <w:rPr>
          <w:rFonts w:ascii="Arial" w:hAnsi="Arial" w:cs="Arial"/>
          <w:noProof/>
          <w:sz w:val="21"/>
          <w:szCs w:val="21"/>
        </w:rPr>
        <w:t>142.73</w:t>
      </w:r>
      <w:r w:rsidRPr="001B058A">
        <w:rPr>
          <w:rFonts w:ascii="Arial" w:hAnsi="Arial" w:cs="Arial"/>
          <w:noProof/>
          <w:sz w:val="21"/>
          <w:szCs w:val="21"/>
        </w:rPr>
        <w:t>亿元，同比增长</w:t>
      </w:r>
      <w:r w:rsidRPr="001B058A">
        <w:rPr>
          <w:rFonts w:ascii="Arial" w:hAnsi="Arial" w:cs="Arial"/>
          <w:noProof/>
          <w:sz w:val="21"/>
          <w:szCs w:val="21"/>
        </w:rPr>
        <w:t>35%</w:t>
      </w:r>
      <w:r w:rsidRPr="001B058A">
        <w:rPr>
          <w:rFonts w:ascii="Arial" w:hAnsi="Arial" w:cs="Arial"/>
          <w:noProof/>
          <w:sz w:val="21"/>
          <w:szCs w:val="21"/>
        </w:rPr>
        <w:t>。投资向质量效益型转变。一季度，高技术制造业中，计算机及办公设备制造业、医疗仪器设备及仪器仪表制造业、医药制造业投资分别增长</w:t>
      </w:r>
      <w:r w:rsidRPr="001B058A">
        <w:rPr>
          <w:rFonts w:ascii="Arial" w:hAnsi="Arial" w:cs="Arial"/>
          <w:noProof/>
          <w:sz w:val="21"/>
          <w:szCs w:val="21"/>
        </w:rPr>
        <w:t>84.8%</w:t>
      </w:r>
      <w:r w:rsidRPr="001B058A">
        <w:rPr>
          <w:rFonts w:ascii="Arial" w:hAnsi="Arial" w:cs="Arial"/>
          <w:noProof/>
          <w:sz w:val="21"/>
          <w:szCs w:val="21"/>
        </w:rPr>
        <w:t>、</w:t>
      </w:r>
      <w:r w:rsidRPr="001B058A">
        <w:rPr>
          <w:rFonts w:ascii="Arial" w:hAnsi="Arial" w:cs="Arial"/>
          <w:noProof/>
          <w:sz w:val="21"/>
          <w:szCs w:val="21"/>
        </w:rPr>
        <w:t>30.5%</w:t>
      </w:r>
      <w:r w:rsidRPr="001B058A">
        <w:rPr>
          <w:rFonts w:ascii="Arial" w:hAnsi="Arial" w:cs="Arial"/>
          <w:noProof/>
          <w:sz w:val="21"/>
          <w:szCs w:val="21"/>
        </w:rPr>
        <w:t>、</w:t>
      </w:r>
      <w:r w:rsidRPr="001B058A">
        <w:rPr>
          <w:rFonts w:ascii="Arial" w:hAnsi="Arial" w:cs="Arial"/>
          <w:noProof/>
          <w:sz w:val="21"/>
          <w:szCs w:val="21"/>
        </w:rPr>
        <w:t>25.4%</w:t>
      </w:r>
      <w:r w:rsidRPr="001B058A">
        <w:rPr>
          <w:rFonts w:ascii="Arial" w:hAnsi="Arial" w:cs="Arial"/>
          <w:noProof/>
          <w:sz w:val="21"/>
          <w:szCs w:val="21"/>
        </w:rPr>
        <w:t>。高技术服务业中，检验检测服务、环境监测及治理服务、科技成果转化服务投资分别增长</w:t>
      </w:r>
      <w:r w:rsidRPr="001B058A">
        <w:rPr>
          <w:rFonts w:ascii="Arial" w:hAnsi="Arial" w:cs="Arial"/>
          <w:noProof/>
          <w:sz w:val="21"/>
          <w:szCs w:val="21"/>
        </w:rPr>
        <w:t>220.8%</w:t>
      </w:r>
      <w:r w:rsidRPr="001B058A">
        <w:rPr>
          <w:rFonts w:ascii="Arial" w:hAnsi="Arial" w:cs="Arial"/>
          <w:noProof/>
          <w:sz w:val="21"/>
          <w:szCs w:val="21"/>
        </w:rPr>
        <w:t>、</w:t>
      </w:r>
      <w:r w:rsidRPr="001B058A">
        <w:rPr>
          <w:rFonts w:ascii="Arial" w:hAnsi="Arial" w:cs="Arial"/>
          <w:noProof/>
          <w:sz w:val="21"/>
          <w:szCs w:val="21"/>
        </w:rPr>
        <w:t>175.6%</w:t>
      </w:r>
      <w:r w:rsidRPr="001B058A">
        <w:rPr>
          <w:rFonts w:ascii="Arial" w:hAnsi="Arial" w:cs="Arial"/>
          <w:noProof/>
          <w:sz w:val="21"/>
          <w:szCs w:val="21"/>
        </w:rPr>
        <w:t>、</w:t>
      </w:r>
      <w:r w:rsidRPr="001B058A">
        <w:rPr>
          <w:rFonts w:ascii="Arial" w:hAnsi="Arial" w:cs="Arial"/>
          <w:noProof/>
          <w:sz w:val="21"/>
          <w:szCs w:val="21"/>
        </w:rPr>
        <w:t>17.1%</w:t>
      </w:r>
      <w:r w:rsidRPr="001B058A">
        <w:rPr>
          <w:rFonts w:ascii="Arial" w:hAnsi="Arial" w:cs="Arial"/>
          <w:noProof/>
          <w:sz w:val="21"/>
          <w:szCs w:val="21"/>
        </w:rPr>
        <w:t>。外贸结构不断优化。一季度，一般贸</w:t>
      </w:r>
      <w:r w:rsidRPr="001B058A">
        <w:rPr>
          <w:rFonts w:ascii="Arial" w:hAnsi="Arial" w:cs="Arial" w:hint="eastAsia"/>
          <w:noProof/>
          <w:sz w:val="21"/>
          <w:szCs w:val="21"/>
        </w:rPr>
        <w:t>易进出口同比增长</w:t>
      </w:r>
      <w:r w:rsidRPr="001B058A">
        <w:rPr>
          <w:rFonts w:ascii="Arial" w:hAnsi="Arial" w:cs="Arial"/>
          <w:noProof/>
          <w:sz w:val="21"/>
          <w:szCs w:val="21"/>
        </w:rPr>
        <w:t>44.9%</w:t>
      </w:r>
      <w:r w:rsidRPr="001B058A">
        <w:rPr>
          <w:rFonts w:ascii="Arial" w:hAnsi="Arial" w:cs="Arial"/>
          <w:noProof/>
          <w:sz w:val="21"/>
          <w:szCs w:val="21"/>
        </w:rPr>
        <w:t>。机电产品、高新技术产品出口分别增长</w:t>
      </w:r>
      <w:r w:rsidRPr="001B058A">
        <w:rPr>
          <w:rFonts w:ascii="Arial" w:hAnsi="Arial" w:cs="Arial"/>
          <w:noProof/>
          <w:sz w:val="21"/>
          <w:szCs w:val="21"/>
        </w:rPr>
        <w:t>55.5%</w:t>
      </w:r>
      <w:r w:rsidRPr="001B058A">
        <w:rPr>
          <w:rFonts w:ascii="Arial" w:hAnsi="Arial" w:cs="Arial"/>
          <w:noProof/>
          <w:sz w:val="21"/>
          <w:szCs w:val="21"/>
        </w:rPr>
        <w:t>、</w:t>
      </w:r>
      <w:r w:rsidRPr="001B058A">
        <w:rPr>
          <w:rFonts w:ascii="Arial" w:hAnsi="Arial" w:cs="Arial"/>
          <w:noProof/>
          <w:sz w:val="21"/>
          <w:szCs w:val="21"/>
        </w:rPr>
        <w:t>41.2%</w:t>
      </w:r>
      <w:r w:rsidRPr="001B058A">
        <w:rPr>
          <w:rFonts w:ascii="Arial" w:hAnsi="Arial" w:cs="Arial"/>
          <w:noProof/>
          <w:sz w:val="21"/>
          <w:szCs w:val="21"/>
        </w:rPr>
        <w:t>。</w:t>
      </w:r>
    </w:p>
    <w:p w14:paraId="5B672E94" w14:textId="2B265F12" w:rsidR="001B058A" w:rsidRPr="001B058A" w:rsidRDefault="001B058A" w:rsidP="001B058A">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w:t>
      </w:r>
      <w:r>
        <w:rPr>
          <w:rFonts w:ascii="Arial" w:hAnsi="Arial" w:cs="Arial" w:hint="eastAsia"/>
          <w:noProof/>
          <w:sz w:val="21"/>
          <w:szCs w:val="21"/>
        </w:rPr>
        <w:t>4</w:t>
      </w:r>
      <w:r>
        <w:rPr>
          <w:rFonts w:ascii="Arial" w:hAnsi="Arial" w:cs="Arial" w:hint="eastAsia"/>
          <w:noProof/>
          <w:sz w:val="21"/>
          <w:szCs w:val="21"/>
        </w:rPr>
        <w:t>）</w:t>
      </w:r>
      <w:r w:rsidRPr="001B058A">
        <w:rPr>
          <w:rFonts w:ascii="Arial" w:hAnsi="Arial" w:cs="Arial" w:hint="eastAsia"/>
          <w:noProof/>
          <w:sz w:val="21"/>
          <w:szCs w:val="21"/>
        </w:rPr>
        <w:t>市场活力有效激发。一季度，新增市场主体</w:t>
      </w:r>
      <w:r w:rsidRPr="001B058A">
        <w:rPr>
          <w:rFonts w:ascii="Arial" w:hAnsi="Arial" w:cs="Arial"/>
          <w:noProof/>
          <w:sz w:val="21"/>
          <w:szCs w:val="21"/>
        </w:rPr>
        <w:t>7.35</w:t>
      </w:r>
      <w:r w:rsidRPr="001B058A">
        <w:rPr>
          <w:rFonts w:ascii="Arial" w:hAnsi="Arial" w:cs="Arial"/>
          <w:noProof/>
          <w:sz w:val="21"/>
          <w:szCs w:val="21"/>
        </w:rPr>
        <w:t>万户，同比增长</w:t>
      </w:r>
      <w:r w:rsidRPr="001B058A">
        <w:rPr>
          <w:rFonts w:ascii="Arial" w:hAnsi="Arial" w:cs="Arial"/>
          <w:noProof/>
          <w:sz w:val="21"/>
          <w:szCs w:val="21"/>
        </w:rPr>
        <w:t>154.9%</w:t>
      </w:r>
      <w:r w:rsidRPr="001B058A">
        <w:rPr>
          <w:rFonts w:ascii="Arial" w:hAnsi="Arial" w:cs="Arial"/>
          <w:noProof/>
          <w:sz w:val="21"/>
          <w:szCs w:val="21"/>
        </w:rPr>
        <w:t>；新增企业</w:t>
      </w:r>
      <w:r w:rsidRPr="001B058A">
        <w:rPr>
          <w:rFonts w:ascii="Arial" w:hAnsi="Arial" w:cs="Arial"/>
          <w:noProof/>
          <w:sz w:val="21"/>
          <w:szCs w:val="21"/>
        </w:rPr>
        <w:t>2.39</w:t>
      </w:r>
      <w:r w:rsidRPr="001B058A">
        <w:rPr>
          <w:rFonts w:ascii="Arial" w:hAnsi="Arial" w:cs="Arial"/>
          <w:noProof/>
          <w:sz w:val="21"/>
          <w:szCs w:val="21"/>
        </w:rPr>
        <w:t>万家，增长</w:t>
      </w:r>
      <w:r w:rsidRPr="001B058A">
        <w:rPr>
          <w:rFonts w:ascii="Arial" w:hAnsi="Arial" w:cs="Arial"/>
          <w:noProof/>
          <w:sz w:val="21"/>
          <w:szCs w:val="21"/>
        </w:rPr>
        <w:t>93.7%</w:t>
      </w:r>
      <w:r w:rsidRPr="001B058A">
        <w:rPr>
          <w:rFonts w:ascii="Arial" w:hAnsi="Arial" w:cs="Arial"/>
          <w:noProof/>
          <w:sz w:val="21"/>
          <w:szCs w:val="21"/>
        </w:rPr>
        <w:t>。规上民营工业企业增加值增长</w:t>
      </w:r>
      <w:r w:rsidRPr="001B058A">
        <w:rPr>
          <w:rFonts w:ascii="Arial" w:hAnsi="Arial" w:cs="Arial"/>
          <w:noProof/>
          <w:sz w:val="21"/>
          <w:szCs w:val="21"/>
        </w:rPr>
        <w:t>38.8%</w:t>
      </w:r>
      <w:r w:rsidRPr="001B058A">
        <w:rPr>
          <w:rFonts w:ascii="Arial" w:hAnsi="Arial" w:cs="Arial"/>
          <w:noProof/>
          <w:sz w:val="21"/>
          <w:szCs w:val="21"/>
        </w:rPr>
        <w:t>。民营企业进出口增长</w:t>
      </w:r>
      <w:r w:rsidRPr="001B058A">
        <w:rPr>
          <w:rFonts w:ascii="Arial" w:hAnsi="Arial" w:cs="Arial"/>
          <w:noProof/>
          <w:sz w:val="21"/>
          <w:szCs w:val="21"/>
        </w:rPr>
        <w:t>67.4%</w:t>
      </w:r>
      <w:r w:rsidRPr="001B058A">
        <w:rPr>
          <w:rFonts w:ascii="Arial" w:hAnsi="Arial" w:cs="Arial"/>
          <w:noProof/>
          <w:sz w:val="21"/>
          <w:szCs w:val="21"/>
        </w:rPr>
        <w:t>。小微型工业企业增加值同比增长</w:t>
      </w:r>
      <w:r w:rsidRPr="001B058A">
        <w:rPr>
          <w:rFonts w:ascii="Arial" w:hAnsi="Arial" w:cs="Arial"/>
          <w:noProof/>
          <w:sz w:val="21"/>
          <w:szCs w:val="21"/>
        </w:rPr>
        <w:t>33.7%</w:t>
      </w:r>
      <w:r w:rsidRPr="001B058A">
        <w:rPr>
          <w:rFonts w:ascii="Arial" w:hAnsi="Arial" w:cs="Arial"/>
          <w:noProof/>
          <w:sz w:val="21"/>
          <w:szCs w:val="21"/>
        </w:rPr>
        <w:t>。</w:t>
      </w:r>
    </w:p>
    <w:p w14:paraId="719ADE88" w14:textId="287683A1" w:rsidR="001B058A" w:rsidRPr="001B058A" w:rsidRDefault="001B058A" w:rsidP="001B058A">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3.</w:t>
      </w:r>
      <w:r w:rsidRPr="001B058A">
        <w:rPr>
          <w:rFonts w:ascii="Arial" w:hAnsi="Arial" w:cs="Arial" w:hint="eastAsia"/>
          <w:noProof/>
          <w:sz w:val="21"/>
          <w:szCs w:val="21"/>
        </w:rPr>
        <w:t>收益水平提升，质量效益持续向好</w:t>
      </w:r>
    </w:p>
    <w:p w14:paraId="13CCECFF" w14:textId="3F1FB1AE" w:rsidR="001B058A" w:rsidRPr="001B058A" w:rsidRDefault="001B058A" w:rsidP="001B058A">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w:t>
      </w:r>
      <w:r>
        <w:rPr>
          <w:rFonts w:ascii="Arial" w:hAnsi="Arial" w:cs="Arial" w:hint="eastAsia"/>
          <w:noProof/>
          <w:sz w:val="21"/>
          <w:szCs w:val="21"/>
        </w:rPr>
        <w:t>1</w:t>
      </w:r>
      <w:r>
        <w:rPr>
          <w:rFonts w:ascii="Arial" w:hAnsi="Arial" w:cs="Arial" w:hint="eastAsia"/>
          <w:noProof/>
          <w:sz w:val="21"/>
          <w:szCs w:val="21"/>
        </w:rPr>
        <w:t>）</w:t>
      </w:r>
      <w:r w:rsidRPr="001B058A">
        <w:rPr>
          <w:rFonts w:ascii="Arial" w:hAnsi="Arial" w:cs="Arial" w:hint="eastAsia"/>
          <w:noProof/>
          <w:sz w:val="21"/>
          <w:szCs w:val="21"/>
        </w:rPr>
        <w:t>财政收入稳步回升。一季度，全市一般公共预算收入</w:t>
      </w:r>
      <w:r w:rsidRPr="001B058A">
        <w:rPr>
          <w:rFonts w:ascii="Arial" w:hAnsi="Arial" w:cs="Arial"/>
          <w:noProof/>
          <w:sz w:val="21"/>
          <w:szCs w:val="21"/>
        </w:rPr>
        <w:t>497</w:t>
      </w:r>
      <w:r w:rsidRPr="001B058A">
        <w:rPr>
          <w:rFonts w:ascii="Arial" w:hAnsi="Arial" w:cs="Arial"/>
          <w:noProof/>
          <w:sz w:val="21"/>
          <w:szCs w:val="21"/>
        </w:rPr>
        <w:t>亿元，同比增长</w:t>
      </w:r>
      <w:r w:rsidRPr="001B058A">
        <w:rPr>
          <w:rFonts w:ascii="Arial" w:hAnsi="Arial" w:cs="Arial"/>
          <w:noProof/>
          <w:sz w:val="21"/>
          <w:szCs w:val="21"/>
        </w:rPr>
        <w:t>22.1%</w:t>
      </w:r>
      <w:r w:rsidRPr="001B058A">
        <w:rPr>
          <w:rFonts w:ascii="Arial" w:hAnsi="Arial" w:cs="Arial"/>
          <w:noProof/>
          <w:sz w:val="21"/>
          <w:szCs w:val="21"/>
        </w:rPr>
        <w:t>。其中，税收收入</w:t>
      </w:r>
      <w:r w:rsidRPr="001B058A">
        <w:rPr>
          <w:rFonts w:ascii="Arial" w:hAnsi="Arial" w:cs="Arial"/>
          <w:noProof/>
          <w:sz w:val="21"/>
          <w:szCs w:val="21"/>
        </w:rPr>
        <w:t>416.15</w:t>
      </w:r>
      <w:r w:rsidRPr="001B058A">
        <w:rPr>
          <w:rFonts w:ascii="Arial" w:hAnsi="Arial" w:cs="Arial"/>
          <w:noProof/>
          <w:sz w:val="21"/>
          <w:szCs w:val="21"/>
        </w:rPr>
        <w:t>亿元，增长</w:t>
      </w:r>
      <w:r w:rsidRPr="001B058A">
        <w:rPr>
          <w:rFonts w:ascii="Arial" w:hAnsi="Arial" w:cs="Arial"/>
          <w:noProof/>
          <w:sz w:val="21"/>
          <w:szCs w:val="21"/>
        </w:rPr>
        <w:t>22.8%</w:t>
      </w:r>
      <w:r w:rsidRPr="001B058A">
        <w:rPr>
          <w:rFonts w:ascii="Arial" w:hAnsi="Arial" w:cs="Arial"/>
          <w:noProof/>
          <w:sz w:val="21"/>
          <w:szCs w:val="21"/>
        </w:rPr>
        <w:t>，增速较</w:t>
      </w:r>
      <w:r w:rsidRPr="001B058A">
        <w:rPr>
          <w:rFonts w:ascii="Arial" w:hAnsi="Arial" w:cs="Arial"/>
          <w:noProof/>
          <w:sz w:val="21"/>
          <w:szCs w:val="21"/>
        </w:rPr>
        <w:t>1-2</w:t>
      </w:r>
      <w:r w:rsidRPr="001B058A">
        <w:rPr>
          <w:rFonts w:ascii="Arial" w:hAnsi="Arial" w:cs="Arial"/>
          <w:noProof/>
          <w:sz w:val="21"/>
          <w:szCs w:val="21"/>
        </w:rPr>
        <w:t>月提升</w:t>
      </w:r>
      <w:r w:rsidRPr="001B058A">
        <w:rPr>
          <w:rFonts w:ascii="Arial" w:hAnsi="Arial" w:cs="Arial"/>
          <w:noProof/>
          <w:sz w:val="21"/>
          <w:szCs w:val="21"/>
        </w:rPr>
        <w:t>7</w:t>
      </w:r>
      <w:r w:rsidRPr="001B058A">
        <w:rPr>
          <w:rFonts w:ascii="Arial" w:hAnsi="Arial" w:cs="Arial"/>
          <w:noProof/>
          <w:sz w:val="21"/>
          <w:szCs w:val="21"/>
        </w:rPr>
        <w:t>个百分点。</w:t>
      </w:r>
    </w:p>
    <w:p w14:paraId="7559591C" w14:textId="6A9C4A56" w:rsidR="001B058A" w:rsidRPr="001B058A" w:rsidRDefault="001B058A" w:rsidP="001B058A">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w:t>
      </w:r>
      <w:r>
        <w:rPr>
          <w:rFonts w:ascii="Arial" w:hAnsi="Arial" w:cs="Arial" w:hint="eastAsia"/>
          <w:noProof/>
          <w:sz w:val="21"/>
          <w:szCs w:val="21"/>
        </w:rPr>
        <w:t>2</w:t>
      </w:r>
      <w:r>
        <w:rPr>
          <w:rFonts w:ascii="Arial" w:hAnsi="Arial" w:cs="Arial" w:hint="eastAsia"/>
          <w:noProof/>
          <w:sz w:val="21"/>
          <w:szCs w:val="21"/>
        </w:rPr>
        <w:t>）</w:t>
      </w:r>
      <w:r w:rsidRPr="001B058A">
        <w:rPr>
          <w:rFonts w:ascii="Arial" w:hAnsi="Arial" w:cs="Arial" w:hint="eastAsia"/>
          <w:noProof/>
          <w:sz w:val="21"/>
          <w:szCs w:val="21"/>
        </w:rPr>
        <w:t>企业效益显著改善。一季度，全市规模以上工业企业营业收入</w:t>
      </w:r>
      <w:r w:rsidRPr="001B058A">
        <w:rPr>
          <w:rFonts w:ascii="Arial" w:hAnsi="Arial" w:cs="Arial"/>
          <w:noProof/>
          <w:sz w:val="21"/>
          <w:szCs w:val="21"/>
        </w:rPr>
        <w:t>3326.15</w:t>
      </w:r>
      <w:r w:rsidRPr="001B058A">
        <w:rPr>
          <w:rFonts w:ascii="Arial" w:hAnsi="Arial" w:cs="Arial"/>
          <w:noProof/>
          <w:sz w:val="21"/>
          <w:szCs w:val="21"/>
        </w:rPr>
        <w:t>亿元，同比增长</w:t>
      </w:r>
      <w:r w:rsidRPr="001B058A">
        <w:rPr>
          <w:rFonts w:ascii="Arial" w:hAnsi="Arial" w:cs="Arial"/>
          <w:noProof/>
          <w:sz w:val="21"/>
          <w:szCs w:val="21"/>
        </w:rPr>
        <w:t>40.6%</w:t>
      </w:r>
      <w:r w:rsidRPr="001B058A">
        <w:rPr>
          <w:rFonts w:ascii="Arial" w:hAnsi="Arial" w:cs="Arial"/>
          <w:noProof/>
          <w:sz w:val="21"/>
          <w:szCs w:val="21"/>
        </w:rPr>
        <w:t>。盈亏相抵后利润总额</w:t>
      </w:r>
      <w:r w:rsidRPr="001B058A">
        <w:rPr>
          <w:rFonts w:ascii="Arial" w:hAnsi="Arial" w:cs="Arial"/>
          <w:noProof/>
          <w:sz w:val="21"/>
          <w:szCs w:val="21"/>
        </w:rPr>
        <w:t>261.79</w:t>
      </w:r>
      <w:r w:rsidRPr="001B058A">
        <w:rPr>
          <w:rFonts w:ascii="Arial" w:hAnsi="Arial" w:cs="Arial"/>
          <w:noProof/>
          <w:sz w:val="21"/>
          <w:szCs w:val="21"/>
        </w:rPr>
        <w:t>亿元，同比增长</w:t>
      </w:r>
      <w:r w:rsidRPr="001B058A">
        <w:rPr>
          <w:rFonts w:ascii="Arial" w:hAnsi="Arial" w:cs="Arial"/>
          <w:noProof/>
          <w:sz w:val="21"/>
          <w:szCs w:val="21"/>
        </w:rPr>
        <w:t>473.9%</w:t>
      </w:r>
      <w:r w:rsidRPr="001B058A">
        <w:rPr>
          <w:rFonts w:ascii="Arial" w:hAnsi="Arial" w:cs="Arial"/>
          <w:noProof/>
          <w:sz w:val="21"/>
          <w:szCs w:val="21"/>
        </w:rPr>
        <w:t>，两年平均增长</w:t>
      </w:r>
      <w:r w:rsidRPr="001B058A">
        <w:rPr>
          <w:rFonts w:ascii="Arial" w:hAnsi="Arial" w:cs="Arial"/>
          <w:noProof/>
          <w:sz w:val="21"/>
          <w:szCs w:val="21"/>
        </w:rPr>
        <w:t>36.8%</w:t>
      </w:r>
      <w:r w:rsidRPr="001B058A">
        <w:rPr>
          <w:rFonts w:ascii="Arial" w:hAnsi="Arial" w:cs="Arial"/>
          <w:noProof/>
          <w:sz w:val="21"/>
          <w:szCs w:val="21"/>
        </w:rPr>
        <w:t>。</w:t>
      </w:r>
      <w:r w:rsidRPr="001B058A">
        <w:rPr>
          <w:rFonts w:ascii="Arial" w:hAnsi="Arial" w:cs="Arial"/>
          <w:noProof/>
          <w:sz w:val="21"/>
          <w:szCs w:val="21"/>
        </w:rPr>
        <w:t>36</w:t>
      </w:r>
      <w:r w:rsidRPr="001B058A">
        <w:rPr>
          <w:rFonts w:ascii="Arial" w:hAnsi="Arial" w:cs="Arial"/>
          <w:noProof/>
          <w:sz w:val="21"/>
          <w:szCs w:val="21"/>
        </w:rPr>
        <w:t>个行业大类中有</w:t>
      </w:r>
      <w:r w:rsidRPr="001B058A">
        <w:rPr>
          <w:rFonts w:ascii="Arial" w:hAnsi="Arial" w:cs="Arial"/>
          <w:noProof/>
          <w:sz w:val="21"/>
          <w:szCs w:val="21"/>
        </w:rPr>
        <w:t>33</w:t>
      </w:r>
      <w:r w:rsidRPr="001B058A">
        <w:rPr>
          <w:rFonts w:ascii="Arial" w:hAnsi="Arial" w:cs="Arial"/>
          <w:noProof/>
          <w:sz w:val="21"/>
          <w:szCs w:val="21"/>
        </w:rPr>
        <w:t>个行业利润总额同比实现较快增长。</w:t>
      </w:r>
    </w:p>
    <w:p w14:paraId="7D23F0BE" w14:textId="1ABEE192" w:rsidR="001B058A" w:rsidRPr="001B058A" w:rsidRDefault="001B058A" w:rsidP="001B058A">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w:t>
      </w:r>
      <w:r>
        <w:rPr>
          <w:rFonts w:ascii="Arial" w:hAnsi="Arial" w:cs="Arial" w:hint="eastAsia"/>
          <w:noProof/>
          <w:sz w:val="21"/>
          <w:szCs w:val="21"/>
        </w:rPr>
        <w:t>3</w:t>
      </w:r>
      <w:r>
        <w:rPr>
          <w:rFonts w:ascii="Arial" w:hAnsi="Arial" w:cs="Arial" w:hint="eastAsia"/>
          <w:noProof/>
          <w:sz w:val="21"/>
          <w:szCs w:val="21"/>
        </w:rPr>
        <w:t>）</w:t>
      </w:r>
      <w:r w:rsidRPr="001B058A">
        <w:rPr>
          <w:rFonts w:ascii="Arial" w:hAnsi="Arial" w:cs="Arial" w:hint="eastAsia"/>
          <w:noProof/>
          <w:sz w:val="21"/>
          <w:szCs w:val="21"/>
        </w:rPr>
        <w:t>居民收入稳步增加。一季度，全市全体居民人均可支配收入</w:t>
      </w:r>
      <w:r w:rsidRPr="001B058A">
        <w:rPr>
          <w:rFonts w:ascii="Arial" w:hAnsi="Arial" w:cs="Arial"/>
          <w:noProof/>
          <w:sz w:val="21"/>
          <w:szCs w:val="21"/>
        </w:rPr>
        <w:t>20442</w:t>
      </w:r>
      <w:r w:rsidRPr="001B058A">
        <w:rPr>
          <w:rFonts w:ascii="Arial" w:hAnsi="Arial" w:cs="Arial"/>
          <w:noProof/>
          <w:sz w:val="21"/>
          <w:szCs w:val="21"/>
        </w:rPr>
        <w:t>元，同比增长</w:t>
      </w:r>
      <w:r w:rsidRPr="001B058A">
        <w:rPr>
          <w:rFonts w:ascii="Arial" w:hAnsi="Arial" w:cs="Arial"/>
          <w:noProof/>
          <w:sz w:val="21"/>
          <w:szCs w:val="21"/>
        </w:rPr>
        <w:t>14.3%</w:t>
      </w:r>
      <w:r w:rsidRPr="001B058A">
        <w:rPr>
          <w:rFonts w:ascii="Arial" w:hAnsi="Arial" w:cs="Arial"/>
          <w:noProof/>
          <w:sz w:val="21"/>
          <w:szCs w:val="21"/>
        </w:rPr>
        <w:t>，两年平均增长</w:t>
      </w:r>
      <w:r w:rsidRPr="001B058A">
        <w:rPr>
          <w:rFonts w:ascii="Arial" w:hAnsi="Arial" w:cs="Arial"/>
          <w:noProof/>
          <w:sz w:val="21"/>
          <w:szCs w:val="21"/>
        </w:rPr>
        <w:t>8.2%</w:t>
      </w:r>
      <w:r w:rsidRPr="001B058A">
        <w:rPr>
          <w:rFonts w:ascii="Arial" w:hAnsi="Arial" w:cs="Arial"/>
          <w:noProof/>
          <w:sz w:val="21"/>
          <w:szCs w:val="21"/>
        </w:rPr>
        <w:t>。其中，城镇居民人均可支配收入</w:t>
      </w:r>
      <w:r w:rsidRPr="001B058A">
        <w:rPr>
          <w:rFonts w:ascii="Arial" w:hAnsi="Arial" w:cs="Arial"/>
          <w:noProof/>
          <w:sz w:val="21"/>
          <w:szCs w:val="21"/>
        </w:rPr>
        <w:t>22104</w:t>
      </w:r>
      <w:r w:rsidRPr="001B058A">
        <w:rPr>
          <w:rFonts w:ascii="Arial" w:hAnsi="Arial" w:cs="Arial"/>
          <w:noProof/>
          <w:sz w:val="21"/>
          <w:szCs w:val="21"/>
        </w:rPr>
        <w:t>元，同比增长</w:t>
      </w:r>
      <w:r w:rsidRPr="001B058A">
        <w:rPr>
          <w:rFonts w:ascii="Arial" w:hAnsi="Arial" w:cs="Arial"/>
          <w:noProof/>
          <w:sz w:val="21"/>
          <w:szCs w:val="21"/>
        </w:rPr>
        <w:t>13.9%</w:t>
      </w:r>
      <w:r w:rsidRPr="001B058A">
        <w:rPr>
          <w:rFonts w:ascii="Arial" w:hAnsi="Arial" w:cs="Arial"/>
          <w:noProof/>
          <w:sz w:val="21"/>
          <w:szCs w:val="21"/>
        </w:rPr>
        <w:t>；农村居民人均可支配收入</w:t>
      </w:r>
      <w:r w:rsidRPr="001B058A">
        <w:rPr>
          <w:rFonts w:ascii="Arial" w:hAnsi="Arial" w:cs="Arial"/>
          <w:noProof/>
          <w:sz w:val="21"/>
          <w:szCs w:val="21"/>
        </w:rPr>
        <w:t>13030</w:t>
      </w:r>
      <w:r w:rsidRPr="001B058A">
        <w:rPr>
          <w:rFonts w:ascii="Arial" w:hAnsi="Arial" w:cs="Arial"/>
          <w:noProof/>
          <w:sz w:val="21"/>
          <w:szCs w:val="21"/>
        </w:rPr>
        <w:t>元，同比增长</w:t>
      </w:r>
      <w:r w:rsidRPr="001B058A">
        <w:rPr>
          <w:rFonts w:ascii="Arial" w:hAnsi="Arial" w:cs="Arial"/>
          <w:noProof/>
          <w:sz w:val="21"/>
          <w:szCs w:val="21"/>
        </w:rPr>
        <w:t>17.2%</w:t>
      </w:r>
      <w:r w:rsidRPr="001B058A">
        <w:rPr>
          <w:rFonts w:ascii="Arial" w:hAnsi="Arial" w:cs="Arial"/>
          <w:noProof/>
          <w:sz w:val="21"/>
          <w:szCs w:val="21"/>
        </w:rPr>
        <w:t>。</w:t>
      </w:r>
    </w:p>
    <w:p w14:paraId="7C1C1573" w14:textId="08E0817E" w:rsidR="001B058A" w:rsidRPr="001B058A" w:rsidRDefault="001B058A" w:rsidP="001B058A">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lastRenderedPageBreak/>
        <w:t>4.</w:t>
      </w:r>
      <w:r w:rsidRPr="001B058A">
        <w:rPr>
          <w:rFonts w:ascii="Arial" w:hAnsi="Arial" w:cs="Arial" w:hint="eastAsia"/>
          <w:noProof/>
          <w:sz w:val="21"/>
          <w:szCs w:val="21"/>
        </w:rPr>
        <w:t>就业物价稳定，民生福祉持续增进</w:t>
      </w:r>
    </w:p>
    <w:p w14:paraId="4A01C06B" w14:textId="0B8D1BEB" w:rsidR="001B058A" w:rsidRPr="001B058A" w:rsidRDefault="001B058A" w:rsidP="001B058A">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w:t>
      </w:r>
      <w:r>
        <w:rPr>
          <w:rFonts w:ascii="Arial" w:hAnsi="Arial" w:cs="Arial" w:hint="eastAsia"/>
          <w:noProof/>
          <w:sz w:val="21"/>
          <w:szCs w:val="21"/>
        </w:rPr>
        <w:t>1</w:t>
      </w:r>
      <w:r>
        <w:rPr>
          <w:rFonts w:ascii="Arial" w:hAnsi="Arial" w:cs="Arial" w:hint="eastAsia"/>
          <w:noProof/>
          <w:sz w:val="21"/>
          <w:szCs w:val="21"/>
        </w:rPr>
        <w:t>）</w:t>
      </w:r>
      <w:r w:rsidRPr="001B058A">
        <w:rPr>
          <w:rFonts w:ascii="Arial" w:hAnsi="Arial" w:cs="Arial" w:hint="eastAsia"/>
          <w:noProof/>
          <w:sz w:val="21"/>
          <w:szCs w:val="21"/>
        </w:rPr>
        <w:t>就业形势总体稳定。一季度，全市城镇新增就业人数</w:t>
      </w:r>
      <w:r w:rsidRPr="001B058A">
        <w:rPr>
          <w:rFonts w:ascii="Arial" w:hAnsi="Arial" w:cs="Arial"/>
          <w:noProof/>
          <w:sz w:val="21"/>
          <w:szCs w:val="21"/>
        </w:rPr>
        <w:t>7.52</w:t>
      </w:r>
      <w:r w:rsidRPr="001B058A">
        <w:rPr>
          <w:rFonts w:ascii="Arial" w:hAnsi="Arial" w:cs="Arial"/>
          <w:noProof/>
          <w:sz w:val="21"/>
          <w:szCs w:val="21"/>
        </w:rPr>
        <w:t>万人，同比增长</w:t>
      </w:r>
      <w:r w:rsidRPr="001B058A">
        <w:rPr>
          <w:rFonts w:ascii="Arial" w:hAnsi="Arial" w:cs="Arial"/>
          <w:noProof/>
          <w:sz w:val="21"/>
          <w:szCs w:val="21"/>
        </w:rPr>
        <w:t>18.8%</w:t>
      </w:r>
      <w:r w:rsidRPr="001B058A">
        <w:rPr>
          <w:rFonts w:ascii="Arial" w:hAnsi="Arial" w:cs="Arial"/>
          <w:noProof/>
          <w:sz w:val="21"/>
          <w:szCs w:val="21"/>
        </w:rPr>
        <w:t>，完成年度目标的</w:t>
      </w:r>
      <w:r w:rsidRPr="001B058A">
        <w:rPr>
          <w:rFonts w:ascii="Arial" w:hAnsi="Arial" w:cs="Arial"/>
          <w:noProof/>
          <w:sz w:val="21"/>
          <w:szCs w:val="21"/>
        </w:rPr>
        <w:t>28.9%</w:t>
      </w:r>
      <w:r w:rsidRPr="001B058A">
        <w:rPr>
          <w:rFonts w:ascii="Arial" w:hAnsi="Arial" w:cs="Arial"/>
          <w:noProof/>
          <w:sz w:val="21"/>
          <w:szCs w:val="21"/>
        </w:rPr>
        <w:t>。单位用工需求增加，</w:t>
      </w:r>
      <w:r w:rsidRPr="001B058A">
        <w:rPr>
          <w:rFonts w:ascii="Arial" w:hAnsi="Arial" w:cs="Arial"/>
          <w:noProof/>
          <w:sz w:val="21"/>
          <w:szCs w:val="21"/>
        </w:rPr>
        <w:t>3</w:t>
      </w:r>
      <w:r w:rsidRPr="001B058A">
        <w:rPr>
          <w:rFonts w:ascii="Arial" w:hAnsi="Arial" w:cs="Arial"/>
          <w:noProof/>
          <w:sz w:val="21"/>
          <w:szCs w:val="21"/>
        </w:rPr>
        <w:t>月末四上单位从业人数同比增加</w:t>
      </w:r>
      <w:r w:rsidRPr="001B058A">
        <w:rPr>
          <w:rFonts w:ascii="Arial" w:hAnsi="Arial" w:cs="Arial"/>
          <w:noProof/>
          <w:sz w:val="21"/>
          <w:szCs w:val="21"/>
        </w:rPr>
        <w:t>3.09</w:t>
      </w:r>
      <w:r w:rsidRPr="001B058A">
        <w:rPr>
          <w:rFonts w:ascii="Arial" w:hAnsi="Arial" w:cs="Arial"/>
          <w:noProof/>
          <w:sz w:val="21"/>
          <w:szCs w:val="21"/>
        </w:rPr>
        <w:t>万人，增长</w:t>
      </w:r>
      <w:r w:rsidRPr="001B058A">
        <w:rPr>
          <w:rFonts w:ascii="Arial" w:hAnsi="Arial" w:cs="Arial"/>
          <w:noProof/>
          <w:sz w:val="21"/>
          <w:szCs w:val="21"/>
        </w:rPr>
        <w:t>1.3%</w:t>
      </w:r>
      <w:r w:rsidRPr="001B058A">
        <w:rPr>
          <w:rFonts w:ascii="Arial" w:hAnsi="Arial" w:cs="Arial"/>
          <w:noProof/>
          <w:sz w:val="21"/>
          <w:szCs w:val="21"/>
        </w:rPr>
        <w:t>。其中，住宿和餐饮业人数增长</w:t>
      </w:r>
      <w:r w:rsidRPr="001B058A">
        <w:rPr>
          <w:rFonts w:ascii="Arial" w:hAnsi="Arial" w:cs="Arial"/>
          <w:noProof/>
          <w:sz w:val="21"/>
          <w:szCs w:val="21"/>
        </w:rPr>
        <w:t>11.1%</w:t>
      </w:r>
      <w:r w:rsidRPr="001B058A">
        <w:rPr>
          <w:rFonts w:ascii="Arial" w:hAnsi="Arial" w:cs="Arial"/>
          <w:noProof/>
          <w:sz w:val="21"/>
          <w:szCs w:val="21"/>
        </w:rPr>
        <w:t>、信息传输、软件和信息技术服务业人数增长</w:t>
      </w:r>
      <w:r w:rsidRPr="001B058A">
        <w:rPr>
          <w:rFonts w:ascii="Arial" w:hAnsi="Arial" w:cs="Arial"/>
          <w:noProof/>
          <w:sz w:val="21"/>
          <w:szCs w:val="21"/>
        </w:rPr>
        <w:t>9.1%</w:t>
      </w:r>
      <w:r w:rsidRPr="001B058A">
        <w:rPr>
          <w:rFonts w:ascii="Arial" w:hAnsi="Arial" w:cs="Arial"/>
          <w:noProof/>
          <w:sz w:val="21"/>
          <w:szCs w:val="21"/>
        </w:rPr>
        <w:t>、卫生和社会工作人数增长</w:t>
      </w:r>
      <w:r w:rsidRPr="001B058A">
        <w:rPr>
          <w:rFonts w:ascii="Arial" w:hAnsi="Arial" w:cs="Arial"/>
          <w:noProof/>
          <w:sz w:val="21"/>
          <w:szCs w:val="21"/>
        </w:rPr>
        <w:t>8.6%</w:t>
      </w:r>
      <w:r w:rsidRPr="001B058A">
        <w:rPr>
          <w:rFonts w:ascii="Arial" w:hAnsi="Arial" w:cs="Arial"/>
          <w:noProof/>
          <w:sz w:val="21"/>
          <w:szCs w:val="21"/>
        </w:rPr>
        <w:t>、制造业从业人数增长</w:t>
      </w:r>
      <w:r w:rsidRPr="001B058A">
        <w:rPr>
          <w:rFonts w:ascii="Arial" w:hAnsi="Arial" w:cs="Arial"/>
          <w:noProof/>
          <w:sz w:val="21"/>
          <w:szCs w:val="21"/>
        </w:rPr>
        <w:t>2.1%</w:t>
      </w:r>
      <w:r w:rsidRPr="001B058A">
        <w:rPr>
          <w:rFonts w:ascii="Arial" w:hAnsi="Arial" w:cs="Arial"/>
          <w:noProof/>
          <w:sz w:val="21"/>
          <w:szCs w:val="21"/>
        </w:rPr>
        <w:t>。</w:t>
      </w:r>
    </w:p>
    <w:p w14:paraId="62102BC8" w14:textId="11B42634" w:rsidR="001B058A" w:rsidRPr="001B058A" w:rsidRDefault="001B058A" w:rsidP="001B058A">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w:t>
      </w:r>
      <w:r>
        <w:rPr>
          <w:rFonts w:ascii="Arial" w:hAnsi="Arial" w:cs="Arial" w:hint="eastAsia"/>
          <w:noProof/>
          <w:sz w:val="21"/>
          <w:szCs w:val="21"/>
        </w:rPr>
        <w:t>2</w:t>
      </w:r>
      <w:r>
        <w:rPr>
          <w:rFonts w:ascii="Arial" w:hAnsi="Arial" w:cs="Arial" w:hint="eastAsia"/>
          <w:noProof/>
          <w:sz w:val="21"/>
          <w:szCs w:val="21"/>
        </w:rPr>
        <w:t>）</w:t>
      </w:r>
      <w:r w:rsidRPr="001B058A">
        <w:rPr>
          <w:rFonts w:ascii="Arial" w:hAnsi="Arial" w:cs="Arial" w:hint="eastAsia"/>
          <w:noProof/>
          <w:sz w:val="21"/>
          <w:szCs w:val="21"/>
        </w:rPr>
        <w:t>居民消费价格“由升转降”。一季度，全市居民消费价格同比上涨</w:t>
      </w:r>
      <w:r w:rsidRPr="001B058A">
        <w:rPr>
          <w:rFonts w:ascii="Arial" w:hAnsi="Arial" w:cs="Arial"/>
          <w:noProof/>
          <w:sz w:val="21"/>
          <w:szCs w:val="21"/>
        </w:rPr>
        <w:t>0.4%</w:t>
      </w:r>
      <w:r w:rsidRPr="001B058A">
        <w:rPr>
          <w:rFonts w:ascii="Arial" w:hAnsi="Arial" w:cs="Arial"/>
          <w:noProof/>
          <w:sz w:val="21"/>
          <w:szCs w:val="21"/>
        </w:rPr>
        <w:t>，涨幅较上年同期收窄</w:t>
      </w:r>
      <w:r w:rsidRPr="001B058A">
        <w:rPr>
          <w:rFonts w:ascii="Arial" w:hAnsi="Arial" w:cs="Arial"/>
          <w:noProof/>
          <w:sz w:val="21"/>
          <w:szCs w:val="21"/>
        </w:rPr>
        <w:t>4.2</w:t>
      </w:r>
      <w:r w:rsidRPr="001B058A">
        <w:rPr>
          <w:rFonts w:ascii="Arial" w:hAnsi="Arial" w:cs="Arial"/>
          <w:noProof/>
          <w:sz w:val="21"/>
          <w:szCs w:val="21"/>
        </w:rPr>
        <w:t>个百分点。</w:t>
      </w:r>
      <w:r w:rsidRPr="001B058A">
        <w:rPr>
          <w:rFonts w:ascii="Arial" w:hAnsi="Arial" w:cs="Arial"/>
          <w:noProof/>
          <w:sz w:val="21"/>
          <w:szCs w:val="21"/>
        </w:rPr>
        <w:t>3</w:t>
      </w:r>
      <w:r w:rsidRPr="001B058A">
        <w:rPr>
          <w:rFonts w:ascii="Arial" w:hAnsi="Arial" w:cs="Arial"/>
          <w:noProof/>
          <w:sz w:val="21"/>
          <w:szCs w:val="21"/>
        </w:rPr>
        <w:t>月份，居民消费价格环比由上月上涨</w:t>
      </w:r>
      <w:r w:rsidRPr="001B058A">
        <w:rPr>
          <w:rFonts w:ascii="Arial" w:hAnsi="Arial" w:cs="Arial"/>
          <w:noProof/>
          <w:sz w:val="21"/>
          <w:szCs w:val="21"/>
        </w:rPr>
        <w:t>0.4%</w:t>
      </w:r>
      <w:r w:rsidRPr="001B058A">
        <w:rPr>
          <w:rFonts w:ascii="Arial" w:hAnsi="Arial" w:cs="Arial"/>
          <w:noProof/>
          <w:sz w:val="21"/>
          <w:szCs w:val="21"/>
        </w:rPr>
        <w:t>转为下降</w:t>
      </w:r>
      <w:r w:rsidRPr="001B058A">
        <w:rPr>
          <w:rFonts w:ascii="Arial" w:hAnsi="Arial" w:cs="Arial"/>
          <w:noProof/>
          <w:sz w:val="21"/>
          <w:szCs w:val="21"/>
        </w:rPr>
        <w:t>0.5%</w:t>
      </w:r>
      <w:r w:rsidRPr="001B058A">
        <w:rPr>
          <w:rFonts w:ascii="Arial" w:hAnsi="Arial" w:cs="Arial"/>
          <w:noProof/>
          <w:sz w:val="21"/>
          <w:szCs w:val="21"/>
        </w:rPr>
        <w:t>。其中，食品价格由升转降，降幅为</w:t>
      </w:r>
      <w:r w:rsidRPr="001B058A">
        <w:rPr>
          <w:rFonts w:ascii="Arial" w:hAnsi="Arial" w:cs="Arial"/>
          <w:noProof/>
          <w:sz w:val="21"/>
          <w:szCs w:val="21"/>
        </w:rPr>
        <w:t>4.1%</w:t>
      </w:r>
      <w:r w:rsidRPr="001B058A">
        <w:rPr>
          <w:rFonts w:ascii="Arial" w:hAnsi="Arial" w:cs="Arial"/>
          <w:noProof/>
          <w:sz w:val="21"/>
          <w:szCs w:val="21"/>
        </w:rPr>
        <w:t>。猪肉价格环比下降</w:t>
      </w:r>
      <w:r w:rsidRPr="001B058A">
        <w:rPr>
          <w:rFonts w:ascii="Arial" w:hAnsi="Arial" w:cs="Arial"/>
          <w:noProof/>
          <w:sz w:val="21"/>
          <w:szCs w:val="21"/>
        </w:rPr>
        <w:t>10.9%</w:t>
      </w:r>
      <w:r w:rsidRPr="001B058A">
        <w:rPr>
          <w:rFonts w:ascii="Arial" w:hAnsi="Arial" w:cs="Arial"/>
          <w:noProof/>
          <w:sz w:val="21"/>
          <w:szCs w:val="21"/>
        </w:rPr>
        <w:t>。</w:t>
      </w:r>
    </w:p>
    <w:p w14:paraId="5BA0A066" w14:textId="7F1E0237" w:rsidR="001B058A" w:rsidRPr="001B058A" w:rsidRDefault="001B058A" w:rsidP="001B058A">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w:t>
      </w:r>
      <w:r>
        <w:rPr>
          <w:rFonts w:ascii="Arial" w:hAnsi="Arial" w:cs="Arial" w:hint="eastAsia"/>
          <w:noProof/>
          <w:sz w:val="21"/>
          <w:szCs w:val="21"/>
        </w:rPr>
        <w:t>2</w:t>
      </w:r>
      <w:r>
        <w:rPr>
          <w:rFonts w:ascii="Arial" w:hAnsi="Arial" w:cs="Arial" w:hint="eastAsia"/>
          <w:noProof/>
          <w:sz w:val="21"/>
          <w:szCs w:val="21"/>
        </w:rPr>
        <w:t>）</w:t>
      </w:r>
      <w:r w:rsidRPr="001B058A">
        <w:rPr>
          <w:rFonts w:ascii="Arial" w:hAnsi="Arial" w:cs="Arial" w:hint="eastAsia"/>
          <w:noProof/>
          <w:sz w:val="21"/>
          <w:szCs w:val="21"/>
        </w:rPr>
        <w:t>民生投入较快增长。一季度，固定资产投资中，教育投资增长</w:t>
      </w:r>
      <w:r w:rsidRPr="001B058A">
        <w:rPr>
          <w:rFonts w:ascii="Arial" w:hAnsi="Arial" w:cs="Arial"/>
          <w:noProof/>
          <w:sz w:val="21"/>
          <w:szCs w:val="21"/>
        </w:rPr>
        <w:t>24%</w:t>
      </w:r>
      <w:r w:rsidRPr="001B058A">
        <w:rPr>
          <w:rFonts w:ascii="Arial" w:hAnsi="Arial" w:cs="Arial"/>
          <w:noProof/>
          <w:sz w:val="21"/>
          <w:szCs w:val="21"/>
        </w:rPr>
        <w:t>，卫生和社会工作、体育、生态保护和环境治理业投资分别增长</w:t>
      </w:r>
      <w:r w:rsidRPr="001B058A">
        <w:rPr>
          <w:rFonts w:ascii="Arial" w:hAnsi="Arial" w:cs="Arial"/>
          <w:noProof/>
          <w:sz w:val="21"/>
          <w:szCs w:val="21"/>
        </w:rPr>
        <w:t>2.1</w:t>
      </w:r>
      <w:r w:rsidRPr="001B058A">
        <w:rPr>
          <w:rFonts w:ascii="Arial" w:hAnsi="Arial" w:cs="Arial"/>
          <w:noProof/>
          <w:sz w:val="21"/>
          <w:szCs w:val="21"/>
        </w:rPr>
        <w:t>倍、</w:t>
      </w:r>
      <w:r w:rsidRPr="001B058A">
        <w:rPr>
          <w:rFonts w:ascii="Arial" w:hAnsi="Arial" w:cs="Arial"/>
          <w:noProof/>
          <w:sz w:val="21"/>
          <w:szCs w:val="21"/>
        </w:rPr>
        <w:t>2.4</w:t>
      </w:r>
      <w:r w:rsidRPr="001B058A">
        <w:rPr>
          <w:rFonts w:ascii="Arial" w:hAnsi="Arial" w:cs="Arial"/>
          <w:noProof/>
          <w:sz w:val="21"/>
          <w:szCs w:val="21"/>
        </w:rPr>
        <w:t>倍、</w:t>
      </w:r>
      <w:r w:rsidRPr="001B058A">
        <w:rPr>
          <w:rFonts w:ascii="Arial" w:hAnsi="Arial" w:cs="Arial"/>
          <w:noProof/>
          <w:sz w:val="21"/>
          <w:szCs w:val="21"/>
        </w:rPr>
        <w:t>2.5</w:t>
      </w:r>
      <w:r w:rsidRPr="001B058A">
        <w:rPr>
          <w:rFonts w:ascii="Arial" w:hAnsi="Arial" w:cs="Arial"/>
          <w:noProof/>
          <w:sz w:val="21"/>
          <w:szCs w:val="21"/>
        </w:rPr>
        <w:t>倍。一般公共预算支出中，住房保障、社会保障和就业、教育、卫生健康等民生支出分别增长</w:t>
      </w:r>
      <w:r w:rsidRPr="001B058A">
        <w:rPr>
          <w:rFonts w:ascii="Arial" w:hAnsi="Arial" w:cs="Arial"/>
          <w:noProof/>
          <w:sz w:val="21"/>
          <w:szCs w:val="21"/>
        </w:rPr>
        <w:t>37.8%</w:t>
      </w:r>
      <w:r w:rsidRPr="001B058A">
        <w:rPr>
          <w:rFonts w:ascii="Arial" w:hAnsi="Arial" w:cs="Arial"/>
          <w:noProof/>
          <w:sz w:val="21"/>
          <w:szCs w:val="21"/>
        </w:rPr>
        <w:t>、</w:t>
      </w:r>
      <w:r w:rsidRPr="001B058A">
        <w:rPr>
          <w:rFonts w:ascii="Arial" w:hAnsi="Arial" w:cs="Arial"/>
          <w:noProof/>
          <w:sz w:val="21"/>
          <w:szCs w:val="21"/>
        </w:rPr>
        <w:t>23.0%</w:t>
      </w:r>
      <w:r w:rsidRPr="001B058A">
        <w:rPr>
          <w:rFonts w:ascii="Arial" w:hAnsi="Arial" w:cs="Arial"/>
          <w:noProof/>
          <w:sz w:val="21"/>
          <w:szCs w:val="21"/>
        </w:rPr>
        <w:t>、</w:t>
      </w:r>
      <w:r w:rsidRPr="001B058A">
        <w:rPr>
          <w:rFonts w:ascii="Arial" w:hAnsi="Arial" w:cs="Arial"/>
          <w:noProof/>
          <w:sz w:val="21"/>
          <w:szCs w:val="21"/>
        </w:rPr>
        <w:t>14.5%</w:t>
      </w:r>
      <w:r w:rsidRPr="001B058A">
        <w:rPr>
          <w:rFonts w:ascii="Arial" w:hAnsi="Arial" w:cs="Arial"/>
          <w:noProof/>
          <w:sz w:val="21"/>
          <w:szCs w:val="21"/>
        </w:rPr>
        <w:t>、</w:t>
      </w:r>
      <w:r w:rsidRPr="001B058A">
        <w:rPr>
          <w:rFonts w:ascii="Arial" w:hAnsi="Arial" w:cs="Arial"/>
          <w:noProof/>
          <w:sz w:val="21"/>
          <w:szCs w:val="21"/>
        </w:rPr>
        <w:t>14.5%</w:t>
      </w:r>
      <w:r w:rsidRPr="001B058A">
        <w:rPr>
          <w:rFonts w:ascii="Arial" w:hAnsi="Arial" w:cs="Arial"/>
          <w:noProof/>
          <w:sz w:val="21"/>
          <w:szCs w:val="21"/>
        </w:rPr>
        <w:t>。</w:t>
      </w:r>
    </w:p>
    <w:p w14:paraId="573465D8" w14:textId="77777777" w:rsidR="00C01AA7" w:rsidRPr="00DD0741" w:rsidRDefault="00C01AA7" w:rsidP="00DD0741">
      <w:pPr>
        <w:widowControl w:val="0"/>
        <w:adjustRightInd w:val="0"/>
        <w:snapToGrid w:val="0"/>
        <w:spacing w:line="480" w:lineRule="auto"/>
        <w:ind w:firstLineChars="200" w:firstLine="422"/>
        <w:jc w:val="both"/>
        <w:rPr>
          <w:rFonts w:ascii="Arial" w:hAnsi="Arial" w:cs="Arial"/>
          <w:b/>
          <w:sz w:val="21"/>
          <w:szCs w:val="21"/>
        </w:rPr>
      </w:pPr>
      <w:r w:rsidRPr="00DD0741">
        <w:rPr>
          <w:rFonts w:ascii="Arial" w:hAnsi="Arial" w:cs="Arial"/>
          <w:b/>
          <w:sz w:val="21"/>
          <w:szCs w:val="21"/>
        </w:rPr>
        <w:t>（</w:t>
      </w:r>
      <w:r w:rsidRPr="00DD0741">
        <w:rPr>
          <w:rFonts w:ascii="Arial" w:hAnsi="Arial" w:cs="Arial" w:hint="eastAsia"/>
          <w:b/>
          <w:sz w:val="21"/>
          <w:szCs w:val="21"/>
        </w:rPr>
        <w:t>三</w:t>
      </w:r>
      <w:r w:rsidRPr="00DD0741">
        <w:rPr>
          <w:rFonts w:ascii="Arial" w:hAnsi="Arial" w:cs="Arial"/>
          <w:b/>
          <w:sz w:val="21"/>
          <w:szCs w:val="21"/>
        </w:rPr>
        <w:t>）</w:t>
      </w:r>
      <w:r w:rsidRPr="00DD0741">
        <w:rPr>
          <w:rFonts w:ascii="Arial" w:hAnsi="Arial" w:cs="Arial" w:hint="eastAsia"/>
          <w:b/>
          <w:sz w:val="21"/>
          <w:szCs w:val="21"/>
        </w:rPr>
        <w:t>城市规划与发展目标</w:t>
      </w:r>
    </w:p>
    <w:p w14:paraId="53775912" w14:textId="77777777" w:rsidR="00BE38CC" w:rsidRDefault="00BE38CC" w:rsidP="00BE38CC">
      <w:pPr>
        <w:widowControl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2</w:t>
      </w:r>
      <w:r>
        <w:rPr>
          <w:rFonts w:ascii="Arial" w:hAnsi="Arial" w:cs="Arial"/>
          <w:color w:val="000000"/>
          <w:sz w:val="21"/>
          <w:szCs w:val="21"/>
        </w:rPr>
        <w:t>018</w:t>
      </w:r>
      <w:r>
        <w:rPr>
          <w:rFonts w:ascii="Arial" w:hAnsi="Arial" w:cs="Arial" w:hint="eastAsia"/>
          <w:color w:val="000000"/>
          <w:sz w:val="21"/>
          <w:szCs w:val="21"/>
        </w:rPr>
        <w:t>年</w:t>
      </w:r>
      <w:r>
        <w:rPr>
          <w:rFonts w:ascii="Arial" w:hAnsi="Arial" w:cs="Arial" w:hint="eastAsia"/>
          <w:color w:val="000000"/>
          <w:sz w:val="21"/>
          <w:szCs w:val="21"/>
        </w:rPr>
        <w:t>1</w:t>
      </w:r>
      <w:r>
        <w:rPr>
          <w:rFonts w:ascii="Arial" w:hAnsi="Arial" w:cs="Arial"/>
          <w:color w:val="000000"/>
          <w:sz w:val="21"/>
          <w:szCs w:val="21"/>
        </w:rPr>
        <w:t>2</w:t>
      </w:r>
      <w:r>
        <w:rPr>
          <w:rFonts w:ascii="Arial" w:hAnsi="Arial" w:cs="Arial" w:hint="eastAsia"/>
          <w:color w:val="000000"/>
          <w:sz w:val="21"/>
          <w:szCs w:val="21"/>
        </w:rPr>
        <w:t>月，南京</w:t>
      </w:r>
      <w:r w:rsidRPr="009F4968">
        <w:rPr>
          <w:rFonts w:ascii="Arial" w:hAnsi="Arial" w:cs="Arial"/>
          <w:color w:val="000000"/>
          <w:sz w:val="21"/>
          <w:szCs w:val="21"/>
        </w:rPr>
        <w:t>市规划局</w:t>
      </w:r>
      <w:r w:rsidRPr="004B56ED">
        <w:rPr>
          <w:rFonts w:ascii="Arial" w:hAnsi="Arial" w:cs="Arial"/>
          <w:color w:val="000000"/>
          <w:sz w:val="21"/>
          <w:szCs w:val="21"/>
        </w:rPr>
        <w:t>发布《南京市城市总体规划（</w:t>
      </w:r>
      <w:r w:rsidRPr="004B56ED">
        <w:rPr>
          <w:rFonts w:ascii="Arial" w:hAnsi="Arial" w:cs="Arial"/>
          <w:color w:val="000000"/>
          <w:sz w:val="21"/>
          <w:szCs w:val="21"/>
        </w:rPr>
        <w:t>2018—2035</w:t>
      </w:r>
      <w:r w:rsidRPr="004B56ED">
        <w:rPr>
          <w:rFonts w:ascii="Arial" w:hAnsi="Arial" w:cs="Arial"/>
          <w:color w:val="000000"/>
          <w:sz w:val="21"/>
          <w:szCs w:val="21"/>
        </w:rPr>
        <w:t>）》草案</w:t>
      </w:r>
    </w:p>
    <w:p w14:paraId="24A0F935" w14:textId="77777777" w:rsidR="00BE38CC" w:rsidRPr="00182A22" w:rsidRDefault="00BE38CC" w:rsidP="00BE38CC">
      <w:pPr>
        <w:pStyle w:val="af1"/>
        <w:widowControl w:val="0"/>
        <w:numPr>
          <w:ilvl w:val="0"/>
          <w:numId w:val="18"/>
        </w:numPr>
        <w:adjustRightInd w:val="0"/>
        <w:snapToGrid w:val="0"/>
        <w:spacing w:line="480" w:lineRule="auto"/>
        <w:ind w:firstLineChars="0"/>
        <w:jc w:val="both"/>
        <w:rPr>
          <w:rFonts w:ascii="Arial" w:hAnsi="Arial" w:cs="Arial"/>
          <w:noProof/>
          <w:sz w:val="21"/>
          <w:szCs w:val="21"/>
        </w:rPr>
      </w:pPr>
      <w:r w:rsidRPr="00182A22">
        <w:rPr>
          <w:rFonts w:ascii="Arial" w:hAnsi="Arial" w:cs="Arial" w:hint="eastAsia"/>
          <w:noProof/>
          <w:sz w:val="21"/>
          <w:szCs w:val="21"/>
        </w:rPr>
        <w:t>城市性质</w:t>
      </w:r>
    </w:p>
    <w:p w14:paraId="4E852EC9" w14:textId="77777777" w:rsidR="00BE38CC"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sidRPr="00182A22">
        <w:rPr>
          <w:rFonts w:ascii="Arial" w:hAnsi="Arial" w:cs="Arial"/>
          <w:noProof/>
          <w:sz w:val="21"/>
          <w:szCs w:val="21"/>
        </w:rPr>
        <w:t>进一步提升南京作为江苏省政治、金融、贸易、信</w:t>
      </w:r>
      <w:r w:rsidRPr="00182A22">
        <w:rPr>
          <w:rFonts w:ascii="Arial" w:hAnsi="Arial" w:cs="Arial"/>
          <w:color w:val="000000"/>
          <w:sz w:val="21"/>
          <w:szCs w:val="21"/>
        </w:rPr>
        <w:t>息、科教、对外交往中心的省会功能。</w:t>
      </w:r>
    </w:p>
    <w:p w14:paraId="6660A843" w14:textId="77777777" w:rsidR="00BE38CC"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sidRPr="00182A22">
        <w:rPr>
          <w:rFonts w:ascii="Arial" w:hAnsi="Arial" w:cs="Arial"/>
          <w:color w:val="000000"/>
          <w:sz w:val="21"/>
          <w:szCs w:val="21"/>
        </w:rPr>
        <w:t>巩固国家科研教育基地优势</w:t>
      </w:r>
      <w:r>
        <w:rPr>
          <w:rFonts w:ascii="Arial" w:hAnsi="Arial" w:cs="Arial" w:hint="eastAsia"/>
          <w:color w:val="000000"/>
          <w:sz w:val="21"/>
          <w:szCs w:val="21"/>
        </w:rPr>
        <w:t>，</w:t>
      </w:r>
      <w:r w:rsidRPr="00182A22">
        <w:rPr>
          <w:rFonts w:ascii="Arial" w:hAnsi="Arial" w:cs="Arial"/>
          <w:color w:val="000000"/>
          <w:sz w:val="21"/>
          <w:szCs w:val="21"/>
        </w:rPr>
        <w:t>建设综合性科学中心</w:t>
      </w:r>
      <w:r>
        <w:rPr>
          <w:rFonts w:ascii="Arial" w:hAnsi="Arial" w:cs="Arial" w:hint="eastAsia"/>
          <w:color w:val="000000"/>
          <w:sz w:val="21"/>
          <w:szCs w:val="21"/>
        </w:rPr>
        <w:t>，</w:t>
      </w:r>
      <w:r w:rsidRPr="00182A22">
        <w:rPr>
          <w:rFonts w:ascii="Arial" w:hAnsi="Arial" w:cs="Arial"/>
          <w:color w:val="000000"/>
          <w:sz w:val="21"/>
          <w:szCs w:val="21"/>
        </w:rPr>
        <w:t>打通科技成果转移转化通道</w:t>
      </w:r>
      <w:r>
        <w:rPr>
          <w:rFonts w:ascii="Arial" w:hAnsi="Arial" w:cs="Arial" w:hint="eastAsia"/>
          <w:color w:val="000000"/>
          <w:sz w:val="21"/>
          <w:szCs w:val="21"/>
        </w:rPr>
        <w:t>，</w:t>
      </w:r>
      <w:r w:rsidRPr="00182A22">
        <w:rPr>
          <w:rFonts w:ascii="Arial" w:hAnsi="Arial" w:cs="Arial"/>
          <w:color w:val="000000"/>
          <w:sz w:val="21"/>
          <w:szCs w:val="21"/>
        </w:rPr>
        <w:t>培育创新型企业</w:t>
      </w:r>
      <w:r>
        <w:rPr>
          <w:rFonts w:ascii="Arial" w:hAnsi="Arial" w:cs="Arial" w:hint="eastAsia"/>
          <w:color w:val="000000"/>
          <w:sz w:val="21"/>
          <w:szCs w:val="21"/>
        </w:rPr>
        <w:t>，</w:t>
      </w:r>
      <w:r w:rsidRPr="00182A22">
        <w:rPr>
          <w:rFonts w:ascii="Arial" w:hAnsi="Arial" w:cs="Arial"/>
          <w:color w:val="000000"/>
          <w:sz w:val="21"/>
          <w:szCs w:val="21"/>
        </w:rPr>
        <w:t>建设科技产业创新中心</w:t>
      </w:r>
      <w:r>
        <w:rPr>
          <w:rFonts w:ascii="Arial" w:hAnsi="Arial" w:cs="Arial" w:hint="eastAsia"/>
          <w:color w:val="000000"/>
          <w:sz w:val="21"/>
          <w:szCs w:val="21"/>
        </w:rPr>
        <w:t>，</w:t>
      </w:r>
      <w:r w:rsidRPr="00182A22">
        <w:rPr>
          <w:rFonts w:ascii="Arial" w:hAnsi="Arial" w:cs="Arial"/>
          <w:color w:val="000000"/>
          <w:sz w:val="21"/>
          <w:szCs w:val="21"/>
        </w:rPr>
        <w:t>塑造更优的创新生态链</w:t>
      </w:r>
      <w:r>
        <w:rPr>
          <w:rFonts w:ascii="Arial" w:hAnsi="Arial" w:cs="Arial" w:hint="eastAsia"/>
          <w:color w:val="000000"/>
          <w:sz w:val="21"/>
          <w:szCs w:val="21"/>
        </w:rPr>
        <w:t>，</w:t>
      </w:r>
      <w:r w:rsidRPr="00182A22">
        <w:rPr>
          <w:rFonts w:ascii="Arial" w:hAnsi="Arial" w:cs="Arial"/>
          <w:color w:val="000000"/>
          <w:sz w:val="21"/>
          <w:szCs w:val="21"/>
        </w:rPr>
        <w:t>鼓励文化艺术创意的产生、保护与应用。传承中华优秀传统文化</w:t>
      </w:r>
      <w:r>
        <w:rPr>
          <w:rFonts w:ascii="Arial" w:hAnsi="Arial" w:cs="Arial" w:hint="eastAsia"/>
          <w:color w:val="000000"/>
          <w:sz w:val="21"/>
          <w:szCs w:val="21"/>
        </w:rPr>
        <w:t>，</w:t>
      </w:r>
      <w:r w:rsidRPr="00182A22">
        <w:rPr>
          <w:rFonts w:ascii="Arial" w:hAnsi="Arial" w:cs="Arial"/>
          <w:color w:val="000000"/>
          <w:sz w:val="21"/>
          <w:szCs w:val="21"/>
        </w:rPr>
        <w:t>扩大与海内外文化交流和传播</w:t>
      </w:r>
      <w:r>
        <w:rPr>
          <w:rFonts w:ascii="Arial" w:hAnsi="Arial" w:cs="Arial" w:hint="eastAsia"/>
          <w:color w:val="000000"/>
          <w:sz w:val="21"/>
          <w:szCs w:val="21"/>
        </w:rPr>
        <w:t>，</w:t>
      </w:r>
      <w:r w:rsidRPr="00182A22">
        <w:rPr>
          <w:rFonts w:ascii="Arial" w:hAnsi="Arial" w:cs="Arial"/>
          <w:color w:val="000000"/>
          <w:sz w:val="21"/>
          <w:szCs w:val="21"/>
        </w:rPr>
        <w:t>建设国家文化高地和国际文化交流中心。举办国际性体育赛事</w:t>
      </w:r>
      <w:r>
        <w:rPr>
          <w:rFonts w:ascii="Arial" w:hAnsi="Arial" w:cs="Arial" w:hint="eastAsia"/>
          <w:color w:val="000000"/>
          <w:sz w:val="21"/>
          <w:szCs w:val="21"/>
        </w:rPr>
        <w:t>，</w:t>
      </w:r>
      <w:r w:rsidRPr="00182A22">
        <w:rPr>
          <w:rFonts w:ascii="Arial" w:hAnsi="Arial" w:cs="Arial"/>
          <w:color w:val="000000"/>
          <w:sz w:val="21"/>
          <w:szCs w:val="21"/>
        </w:rPr>
        <w:t>开展全民体育运动</w:t>
      </w:r>
      <w:r>
        <w:rPr>
          <w:rFonts w:ascii="Arial" w:hAnsi="Arial" w:cs="Arial" w:hint="eastAsia"/>
          <w:color w:val="000000"/>
          <w:sz w:val="21"/>
          <w:szCs w:val="21"/>
        </w:rPr>
        <w:t>，</w:t>
      </w:r>
      <w:r w:rsidRPr="00182A22">
        <w:rPr>
          <w:rFonts w:ascii="Arial" w:hAnsi="Arial" w:cs="Arial"/>
          <w:color w:val="000000"/>
          <w:sz w:val="21"/>
          <w:szCs w:val="21"/>
        </w:rPr>
        <w:t>建设世界体育名城。吸引国际合作组织驻宁</w:t>
      </w:r>
      <w:r>
        <w:rPr>
          <w:rFonts w:ascii="Arial" w:hAnsi="Arial" w:cs="Arial" w:hint="eastAsia"/>
          <w:color w:val="000000"/>
          <w:sz w:val="21"/>
          <w:szCs w:val="21"/>
        </w:rPr>
        <w:t>，</w:t>
      </w:r>
      <w:r w:rsidRPr="00182A22">
        <w:rPr>
          <w:rFonts w:ascii="Arial" w:hAnsi="Arial" w:cs="Arial"/>
          <w:color w:val="000000"/>
          <w:sz w:val="21"/>
          <w:szCs w:val="21"/>
        </w:rPr>
        <w:t>争取国际论坛、会议等资源</w:t>
      </w:r>
      <w:r>
        <w:rPr>
          <w:rFonts w:ascii="Arial" w:hAnsi="Arial" w:cs="Arial" w:hint="eastAsia"/>
          <w:color w:val="000000"/>
          <w:sz w:val="21"/>
          <w:szCs w:val="21"/>
        </w:rPr>
        <w:t>，</w:t>
      </w:r>
      <w:r w:rsidRPr="00182A22">
        <w:rPr>
          <w:rFonts w:ascii="Arial" w:hAnsi="Arial" w:cs="Arial"/>
          <w:color w:val="000000"/>
          <w:sz w:val="21"/>
          <w:szCs w:val="21"/>
        </w:rPr>
        <w:t>建设国际活动中心。</w:t>
      </w:r>
    </w:p>
    <w:p w14:paraId="25240AFA" w14:textId="77777777" w:rsidR="00BE38CC"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sidRPr="00182A22">
        <w:rPr>
          <w:rFonts w:ascii="Arial" w:hAnsi="Arial" w:cs="Arial"/>
          <w:color w:val="000000"/>
          <w:sz w:val="21"/>
          <w:szCs w:val="21"/>
        </w:rPr>
        <w:t>充分发挥南京承东启西、联通南北、链接海陆的区位优势</w:t>
      </w:r>
      <w:r>
        <w:rPr>
          <w:rFonts w:ascii="Arial" w:hAnsi="Arial" w:cs="Arial" w:hint="eastAsia"/>
          <w:color w:val="000000"/>
          <w:sz w:val="21"/>
          <w:szCs w:val="21"/>
        </w:rPr>
        <w:t>，</w:t>
      </w:r>
      <w:r w:rsidRPr="00182A22">
        <w:rPr>
          <w:rFonts w:ascii="Arial" w:hAnsi="Arial" w:cs="Arial"/>
          <w:color w:val="000000"/>
          <w:sz w:val="21"/>
          <w:szCs w:val="21"/>
        </w:rPr>
        <w:t>进一步提升城市经济、创新、交通枢纽等核心功能以及资源配置能力</w:t>
      </w:r>
      <w:r>
        <w:rPr>
          <w:rFonts w:ascii="Arial" w:hAnsi="Arial" w:cs="Arial" w:hint="eastAsia"/>
          <w:color w:val="000000"/>
          <w:sz w:val="21"/>
          <w:szCs w:val="21"/>
        </w:rPr>
        <w:t>，</w:t>
      </w:r>
      <w:r w:rsidRPr="00182A22">
        <w:rPr>
          <w:rFonts w:ascii="Arial" w:hAnsi="Arial" w:cs="Arial"/>
          <w:color w:val="000000"/>
          <w:sz w:val="21"/>
          <w:szCs w:val="21"/>
        </w:rPr>
        <w:t>提高城市首位度</w:t>
      </w:r>
      <w:r>
        <w:rPr>
          <w:rFonts w:ascii="Arial" w:hAnsi="Arial" w:cs="Arial" w:hint="eastAsia"/>
          <w:color w:val="000000"/>
          <w:sz w:val="21"/>
          <w:szCs w:val="21"/>
        </w:rPr>
        <w:t>，</w:t>
      </w:r>
      <w:r w:rsidRPr="00182A22">
        <w:rPr>
          <w:rFonts w:ascii="Arial" w:hAnsi="Arial" w:cs="Arial"/>
          <w:color w:val="000000"/>
          <w:sz w:val="21"/>
          <w:szCs w:val="21"/>
        </w:rPr>
        <w:t>代表国家参与全球城市竞争</w:t>
      </w:r>
      <w:r>
        <w:rPr>
          <w:rFonts w:ascii="Arial" w:hAnsi="Arial" w:cs="Arial" w:hint="eastAsia"/>
          <w:color w:val="000000"/>
          <w:sz w:val="21"/>
          <w:szCs w:val="21"/>
        </w:rPr>
        <w:t>，</w:t>
      </w:r>
      <w:r w:rsidRPr="00182A22">
        <w:rPr>
          <w:rFonts w:ascii="Arial" w:hAnsi="Arial" w:cs="Arial"/>
          <w:color w:val="000000"/>
          <w:sz w:val="21"/>
          <w:szCs w:val="21"/>
        </w:rPr>
        <w:t>把南京建设成为面向亚太、融入全球城市体系的国家中心城市。传承南京两千多年的历史文化底蕴</w:t>
      </w:r>
      <w:r>
        <w:rPr>
          <w:rFonts w:ascii="Arial" w:hAnsi="Arial" w:cs="Arial" w:hint="eastAsia"/>
          <w:color w:val="000000"/>
          <w:sz w:val="21"/>
          <w:szCs w:val="21"/>
        </w:rPr>
        <w:t>，</w:t>
      </w:r>
      <w:r w:rsidRPr="00182A22">
        <w:rPr>
          <w:rFonts w:ascii="Arial" w:hAnsi="Arial" w:cs="Arial"/>
          <w:color w:val="000000"/>
          <w:sz w:val="21"/>
          <w:szCs w:val="21"/>
        </w:rPr>
        <w:t>坚定文化自信</w:t>
      </w:r>
      <w:r>
        <w:rPr>
          <w:rFonts w:ascii="Arial" w:hAnsi="Arial" w:cs="Arial" w:hint="eastAsia"/>
          <w:color w:val="000000"/>
          <w:sz w:val="21"/>
          <w:szCs w:val="21"/>
        </w:rPr>
        <w:t>，</w:t>
      </w:r>
      <w:r w:rsidRPr="00182A22">
        <w:rPr>
          <w:rFonts w:ascii="Arial" w:hAnsi="Arial" w:cs="Arial"/>
          <w:color w:val="000000"/>
          <w:sz w:val="21"/>
          <w:szCs w:val="21"/>
        </w:rPr>
        <w:t>弘扬古都文化</w:t>
      </w:r>
      <w:r>
        <w:rPr>
          <w:rFonts w:ascii="Arial" w:hAnsi="Arial" w:cs="Arial" w:hint="eastAsia"/>
          <w:color w:val="000000"/>
          <w:sz w:val="21"/>
          <w:szCs w:val="21"/>
        </w:rPr>
        <w:t>，</w:t>
      </w:r>
      <w:r w:rsidRPr="00182A22">
        <w:rPr>
          <w:rFonts w:ascii="Arial" w:hAnsi="Arial" w:cs="Arial"/>
          <w:color w:val="000000"/>
          <w:sz w:val="21"/>
          <w:szCs w:val="21"/>
        </w:rPr>
        <w:t>塑造多元包容的现代城市精神</w:t>
      </w:r>
      <w:r>
        <w:rPr>
          <w:rFonts w:ascii="Arial" w:hAnsi="Arial" w:cs="Arial" w:hint="eastAsia"/>
          <w:color w:val="000000"/>
          <w:sz w:val="21"/>
          <w:szCs w:val="21"/>
        </w:rPr>
        <w:t>，</w:t>
      </w:r>
      <w:r w:rsidRPr="00182A22">
        <w:rPr>
          <w:rFonts w:ascii="Arial" w:hAnsi="Arial" w:cs="Arial"/>
          <w:color w:val="000000"/>
          <w:sz w:val="21"/>
          <w:szCs w:val="21"/>
        </w:rPr>
        <w:t>建设南北交融、承古启今、</w:t>
      </w:r>
      <w:proofErr w:type="gramStart"/>
      <w:r w:rsidRPr="00182A22">
        <w:rPr>
          <w:rFonts w:ascii="Arial" w:hAnsi="Arial" w:cs="Arial"/>
          <w:color w:val="000000"/>
          <w:sz w:val="21"/>
          <w:szCs w:val="21"/>
        </w:rPr>
        <w:t>中西合盟的</w:t>
      </w:r>
      <w:proofErr w:type="gramEnd"/>
      <w:r w:rsidRPr="00182A22">
        <w:rPr>
          <w:rFonts w:ascii="Arial" w:hAnsi="Arial" w:cs="Arial"/>
          <w:color w:val="000000"/>
          <w:sz w:val="21"/>
          <w:szCs w:val="21"/>
        </w:rPr>
        <w:t>国家历史文化名城和世界著名古都</w:t>
      </w:r>
      <w:r>
        <w:rPr>
          <w:rFonts w:ascii="Arial" w:hAnsi="Arial" w:cs="Arial" w:hint="eastAsia"/>
          <w:color w:val="000000"/>
          <w:sz w:val="21"/>
          <w:szCs w:val="21"/>
        </w:rPr>
        <w:t>，</w:t>
      </w:r>
      <w:r w:rsidRPr="00182A22">
        <w:rPr>
          <w:rFonts w:ascii="Arial" w:hAnsi="Arial" w:cs="Arial"/>
          <w:color w:val="000000"/>
          <w:sz w:val="21"/>
          <w:szCs w:val="21"/>
        </w:rPr>
        <w:t>提升城市文化</w:t>
      </w:r>
      <w:proofErr w:type="gramStart"/>
      <w:r w:rsidRPr="00182A22">
        <w:rPr>
          <w:rFonts w:ascii="Arial" w:hAnsi="Arial" w:cs="Arial"/>
          <w:color w:val="000000"/>
          <w:sz w:val="21"/>
          <w:szCs w:val="21"/>
        </w:rPr>
        <w:t>软实力</w:t>
      </w:r>
      <w:proofErr w:type="gramEnd"/>
      <w:r w:rsidRPr="00182A22">
        <w:rPr>
          <w:rFonts w:ascii="Arial" w:hAnsi="Arial" w:cs="Arial"/>
          <w:color w:val="000000"/>
          <w:sz w:val="21"/>
          <w:szCs w:val="21"/>
        </w:rPr>
        <w:t>和国际影响力</w:t>
      </w:r>
      <w:r>
        <w:rPr>
          <w:rFonts w:ascii="Arial" w:hAnsi="Arial" w:cs="Arial" w:hint="eastAsia"/>
          <w:color w:val="000000"/>
          <w:sz w:val="21"/>
          <w:szCs w:val="21"/>
        </w:rPr>
        <w:t>，</w:t>
      </w:r>
      <w:r w:rsidRPr="00182A22">
        <w:rPr>
          <w:rFonts w:ascii="Arial" w:hAnsi="Arial" w:cs="Arial"/>
          <w:color w:val="000000"/>
          <w:sz w:val="21"/>
          <w:szCs w:val="21"/>
        </w:rPr>
        <w:t>成为中华文化复兴的代表城市。构建</w:t>
      </w:r>
      <w:r>
        <w:rPr>
          <w:rFonts w:ascii="Arial" w:hAnsi="Arial" w:cs="Arial"/>
          <w:color w:val="000000"/>
          <w:sz w:val="21"/>
          <w:szCs w:val="21"/>
        </w:rPr>
        <w:t>“</w:t>
      </w:r>
      <w:r w:rsidRPr="00182A22">
        <w:rPr>
          <w:rFonts w:ascii="Arial" w:hAnsi="Arial" w:cs="Arial"/>
          <w:color w:val="000000"/>
          <w:sz w:val="21"/>
          <w:szCs w:val="21"/>
        </w:rPr>
        <w:t>双机场</w:t>
      </w:r>
      <w:r w:rsidRPr="00182A22">
        <w:rPr>
          <w:rFonts w:ascii="Arial" w:hAnsi="Arial" w:cs="Arial"/>
          <w:color w:val="000000"/>
          <w:sz w:val="21"/>
          <w:szCs w:val="21"/>
        </w:rPr>
        <w:t>”</w:t>
      </w:r>
      <w:r w:rsidRPr="00182A22">
        <w:rPr>
          <w:rFonts w:ascii="Arial" w:hAnsi="Arial" w:cs="Arial"/>
          <w:color w:val="000000"/>
          <w:sz w:val="21"/>
          <w:szCs w:val="21"/>
        </w:rPr>
        <w:lastRenderedPageBreak/>
        <w:t>航空枢纽</w:t>
      </w:r>
      <w:r>
        <w:rPr>
          <w:rFonts w:ascii="Arial" w:hAnsi="Arial" w:cs="Arial" w:hint="eastAsia"/>
          <w:color w:val="000000"/>
          <w:sz w:val="21"/>
          <w:szCs w:val="21"/>
        </w:rPr>
        <w:t>，</w:t>
      </w:r>
      <w:r w:rsidRPr="00182A22">
        <w:rPr>
          <w:rFonts w:ascii="Arial" w:hAnsi="Arial" w:cs="Arial"/>
          <w:color w:val="000000"/>
          <w:sz w:val="21"/>
          <w:szCs w:val="21"/>
        </w:rPr>
        <w:t>提升国际空港服务能力</w:t>
      </w:r>
      <w:r>
        <w:rPr>
          <w:rFonts w:ascii="Arial" w:hAnsi="Arial" w:cs="Arial" w:hint="eastAsia"/>
          <w:color w:val="000000"/>
          <w:sz w:val="21"/>
          <w:szCs w:val="21"/>
        </w:rPr>
        <w:t>，</w:t>
      </w:r>
      <w:r w:rsidRPr="00182A22">
        <w:rPr>
          <w:rFonts w:ascii="Arial" w:hAnsi="Arial" w:cs="Arial"/>
          <w:color w:val="000000"/>
          <w:sz w:val="21"/>
          <w:szCs w:val="21"/>
        </w:rPr>
        <w:t>建设江海转运、海铁联运的长江航运中心和近洋货运枢纽</w:t>
      </w:r>
      <w:r>
        <w:rPr>
          <w:rFonts w:ascii="Arial" w:hAnsi="Arial" w:cs="Arial" w:hint="eastAsia"/>
          <w:color w:val="000000"/>
          <w:sz w:val="21"/>
          <w:szCs w:val="21"/>
        </w:rPr>
        <w:t>，</w:t>
      </w:r>
      <w:r w:rsidRPr="00182A22">
        <w:rPr>
          <w:rFonts w:ascii="Arial" w:hAnsi="Arial" w:cs="Arial"/>
          <w:color w:val="000000"/>
          <w:sz w:val="21"/>
          <w:szCs w:val="21"/>
        </w:rPr>
        <w:t>构建</w:t>
      </w:r>
      <w:r w:rsidRPr="00182A22">
        <w:rPr>
          <w:rFonts w:ascii="Arial" w:hAnsi="Arial" w:cs="Arial"/>
          <w:color w:val="000000"/>
          <w:sz w:val="21"/>
          <w:szCs w:val="21"/>
        </w:rPr>
        <w:t>“</w:t>
      </w:r>
      <w:r w:rsidRPr="00182A22">
        <w:rPr>
          <w:rFonts w:ascii="Arial" w:hAnsi="Arial" w:cs="Arial"/>
          <w:color w:val="000000"/>
          <w:sz w:val="21"/>
          <w:szCs w:val="21"/>
        </w:rPr>
        <w:t>八向十线</w:t>
      </w:r>
      <w:r w:rsidRPr="00182A22">
        <w:rPr>
          <w:rFonts w:ascii="Arial" w:hAnsi="Arial" w:cs="Arial"/>
          <w:color w:val="000000"/>
          <w:sz w:val="21"/>
          <w:szCs w:val="21"/>
        </w:rPr>
        <w:t>”</w:t>
      </w:r>
      <w:r w:rsidRPr="00182A22">
        <w:rPr>
          <w:rFonts w:ascii="Arial" w:hAnsi="Arial" w:cs="Arial"/>
          <w:color w:val="000000"/>
          <w:sz w:val="21"/>
          <w:szCs w:val="21"/>
        </w:rPr>
        <w:t>国家高铁网和链接欧亚的国际铁路网</w:t>
      </w:r>
      <w:r>
        <w:rPr>
          <w:rFonts w:ascii="Arial" w:hAnsi="Arial" w:cs="Arial" w:hint="eastAsia"/>
          <w:color w:val="000000"/>
          <w:sz w:val="21"/>
          <w:szCs w:val="21"/>
        </w:rPr>
        <w:t>，</w:t>
      </w:r>
      <w:r w:rsidRPr="00182A22">
        <w:rPr>
          <w:rFonts w:ascii="Arial" w:hAnsi="Arial" w:cs="Arial"/>
          <w:color w:val="000000"/>
          <w:sz w:val="21"/>
          <w:szCs w:val="21"/>
        </w:rPr>
        <w:t>巩固南京国家综合交通枢纽地位</w:t>
      </w:r>
      <w:r>
        <w:rPr>
          <w:rFonts w:ascii="Arial" w:hAnsi="Arial" w:cs="Arial" w:hint="eastAsia"/>
          <w:color w:val="000000"/>
          <w:sz w:val="21"/>
          <w:szCs w:val="21"/>
        </w:rPr>
        <w:t>，</w:t>
      </w:r>
      <w:r w:rsidRPr="00182A22">
        <w:rPr>
          <w:rFonts w:ascii="Arial" w:hAnsi="Arial" w:cs="Arial"/>
          <w:color w:val="000000"/>
          <w:sz w:val="21"/>
          <w:szCs w:val="21"/>
        </w:rPr>
        <w:t>推进国际性交通枢纽建设。</w:t>
      </w:r>
    </w:p>
    <w:p w14:paraId="72C5DD3A" w14:textId="77777777" w:rsidR="00BE38CC" w:rsidRPr="00182A22" w:rsidRDefault="00BE38CC" w:rsidP="00BE38CC">
      <w:pPr>
        <w:pStyle w:val="af1"/>
        <w:widowControl w:val="0"/>
        <w:numPr>
          <w:ilvl w:val="0"/>
          <w:numId w:val="18"/>
        </w:numPr>
        <w:adjustRightInd w:val="0"/>
        <w:snapToGrid w:val="0"/>
        <w:spacing w:line="480" w:lineRule="auto"/>
        <w:ind w:firstLineChars="0"/>
        <w:jc w:val="both"/>
        <w:rPr>
          <w:rFonts w:ascii="Arial" w:hAnsi="Arial" w:cs="Arial"/>
          <w:noProof/>
          <w:sz w:val="21"/>
          <w:szCs w:val="21"/>
        </w:rPr>
      </w:pPr>
      <w:r>
        <w:rPr>
          <w:rFonts w:ascii="Arial" w:hAnsi="Arial" w:cs="Arial" w:hint="eastAsia"/>
          <w:noProof/>
          <w:sz w:val="21"/>
          <w:szCs w:val="21"/>
        </w:rPr>
        <w:t>城市规模与绩效</w:t>
      </w:r>
    </w:p>
    <w:p w14:paraId="2BC4F40E" w14:textId="77777777" w:rsidR="00BE38CC" w:rsidRPr="00182A22"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sidRPr="001B251C">
        <w:rPr>
          <w:rFonts w:ascii="Arial" w:hAnsi="Arial" w:cs="Arial"/>
          <w:color w:val="000000"/>
          <w:sz w:val="21"/>
          <w:szCs w:val="21"/>
        </w:rPr>
        <w:t>至</w:t>
      </w:r>
      <w:r w:rsidRPr="001B251C">
        <w:rPr>
          <w:rFonts w:ascii="Arial" w:hAnsi="Arial" w:cs="Arial"/>
          <w:color w:val="000000"/>
          <w:sz w:val="21"/>
          <w:szCs w:val="21"/>
        </w:rPr>
        <w:t>2035</w:t>
      </w:r>
      <w:r w:rsidRPr="001B251C">
        <w:rPr>
          <w:rFonts w:ascii="Arial" w:hAnsi="Arial" w:cs="Arial"/>
          <w:color w:val="000000"/>
          <w:sz w:val="21"/>
          <w:szCs w:val="21"/>
        </w:rPr>
        <w:t>年</w:t>
      </w:r>
      <w:r>
        <w:rPr>
          <w:rFonts w:ascii="Arial" w:hAnsi="Arial" w:cs="Arial" w:hint="eastAsia"/>
          <w:color w:val="000000"/>
          <w:sz w:val="21"/>
          <w:szCs w:val="21"/>
        </w:rPr>
        <w:t>，</w:t>
      </w:r>
      <w:r w:rsidRPr="001B251C">
        <w:rPr>
          <w:rFonts w:ascii="Arial" w:hAnsi="Arial" w:cs="Arial"/>
          <w:color w:val="000000"/>
          <w:sz w:val="21"/>
          <w:szCs w:val="21"/>
        </w:rPr>
        <w:t>全市常住人口规模控制在</w:t>
      </w:r>
      <w:r w:rsidRPr="001B251C">
        <w:rPr>
          <w:rFonts w:ascii="Arial" w:hAnsi="Arial" w:cs="Arial"/>
          <w:color w:val="000000"/>
          <w:sz w:val="21"/>
          <w:szCs w:val="21"/>
        </w:rPr>
        <w:t>1300</w:t>
      </w:r>
      <w:r w:rsidRPr="001B251C">
        <w:rPr>
          <w:rFonts w:ascii="Arial" w:hAnsi="Arial" w:cs="Arial"/>
          <w:color w:val="000000"/>
          <w:sz w:val="21"/>
          <w:szCs w:val="21"/>
        </w:rPr>
        <w:t>万人以内</w:t>
      </w:r>
      <w:r>
        <w:rPr>
          <w:rFonts w:ascii="Arial" w:hAnsi="Arial" w:cs="Arial" w:hint="eastAsia"/>
          <w:color w:val="000000"/>
          <w:sz w:val="21"/>
          <w:szCs w:val="21"/>
        </w:rPr>
        <w:t>，</w:t>
      </w:r>
      <w:r w:rsidRPr="001B251C">
        <w:rPr>
          <w:rFonts w:ascii="Arial" w:hAnsi="Arial" w:cs="Arial"/>
          <w:color w:val="000000"/>
          <w:sz w:val="21"/>
          <w:szCs w:val="21"/>
        </w:rPr>
        <w:t>2035</w:t>
      </w:r>
      <w:r w:rsidRPr="001B251C">
        <w:rPr>
          <w:rFonts w:ascii="Arial" w:hAnsi="Arial" w:cs="Arial"/>
          <w:color w:val="000000"/>
          <w:sz w:val="21"/>
          <w:szCs w:val="21"/>
        </w:rPr>
        <w:t>年以后长期稳定在这一水平。调整优化人口结构</w:t>
      </w:r>
      <w:r>
        <w:rPr>
          <w:rFonts w:ascii="Arial" w:hAnsi="Arial" w:cs="Arial" w:hint="eastAsia"/>
          <w:color w:val="000000"/>
          <w:sz w:val="21"/>
          <w:szCs w:val="21"/>
        </w:rPr>
        <w:t>，</w:t>
      </w:r>
      <w:r w:rsidRPr="001B251C">
        <w:rPr>
          <w:rFonts w:ascii="Arial" w:hAnsi="Arial" w:cs="Arial"/>
          <w:color w:val="000000"/>
          <w:sz w:val="21"/>
          <w:szCs w:val="21"/>
        </w:rPr>
        <w:t>营造凝聚人才的政策环境</w:t>
      </w:r>
      <w:r>
        <w:rPr>
          <w:rFonts w:ascii="Arial" w:hAnsi="Arial" w:cs="Arial" w:hint="eastAsia"/>
          <w:color w:val="000000"/>
          <w:sz w:val="21"/>
          <w:szCs w:val="21"/>
        </w:rPr>
        <w:t>，</w:t>
      </w:r>
      <w:r w:rsidRPr="001B251C">
        <w:rPr>
          <w:rFonts w:ascii="Arial" w:hAnsi="Arial" w:cs="Arial"/>
          <w:color w:val="000000"/>
          <w:sz w:val="21"/>
          <w:szCs w:val="21"/>
        </w:rPr>
        <w:t>加大对高层次人才吸引力度</w:t>
      </w:r>
      <w:r>
        <w:rPr>
          <w:rFonts w:ascii="Arial" w:hAnsi="Arial" w:cs="Arial" w:hint="eastAsia"/>
          <w:color w:val="000000"/>
          <w:sz w:val="21"/>
          <w:szCs w:val="21"/>
        </w:rPr>
        <w:t>，</w:t>
      </w:r>
      <w:r w:rsidRPr="001B251C">
        <w:rPr>
          <w:rFonts w:ascii="Arial" w:hAnsi="Arial" w:cs="Arial"/>
          <w:color w:val="000000"/>
          <w:sz w:val="21"/>
          <w:szCs w:val="21"/>
        </w:rPr>
        <w:t>加强职业教育培训</w:t>
      </w:r>
      <w:r>
        <w:rPr>
          <w:rFonts w:ascii="Arial" w:hAnsi="Arial" w:cs="Arial" w:hint="eastAsia"/>
          <w:color w:val="000000"/>
          <w:sz w:val="21"/>
          <w:szCs w:val="21"/>
        </w:rPr>
        <w:t>，</w:t>
      </w:r>
      <w:r w:rsidRPr="001B251C">
        <w:rPr>
          <w:rFonts w:ascii="Arial" w:hAnsi="Arial" w:cs="Arial"/>
          <w:color w:val="000000"/>
          <w:sz w:val="21"/>
          <w:szCs w:val="21"/>
        </w:rPr>
        <w:t>建立与产业发展相适应的劳动力队伍</w:t>
      </w:r>
      <w:r>
        <w:rPr>
          <w:rFonts w:ascii="Arial" w:hAnsi="Arial" w:cs="Arial" w:hint="eastAsia"/>
          <w:color w:val="000000"/>
          <w:sz w:val="21"/>
          <w:szCs w:val="21"/>
        </w:rPr>
        <w:t>。</w:t>
      </w:r>
      <w:r w:rsidRPr="001B251C">
        <w:rPr>
          <w:rFonts w:ascii="Arial" w:hAnsi="Arial" w:cs="Arial"/>
          <w:color w:val="000000"/>
          <w:sz w:val="21"/>
          <w:szCs w:val="21"/>
        </w:rPr>
        <w:t>优化人口空间分布</w:t>
      </w:r>
      <w:r>
        <w:rPr>
          <w:rFonts w:ascii="Arial" w:hAnsi="Arial" w:cs="Arial" w:hint="eastAsia"/>
          <w:color w:val="000000"/>
          <w:sz w:val="21"/>
          <w:szCs w:val="21"/>
        </w:rPr>
        <w:t>，</w:t>
      </w:r>
      <w:r w:rsidRPr="001B251C">
        <w:rPr>
          <w:rFonts w:ascii="Arial" w:hAnsi="Arial" w:cs="Arial" w:hint="eastAsia"/>
          <w:color w:val="000000"/>
          <w:sz w:val="21"/>
          <w:szCs w:val="21"/>
        </w:rPr>
        <w:t>逐</w:t>
      </w:r>
      <w:r w:rsidRPr="001B251C">
        <w:rPr>
          <w:rFonts w:ascii="Arial" w:hAnsi="Arial" w:cs="Arial"/>
          <w:color w:val="000000"/>
          <w:sz w:val="21"/>
          <w:szCs w:val="21"/>
        </w:rPr>
        <w:t>步降低老城过高人口密度</w:t>
      </w:r>
      <w:r>
        <w:rPr>
          <w:rFonts w:ascii="Arial" w:hAnsi="Arial" w:cs="Arial" w:hint="eastAsia"/>
          <w:color w:val="000000"/>
          <w:sz w:val="21"/>
          <w:szCs w:val="21"/>
        </w:rPr>
        <w:t>，</w:t>
      </w:r>
      <w:r w:rsidRPr="001B251C">
        <w:rPr>
          <w:rFonts w:ascii="Arial" w:hAnsi="Arial" w:cs="Arial"/>
          <w:color w:val="000000"/>
          <w:sz w:val="21"/>
          <w:szCs w:val="21"/>
        </w:rPr>
        <w:t>提升新城新区人口集聚能力。引导</w:t>
      </w:r>
      <w:proofErr w:type="gramStart"/>
      <w:r w:rsidRPr="001B251C">
        <w:rPr>
          <w:rFonts w:ascii="Arial" w:hAnsi="Arial" w:cs="Arial"/>
          <w:color w:val="000000"/>
          <w:sz w:val="21"/>
          <w:szCs w:val="21"/>
        </w:rPr>
        <w:t>城乡双栖人口</w:t>
      </w:r>
      <w:proofErr w:type="gramEnd"/>
      <w:r w:rsidRPr="001B251C">
        <w:rPr>
          <w:rFonts w:ascii="Arial" w:hAnsi="Arial" w:cs="Arial"/>
          <w:color w:val="000000"/>
          <w:sz w:val="21"/>
          <w:szCs w:val="21"/>
        </w:rPr>
        <w:t>合理有序流动</w:t>
      </w:r>
      <w:r>
        <w:rPr>
          <w:rFonts w:ascii="Arial" w:hAnsi="Arial" w:cs="Arial" w:hint="eastAsia"/>
          <w:color w:val="000000"/>
          <w:sz w:val="21"/>
          <w:szCs w:val="21"/>
        </w:rPr>
        <w:t>，</w:t>
      </w:r>
      <w:r w:rsidRPr="001B251C">
        <w:rPr>
          <w:rFonts w:ascii="Arial" w:hAnsi="Arial" w:cs="Arial"/>
          <w:color w:val="000000"/>
          <w:sz w:val="21"/>
          <w:szCs w:val="21"/>
        </w:rPr>
        <w:t>形成与多中心城市结构相匹配的人口分布格局统筹考虑服务人口</w:t>
      </w:r>
      <w:r>
        <w:rPr>
          <w:rFonts w:ascii="Arial" w:hAnsi="Arial" w:cs="Arial" w:hint="eastAsia"/>
          <w:color w:val="000000"/>
          <w:sz w:val="21"/>
          <w:szCs w:val="21"/>
        </w:rPr>
        <w:t>，</w:t>
      </w:r>
      <w:r w:rsidRPr="001B251C">
        <w:rPr>
          <w:rFonts w:ascii="Arial" w:hAnsi="Arial" w:cs="Arial"/>
          <w:color w:val="000000"/>
          <w:sz w:val="21"/>
          <w:szCs w:val="21"/>
        </w:rPr>
        <w:t>在常住人口基础上预留</w:t>
      </w:r>
      <w:r w:rsidRPr="001B251C">
        <w:rPr>
          <w:rFonts w:ascii="Arial" w:hAnsi="Arial" w:cs="Arial"/>
          <w:color w:val="000000"/>
          <w:sz w:val="21"/>
          <w:szCs w:val="21"/>
        </w:rPr>
        <w:t>20%</w:t>
      </w:r>
      <w:r w:rsidRPr="001B251C">
        <w:rPr>
          <w:rFonts w:ascii="Arial" w:hAnsi="Arial" w:cs="Arial"/>
          <w:color w:val="000000"/>
          <w:sz w:val="21"/>
          <w:szCs w:val="21"/>
        </w:rPr>
        <w:t>的服务人口弹性</w:t>
      </w:r>
      <w:r>
        <w:rPr>
          <w:rFonts w:ascii="Arial" w:hAnsi="Arial" w:cs="Arial" w:hint="eastAsia"/>
          <w:color w:val="000000"/>
          <w:sz w:val="21"/>
          <w:szCs w:val="21"/>
        </w:rPr>
        <w:t>，</w:t>
      </w:r>
      <w:r w:rsidRPr="001B251C">
        <w:rPr>
          <w:rFonts w:ascii="Arial" w:hAnsi="Arial" w:cs="Arial"/>
          <w:color w:val="000000"/>
          <w:sz w:val="21"/>
          <w:szCs w:val="21"/>
        </w:rPr>
        <w:t>按实际服务人口需求进行公共资源配置</w:t>
      </w:r>
      <w:r>
        <w:rPr>
          <w:rFonts w:ascii="Arial" w:hAnsi="Arial" w:cs="Arial" w:hint="eastAsia"/>
          <w:color w:val="000000"/>
          <w:sz w:val="21"/>
          <w:szCs w:val="21"/>
        </w:rPr>
        <w:t>，</w:t>
      </w:r>
      <w:r w:rsidRPr="001B251C">
        <w:rPr>
          <w:rFonts w:ascii="Arial" w:hAnsi="Arial" w:cs="Arial"/>
          <w:color w:val="000000"/>
          <w:sz w:val="21"/>
          <w:szCs w:val="21"/>
        </w:rPr>
        <w:t>提高基础设施和公共服务设施的保障能力。</w:t>
      </w:r>
    </w:p>
    <w:p w14:paraId="3DD38BD6" w14:textId="77777777" w:rsidR="00BE38CC" w:rsidRPr="001B251C"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sidRPr="001B251C">
        <w:rPr>
          <w:rFonts w:ascii="Arial" w:hAnsi="Arial" w:cs="Arial"/>
          <w:color w:val="000000"/>
          <w:sz w:val="21"/>
          <w:szCs w:val="21"/>
        </w:rPr>
        <w:t>坚持生态约束</w:t>
      </w:r>
      <w:r>
        <w:rPr>
          <w:rFonts w:ascii="Arial" w:hAnsi="Arial" w:cs="Arial"/>
          <w:color w:val="000000"/>
          <w:sz w:val="21"/>
          <w:szCs w:val="21"/>
        </w:rPr>
        <w:t>，</w:t>
      </w:r>
      <w:r w:rsidRPr="001B251C">
        <w:rPr>
          <w:rFonts w:ascii="Arial" w:hAnsi="Arial" w:cs="Arial"/>
          <w:color w:val="000000"/>
          <w:sz w:val="21"/>
          <w:szCs w:val="21"/>
        </w:rPr>
        <w:t>框定建设用地总量。至</w:t>
      </w:r>
      <w:r w:rsidRPr="001B251C">
        <w:rPr>
          <w:rFonts w:ascii="Arial" w:hAnsi="Arial" w:cs="Arial"/>
          <w:color w:val="000000"/>
          <w:sz w:val="21"/>
          <w:szCs w:val="21"/>
        </w:rPr>
        <w:t>2030</w:t>
      </w:r>
      <w:r w:rsidRPr="001B251C">
        <w:rPr>
          <w:rFonts w:ascii="Arial" w:hAnsi="Arial" w:cs="Arial"/>
          <w:color w:val="000000"/>
          <w:sz w:val="21"/>
          <w:szCs w:val="21"/>
        </w:rPr>
        <w:t>年</w:t>
      </w:r>
      <w:r>
        <w:rPr>
          <w:rFonts w:ascii="Arial" w:hAnsi="Arial" w:cs="Arial"/>
          <w:color w:val="000000"/>
          <w:sz w:val="21"/>
          <w:szCs w:val="21"/>
        </w:rPr>
        <w:t>，</w:t>
      </w:r>
      <w:r w:rsidRPr="001B251C">
        <w:rPr>
          <w:rFonts w:ascii="Arial" w:hAnsi="Arial" w:cs="Arial"/>
          <w:color w:val="000000"/>
          <w:sz w:val="21"/>
          <w:szCs w:val="21"/>
        </w:rPr>
        <w:t>全市建设用地总规模控制在</w:t>
      </w:r>
      <w:r w:rsidRPr="001B251C">
        <w:rPr>
          <w:rFonts w:ascii="Arial" w:hAnsi="Arial" w:cs="Arial"/>
          <w:color w:val="000000"/>
          <w:sz w:val="21"/>
          <w:szCs w:val="21"/>
        </w:rPr>
        <w:t>2150</w:t>
      </w:r>
      <w:r w:rsidRPr="001B251C">
        <w:rPr>
          <w:rFonts w:ascii="Arial" w:hAnsi="Arial" w:cs="Arial"/>
          <w:color w:val="000000"/>
          <w:sz w:val="21"/>
          <w:szCs w:val="21"/>
        </w:rPr>
        <w:t>平方千米以内</w:t>
      </w:r>
      <w:r>
        <w:rPr>
          <w:rFonts w:ascii="Arial" w:hAnsi="Arial" w:cs="Arial"/>
          <w:color w:val="000000"/>
          <w:sz w:val="21"/>
          <w:szCs w:val="21"/>
        </w:rPr>
        <w:t>，</w:t>
      </w:r>
      <w:r w:rsidRPr="001B251C">
        <w:rPr>
          <w:rFonts w:ascii="Arial" w:hAnsi="Arial" w:cs="Arial"/>
          <w:color w:val="000000"/>
          <w:sz w:val="21"/>
          <w:szCs w:val="21"/>
        </w:rPr>
        <w:t>城乡建设用地控制在</w:t>
      </w:r>
      <w:r w:rsidRPr="001B251C">
        <w:rPr>
          <w:rFonts w:ascii="Arial" w:hAnsi="Arial" w:cs="Arial"/>
          <w:color w:val="000000"/>
          <w:sz w:val="21"/>
          <w:szCs w:val="21"/>
        </w:rPr>
        <w:t>1745</w:t>
      </w:r>
      <w:r w:rsidRPr="001B251C">
        <w:rPr>
          <w:rFonts w:ascii="Arial" w:hAnsi="Arial" w:cs="Arial"/>
          <w:color w:val="000000"/>
          <w:sz w:val="21"/>
          <w:szCs w:val="21"/>
        </w:rPr>
        <w:t>平方千米以内</w:t>
      </w:r>
      <w:r w:rsidRPr="001B251C">
        <w:rPr>
          <w:rFonts w:ascii="Arial" w:hAnsi="Arial" w:cs="Arial"/>
          <w:color w:val="000000"/>
          <w:sz w:val="21"/>
          <w:szCs w:val="21"/>
        </w:rPr>
        <w:t>:</w:t>
      </w:r>
      <w:r w:rsidRPr="001B251C">
        <w:rPr>
          <w:rFonts w:ascii="Arial" w:hAnsi="Arial" w:cs="Arial"/>
          <w:color w:val="000000"/>
          <w:sz w:val="21"/>
          <w:szCs w:val="21"/>
        </w:rPr>
        <w:t>至</w:t>
      </w:r>
      <w:r w:rsidRPr="001B251C">
        <w:rPr>
          <w:rFonts w:ascii="Arial" w:hAnsi="Arial" w:cs="Arial"/>
          <w:color w:val="000000"/>
          <w:sz w:val="21"/>
          <w:szCs w:val="21"/>
        </w:rPr>
        <w:t>2035</w:t>
      </w:r>
      <w:r w:rsidRPr="001B251C">
        <w:rPr>
          <w:rFonts w:ascii="Arial" w:hAnsi="Arial" w:cs="Arial"/>
          <w:color w:val="000000"/>
          <w:sz w:val="21"/>
          <w:szCs w:val="21"/>
        </w:rPr>
        <w:t>年</w:t>
      </w:r>
      <w:r>
        <w:rPr>
          <w:rFonts w:ascii="Arial" w:hAnsi="Arial" w:cs="Arial"/>
          <w:color w:val="000000"/>
          <w:sz w:val="21"/>
          <w:szCs w:val="21"/>
        </w:rPr>
        <w:t>，</w:t>
      </w:r>
      <w:r w:rsidRPr="001B251C">
        <w:rPr>
          <w:rFonts w:ascii="Arial" w:hAnsi="Arial" w:cs="Arial"/>
          <w:color w:val="000000"/>
          <w:sz w:val="21"/>
          <w:szCs w:val="21"/>
        </w:rPr>
        <w:t>全市建设用地总规模和城乡建设用地规模在</w:t>
      </w:r>
      <w:r w:rsidRPr="001B251C">
        <w:rPr>
          <w:rFonts w:ascii="Arial" w:hAnsi="Arial" w:cs="Arial"/>
          <w:color w:val="000000"/>
          <w:sz w:val="21"/>
          <w:szCs w:val="21"/>
        </w:rPr>
        <w:t>2030</w:t>
      </w:r>
      <w:r w:rsidRPr="001B251C">
        <w:rPr>
          <w:rFonts w:ascii="Arial" w:hAnsi="Arial" w:cs="Arial"/>
          <w:color w:val="000000"/>
          <w:sz w:val="21"/>
          <w:szCs w:val="21"/>
        </w:rPr>
        <w:t>年控制规模基础上不再增加促进内涵发展</w:t>
      </w:r>
      <w:r>
        <w:rPr>
          <w:rFonts w:ascii="Arial" w:hAnsi="Arial" w:cs="Arial"/>
          <w:color w:val="000000"/>
          <w:sz w:val="21"/>
          <w:szCs w:val="21"/>
        </w:rPr>
        <w:t>，</w:t>
      </w:r>
      <w:r w:rsidRPr="001B251C">
        <w:rPr>
          <w:rFonts w:ascii="Arial" w:hAnsi="Arial" w:cs="Arial"/>
          <w:color w:val="000000"/>
          <w:sz w:val="21"/>
          <w:szCs w:val="21"/>
        </w:rPr>
        <w:t>实施三挂钩</w:t>
      </w:r>
      <w:r>
        <w:rPr>
          <w:rFonts w:ascii="Arial" w:hAnsi="Arial" w:cs="Arial"/>
          <w:color w:val="000000"/>
          <w:sz w:val="21"/>
          <w:szCs w:val="21"/>
        </w:rPr>
        <w:t>，</w:t>
      </w:r>
      <w:r w:rsidRPr="001B251C">
        <w:rPr>
          <w:rFonts w:ascii="Arial" w:hAnsi="Arial" w:cs="Arial"/>
          <w:color w:val="000000"/>
          <w:sz w:val="21"/>
          <w:szCs w:val="21"/>
        </w:rPr>
        <w:t>提高空间发展质量。新增建设用地供应与存量挖潜挂钩</w:t>
      </w:r>
      <w:r>
        <w:rPr>
          <w:rFonts w:ascii="Arial" w:hAnsi="Arial" w:cs="Arial"/>
          <w:color w:val="000000"/>
          <w:sz w:val="21"/>
          <w:szCs w:val="21"/>
        </w:rPr>
        <w:t>，</w:t>
      </w:r>
      <w:r w:rsidRPr="001B251C">
        <w:rPr>
          <w:rFonts w:ascii="Arial" w:hAnsi="Arial" w:cs="Arial"/>
          <w:color w:val="000000"/>
          <w:sz w:val="21"/>
          <w:szCs w:val="21"/>
        </w:rPr>
        <w:t>新增建设用地供应与规模减量挂钩</w:t>
      </w:r>
      <w:r>
        <w:rPr>
          <w:rFonts w:ascii="Arial" w:hAnsi="Arial" w:cs="Arial"/>
          <w:color w:val="000000"/>
          <w:sz w:val="21"/>
          <w:szCs w:val="21"/>
        </w:rPr>
        <w:t>，</w:t>
      </w:r>
      <w:r w:rsidRPr="001B251C">
        <w:rPr>
          <w:rFonts w:ascii="Arial" w:hAnsi="Arial" w:cs="Arial"/>
          <w:color w:val="000000"/>
          <w:sz w:val="21"/>
          <w:szCs w:val="21"/>
        </w:rPr>
        <w:t>新增建设用地供应与土地绩效挂钩</w:t>
      </w:r>
      <w:r>
        <w:rPr>
          <w:rFonts w:ascii="Arial" w:hAnsi="Arial" w:cs="Arial" w:hint="eastAsia"/>
          <w:color w:val="000000"/>
          <w:sz w:val="21"/>
          <w:szCs w:val="21"/>
        </w:rPr>
        <w:t>。</w:t>
      </w:r>
    </w:p>
    <w:p w14:paraId="77A866E8" w14:textId="77777777" w:rsidR="00BE38CC" w:rsidRDefault="00BE38CC" w:rsidP="00BE38CC">
      <w:pPr>
        <w:pStyle w:val="af1"/>
        <w:widowControl w:val="0"/>
        <w:numPr>
          <w:ilvl w:val="0"/>
          <w:numId w:val="18"/>
        </w:numPr>
        <w:adjustRightInd w:val="0"/>
        <w:snapToGrid w:val="0"/>
        <w:spacing w:line="480" w:lineRule="auto"/>
        <w:ind w:firstLineChars="0"/>
        <w:jc w:val="both"/>
        <w:rPr>
          <w:rFonts w:ascii="Arial" w:hAnsi="Arial" w:cs="Arial"/>
          <w:noProof/>
          <w:sz w:val="21"/>
          <w:szCs w:val="21"/>
        </w:rPr>
      </w:pPr>
      <w:r>
        <w:rPr>
          <w:rFonts w:ascii="Arial" w:hAnsi="Arial" w:cs="Arial" w:hint="eastAsia"/>
          <w:noProof/>
          <w:sz w:val="21"/>
          <w:szCs w:val="21"/>
        </w:rPr>
        <w:t>自然资源保护与利用</w:t>
      </w:r>
    </w:p>
    <w:p w14:paraId="1280CE24" w14:textId="77777777" w:rsidR="00BE38CC" w:rsidRPr="006B4715" w:rsidRDefault="00BE38CC" w:rsidP="00BE38CC">
      <w:pPr>
        <w:widowControl w:val="0"/>
        <w:adjustRightInd w:val="0"/>
        <w:snapToGrid w:val="0"/>
        <w:spacing w:line="480" w:lineRule="auto"/>
        <w:ind w:firstLineChars="200" w:firstLine="420"/>
        <w:jc w:val="both"/>
        <w:rPr>
          <w:rFonts w:ascii="Arial" w:hAnsi="Arial" w:cs="Arial"/>
          <w:noProof/>
          <w:sz w:val="21"/>
          <w:szCs w:val="21"/>
        </w:rPr>
      </w:pPr>
      <w:r w:rsidRPr="006B4715">
        <w:rPr>
          <w:rFonts w:ascii="Arial" w:hAnsi="Arial" w:cs="Arial"/>
          <w:noProof/>
          <w:sz w:val="21"/>
          <w:szCs w:val="21"/>
        </w:rPr>
        <w:t>坚持尊重自然、顺应自然、保护自然</w:t>
      </w:r>
      <w:r w:rsidRPr="006B4715">
        <w:rPr>
          <w:rFonts w:ascii="Arial" w:hAnsi="Arial" w:cs="Arial"/>
          <w:noProof/>
          <w:sz w:val="21"/>
          <w:szCs w:val="21"/>
        </w:rPr>
        <w:t>,</w:t>
      </w:r>
      <w:r w:rsidRPr="006B4715">
        <w:rPr>
          <w:rFonts w:ascii="Arial" w:hAnsi="Arial" w:cs="Arial"/>
          <w:noProof/>
          <w:sz w:val="21"/>
          <w:szCs w:val="21"/>
        </w:rPr>
        <w:t>以</w:t>
      </w:r>
      <w:r w:rsidRPr="006B4715">
        <w:rPr>
          <w:rFonts w:ascii="Arial" w:hAnsi="Arial" w:cs="Arial"/>
          <w:noProof/>
          <w:sz w:val="21"/>
          <w:szCs w:val="21"/>
        </w:rPr>
        <w:t>“</w:t>
      </w:r>
      <w:r w:rsidRPr="006B4715">
        <w:rPr>
          <w:rFonts w:ascii="Arial" w:hAnsi="Arial" w:cs="Arial"/>
          <w:noProof/>
          <w:sz w:val="21"/>
          <w:szCs w:val="21"/>
        </w:rPr>
        <w:t>山水林田湖草是一个生命共同体</w:t>
      </w:r>
      <w:r w:rsidRPr="006B4715">
        <w:rPr>
          <w:rFonts w:ascii="Arial" w:hAnsi="Arial" w:cs="Arial"/>
          <w:noProof/>
          <w:sz w:val="21"/>
          <w:szCs w:val="21"/>
        </w:rPr>
        <w:t>”</w:t>
      </w:r>
      <w:r w:rsidRPr="006B4715">
        <w:rPr>
          <w:rFonts w:ascii="Arial" w:hAnsi="Arial" w:cs="Arial"/>
          <w:noProof/>
          <w:sz w:val="21"/>
          <w:szCs w:val="21"/>
        </w:rPr>
        <w:t>的重要理念为指导</w:t>
      </w:r>
      <w:r w:rsidRPr="006B4715">
        <w:rPr>
          <w:rFonts w:ascii="Arial" w:hAnsi="Arial" w:cs="Arial"/>
          <w:noProof/>
          <w:sz w:val="21"/>
          <w:szCs w:val="21"/>
        </w:rPr>
        <w:t>,</w:t>
      </w:r>
      <w:r w:rsidRPr="006B4715">
        <w:rPr>
          <w:rFonts w:ascii="Arial" w:hAnsi="Arial" w:cs="Arial"/>
          <w:noProof/>
          <w:sz w:val="21"/>
          <w:szCs w:val="21"/>
        </w:rPr>
        <w:t>按照生态系统的整体性、系统性及其内在规律</w:t>
      </w:r>
      <w:r w:rsidRPr="006B4715">
        <w:rPr>
          <w:rFonts w:ascii="Arial" w:hAnsi="Arial" w:cs="Arial"/>
          <w:noProof/>
          <w:sz w:val="21"/>
          <w:szCs w:val="21"/>
        </w:rPr>
        <w:t>,</w:t>
      </w:r>
      <w:r w:rsidRPr="006B4715">
        <w:rPr>
          <w:rFonts w:ascii="Arial" w:hAnsi="Arial" w:cs="Arial"/>
          <w:noProof/>
          <w:sz w:val="21"/>
          <w:szCs w:val="21"/>
        </w:rPr>
        <w:t>统筹考虑自然生态各要素</w:t>
      </w:r>
      <w:r w:rsidRPr="006B4715">
        <w:rPr>
          <w:rFonts w:ascii="Arial" w:hAnsi="Arial" w:cs="Arial"/>
          <w:noProof/>
          <w:sz w:val="21"/>
          <w:szCs w:val="21"/>
        </w:rPr>
        <w:t>,</w:t>
      </w:r>
      <w:r w:rsidRPr="006B4715">
        <w:rPr>
          <w:rFonts w:ascii="Arial" w:hAnsi="Arial" w:cs="Arial"/>
          <w:noProof/>
          <w:sz w:val="21"/>
          <w:szCs w:val="21"/>
        </w:rPr>
        <w:t>进行自然资源整体保护、系统修复、综合治理</w:t>
      </w:r>
      <w:r w:rsidRPr="006B4715">
        <w:rPr>
          <w:rFonts w:ascii="Arial" w:hAnsi="Arial" w:cs="Arial"/>
          <w:noProof/>
          <w:sz w:val="21"/>
          <w:szCs w:val="21"/>
        </w:rPr>
        <w:t>,</w:t>
      </w:r>
      <w:r w:rsidRPr="006B4715">
        <w:rPr>
          <w:rFonts w:ascii="Arial" w:hAnsi="Arial" w:cs="Arial"/>
          <w:noProof/>
          <w:sz w:val="21"/>
          <w:szCs w:val="21"/>
        </w:rPr>
        <w:t>增强生态系统循环能力</w:t>
      </w:r>
      <w:r w:rsidRPr="006B4715">
        <w:rPr>
          <w:rFonts w:ascii="Arial" w:hAnsi="Arial" w:cs="Arial"/>
          <w:noProof/>
          <w:sz w:val="21"/>
          <w:szCs w:val="21"/>
        </w:rPr>
        <w:t>,</w:t>
      </w:r>
      <w:r w:rsidRPr="006B4715">
        <w:rPr>
          <w:rFonts w:ascii="Arial" w:hAnsi="Arial" w:cs="Arial"/>
          <w:noProof/>
          <w:sz w:val="21"/>
          <w:szCs w:val="21"/>
        </w:rPr>
        <w:t>维护生态平衡</w:t>
      </w:r>
      <w:r w:rsidRPr="006B4715">
        <w:rPr>
          <w:rFonts w:ascii="Arial" w:hAnsi="Arial" w:cs="Arial"/>
          <w:noProof/>
          <w:sz w:val="21"/>
          <w:szCs w:val="21"/>
        </w:rPr>
        <w:t>,</w:t>
      </w:r>
      <w:r w:rsidRPr="006B4715">
        <w:rPr>
          <w:rFonts w:ascii="Arial" w:hAnsi="Arial" w:cs="Arial"/>
          <w:noProof/>
          <w:sz w:val="21"/>
          <w:szCs w:val="21"/>
        </w:rPr>
        <w:t>将南京打造为</w:t>
      </w:r>
      <w:r w:rsidRPr="006B4715">
        <w:rPr>
          <w:rFonts w:ascii="Arial" w:hAnsi="Arial" w:cs="Arial"/>
          <w:noProof/>
          <w:sz w:val="21"/>
          <w:szCs w:val="21"/>
        </w:rPr>
        <w:t>“</w:t>
      </w:r>
      <w:r w:rsidRPr="006B4715">
        <w:rPr>
          <w:rFonts w:ascii="Arial" w:hAnsi="Arial" w:cs="Arial"/>
          <w:noProof/>
          <w:sz w:val="21"/>
          <w:szCs w:val="21"/>
        </w:rPr>
        <w:t>山青、水绿、林郁、田沃、湖美</w:t>
      </w:r>
      <w:r w:rsidRPr="006B4715">
        <w:rPr>
          <w:rFonts w:ascii="Arial" w:hAnsi="Arial" w:cs="Arial"/>
          <w:noProof/>
          <w:sz w:val="21"/>
          <w:szCs w:val="21"/>
        </w:rPr>
        <w:t>”</w:t>
      </w:r>
      <w:r w:rsidRPr="006B4715">
        <w:rPr>
          <w:rFonts w:ascii="Arial" w:hAnsi="Arial" w:cs="Arial"/>
          <w:noProof/>
          <w:sz w:val="21"/>
          <w:szCs w:val="21"/>
        </w:rPr>
        <w:t>的生命共同体。</w:t>
      </w:r>
    </w:p>
    <w:p w14:paraId="7270F84B" w14:textId="77777777" w:rsidR="00BE38CC"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山：</w:t>
      </w:r>
      <w:r w:rsidRPr="006B4715">
        <w:rPr>
          <w:rFonts w:ascii="Arial" w:hAnsi="Arial" w:cs="Arial"/>
          <w:color w:val="000000"/>
          <w:sz w:val="21"/>
          <w:szCs w:val="21"/>
        </w:rPr>
        <w:t>加强老山、栖霞山、牛首山等自然山体的保护和管理</w:t>
      </w:r>
      <w:r>
        <w:rPr>
          <w:rFonts w:ascii="Arial" w:hAnsi="Arial" w:cs="Arial" w:hint="eastAsia"/>
          <w:color w:val="000000"/>
          <w:sz w:val="21"/>
          <w:szCs w:val="21"/>
        </w:rPr>
        <w:t>；</w:t>
      </w:r>
    </w:p>
    <w:p w14:paraId="72F23E71" w14:textId="77777777" w:rsidR="00BE38CC"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水：</w:t>
      </w:r>
      <w:r w:rsidRPr="006B4715">
        <w:rPr>
          <w:rFonts w:ascii="Arial" w:hAnsi="Arial" w:cs="Arial"/>
          <w:color w:val="000000"/>
          <w:sz w:val="21"/>
          <w:szCs w:val="21"/>
        </w:rPr>
        <w:t>严格保护长江、秦淮河、</w:t>
      </w:r>
      <w:proofErr w:type="gramStart"/>
      <w:r w:rsidRPr="006B4715">
        <w:rPr>
          <w:rFonts w:ascii="Arial" w:hAnsi="Arial" w:cs="Arial"/>
          <w:color w:val="000000"/>
          <w:sz w:val="21"/>
          <w:szCs w:val="21"/>
        </w:rPr>
        <w:t>滁</w:t>
      </w:r>
      <w:proofErr w:type="gramEnd"/>
      <w:r w:rsidRPr="006B4715">
        <w:rPr>
          <w:rFonts w:ascii="Arial" w:hAnsi="Arial" w:cs="Arial"/>
          <w:color w:val="000000"/>
          <w:sz w:val="21"/>
          <w:szCs w:val="21"/>
        </w:rPr>
        <w:t>河等骨干河流和七里河、朱家山河、护城河等河网水系及其支流</w:t>
      </w:r>
      <w:r>
        <w:rPr>
          <w:rFonts w:ascii="Arial" w:hAnsi="Arial" w:cs="Arial" w:hint="eastAsia"/>
          <w:color w:val="000000"/>
          <w:sz w:val="21"/>
          <w:szCs w:val="21"/>
        </w:rPr>
        <w:t>；</w:t>
      </w:r>
    </w:p>
    <w:p w14:paraId="52527627" w14:textId="77777777" w:rsidR="00BE38CC"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林：</w:t>
      </w:r>
      <w:r w:rsidRPr="006B4715">
        <w:rPr>
          <w:rFonts w:ascii="Arial" w:hAnsi="Arial" w:cs="Arial"/>
          <w:color w:val="000000"/>
          <w:sz w:val="21"/>
          <w:szCs w:val="21"/>
        </w:rPr>
        <w:t>加强林业资源保护和管理</w:t>
      </w:r>
      <w:r w:rsidRPr="006B4715">
        <w:rPr>
          <w:rFonts w:ascii="Arial" w:hAnsi="Arial" w:cs="Arial"/>
          <w:color w:val="000000"/>
          <w:sz w:val="21"/>
          <w:szCs w:val="21"/>
        </w:rPr>
        <w:t>,</w:t>
      </w:r>
      <w:r w:rsidRPr="006B4715">
        <w:rPr>
          <w:rFonts w:ascii="Arial" w:hAnsi="Arial" w:cs="Arial"/>
          <w:color w:val="000000"/>
          <w:sz w:val="21"/>
          <w:szCs w:val="21"/>
        </w:rPr>
        <w:t>提高林木覆盖率和森林质量</w:t>
      </w:r>
      <w:r w:rsidRPr="006B4715">
        <w:rPr>
          <w:rFonts w:ascii="Arial" w:hAnsi="Arial" w:cs="Arial"/>
          <w:color w:val="000000"/>
          <w:sz w:val="21"/>
          <w:szCs w:val="21"/>
        </w:rPr>
        <w:t>,</w:t>
      </w:r>
      <w:r w:rsidRPr="006B4715">
        <w:rPr>
          <w:rFonts w:ascii="Arial" w:hAnsi="Arial" w:cs="Arial"/>
          <w:color w:val="000000"/>
          <w:sz w:val="21"/>
          <w:szCs w:val="21"/>
        </w:rPr>
        <w:t>构建结构合理、景观优美、功能完备、城乡一体的森林生态系统</w:t>
      </w:r>
      <w:r>
        <w:rPr>
          <w:rFonts w:ascii="Arial" w:hAnsi="Arial" w:cs="Arial" w:hint="eastAsia"/>
          <w:color w:val="000000"/>
          <w:sz w:val="21"/>
          <w:szCs w:val="21"/>
        </w:rPr>
        <w:t>；</w:t>
      </w:r>
    </w:p>
    <w:p w14:paraId="408B8ECF" w14:textId="77777777" w:rsidR="00BE38CC"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田：</w:t>
      </w:r>
      <w:r w:rsidRPr="006B4715">
        <w:rPr>
          <w:rFonts w:ascii="Arial" w:hAnsi="Arial" w:cs="Arial"/>
          <w:color w:val="000000"/>
          <w:sz w:val="21"/>
          <w:szCs w:val="21"/>
        </w:rPr>
        <w:t>坚持最严格的耕地保护制度</w:t>
      </w:r>
      <w:r w:rsidRPr="006B4715">
        <w:rPr>
          <w:rFonts w:ascii="Arial" w:hAnsi="Arial" w:cs="Arial"/>
          <w:color w:val="000000"/>
          <w:sz w:val="21"/>
          <w:szCs w:val="21"/>
        </w:rPr>
        <w:t>,</w:t>
      </w:r>
      <w:r w:rsidRPr="006B4715">
        <w:rPr>
          <w:rFonts w:ascii="Arial" w:hAnsi="Arial" w:cs="Arial"/>
          <w:color w:val="000000"/>
          <w:sz w:val="21"/>
          <w:szCs w:val="21"/>
        </w:rPr>
        <w:t>坚持耕地和永久基本农田数量、质量和生态</w:t>
      </w:r>
      <w:r w:rsidRPr="006B4715">
        <w:rPr>
          <w:rFonts w:ascii="Arial" w:hAnsi="Arial" w:cs="Arial"/>
          <w:color w:val="000000"/>
          <w:sz w:val="21"/>
          <w:szCs w:val="21"/>
        </w:rPr>
        <w:t>“</w:t>
      </w:r>
      <w:r w:rsidRPr="006B4715">
        <w:rPr>
          <w:rFonts w:ascii="Arial" w:hAnsi="Arial" w:cs="Arial"/>
          <w:color w:val="000000"/>
          <w:sz w:val="21"/>
          <w:szCs w:val="21"/>
        </w:rPr>
        <w:t>三位一体</w:t>
      </w:r>
      <w:r w:rsidRPr="006B4715">
        <w:rPr>
          <w:rFonts w:ascii="Arial" w:hAnsi="Arial" w:cs="Arial"/>
          <w:color w:val="000000"/>
          <w:sz w:val="21"/>
          <w:szCs w:val="21"/>
        </w:rPr>
        <w:t>”</w:t>
      </w:r>
      <w:r w:rsidRPr="006B4715">
        <w:rPr>
          <w:rFonts w:ascii="Arial" w:hAnsi="Arial" w:cs="Arial"/>
          <w:color w:val="000000"/>
          <w:sz w:val="21"/>
          <w:szCs w:val="21"/>
        </w:rPr>
        <w:t>保护</w:t>
      </w:r>
      <w:r>
        <w:rPr>
          <w:rFonts w:ascii="Arial" w:hAnsi="Arial" w:cs="Arial" w:hint="eastAsia"/>
          <w:color w:val="000000"/>
          <w:sz w:val="21"/>
          <w:szCs w:val="21"/>
        </w:rPr>
        <w:t>；</w:t>
      </w:r>
    </w:p>
    <w:p w14:paraId="44F27078" w14:textId="77777777" w:rsidR="00BE38CC"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湖：</w:t>
      </w:r>
      <w:r w:rsidRPr="006B4715">
        <w:rPr>
          <w:rFonts w:ascii="Arial" w:hAnsi="Arial" w:cs="Arial"/>
          <w:color w:val="000000"/>
          <w:sz w:val="21"/>
          <w:szCs w:val="21"/>
        </w:rPr>
        <w:t>严格保护玄武湖、莫愁湖、石臼湖、固城湖等重要湖泊和各类水库。健全湿地保护体系</w:t>
      </w:r>
      <w:r w:rsidRPr="006B4715">
        <w:rPr>
          <w:rFonts w:ascii="Arial" w:hAnsi="Arial" w:cs="Arial"/>
          <w:color w:val="000000"/>
          <w:sz w:val="21"/>
          <w:szCs w:val="21"/>
        </w:rPr>
        <w:t>,</w:t>
      </w:r>
      <w:r w:rsidRPr="006B4715">
        <w:rPr>
          <w:rFonts w:ascii="Arial" w:hAnsi="Arial" w:cs="Arial"/>
          <w:color w:val="000000"/>
          <w:sz w:val="21"/>
          <w:szCs w:val="21"/>
        </w:rPr>
        <w:t>加强</w:t>
      </w:r>
      <w:r w:rsidRPr="006B4715">
        <w:rPr>
          <w:rFonts w:ascii="Arial" w:hAnsi="Arial" w:cs="Arial"/>
          <w:color w:val="000000"/>
          <w:sz w:val="21"/>
          <w:szCs w:val="21"/>
        </w:rPr>
        <w:lastRenderedPageBreak/>
        <w:t>对长江、石臼湖、重要河口、重要饮用水源地湿地、重要城市湿地等退化湿地的生态修复治理</w:t>
      </w:r>
      <w:r w:rsidRPr="006B4715">
        <w:rPr>
          <w:rFonts w:ascii="Arial" w:hAnsi="Arial" w:cs="Arial"/>
          <w:color w:val="000000"/>
          <w:sz w:val="21"/>
          <w:szCs w:val="21"/>
        </w:rPr>
        <w:t>,</w:t>
      </w:r>
      <w:r w:rsidRPr="006B4715">
        <w:rPr>
          <w:rFonts w:ascii="Arial" w:hAnsi="Arial" w:cs="Arial"/>
          <w:color w:val="000000"/>
          <w:sz w:val="21"/>
          <w:szCs w:val="21"/>
        </w:rPr>
        <w:t>稳定和扩大湿地面积</w:t>
      </w:r>
      <w:r>
        <w:rPr>
          <w:rFonts w:ascii="Arial" w:hAnsi="Arial" w:cs="Arial" w:hint="eastAsia"/>
          <w:color w:val="000000"/>
          <w:sz w:val="21"/>
          <w:szCs w:val="21"/>
        </w:rPr>
        <w:t>。</w:t>
      </w:r>
    </w:p>
    <w:p w14:paraId="23D17A32" w14:textId="77777777" w:rsidR="00BE38CC" w:rsidRDefault="00BE38CC" w:rsidP="00BE38CC">
      <w:pPr>
        <w:widowControl w:val="0"/>
        <w:adjustRightInd w:val="0"/>
        <w:snapToGrid w:val="0"/>
        <w:spacing w:line="480" w:lineRule="auto"/>
        <w:jc w:val="both"/>
        <w:rPr>
          <w:rFonts w:ascii="Arial" w:hAnsi="Arial" w:cs="Arial"/>
          <w:color w:val="000000"/>
          <w:sz w:val="21"/>
          <w:szCs w:val="21"/>
        </w:rPr>
      </w:pPr>
      <w:r w:rsidRPr="00007A21">
        <w:rPr>
          <w:rFonts w:ascii="Arial" w:hAnsi="Arial" w:cs="Arial"/>
          <w:noProof/>
          <w:color w:val="000000"/>
          <w:sz w:val="21"/>
          <w:szCs w:val="21"/>
        </w:rPr>
        <w:drawing>
          <wp:inline distT="0" distB="0" distL="0" distR="0" wp14:anchorId="242DDF83" wp14:editId="0EE4603C">
            <wp:extent cx="5904000" cy="1923340"/>
            <wp:effectExtent l="0" t="0" r="1905" b="0"/>
            <wp:docPr id="48" name="图片 48" descr="图片包含 窗户, 游戏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04000" cy="1923340"/>
                    </a:xfrm>
                    <a:prstGeom prst="rect">
                      <a:avLst/>
                    </a:prstGeom>
                  </pic:spPr>
                </pic:pic>
              </a:graphicData>
            </a:graphic>
          </wp:inline>
        </w:drawing>
      </w:r>
    </w:p>
    <w:p w14:paraId="36499865" w14:textId="77777777" w:rsidR="00BE38CC" w:rsidRPr="00007A21" w:rsidRDefault="00BE38CC" w:rsidP="00BE38CC">
      <w:pPr>
        <w:pStyle w:val="af1"/>
        <w:widowControl w:val="0"/>
        <w:numPr>
          <w:ilvl w:val="0"/>
          <w:numId w:val="18"/>
        </w:numPr>
        <w:adjustRightInd w:val="0"/>
        <w:snapToGrid w:val="0"/>
        <w:spacing w:line="480" w:lineRule="auto"/>
        <w:ind w:firstLineChars="0"/>
        <w:jc w:val="both"/>
        <w:rPr>
          <w:rFonts w:ascii="Arial" w:hAnsi="Arial" w:cs="Arial"/>
          <w:color w:val="000000"/>
          <w:sz w:val="21"/>
          <w:szCs w:val="21"/>
        </w:rPr>
      </w:pPr>
      <w:r w:rsidRPr="00007A21">
        <w:rPr>
          <w:rFonts w:ascii="Arial" w:hAnsi="Arial" w:cs="Arial" w:hint="eastAsia"/>
          <w:color w:val="000000"/>
          <w:sz w:val="21"/>
          <w:szCs w:val="21"/>
        </w:rPr>
        <w:t>全域空间管控</w:t>
      </w:r>
    </w:p>
    <w:p w14:paraId="4068386D" w14:textId="77777777" w:rsidR="00BE38CC" w:rsidRPr="00007A21"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sidRPr="00007A21">
        <w:rPr>
          <w:rFonts w:ascii="Arial" w:hAnsi="Arial" w:cs="Arial"/>
          <w:color w:val="000000"/>
          <w:sz w:val="21"/>
          <w:szCs w:val="21"/>
        </w:rPr>
        <w:t>一带</w:t>
      </w:r>
      <w:r>
        <w:rPr>
          <w:rFonts w:ascii="Arial" w:hAnsi="Arial" w:cs="Arial" w:hint="eastAsia"/>
          <w:color w:val="000000"/>
          <w:sz w:val="21"/>
          <w:szCs w:val="21"/>
        </w:rPr>
        <w:t>：</w:t>
      </w:r>
      <w:r w:rsidRPr="00007A21">
        <w:rPr>
          <w:rFonts w:ascii="Arial" w:hAnsi="Arial" w:cs="Arial"/>
          <w:color w:val="000000"/>
          <w:sz w:val="21"/>
          <w:szCs w:val="21"/>
        </w:rPr>
        <w:t>即长江绿色生态带</w:t>
      </w:r>
      <w:r w:rsidRPr="00007A21">
        <w:rPr>
          <w:rFonts w:ascii="Arial" w:hAnsi="Arial" w:cs="Arial"/>
          <w:color w:val="000000"/>
          <w:sz w:val="21"/>
          <w:szCs w:val="21"/>
        </w:rPr>
        <w:t>,</w:t>
      </w:r>
      <w:r w:rsidRPr="00007A21">
        <w:rPr>
          <w:rFonts w:ascii="Arial" w:hAnsi="Arial" w:cs="Arial"/>
          <w:color w:val="000000"/>
          <w:sz w:val="21"/>
          <w:szCs w:val="21"/>
        </w:rPr>
        <w:t>由长江</w:t>
      </w:r>
      <w:proofErr w:type="gramStart"/>
      <w:r w:rsidRPr="00007A21">
        <w:rPr>
          <w:rFonts w:ascii="Arial" w:hAnsi="Arial" w:cs="Arial"/>
          <w:color w:val="000000"/>
          <w:sz w:val="21"/>
          <w:szCs w:val="21"/>
        </w:rPr>
        <w:t>及其洲</w:t>
      </w:r>
      <w:proofErr w:type="gramEnd"/>
      <w:r w:rsidRPr="00007A21">
        <w:rPr>
          <w:rFonts w:ascii="Arial" w:hAnsi="Arial" w:cs="Arial"/>
          <w:color w:val="000000"/>
          <w:sz w:val="21"/>
          <w:szCs w:val="21"/>
        </w:rPr>
        <w:t>岛、湿地和两侧带状绿地构成</w:t>
      </w:r>
      <w:r w:rsidRPr="00007A21">
        <w:rPr>
          <w:rFonts w:ascii="Arial" w:hAnsi="Arial" w:cs="Arial"/>
          <w:color w:val="000000"/>
          <w:sz w:val="21"/>
          <w:szCs w:val="21"/>
        </w:rPr>
        <w:t>,</w:t>
      </w:r>
      <w:r w:rsidRPr="00007A21">
        <w:rPr>
          <w:rFonts w:ascii="Arial" w:hAnsi="Arial" w:cs="Arial"/>
          <w:color w:val="000000"/>
          <w:sz w:val="21"/>
          <w:szCs w:val="21"/>
        </w:rPr>
        <w:t>形成市域绿色空间网络的主轴</w:t>
      </w:r>
      <w:r>
        <w:rPr>
          <w:rFonts w:ascii="Arial" w:hAnsi="Arial" w:cs="Arial" w:hint="eastAsia"/>
          <w:color w:val="000000"/>
          <w:sz w:val="21"/>
          <w:szCs w:val="21"/>
        </w:rPr>
        <w:t>；</w:t>
      </w:r>
    </w:p>
    <w:p w14:paraId="7949905A" w14:textId="77777777" w:rsidR="00BE38CC" w:rsidRPr="00007A21"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sidRPr="00BD460C">
        <w:rPr>
          <w:rFonts w:ascii="Arial" w:hAnsi="Arial" w:cs="Arial"/>
          <w:noProof/>
          <w:color w:val="000000"/>
          <w:sz w:val="21"/>
          <w:szCs w:val="21"/>
        </w:rPr>
        <w:drawing>
          <wp:anchor distT="0" distB="0" distL="114300" distR="114300" simplePos="0" relativeHeight="251659264" behindDoc="0" locked="0" layoutInCell="1" allowOverlap="1" wp14:anchorId="6A4CA7C0" wp14:editId="19CC554E">
            <wp:simplePos x="0" y="0"/>
            <wp:positionH relativeFrom="column">
              <wp:posOffset>2961640</wp:posOffset>
            </wp:positionH>
            <wp:positionV relativeFrom="paragraph">
              <wp:posOffset>31750</wp:posOffset>
            </wp:positionV>
            <wp:extent cx="2935605" cy="4654550"/>
            <wp:effectExtent l="0" t="0" r="0" b="0"/>
            <wp:wrapSquare wrapText="bothSides"/>
            <wp:docPr id="4" name="图片 4" descr="人的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2935605" cy="4654550"/>
                    </a:xfrm>
                    <a:prstGeom prst="rect">
                      <a:avLst/>
                    </a:prstGeom>
                  </pic:spPr>
                </pic:pic>
              </a:graphicData>
            </a:graphic>
            <wp14:sizeRelH relativeFrom="page">
              <wp14:pctWidth>0</wp14:pctWidth>
            </wp14:sizeRelH>
            <wp14:sizeRelV relativeFrom="page">
              <wp14:pctHeight>0</wp14:pctHeight>
            </wp14:sizeRelV>
          </wp:anchor>
        </w:drawing>
      </w:r>
      <w:r w:rsidRPr="00007A21">
        <w:rPr>
          <w:rFonts w:ascii="Arial" w:hAnsi="Arial" w:cs="Arial"/>
          <w:color w:val="000000"/>
          <w:sz w:val="21"/>
          <w:szCs w:val="21"/>
        </w:rPr>
        <w:t>两片</w:t>
      </w:r>
      <w:r>
        <w:rPr>
          <w:rFonts w:ascii="Arial" w:hAnsi="Arial" w:cs="Arial" w:hint="eastAsia"/>
          <w:color w:val="000000"/>
          <w:sz w:val="21"/>
          <w:szCs w:val="21"/>
        </w:rPr>
        <w:t>：</w:t>
      </w:r>
      <w:r w:rsidRPr="00007A21">
        <w:rPr>
          <w:rFonts w:ascii="Arial" w:hAnsi="Arial" w:cs="Arial"/>
          <w:color w:val="000000"/>
          <w:sz w:val="21"/>
          <w:szCs w:val="21"/>
        </w:rPr>
        <w:t>即结合南北田园乡村地区建设的北部生态片区和南部生态片区</w:t>
      </w:r>
      <w:r w:rsidRPr="00007A21">
        <w:rPr>
          <w:rFonts w:ascii="Arial" w:hAnsi="Arial" w:cs="Arial"/>
          <w:color w:val="000000"/>
          <w:sz w:val="21"/>
          <w:szCs w:val="21"/>
        </w:rPr>
        <w:t>,</w:t>
      </w:r>
      <w:r w:rsidRPr="00007A21">
        <w:rPr>
          <w:rFonts w:ascii="Arial" w:hAnsi="Arial" w:cs="Arial"/>
          <w:color w:val="000000"/>
          <w:sz w:val="21"/>
          <w:szCs w:val="21"/>
        </w:rPr>
        <w:t>是南京主要的生态基地和斑块</w:t>
      </w:r>
      <w:r w:rsidRPr="00007A21">
        <w:rPr>
          <w:rFonts w:ascii="Arial" w:hAnsi="Arial" w:cs="Arial"/>
          <w:color w:val="000000"/>
          <w:sz w:val="21"/>
          <w:szCs w:val="21"/>
        </w:rPr>
        <w:t>,</w:t>
      </w:r>
      <w:r w:rsidRPr="00007A21">
        <w:rPr>
          <w:rFonts w:ascii="Arial" w:hAnsi="Arial" w:cs="Arial"/>
          <w:color w:val="000000"/>
          <w:sz w:val="21"/>
          <w:szCs w:val="21"/>
        </w:rPr>
        <w:t>以生态保护和郊野休闲功能为主</w:t>
      </w:r>
      <w:r>
        <w:rPr>
          <w:rFonts w:ascii="Arial" w:hAnsi="Arial" w:cs="Arial" w:hint="eastAsia"/>
          <w:color w:val="000000"/>
          <w:sz w:val="21"/>
          <w:szCs w:val="21"/>
        </w:rPr>
        <w:t>；</w:t>
      </w:r>
    </w:p>
    <w:p w14:paraId="1633B5F9" w14:textId="77777777" w:rsidR="00BE38CC" w:rsidRPr="00007A21"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sidRPr="00007A21">
        <w:rPr>
          <w:rFonts w:ascii="Arial" w:hAnsi="Arial" w:cs="Arial"/>
          <w:color w:val="000000"/>
          <w:sz w:val="21"/>
          <w:szCs w:val="21"/>
        </w:rPr>
        <w:t>两环</w:t>
      </w:r>
      <w:r>
        <w:rPr>
          <w:rFonts w:ascii="Arial" w:hAnsi="Arial" w:cs="Arial" w:hint="eastAsia"/>
          <w:color w:val="000000"/>
          <w:sz w:val="21"/>
          <w:szCs w:val="21"/>
        </w:rPr>
        <w:t>：</w:t>
      </w:r>
      <w:r w:rsidRPr="00007A21">
        <w:rPr>
          <w:rFonts w:ascii="Arial" w:hAnsi="Arial" w:cs="Arial"/>
          <w:color w:val="000000"/>
          <w:sz w:val="21"/>
          <w:szCs w:val="21"/>
        </w:rPr>
        <w:t>即绕城公路环和绕越高速公路环。绕城公路环由江南的</w:t>
      </w:r>
      <w:proofErr w:type="gramStart"/>
      <w:r w:rsidRPr="00007A21">
        <w:rPr>
          <w:rFonts w:ascii="Arial" w:hAnsi="Arial" w:cs="Arial"/>
          <w:color w:val="000000"/>
          <w:sz w:val="21"/>
          <w:szCs w:val="21"/>
        </w:rPr>
        <w:t>明外郭一秦淮</w:t>
      </w:r>
      <w:proofErr w:type="gramEnd"/>
      <w:r w:rsidRPr="00007A21">
        <w:rPr>
          <w:rFonts w:ascii="Arial" w:hAnsi="Arial" w:cs="Arial"/>
          <w:color w:val="000000"/>
          <w:sz w:val="21"/>
          <w:szCs w:val="21"/>
        </w:rPr>
        <w:t>新河、绕城公路绿环、江北三桥生态廊道、老山森林园、龙王山公园及八卦洲洲头湿地公因组成</w:t>
      </w:r>
      <w:r w:rsidRPr="00007A21">
        <w:rPr>
          <w:rFonts w:ascii="Arial" w:hAnsi="Arial" w:cs="Arial"/>
          <w:color w:val="000000"/>
          <w:sz w:val="21"/>
          <w:szCs w:val="21"/>
        </w:rPr>
        <w:t>;</w:t>
      </w:r>
      <w:r w:rsidRPr="00007A21">
        <w:rPr>
          <w:rFonts w:ascii="Arial" w:hAnsi="Arial" w:cs="Arial"/>
          <w:color w:val="000000"/>
          <w:sz w:val="21"/>
          <w:szCs w:val="21"/>
        </w:rPr>
        <w:t>绕越高速公路环由绕越高速公路绿环和老山北部公路三环绿地组成</w:t>
      </w:r>
      <w:r>
        <w:rPr>
          <w:rFonts w:ascii="Arial" w:hAnsi="Arial" w:cs="Arial" w:hint="eastAsia"/>
          <w:color w:val="000000"/>
          <w:sz w:val="21"/>
          <w:szCs w:val="21"/>
        </w:rPr>
        <w:t>；</w:t>
      </w:r>
    </w:p>
    <w:p w14:paraId="58D8CCE0" w14:textId="77777777" w:rsidR="00BE38CC"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sidRPr="00BD460C">
        <w:rPr>
          <w:rFonts w:ascii="Arial" w:hAnsi="Arial" w:cs="Arial"/>
          <w:color w:val="000000"/>
          <w:sz w:val="21"/>
          <w:szCs w:val="21"/>
        </w:rPr>
        <w:t>六</w:t>
      </w:r>
      <w:proofErr w:type="gramStart"/>
      <w:r w:rsidRPr="00BD460C">
        <w:rPr>
          <w:rFonts w:ascii="Arial" w:hAnsi="Arial" w:cs="Arial"/>
          <w:color w:val="000000"/>
          <w:sz w:val="21"/>
          <w:szCs w:val="21"/>
        </w:rPr>
        <w:t>楔</w:t>
      </w:r>
      <w:proofErr w:type="gramEnd"/>
      <w:r>
        <w:rPr>
          <w:rFonts w:ascii="Arial" w:hAnsi="Arial" w:cs="Arial" w:hint="eastAsia"/>
          <w:color w:val="000000"/>
          <w:sz w:val="21"/>
          <w:szCs w:val="21"/>
        </w:rPr>
        <w:t>：</w:t>
      </w:r>
      <w:r w:rsidRPr="00BD460C">
        <w:rPr>
          <w:rFonts w:ascii="Arial" w:hAnsi="Arial" w:cs="Arial"/>
          <w:color w:val="000000"/>
          <w:sz w:val="21"/>
          <w:szCs w:val="21"/>
        </w:rPr>
        <w:t>即六条由外围向城镇内部楔入的绿色廊道</w:t>
      </w:r>
      <w:r w:rsidRPr="00BD460C">
        <w:rPr>
          <w:rFonts w:ascii="Arial" w:hAnsi="Arial" w:cs="Arial"/>
          <w:color w:val="000000"/>
          <w:sz w:val="21"/>
          <w:szCs w:val="21"/>
        </w:rPr>
        <w:t>,</w:t>
      </w:r>
      <w:r w:rsidRPr="00BD460C">
        <w:rPr>
          <w:rFonts w:ascii="Arial" w:hAnsi="Arial" w:cs="Arial"/>
          <w:color w:val="000000"/>
          <w:sz w:val="21"/>
          <w:szCs w:val="21"/>
        </w:rPr>
        <w:t>联系外部山水生态空间与城镇内部结构性绿地</w:t>
      </w:r>
      <w:r w:rsidRPr="00BD460C">
        <w:rPr>
          <w:rFonts w:ascii="Arial" w:hAnsi="Arial" w:cs="Arial"/>
          <w:color w:val="000000"/>
          <w:sz w:val="21"/>
          <w:szCs w:val="21"/>
        </w:rPr>
        <w:t>,</w:t>
      </w:r>
      <w:r w:rsidRPr="00BD460C">
        <w:rPr>
          <w:rFonts w:ascii="Arial" w:hAnsi="Arial" w:cs="Arial"/>
          <w:color w:val="000000"/>
          <w:sz w:val="21"/>
          <w:szCs w:val="21"/>
        </w:rPr>
        <w:t>以郊野公园和绿色开敞空间为主</w:t>
      </w:r>
      <w:r w:rsidRPr="00BD460C">
        <w:rPr>
          <w:rFonts w:ascii="Arial" w:hAnsi="Arial" w:cs="Arial"/>
          <w:color w:val="000000"/>
          <w:sz w:val="21"/>
          <w:szCs w:val="21"/>
        </w:rPr>
        <w:t>,</w:t>
      </w:r>
      <w:r w:rsidRPr="00BD460C">
        <w:rPr>
          <w:rFonts w:ascii="Arial" w:hAnsi="Arial" w:cs="Arial"/>
          <w:color w:val="000000"/>
          <w:sz w:val="21"/>
          <w:szCs w:val="21"/>
        </w:rPr>
        <w:t>是城市重要的通风廊道。其中</w:t>
      </w:r>
      <w:r w:rsidRPr="00BD460C">
        <w:rPr>
          <w:rFonts w:ascii="Arial" w:hAnsi="Arial" w:cs="Arial"/>
          <w:color w:val="000000"/>
          <w:sz w:val="21"/>
          <w:szCs w:val="21"/>
        </w:rPr>
        <w:t>,</w:t>
      </w:r>
      <w:proofErr w:type="gramStart"/>
      <w:r w:rsidRPr="00BD460C">
        <w:rPr>
          <w:rFonts w:ascii="Arial" w:hAnsi="Arial" w:cs="Arial"/>
          <w:color w:val="000000"/>
          <w:sz w:val="21"/>
          <w:szCs w:val="21"/>
        </w:rPr>
        <w:t>滁</w:t>
      </w:r>
      <w:proofErr w:type="gramEnd"/>
      <w:r w:rsidRPr="00BD460C">
        <w:rPr>
          <w:rFonts w:ascii="Arial" w:hAnsi="Arial" w:cs="Arial"/>
          <w:color w:val="000000"/>
          <w:sz w:val="21"/>
          <w:szCs w:val="21"/>
        </w:rPr>
        <w:t>河湿地一大厂隔离绿地</w:t>
      </w:r>
      <w:proofErr w:type="gramStart"/>
      <w:r w:rsidRPr="00BD460C">
        <w:rPr>
          <w:rFonts w:ascii="Arial" w:hAnsi="Arial" w:cs="Arial"/>
          <w:color w:val="000000"/>
          <w:sz w:val="21"/>
          <w:szCs w:val="21"/>
        </w:rPr>
        <w:t>一</w:t>
      </w:r>
      <w:proofErr w:type="gramEnd"/>
      <w:r w:rsidRPr="00BD460C">
        <w:rPr>
          <w:rFonts w:ascii="Arial" w:hAnsi="Arial" w:cs="Arial"/>
          <w:color w:val="000000"/>
          <w:sz w:val="21"/>
          <w:szCs w:val="21"/>
        </w:rPr>
        <w:t>八卦洲、六合方山</w:t>
      </w:r>
      <w:proofErr w:type="gramStart"/>
      <w:r w:rsidRPr="00BD460C">
        <w:rPr>
          <w:rFonts w:ascii="Arial" w:hAnsi="Arial" w:cs="Arial"/>
          <w:color w:val="000000"/>
          <w:sz w:val="21"/>
          <w:szCs w:val="21"/>
        </w:rPr>
        <w:t>一</w:t>
      </w:r>
      <w:proofErr w:type="gramEnd"/>
      <w:r w:rsidRPr="00BD460C">
        <w:rPr>
          <w:rFonts w:ascii="Arial" w:hAnsi="Arial" w:cs="Arial"/>
          <w:color w:val="000000"/>
          <w:sz w:val="21"/>
          <w:szCs w:val="21"/>
        </w:rPr>
        <w:t>灵岩山</w:t>
      </w:r>
      <w:proofErr w:type="gramStart"/>
      <w:r w:rsidRPr="00BD460C">
        <w:rPr>
          <w:rFonts w:ascii="Arial" w:hAnsi="Arial" w:cs="Arial"/>
          <w:color w:val="000000"/>
          <w:sz w:val="21"/>
          <w:szCs w:val="21"/>
        </w:rPr>
        <w:t>一</w:t>
      </w:r>
      <w:proofErr w:type="gramEnd"/>
      <w:r w:rsidRPr="00BD460C">
        <w:rPr>
          <w:rFonts w:ascii="Arial" w:hAnsi="Arial" w:cs="Arial"/>
          <w:color w:val="000000"/>
          <w:sz w:val="21"/>
          <w:szCs w:val="21"/>
        </w:rPr>
        <w:t>八卦洲两处</w:t>
      </w:r>
      <w:proofErr w:type="gramStart"/>
      <w:r w:rsidRPr="00BD460C">
        <w:rPr>
          <w:rFonts w:ascii="Arial" w:hAnsi="Arial" w:cs="Arial"/>
          <w:color w:val="000000"/>
          <w:sz w:val="21"/>
          <w:szCs w:val="21"/>
        </w:rPr>
        <w:t>楔</w:t>
      </w:r>
      <w:proofErr w:type="gramEnd"/>
      <w:r w:rsidRPr="00BD460C">
        <w:rPr>
          <w:rFonts w:ascii="Arial" w:hAnsi="Arial" w:cs="Arial"/>
          <w:color w:val="000000"/>
          <w:sz w:val="21"/>
          <w:szCs w:val="21"/>
        </w:rPr>
        <w:t>型绿地</w:t>
      </w:r>
      <w:r w:rsidRPr="00BD460C">
        <w:rPr>
          <w:rFonts w:ascii="Arial" w:hAnsi="Arial" w:cs="Arial"/>
          <w:color w:val="000000"/>
          <w:sz w:val="21"/>
          <w:szCs w:val="21"/>
        </w:rPr>
        <w:lastRenderedPageBreak/>
        <w:t>兼具污染防护与隔离功能。</w:t>
      </w:r>
    </w:p>
    <w:p w14:paraId="103888CA" w14:textId="77777777" w:rsidR="00BE38CC" w:rsidRDefault="00BE38CC" w:rsidP="00BE38CC">
      <w:pPr>
        <w:pStyle w:val="af1"/>
        <w:widowControl w:val="0"/>
        <w:numPr>
          <w:ilvl w:val="0"/>
          <w:numId w:val="18"/>
        </w:numPr>
        <w:adjustRightInd w:val="0"/>
        <w:snapToGrid w:val="0"/>
        <w:spacing w:line="480" w:lineRule="auto"/>
        <w:ind w:firstLineChars="0"/>
        <w:jc w:val="both"/>
        <w:rPr>
          <w:rFonts w:ascii="Arial" w:hAnsi="Arial" w:cs="Arial"/>
          <w:color w:val="000000"/>
          <w:sz w:val="21"/>
          <w:szCs w:val="21"/>
        </w:rPr>
      </w:pPr>
      <w:r>
        <w:rPr>
          <w:rFonts w:ascii="Arial" w:hAnsi="Arial" w:cs="Arial" w:hint="eastAsia"/>
          <w:color w:val="000000"/>
          <w:sz w:val="21"/>
          <w:szCs w:val="21"/>
        </w:rPr>
        <w:t>区域协同目标</w:t>
      </w:r>
    </w:p>
    <w:p w14:paraId="63E477EF" w14:textId="77777777" w:rsidR="00BE38CC"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sidRPr="00C560BA">
        <w:rPr>
          <w:rFonts w:ascii="Arial" w:hAnsi="Arial" w:cs="Arial"/>
          <w:color w:val="000000"/>
          <w:sz w:val="21"/>
          <w:szCs w:val="21"/>
        </w:rPr>
        <w:t>依托南京独特的区位条件和重要的战略价值</w:t>
      </w:r>
      <w:r w:rsidRPr="00C560BA">
        <w:rPr>
          <w:rFonts w:ascii="Arial" w:hAnsi="Arial" w:cs="Arial"/>
          <w:color w:val="000000"/>
          <w:sz w:val="21"/>
          <w:szCs w:val="21"/>
        </w:rPr>
        <w:t>,</w:t>
      </w:r>
      <w:r w:rsidRPr="00C560BA">
        <w:rPr>
          <w:rFonts w:ascii="Arial" w:hAnsi="Arial" w:cs="Arial"/>
          <w:color w:val="000000"/>
          <w:sz w:val="21"/>
          <w:szCs w:val="21"/>
        </w:rPr>
        <w:t>主动服务国家和区域战略</w:t>
      </w:r>
      <w:r w:rsidRPr="00C560BA">
        <w:rPr>
          <w:rFonts w:ascii="Arial" w:hAnsi="Arial" w:cs="Arial"/>
          <w:color w:val="000000"/>
          <w:sz w:val="21"/>
          <w:szCs w:val="21"/>
        </w:rPr>
        <w:t>,</w:t>
      </w:r>
      <w:r w:rsidRPr="00C560BA">
        <w:rPr>
          <w:rFonts w:ascii="Arial" w:hAnsi="Arial" w:cs="Arial"/>
          <w:color w:val="000000"/>
          <w:sz w:val="21"/>
          <w:szCs w:val="21"/>
        </w:rPr>
        <w:t>在建设国家中心城市的总体要求下</w:t>
      </w:r>
      <w:r w:rsidRPr="00C560BA">
        <w:rPr>
          <w:rFonts w:ascii="Arial" w:hAnsi="Arial" w:cs="Arial"/>
          <w:color w:val="000000"/>
          <w:sz w:val="21"/>
          <w:szCs w:val="21"/>
        </w:rPr>
        <w:t>,</w:t>
      </w:r>
      <w:r w:rsidRPr="00C560BA">
        <w:rPr>
          <w:rFonts w:ascii="Arial" w:hAnsi="Arial" w:cs="Arial"/>
          <w:color w:val="000000"/>
          <w:sz w:val="21"/>
          <w:szCs w:val="21"/>
        </w:rPr>
        <w:t>发挥好南京作为</w:t>
      </w:r>
      <w:r>
        <w:rPr>
          <w:rFonts w:ascii="Arial" w:hAnsi="Arial" w:cs="Arial" w:hint="eastAsia"/>
          <w:color w:val="000000"/>
          <w:sz w:val="21"/>
          <w:szCs w:val="21"/>
        </w:rPr>
        <w:t>“</w:t>
      </w:r>
      <w:r w:rsidRPr="00C560BA">
        <w:rPr>
          <w:rFonts w:ascii="Arial" w:hAnsi="Arial" w:cs="Arial"/>
          <w:color w:val="000000"/>
          <w:sz w:val="21"/>
          <w:szCs w:val="21"/>
        </w:rPr>
        <w:t>一带一路</w:t>
      </w:r>
      <w:r>
        <w:rPr>
          <w:rFonts w:ascii="Arial" w:hAnsi="Arial" w:cs="Arial" w:hint="eastAsia"/>
          <w:color w:val="000000"/>
          <w:sz w:val="21"/>
          <w:szCs w:val="21"/>
        </w:rPr>
        <w:t>”</w:t>
      </w:r>
      <w:r w:rsidRPr="00C560BA">
        <w:rPr>
          <w:rFonts w:ascii="Arial" w:hAnsi="Arial" w:cs="Arial"/>
          <w:color w:val="000000"/>
          <w:sz w:val="21"/>
          <w:szCs w:val="21"/>
        </w:rPr>
        <w:t>节点城市、长江经济带的重要枢纽城市、长三角城市群西北</w:t>
      </w:r>
      <w:proofErr w:type="gramStart"/>
      <w:r w:rsidRPr="00C560BA">
        <w:rPr>
          <w:rFonts w:ascii="Arial" w:hAnsi="Arial" w:cs="Arial"/>
          <w:color w:val="000000"/>
          <w:sz w:val="21"/>
          <w:szCs w:val="21"/>
        </w:rPr>
        <w:t>翼</w:t>
      </w:r>
      <w:proofErr w:type="gramEnd"/>
      <w:r w:rsidRPr="00C560BA">
        <w:rPr>
          <w:rFonts w:ascii="Arial" w:hAnsi="Arial" w:cs="Arial"/>
          <w:color w:val="000000"/>
          <w:sz w:val="21"/>
          <w:szCs w:val="21"/>
        </w:rPr>
        <w:t>中心城市、扬子江城市群龙头城市和南京都市</w:t>
      </w:r>
      <w:proofErr w:type="gramStart"/>
      <w:r w:rsidRPr="00C560BA">
        <w:rPr>
          <w:rFonts w:ascii="Arial" w:hAnsi="Arial" w:cs="Arial"/>
          <w:color w:val="000000"/>
          <w:sz w:val="21"/>
          <w:szCs w:val="21"/>
        </w:rPr>
        <w:t>圈核心</w:t>
      </w:r>
      <w:proofErr w:type="gramEnd"/>
      <w:r w:rsidRPr="00C560BA">
        <w:rPr>
          <w:rFonts w:ascii="Arial" w:hAnsi="Arial" w:cs="Arial"/>
          <w:color w:val="000000"/>
          <w:sz w:val="21"/>
          <w:szCs w:val="21"/>
        </w:rPr>
        <w:t>城市的重要作用</w:t>
      </w:r>
      <w:r w:rsidRPr="00C560BA">
        <w:rPr>
          <w:rFonts w:ascii="Arial" w:hAnsi="Arial" w:cs="Arial"/>
          <w:color w:val="000000"/>
          <w:sz w:val="21"/>
          <w:szCs w:val="21"/>
        </w:rPr>
        <w:t>,</w:t>
      </w:r>
      <w:r w:rsidRPr="00C560BA">
        <w:rPr>
          <w:rFonts w:ascii="Arial" w:hAnsi="Arial" w:cs="Arial"/>
          <w:color w:val="000000"/>
          <w:sz w:val="21"/>
          <w:szCs w:val="21"/>
        </w:rPr>
        <w:t>以城市群为主体形态</w:t>
      </w:r>
      <w:r w:rsidRPr="00C560BA">
        <w:rPr>
          <w:rFonts w:ascii="Arial" w:hAnsi="Arial" w:cs="Arial"/>
          <w:color w:val="000000"/>
          <w:sz w:val="21"/>
          <w:szCs w:val="21"/>
        </w:rPr>
        <w:t>,</w:t>
      </w:r>
      <w:r w:rsidRPr="00C560BA">
        <w:rPr>
          <w:rFonts w:ascii="Arial" w:hAnsi="Arial" w:cs="Arial"/>
          <w:color w:val="000000"/>
          <w:sz w:val="21"/>
          <w:szCs w:val="21"/>
        </w:rPr>
        <w:t>不断加强省会城市功能建设</w:t>
      </w:r>
      <w:r w:rsidRPr="00C560BA">
        <w:rPr>
          <w:rFonts w:ascii="Arial" w:hAnsi="Arial" w:cs="Arial"/>
          <w:color w:val="000000"/>
          <w:sz w:val="21"/>
          <w:szCs w:val="21"/>
        </w:rPr>
        <w:t>,</w:t>
      </w:r>
      <w:r w:rsidRPr="00C560BA">
        <w:rPr>
          <w:rFonts w:ascii="Arial" w:hAnsi="Arial" w:cs="Arial"/>
          <w:color w:val="000000"/>
          <w:sz w:val="21"/>
          <w:szCs w:val="21"/>
        </w:rPr>
        <w:t>提升城市首位度</w:t>
      </w:r>
      <w:r w:rsidRPr="00C560BA">
        <w:rPr>
          <w:rFonts w:ascii="Arial" w:hAnsi="Arial" w:cs="Arial"/>
          <w:color w:val="000000"/>
          <w:sz w:val="21"/>
          <w:szCs w:val="21"/>
        </w:rPr>
        <w:t>,</w:t>
      </w:r>
      <w:r w:rsidRPr="00C560BA">
        <w:rPr>
          <w:rFonts w:ascii="Arial" w:hAnsi="Arial" w:cs="Arial"/>
          <w:color w:val="000000"/>
          <w:sz w:val="21"/>
          <w:szCs w:val="21"/>
        </w:rPr>
        <w:t>服务和带动区域发展。</w:t>
      </w:r>
    </w:p>
    <w:p w14:paraId="4EDA01C3" w14:textId="77777777" w:rsidR="00BE38CC" w:rsidRDefault="00BE38CC" w:rsidP="00BE38CC">
      <w:pPr>
        <w:widowControl w:val="0"/>
        <w:adjustRightInd w:val="0"/>
        <w:snapToGrid w:val="0"/>
        <w:spacing w:line="480" w:lineRule="auto"/>
        <w:jc w:val="center"/>
        <w:rPr>
          <w:rFonts w:ascii="Arial" w:hAnsi="Arial" w:cs="Arial"/>
          <w:color w:val="000000"/>
          <w:sz w:val="21"/>
          <w:szCs w:val="21"/>
        </w:rPr>
      </w:pPr>
      <w:r>
        <w:rPr>
          <w:noProof/>
        </w:rPr>
        <w:drawing>
          <wp:inline distT="0" distB="0" distL="0" distR="0" wp14:anchorId="4EF16208" wp14:editId="1D4ABECD">
            <wp:extent cx="5569527" cy="3166927"/>
            <wp:effectExtent l="0" t="0" r="0" b="0"/>
            <wp:docPr id="49" name="图片 7" descr="白色的地图&#10;&#10;描述已自动生成">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14E79C6-A453-6C4E-8585-022F7FAE59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14E79C6-A453-6C4E-8585-022F7FAE591D}"/>
                        </a:ext>
                      </a:extLst>
                    </pic:cNvPr>
                    <pic:cNvPicPr>
                      <a:picLocks noChangeAspect="1"/>
                    </pic:cNvPicPr>
                  </pic:nvPicPr>
                  <pic:blipFill>
                    <a:blip r:embed="rId32"/>
                    <a:stretch>
                      <a:fillRect/>
                    </a:stretch>
                  </pic:blipFill>
                  <pic:spPr>
                    <a:xfrm>
                      <a:off x="0" y="0"/>
                      <a:ext cx="5571380" cy="3167981"/>
                    </a:xfrm>
                    <a:prstGeom prst="rect">
                      <a:avLst/>
                    </a:prstGeom>
                  </pic:spPr>
                </pic:pic>
              </a:graphicData>
            </a:graphic>
          </wp:inline>
        </w:drawing>
      </w:r>
    </w:p>
    <w:p w14:paraId="1C826BEF" w14:textId="77777777" w:rsidR="00BE38CC" w:rsidRDefault="00BE38CC" w:rsidP="00BE38CC">
      <w:pPr>
        <w:pStyle w:val="af1"/>
        <w:widowControl w:val="0"/>
        <w:numPr>
          <w:ilvl w:val="0"/>
          <w:numId w:val="19"/>
        </w:numPr>
        <w:adjustRightInd w:val="0"/>
        <w:snapToGrid w:val="0"/>
        <w:spacing w:line="480" w:lineRule="auto"/>
        <w:ind w:left="0" w:firstLineChars="0" w:firstLine="357"/>
        <w:jc w:val="both"/>
        <w:rPr>
          <w:rFonts w:ascii="Arial" w:hAnsi="Arial" w:cs="Arial"/>
          <w:color w:val="000000"/>
          <w:sz w:val="21"/>
          <w:szCs w:val="21"/>
        </w:rPr>
      </w:pPr>
      <w:r w:rsidRPr="00FA1E69">
        <w:rPr>
          <w:rFonts w:ascii="Arial" w:hAnsi="Arial" w:cs="Arial" w:hint="eastAsia"/>
          <w:color w:val="000000"/>
          <w:sz w:val="21"/>
          <w:szCs w:val="21"/>
        </w:rPr>
        <w:t>长三角更高质量一体化发展</w:t>
      </w:r>
    </w:p>
    <w:p w14:paraId="52737E59" w14:textId="77777777" w:rsidR="00BE38CC" w:rsidRPr="00FA1E69"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sidRPr="00FA1E69">
        <w:rPr>
          <w:rFonts w:ascii="Arial" w:hAnsi="Arial" w:cs="Arial"/>
          <w:color w:val="000000"/>
          <w:sz w:val="21"/>
          <w:szCs w:val="21"/>
        </w:rPr>
        <w:t>主动落实国家和区域战略</w:t>
      </w:r>
      <w:r w:rsidRPr="00FA1E69">
        <w:rPr>
          <w:rFonts w:ascii="Arial" w:hAnsi="Arial" w:cs="Arial"/>
          <w:color w:val="000000"/>
          <w:sz w:val="21"/>
          <w:szCs w:val="21"/>
        </w:rPr>
        <w:t>,</w:t>
      </w:r>
      <w:r w:rsidRPr="00FA1E69">
        <w:rPr>
          <w:rFonts w:ascii="Arial" w:hAnsi="Arial" w:cs="Arial"/>
          <w:color w:val="000000"/>
          <w:sz w:val="21"/>
          <w:szCs w:val="21"/>
        </w:rPr>
        <w:t>在建设国家中心城市的总体要求下</w:t>
      </w:r>
      <w:r w:rsidRPr="00FA1E69">
        <w:rPr>
          <w:rFonts w:ascii="Arial" w:hAnsi="Arial" w:cs="Arial"/>
          <w:color w:val="000000"/>
          <w:sz w:val="21"/>
          <w:szCs w:val="21"/>
        </w:rPr>
        <w:t>,</w:t>
      </w:r>
      <w:r w:rsidRPr="00FA1E69">
        <w:rPr>
          <w:rFonts w:ascii="Arial" w:hAnsi="Arial" w:cs="Arial"/>
          <w:color w:val="000000"/>
          <w:sz w:val="21"/>
          <w:szCs w:val="21"/>
        </w:rPr>
        <w:t>发挥好南京作为</w:t>
      </w:r>
      <w:r w:rsidRPr="00FA1E69">
        <w:rPr>
          <w:rFonts w:ascii="Arial" w:hAnsi="Arial" w:cs="Arial"/>
          <w:color w:val="000000"/>
          <w:sz w:val="21"/>
          <w:szCs w:val="21"/>
        </w:rPr>
        <w:t>“</w:t>
      </w:r>
      <w:r w:rsidRPr="00FA1E69">
        <w:rPr>
          <w:rFonts w:ascii="Arial" w:hAnsi="Arial" w:cs="Arial"/>
          <w:color w:val="000000"/>
          <w:sz w:val="21"/>
          <w:szCs w:val="21"/>
        </w:rPr>
        <w:t>一带一路</w:t>
      </w:r>
      <w:r w:rsidRPr="00FA1E69">
        <w:rPr>
          <w:rFonts w:ascii="Arial" w:hAnsi="Arial" w:cs="Arial"/>
          <w:color w:val="000000"/>
          <w:sz w:val="21"/>
          <w:szCs w:val="21"/>
        </w:rPr>
        <w:t>”</w:t>
      </w:r>
      <w:r w:rsidRPr="00FA1E69">
        <w:rPr>
          <w:rFonts w:ascii="Arial" w:hAnsi="Arial" w:cs="Arial"/>
          <w:color w:val="000000"/>
          <w:sz w:val="21"/>
          <w:szCs w:val="21"/>
        </w:rPr>
        <w:t>节点城市、长江经济带的重要枢纽城市、长三角城市群西北</w:t>
      </w:r>
      <w:proofErr w:type="gramStart"/>
      <w:r w:rsidRPr="00FA1E69">
        <w:rPr>
          <w:rFonts w:ascii="Arial" w:hAnsi="Arial" w:cs="Arial"/>
          <w:color w:val="000000"/>
          <w:sz w:val="21"/>
          <w:szCs w:val="21"/>
        </w:rPr>
        <w:t>翼</w:t>
      </w:r>
      <w:proofErr w:type="gramEnd"/>
      <w:r w:rsidRPr="00FA1E69">
        <w:rPr>
          <w:rFonts w:ascii="Arial" w:hAnsi="Arial" w:cs="Arial"/>
          <w:color w:val="000000"/>
          <w:sz w:val="21"/>
          <w:szCs w:val="21"/>
        </w:rPr>
        <w:t>中心城市、扬子江城市群龙头城市和南京都市</w:t>
      </w:r>
      <w:proofErr w:type="gramStart"/>
      <w:r w:rsidRPr="00FA1E69">
        <w:rPr>
          <w:rFonts w:ascii="Arial" w:hAnsi="Arial" w:cs="Arial"/>
          <w:color w:val="000000"/>
          <w:sz w:val="21"/>
          <w:szCs w:val="21"/>
        </w:rPr>
        <w:t>圈核心</w:t>
      </w:r>
      <w:proofErr w:type="gramEnd"/>
      <w:r w:rsidRPr="00FA1E69">
        <w:rPr>
          <w:rFonts w:ascii="Arial" w:hAnsi="Arial" w:cs="Arial"/>
          <w:color w:val="000000"/>
          <w:sz w:val="21"/>
          <w:szCs w:val="21"/>
        </w:rPr>
        <w:t>城市的重要作用</w:t>
      </w:r>
      <w:r w:rsidRPr="00FA1E69">
        <w:rPr>
          <w:rFonts w:ascii="Arial" w:hAnsi="Arial" w:cs="Arial"/>
          <w:color w:val="000000"/>
          <w:sz w:val="21"/>
          <w:szCs w:val="21"/>
        </w:rPr>
        <w:t>,</w:t>
      </w:r>
      <w:r w:rsidRPr="00FA1E69">
        <w:rPr>
          <w:rFonts w:ascii="Arial" w:hAnsi="Arial" w:cs="Arial"/>
          <w:color w:val="000000"/>
          <w:sz w:val="21"/>
          <w:szCs w:val="21"/>
        </w:rPr>
        <w:t>以城市群为主体形态</w:t>
      </w:r>
      <w:r w:rsidRPr="00FA1E69">
        <w:rPr>
          <w:rFonts w:ascii="Arial" w:hAnsi="Arial" w:cs="Arial"/>
          <w:color w:val="000000"/>
          <w:sz w:val="21"/>
          <w:szCs w:val="21"/>
        </w:rPr>
        <w:t>,</w:t>
      </w:r>
      <w:r w:rsidRPr="00FA1E69">
        <w:rPr>
          <w:rFonts w:ascii="Arial" w:hAnsi="Arial" w:cs="Arial"/>
          <w:color w:val="000000"/>
          <w:sz w:val="21"/>
          <w:szCs w:val="21"/>
        </w:rPr>
        <w:t>不断加强省会城市功能建设</w:t>
      </w:r>
      <w:r w:rsidRPr="00FA1E69">
        <w:rPr>
          <w:rFonts w:ascii="Arial" w:hAnsi="Arial" w:cs="Arial"/>
          <w:color w:val="000000"/>
          <w:sz w:val="21"/>
          <w:szCs w:val="21"/>
        </w:rPr>
        <w:t>,</w:t>
      </w:r>
      <w:r w:rsidRPr="00FA1E69">
        <w:rPr>
          <w:rFonts w:ascii="Arial" w:hAnsi="Arial" w:cs="Arial"/>
          <w:color w:val="000000"/>
          <w:sz w:val="21"/>
          <w:szCs w:val="21"/>
        </w:rPr>
        <w:t>提升城市首位度</w:t>
      </w:r>
      <w:r w:rsidRPr="00FA1E69">
        <w:rPr>
          <w:rFonts w:ascii="Arial" w:hAnsi="Arial" w:cs="Arial"/>
          <w:color w:val="000000"/>
          <w:sz w:val="21"/>
          <w:szCs w:val="21"/>
        </w:rPr>
        <w:t>,</w:t>
      </w:r>
      <w:r w:rsidRPr="00FA1E69">
        <w:rPr>
          <w:rFonts w:ascii="Arial" w:hAnsi="Arial" w:cs="Arial"/>
          <w:color w:val="000000"/>
          <w:sz w:val="21"/>
          <w:szCs w:val="21"/>
        </w:rPr>
        <w:t>服务和带动区域发展。</w:t>
      </w:r>
    </w:p>
    <w:p w14:paraId="33C303F5" w14:textId="77777777" w:rsidR="00BE38CC" w:rsidRPr="00FA1E69"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sidRPr="00FA1E69">
        <w:rPr>
          <w:rFonts w:ascii="Arial" w:hAnsi="Arial" w:cs="Arial"/>
          <w:color w:val="000000"/>
          <w:sz w:val="21"/>
          <w:szCs w:val="21"/>
        </w:rPr>
        <w:t>与杭州、黄山、淮安等城市共同探索</w:t>
      </w:r>
      <w:r w:rsidRPr="00FA1E69">
        <w:rPr>
          <w:rFonts w:ascii="Arial" w:hAnsi="Arial" w:cs="Arial"/>
          <w:color w:val="000000"/>
          <w:sz w:val="21"/>
          <w:szCs w:val="21"/>
        </w:rPr>
        <w:t>“</w:t>
      </w:r>
      <w:r w:rsidRPr="00FA1E69">
        <w:rPr>
          <w:rFonts w:ascii="Arial" w:hAnsi="Arial" w:cs="Arial"/>
          <w:color w:val="000000"/>
          <w:sz w:val="21"/>
          <w:szCs w:val="21"/>
        </w:rPr>
        <w:t>生态</w:t>
      </w:r>
      <w:r w:rsidRPr="00FA1E69">
        <w:rPr>
          <w:rFonts w:ascii="Arial" w:hAnsi="Arial" w:cs="Arial"/>
          <w:color w:val="000000"/>
          <w:sz w:val="21"/>
          <w:szCs w:val="21"/>
        </w:rPr>
        <w:t>+”</w:t>
      </w:r>
      <w:r w:rsidRPr="00FA1E69">
        <w:rPr>
          <w:rFonts w:ascii="Arial" w:hAnsi="Arial" w:cs="Arial"/>
          <w:color w:val="000000"/>
          <w:sz w:val="21"/>
          <w:szCs w:val="21"/>
        </w:rPr>
        <w:t>保护性开发模式</w:t>
      </w:r>
      <w:r w:rsidRPr="00FA1E69">
        <w:rPr>
          <w:rFonts w:ascii="Arial" w:hAnsi="Arial" w:cs="Arial"/>
          <w:color w:val="000000"/>
          <w:sz w:val="21"/>
          <w:szCs w:val="21"/>
        </w:rPr>
        <w:t>,</w:t>
      </w:r>
      <w:r w:rsidRPr="00FA1E69">
        <w:rPr>
          <w:rFonts w:ascii="Arial" w:hAnsi="Arial" w:cs="Arial"/>
          <w:color w:val="000000"/>
          <w:sz w:val="21"/>
          <w:szCs w:val="21"/>
        </w:rPr>
        <w:t>谋求重大基础设施建设和文化创意、生态旅游等方面的合作</w:t>
      </w:r>
      <w:r w:rsidRPr="00FA1E69">
        <w:rPr>
          <w:rFonts w:ascii="Arial" w:hAnsi="Arial" w:cs="Arial"/>
          <w:color w:val="000000"/>
          <w:sz w:val="21"/>
          <w:szCs w:val="21"/>
        </w:rPr>
        <w:t>,</w:t>
      </w:r>
      <w:r w:rsidRPr="00FA1E69">
        <w:rPr>
          <w:rFonts w:ascii="Arial" w:hAnsi="Arial" w:cs="Arial"/>
          <w:color w:val="000000"/>
          <w:sz w:val="21"/>
          <w:szCs w:val="21"/>
        </w:rPr>
        <w:t>与杭州、黄山建设具有世界影响力的宁杭</w:t>
      </w:r>
      <w:proofErr w:type="gramStart"/>
      <w:r w:rsidRPr="00FA1E69">
        <w:rPr>
          <w:rFonts w:ascii="Arial" w:hAnsi="Arial" w:cs="Arial"/>
          <w:color w:val="000000"/>
          <w:sz w:val="21"/>
          <w:szCs w:val="21"/>
        </w:rPr>
        <w:t>黄国际</w:t>
      </w:r>
      <w:proofErr w:type="gramEnd"/>
      <w:r w:rsidRPr="00FA1E69">
        <w:rPr>
          <w:rFonts w:ascii="Arial" w:hAnsi="Arial" w:cs="Arial"/>
          <w:color w:val="000000"/>
          <w:sz w:val="21"/>
          <w:szCs w:val="21"/>
        </w:rPr>
        <w:t>旅游圈</w:t>
      </w:r>
      <w:r w:rsidRPr="00FA1E69">
        <w:rPr>
          <w:rFonts w:ascii="Arial" w:hAnsi="Arial" w:cs="Arial"/>
          <w:color w:val="000000"/>
          <w:sz w:val="21"/>
          <w:szCs w:val="21"/>
        </w:rPr>
        <w:t>,</w:t>
      </w:r>
      <w:r w:rsidRPr="00FA1E69">
        <w:rPr>
          <w:rFonts w:ascii="Arial" w:hAnsi="Arial" w:cs="Arial"/>
          <w:color w:val="000000"/>
          <w:sz w:val="21"/>
          <w:szCs w:val="21"/>
        </w:rPr>
        <w:t>与淮安、滁州共同建设生态旅游圈。</w:t>
      </w:r>
    </w:p>
    <w:p w14:paraId="5B7BAFDC" w14:textId="77777777" w:rsidR="00BE38CC" w:rsidRPr="00C560BA" w:rsidRDefault="00BE38CC" w:rsidP="00BE38CC">
      <w:pPr>
        <w:widowControl w:val="0"/>
        <w:adjustRightInd w:val="0"/>
        <w:snapToGrid w:val="0"/>
        <w:spacing w:line="480" w:lineRule="auto"/>
        <w:jc w:val="center"/>
        <w:rPr>
          <w:rFonts w:ascii="Arial" w:hAnsi="Arial" w:cs="Arial"/>
          <w:color w:val="000000"/>
          <w:sz w:val="21"/>
          <w:szCs w:val="21"/>
        </w:rPr>
      </w:pPr>
      <w:r w:rsidRPr="00FF7D2A">
        <w:rPr>
          <w:rFonts w:ascii="Arial" w:hAnsi="Arial" w:cs="Arial"/>
          <w:noProof/>
          <w:color w:val="000000"/>
          <w:sz w:val="21"/>
          <w:szCs w:val="21"/>
        </w:rPr>
        <w:lastRenderedPageBreak/>
        <w:drawing>
          <wp:inline distT="0" distB="0" distL="0" distR="0" wp14:anchorId="5786758B" wp14:editId="5C5842BD">
            <wp:extent cx="5735782" cy="3535359"/>
            <wp:effectExtent l="0" t="0" r="0" b="825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45857" cy="3541569"/>
                    </a:xfrm>
                    <a:prstGeom prst="rect">
                      <a:avLst/>
                    </a:prstGeom>
                  </pic:spPr>
                </pic:pic>
              </a:graphicData>
            </a:graphic>
          </wp:inline>
        </w:drawing>
      </w:r>
    </w:p>
    <w:p w14:paraId="33166D4E" w14:textId="77777777" w:rsidR="00BE38CC" w:rsidRPr="006C6DC2" w:rsidRDefault="00BE38CC" w:rsidP="00BE38CC">
      <w:pPr>
        <w:pStyle w:val="af1"/>
        <w:widowControl w:val="0"/>
        <w:numPr>
          <w:ilvl w:val="0"/>
          <w:numId w:val="19"/>
        </w:numPr>
        <w:adjustRightInd w:val="0"/>
        <w:snapToGrid w:val="0"/>
        <w:spacing w:line="480" w:lineRule="auto"/>
        <w:ind w:left="0" w:firstLineChars="0" w:firstLine="357"/>
        <w:jc w:val="both"/>
        <w:rPr>
          <w:rFonts w:ascii="Arial" w:hAnsi="Arial" w:cs="Arial"/>
          <w:color w:val="000000"/>
          <w:sz w:val="21"/>
          <w:szCs w:val="21"/>
        </w:rPr>
      </w:pPr>
      <w:r w:rsidRPr="006C6DC2">
        <w:rPr>
          <w:rFonts w:ascii="Arial" w:hAnsi="Arial" w:cs="Arial" w:hint="eastAsia"/>
          <w:color w:val="000000"/>
          <w:sz w:val="21"/>
          <w:szCs w:val="21"/>
        </w:rPr>
        <w:t>南京都市圈一体化建设</w:t>
      </w:r>
    </w:p>
    <w:p w14:paraId="7E6C0FC4" w14:textId="77777777" w:rsidR="00BE38CC" w:rsidRPr="006C6DC2"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sidRPr="006C6DC2">
        <w:rPr>
          <w:rFonts w:ascii="Arial" w:hAnsi="Arial" w:cs="Arial"/>
          <w:color w:val="000000"/>
          <w:sz w:val="21"/>
          <w:szCs w:val="21"/>
        </w:rPr>
        <w:t>南京都市</w:t>
      </w:r>
      <w:proofErr w:type="gramStart"/>
      <w:r w:rsidRPr="006C6DC2">
        <w:rPr>
          <w:rFonts w:ascii="Arial" w:hAnsi="Arial" w:cs="Arial"/>
          <w:color w:val="000000"/>
          <w:sz w:val="21"/>
          <w:szCs w:val="21"/>
        </w:rPr>
        <w:t>圈包括</w:t>
      </w:r>
      <w:proofErr w:type="gramEnd"/>
      <w:r w:rsidRPr="006C6DC2">
        <w:rPr>
          <w:rFonts w:ascii="Arial" w:hAnsi="Arial" w:cs="Arial"/>
          <w:color w:val="000000"/>
          <w:sz w:val="21"/>
          <w:szCs w:val="21"/>
        </w:rPr>
        <w:t>南京、镇江、扬州、淮安、马鞍山、滁州、芜湖、宣城等八个城市</w:t>
      </w:r>
      <w:r w:rsidRPr="006C6DC2">
        <w:rPr>
          <w:rFonts w:ascii="Arial" w:hAnsi="Arial" w:cs="Arial"/>
          <w:color w:val="000000"/>
          <w:sz w:val="21"/>
          <w:szCs w:val="21"/>
        </w:rPr>
        <w:t>,</w:t>
      </w:r>
      <w:r w:rsidRPr="006C6DC2">
        <w:rPr>
          <w:rFonts w:ascii="Arial" w:hAnsi="Arial" w:cs="Arial"/>
          <w:color w:val="000000"/>
          <w:sz w:val="21"/>
          <w:szCs w:val="21"/>
        </w:rPr>
        <w:t>总面积</w:t>
      </w:r>
      <w:r w:rsidRPr="006C6DC2">
        <w:rPr>
          <w:rFonts w:ascii="Arial" w:hAnsi="Arial" w:cs="Arial"/>
          <w:color w:val="000000"/>
          <w:sz w:val="21"/>
          <w:szCs w:val="21"/>
        </w:rPr>
        <w:t>6.29</w:t>
      </w:r>
      <w:r w:rsidRPr="006C6DC2">
        <w:rPr>
          <w:rFonts w:ascii="Arial" w:hAnsi="Arial" w:cs="Arial"/>
          <w:color w:val="000000"/>
          <w:sz w:val="21"/>
          <w:szCs w:val="21"/>
        </w:rPr>
        <w:t>万平方公里。都市</w:t>
      </w:r>
      <w:proofErr w:type="gramStart"/>
      <w:r w:rsidRPr="006C6DC2">
        <w:rPr>
          <w:rFonts w:ascii="Arial" w:hAnsi="Arial" w:cs="Arial"/>
          <w:color w:val="000000"/>
          <w:sz w:val="21"/>
          <w:szCs w:val="21"/>
        </w:rPr>
        <w:t>圈范围</w:t>
      </w:r>
      <w:proofErr w:type="gramEnd"/>
      <w:r w:rsidRPr="006C6DC2">
        <w:rPr>
          <w:rFonts w:ascii="Arial" w:hAnsi="Arial" w:cs="Arial"/>
          <w:color w:val="000000"/>
          <w:sz w:val="21"/>
          <w:szCs w:val="21"/>
        </w:rPr>
        <w:t>内实现环境共保、交通共网、设施共建、产业共兴、市场共用、创新共赢、人才共通、功能共享、边界共融、机制共创。</w:t>
      </w:r>
    </w:p>
    <w:p w14:paraId="12A5C885" w14:textId="77777777" w:rsidR="00BE38CC"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sidRPr="00FA1E69">
        <w:rPr>
          <w:rFonts w:ascii="Arial" w:hAnsi="Arial" w:cs="Arial"/>
          <w:color w:val="000000"/>
          <w:sz w:val="21"/>
          <w:szCs w:val="21"/>
        </w:rPr>
        <w:t>同城化圈层</w:t>
      </w:r>
      <w:r>
        <w:rPr>
          <w:rFonts w:ascii="Arial" w:hAnsi="Arial" w:cs="Arial" w:hint="eastAsia"/>
          <w:color w:val="000000"/>
          <w:sz w:val="21"/>
          <w:szCs w:val="21"/>
        </w:rPr>
        <w:t>”（</w:t>
      </w:r>
      <w:r w:rsidRPr="00FA1E69">
        <w:rPr>
          <w:rFonts w:ascii="Arial" w:hAnsi="Arial" w:cs="Arial"/>
          <w:color w:val="000000"/>
          <w:sz w:val="21"/>
          <w:szCs w:val="21"/>
        </w:rPr>
        <w:t>一小时通勤圈</w:t>
      </w:r>
      <w:r>
        <w:rPr>
          <w:rFonts w:ascii="Arial" w:hAnsi="Arial" w:cs="Arial" w:hint="eastAsia"/>
          <w:color w:val="000000"/>
          <w:sz w:val="21"/>
          <w:szCs w:val="21"/>
        </w:rPr>
        <w:t>）：</w:t>
      </w:r>
      <w:r w:rsidRPr="00FA1E69">
        <w:rPr>
          <w:rFonts w:ascii="Arial" w:hAnsi="Arial" w:cs="Arial"/>
          <w:color w:val="000000"/>
          <w:sz w:val="21"/>
          <w:szCs w:val="21"/>
        </w:rPr>
        <w:t>推进教育资源同城整合、公共交通同城覆盖、基础设施同城共享、</w:t>
      </w:r>
      <w:proofErr w:type="gramStart"/>
      <w:r w:rsidRPr="00FA1E69">
        <w:rPr>
          <w:rFonts w:ascii="Arial" w:hAnsi="Arial" w:cs="Arial"/>
          <w:color w:val="000000"/>
          <w:sz w:val="21"/>
          <w:szCs w:val="21"/>
        </w:rPr>
        <w:t>医</w:t>
      </w:r>
      <w:proofErr w:type="gramEnd"/>
      <w:r w:rsidRPr="00FA1E69">
        <w:rPr>
          <w:rFonts w:ascii="Arial" w:hAnsi="Arial" w:cs="Arial"/>
          <w:color w:val="000000"/>
          <w:sz w:val="21"/>
          <w:szCs w:val="21"/>
        </w:rPr>
        <w:t>保社保同城统筹、就业服务同城保障、生态环境同城治理</w:t>
      </w:r>
      <w:r>
        <w:rPr>
          <w:rFonts w:ascii="Arial" w:hAnsi="Arial" w:cs="Arial" w:hint="eastAsia"/>
          <w:color w:val="000000"/>
          <w:sz w:val="21"/>
          <w:szCs w:val="21"/>
        </w:rPr>
        <w:t>；</w:t>
      </w:r>
    </w:p>
    <w:p w14:paraId="7D0A4298" w14:textId="77777777" w:rsidR="00BE38CC"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sidRPr="00FA1E69">
        <w:rPr>
          <w:rFonts w:ascii="Arial" w:hAnsi="Arial" w:cs="Arial"/>
          <w:color w:val="000000"/>
          <w:sz w:val="21"/>
          <w:szCs w:val="21"/>
        </w:rPr>
        <w:t>体化圈层</w:t>
      </w:r>
      <w:r>
        <w:rPr>
          <w:rFonts w:ascii="Arial" w:hAnsi="Arial" w:cs="Arial" w:hint="eastAsia"/>
          <w:color w:val="000000"/>
          <w:sz w:val="21"/>
          <w:szCs w:val="21"/>
        </w:rPr>
        <w:t>（</w:t>
      </w:r>
      <w:r w:rsidRPr="00FA1E69">
        <w:rPr>
          <w:rFonts w:ascii="Arial" w:hAnsi="Arial" w:cs="Arial"/>
          <w:color w:val="000000"/>
          <w:sz w:val="21"/>
          <w:szCs w:val="21"/>
        </w:rPr>
        <w:t>一日生活圈</w:t>
      </w:r>
      <w:r>
        <w:rPr>
          <w:rFonts w:ascii="Arial" w:hAnsi="Arial" w:cs="Arial" w:hint="eastAsia"/>
          <w:color w:val="000000"/>
          <w:sz w:val="21"/>
          <w:szCs w:val="21"/>
        </w:rPr>
        <w:t>）：</w:t>
      </w:r>
      <w:r w:rsidRPr="00FA1E69">
        <w:rPr>
          <w:rFonts w:ascii="Arial" w:hAnsi="Arial" w:cs="Arial"/>
          <w:color w:val="000000"/>
          <w:sz w:val="21"/>
          <w:szCs w:val="21"/>
        </w:rPr>
        <w:t>加强都市</w:t>
      </w:r>
      <w:proofErr w:type="gramStart"/>
      <w:r w:rsidRPr="00FA1E69">
        <w:rPr>
          <w:rFonts w:ascii="Arial" w:hAnsi="Arial" w:cs="Arial"/>
          <w:color w:val="000000"/>
          <w:sz w:val="21"/>
          <w:szCs w:val="21"/>
        </w:rPr>
        <w:t>圈城市</w:t>
      </w:r>
      <w:proofErr w:type="gramEnd"/>
      <w:r w:rsidRPr="00FA1E69">
        <w:rPr>
          <w:rFonts w:ascii="Arial" w:hAnsi="Arial" w:cs="Arial"/>
          <w:color w:val="000000"/>
          <w:sz w:val="21"/>
          <w:szCs w:val="21"/>
        </w:rPr>
        <w:t>之间在经济、交通、文化等方面的全面互动与合作。</w:t>
      </w:r>
    </w:p>
    <w:p w14:paraId="0DA9CED6" w14:textId="77777777" w:rsidR="00BE38CC" w:rsidRPr="00FA1E69" w:rsidRDefault="00BE38CC" w:rsidP="00BE38CC">
      <w:pPr>
        <w:widowControl w:val="0"/>
        <w:adjustRightInd w:val="0"/>
        <w:snapToGrid w:val="0"/>
        <w:spacing w:line="480" w:lineRule="auto"/>
        <w:jc w:val="both"/>
        <w:rPr>
          <w:rFonts w:ascii="Arial" w:hAnsi="Arial" w:cs="Arial"/>
          <w:color w:val="000000"/>
          <w:sz w:val="21"/>
          <w:szCs w:val="21"/>
        </w:rPr>
      </w:pPr>
      <w:r w:rsidRPr="005A2DD5">
        <w:rPr>
          <w:rFonts w:ascii="Arial" w:hAnsi="Arial" w:cs="Arial"/>
          <w:color w:val="000000"/>
          <w:sz w:val="21"/>
          <w:szCs w:val="21"/>
        </w:rPr>
        <w:t>加强跨界地区合作</w:t>
      </w:r>
      <w:r w:rsidRPr="005A2DD5">
        <w:rPr>
          <w:rFonts w:ascii="Arial" w:hAnsi="Arial" w:cs="Arial"/>
          <w:color w:val="000000"/>
          <w:sz w:val="21"/>
          <w:szCs w:val="21"/>
        </w:rPr>
        <w:t>,</w:t>
      </w:r>
      <w:r w:rsidRPr="005A2DD5">
        <w:rPr>
          <w:rFonts w:ascii="Arial" w:hAnsi="Arial" w:cs="Arial"/>
          <w:color w:val="000000"/>
          <w:sz w:val="21"/>
          <w:szCs w:val="21"/>
        </w:rPr>
        <w:t>整合资源优势</w:t>
      </w:r>
      <w:r w:rsidRPr="005A2DD5">
        <w:rPr>
          <w:rFonts w:ascii="Arial" w:hAnsi="Arial" w:cs="Arial"/>
          <w:color w:val="000000"/>
          <w:sz w:val="21"/>
          <w:szCs w:val="21"/>
        </w:rPr>
        <w:t>,</w:t>
      </w:r>
      <w:r w:rsidRPr="005A2DD5">
        <w:rPr>
          <w:rFonts w:ascii="Arial" w:hAnsi="Arial" w:cs="Arial"/>
          <w:color w:val="000000"/>
          <w:sz w:val="21"/>
          <w:szCs w:val="21"/>
        </w:rPr>
        <w:t>重点推进在生态保护、空间功能、公共设施、道路交通、基础设施、产业布局等方面的合理对接与相互协调。</w:t>
      </w:r>
    </w:p>
    <w:p w14:paraId="4670A6C2" w14:textId="77777777" w:rsidR="00BE38CC" w:rsidRDefault="00BE38CC" w:rsidP="00BE38CC">
      <w:pPr>
        <w:widowControl w:val="0"/>
        <w:adjustRightInd w:val="0"/>
        <w:snapToGrid w:val="0"/>
        <w:spacing w:line="480" w:lineRule="auto"/>
        <w:jc w:val="center"/>
        <w:rPr>
          <w:rFonts w:ascii="Arial" w:hAnsi="Arial" w:cs="Arial"/>
          <w:color w:val="000000"/>
          <w:sz w:val="21"/>
          <w:szCs w:val="21"/>
        </w:rPr>
      </w:pPr>
      <w:r w:rsidRPr="005A2DD5">
        <w:rPr>
          <w:rFonts w:ascii="Arial" w:hAnsi="Arial" w:cs="Arial"/>
          <w:noProof/>
          <w:color w:val="000000"/>
          <w:sz w:val="21"/>
          <w:szCs w:val="21"/>
        </w:rPr>
        <w:lastRenderedPageBreak/>
        <w:drawing>
          <wp:inline distT="0" distB="0" distL="0" distR="0" wp14:anchorId="4105466B" wp14:editId="026B5715">
            <wp:extent cx="5727469" cy="3616474"/>
            <wp:effectExtent l="0" t="0" r="6985" b="317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33372" cy="3620201"/>
                    </a:xfrm>
                    <a:prstGeom prst="rect">
                      <a:avLst/>
                    </a:prstGeom>
                  </pic:spPr>
                </pic:pic>
              </a:graphicData>
            </a:graphic>
          </wp:inline>
        </w:drawing>
      </w:r>
    </w:p>
    <w:p w14:paraId="6ABA3119" w14:textId="77777777" w:rsidR="00BE38CC" w:rsidRDefault="00BE38CC" w:rsidP="00BE38CC">
      <w:pPr>
        <w:pStyle w:val="af1"/>
        <w:widowControl w:val="0"/>
        <w:numPr>
          <w:ilvl w:val="0"/>
          <w:numId w:val="19"/>
        </w:numPr>
        <w:adjustRightInd w:val="0"/>
        <w:snapToGrid w:val="0"/>
        <w:spacing w:line="480" w:lineRule="auto"/>
        <w:ind w:left="0" w:firstLineChars="0" w:firstLine="357"/>
        <w:jc w:val="both"/>
        <w:rPr>
          <w:rFonts w:ascii="Arial" w:hAnsi="Arial" w:cs="Arial"/>
          <w:color w:val="000000"/>
          <w:sz w:val="21"/>
          <w:szCs w:val="21"/>
        </w:rPr>
      </w:pPr>
      <w:r>
        <w:rPr>
          <w:rFonts w:ascii="Arial" w:hAnsi="Arial" w:cs="Arial" w:hint="eastAsia"/>
          <w:color w:val="000000"/>
          <w:sz w:val="21"/>
          <w:szCs w:val="21"/>
        </w:rPr>
        <w:t>推动杨振宁一体化高水平发展</w:t>
      </w:r>
    </w:p>
    <w:p w14:paraId="03FA7702" w14:textId="77777777" w:rsidR="00BE38CC"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sidRPr="0029375F">
        <w:rPr>
          <w:rFonts w:ascii="Arial" w:hAnsi="Arial" w:cs="Arial"/>
          <w:color w:val="000000"/>
          <w:sz w:val="21"/>
          <w:szCs w:val="21"/>
        </w:rPr>
        <w:t>推动南京与镇江、扬州在城镇功能、公共设施、道路交通、基础设施、生态保护等方面的全方位协作与对接</w:t>
      </w:r>
      <w:r w:rsidRPr="0029375F">
        <w:rPr>
          <w:rFonts w:ascii="Arial" w:hAnsi="Arial" w:cs="Arial"/>
          <w:color w:val="000000"/>
          <w:sz w:val="21"/>
          <w:szCs w:val="21"/>
        </w:rPr>
        <w:t>,</w:t>
      </w:r>
      <w:r w:rsidRPr="0029375F">
        <w:rPr>
          <w:rFonts w:ascii="Arial" w:hAnsi="Arial" w:cs="Arial"/>
          <w:color w:val="000000"/>
          <w:sz w:val="21"/>
          <w:szCs w:val="21"/>
        </w:rPr>
        <w:t>将宁</w:t>
      </w:r>
      <w:proofErr w:type="gramStart"/>
      <w:r w:rsidRPr="0029375F">
        <w:rPr>
          <w:rFonts w:ascii="Arial" w:hAnsi="Arial" w:cs="Arial"/>
          <w:color w:val="000000"/>
          <w:sz w:val="21"/>
          <w:szCs w:val="21"/>
        </w:rPr>
        <w:t>镇扬市打造</w:t>
      </w:r>
      <w:proofErr w:type="gramEnd"/>
      <w:r w:rsidRPr="0029375F">
        <w:rPr>
          <w:rFonts w:ascii="Arial" w:hAnsi="Arial" w:cs="Arial"/>
          <w:color w:val="000000"/>
          <w:sz w:val="21"/>
          <w:szCs w:val="21"/>
        </w:rPr>
        <w:t>成为南京都市圈同城化发展的先导示范区</w:t>
      </w:r>
      <w:r w:rsidRPr="0029375F">
        <w:rPr>
          <w:rFonts w:ascii="Arial" w:hAnsi="Arial" w:cs="Arial"/>
          <w:color w:val="000000"/>
          <w:sz w:val="21"/>
          <w:szCs w:val="21"/>
        </w:rPr>
        <w:t>,</w:t>
      </w:r>
      <w:r w:rsidRPr="0029375F">
        <w:rPr>
          <w:rFonts w:ascii="Arial" w:hAnsi="Arial" w:cs="Arial"/>
          <w:color w:val="000000"/>
          <w:sz w:val="21"/>
          <w:szCs w:val="21"/>
        </w:rPr>
        <w:t>成为具有活力和</w:t>
      </w:r>
      <w:proofErr w:type="gramStart"/>
      <w:r w:rsidRPr="0029375F">
        <w:rPr>
          <w:rFonts w:ascii="Arial" w:hAnsi="Arial" w:cs="Arial"/>
          <w:color w:val="000000"/>
          <w:sz w:val="21"/>
          <w:szCs w:val="21"/>
        </w:rPr>
        <w:t>竟争</w:t>
      </w:r>
      <w:proofErr w:type="gramEnd"/>
      <w:r w:rsidRPr="0029375F">
        <w:rPr>
          <w:rFonts w:ascii="Arial" w:hAnsi="Arial" w:cs="Arial"/>
          <w:color w:val="000000"/>
          <w:sz w:val="21"/>
          <w:szCs w:val="21"/>
        </w:rPr>
        <w:t>力的国际性大都市区。</w:t>
      </w:r>
    </w:p>
    <w:p w14:paraId="3AB442EC" w14:textId="77777777" w:rsidR="00BE38CC"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sidRPr="0029375F">
        <w:rPr>
          <w:rFonts w:ascii="Arial" w:hAnsi="Arial" w:cs="Arial"/>
          <w:color w:val="000000"/>
          <w:sz w:val="21"/>
          <w:szCs w:val="21"/>
        </w:rPr>
        <w:t>整合创新资源</w:t>
      </w:r>
      <w:r>
        <w:rPr>
          <w:rFonts w:ascii="Arial" w:hAnsi="Arial" w:cs="Arial" w:hint="eastAsia"/>
          <w:color w:val="000000"/>
          <w:sz w:val="21"/>
          <w:szCs w:val="21"/>
        </w:rPr>
        <w:t>：</w:t>
      </w:r>
      <w:r w:rsidRPr="0029375F">
        <w:rPr>
          <w:rFonts w:ascii="Arial" w:hAnsi="Arial" w:cs="Arial"/>
          <w:color w:val="000000"/>
          <w:sz w:val="21"/>
          <w:szCs w:val="21"/>
        </w:rPr>
        <w:t>联合建设宁镇</w:t>
      </w:r>
      <w:r w:rsidRPr="0029375F">
        <w:rPr>
          <w:rFonts w:ascii="Arial" w:hAnsi="Arial" w:cs="Arial"/>
          <w:color w:val="000000"/>
          <w:sz w:val="21"/>
          <w:szCs w:val="21"/>
        </w:rPr>
        <w:t>312</w:t>
      </w:r>
      <w:r w:rsidRPr="0029375F">
        <w:rPr>
          <w:rFonts w:ascii="Arial" w:hAnsi="Arial" w:cs="Arial"/>
          <w:color w:val="000000"/>
          <w:sz w:val="21"/>
          <w:szCs w:val="21"/>
        </w:rPr>
        <w:t>科技创新带和宁扬沿江智</w:t>
      </w:r>
      <w:proofErr w:type="gramStart"/>
      <w:r w:rsidRPr="0029375F">
        <w:rPr>
          <w:rFonts w:ascii="Arial" w:hAnsi="Arial" w:cs="Arial"/>
          <w:color w:val="000000"/>
          <w:sz w:val="21"/>
          <w:szCs w:val="21"/>
        </w:rPr>
        <w:t>造创新</w:t>
      </w:r>
      <w:proofErr w:type="gramEnd"/>
      <w:r w:rsidRPr="0029375F">
        <w:rPr>
          <w:rFonts w:ascii="Arial" w:hAnsi="Arial" w:cs="Arial"/>
          <w:color w:val="000000"/>
          <w:sz w:val="21"/>
          <w:szCs w:val="21"/>
        </w:rPr>
        <w:t>链</w:t>
      </w:r>
      <w:r>
        <w:rPr>
          <w:rFonts w:ascii="Arial" w:hAnsi="Arial" w:cs="Arial" w:hint="eastAsia"/>
          <w:color w:val="000000"/>
          <w:sz w:val="21"/>
          <w:szCs w:val="21"/>
        </w:rPr>
        <w:t>；</w:t>
      </w:r>
    </w:p>
    <w:p w14:paraId="30781E3E" w14:textId="77777777" w:rsidR="00BE38CC"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sidRPr="0029375F">
        <w:rPr>
          <w:rFonts w:ascii="Arial" w:hAnsi="Arial" w:cs="Arial"/>
          <w:color w:val="000000"/>
          <w:sz w:val="21"/>
          <w:szCs w:val="21"/>
        </w:rPr>
        <w:t>建设高效一体化交通网络</w:t>
      </w:r>
      <w:r>
        <w:rPr>
          <w:rFonts w:ascii="Arial" w:hAnsi="Arial" w:cs="Arial" w:hint="eastAsia"/>
          <w:color w:val="000000"/>
          <w:sz w:val="21"/>
          <w:szCs w:val="21"/>
        </w:rPr>
        <w:t>：</w:t>
      </w:r>
      <w:r w:rsidRPr="0029375F">
        <w:rPr>
          <w:rFonts w:ascii="Arial" w:hAnsi="Arial" w:cs="Arial"/>
          <w:color w:val="000000"/>
          <w:sz w:val="21"/>
          <w:szCs w:val="21"/>
        </w:rPr>
        <w:t>实现宁</w:t>
      </w:r>
      <w:proofErr w:type="gramStart"/>
      <w:r w:rsidRPr="0029375F">
        <w:rPr>
          <w:rFonts w:ascii="Arial" w:hAnsi="Arial" w:cs="Arial"/>
          <w:color w:val="000000"/>
          <w:sz w:val="21"/>
          <w:szCs w:val="21"/>
        </w:rPr>
        <w:t>镇扬主枢纽</w:t>
      </w:r>
      <w:proofErr w:type="gramEnd"/>
      <w:r w:rsidRPr="0029375F">
        <w:rPr>
          <w:rFonts w:ascii="Arial" w:hAnsi="Arial" w:cs="Arial"/>
          <w:color w:val="000000"/>
          <w:sz w:val="21"/>
          <w:szCs w:val="21"/>
        </w:rPr>
        <w:t>站间半小时通达、主城区间一小时通达</w:t>
      </w:r>
      <w:r w:rsidRPr="0029375F">
        <w:rPr>
          <w:rFonts w:ascii="Arial" w:hAnsi="Arial" w:cs="Arial"/>
          <w:color w:val="000000"/>
          <w:sz w:val="21"/>
          <w:szCs w:val="21"/>
        </w:rPr>
        <w:t>,</w:t>
      </w:r>
      <w:r w:rsidRPr="0029375F">
        <w:rPr>
          <w:rFonts w:ascii="Arial" w:hAnsi="Arial" w:cs="Arial"/>
          <w:color w:val="000000"/>
          <w:sz w:val="21"/>
          <w:szCs w:val="21"/>
        </w:rPr>
        <w:t>统筹能源、信息等基础设施建设</w:t>
      </w:r>
      <w:r>
        <w:rPr>
          <w:rFonts w:ascii="Arial" w:hAnsi="Arial" w:cs="Arial" w:hint="eastAsia"/>
          <w:color w:val="000000"/>
          <w:sz w:val="21"/>
          <w:szCs w:val="21"/>
        </w:rPr>
        <w:t>；</w:t>
      </w:r>
    </w:p>
    <w:p w14:paraId="0B2D0772" w14:textId="77777777" w:rsidR="00BE38CC" w:rsidRPr="0029375F"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sidRPr="0029375F">
        <w:rPr>
          <w:rFonts w:ascii="Arial" w:hAnsi="Arial" w:cs="Arial"/>
          <w:color w:val="000000"/>
          <w:sz w:val="21"/>
          <w:szCs w:val="21"/>
        </w:rPr>
        <w:t>共享公共资源</w:t>
      </w:r>
      <w:r>
        <w:rPr>
          <w:rFonts w:ascii="Arial" w:hAnsi="Arial" w:cs="Arial" w:hint="eastAsia"/>
          <w:color w:val="000000"/>
          <w:sz w:val="21"/>
          <w:szCs w:val="21"/>
        </w:rPr>
        <w:t>：</w:t>
      </w:r>
      <w:r w:rsidRPr="0029375F">
        <w:rPr>
          <w:rFonts w:ascii="Arial" w:hAnsi="Arial" w:cs="Arial"/>
          <w:color w:val="000000"/>
          <w:sz w:val="21"/>
          <w:szCs w:val="21"/>
        </w:rPr>
        <w:t>推动文化教育、医疗卫生、公共交通、社会保障等服务均衡发展</w:t>
      </w:r>
      <w:r w:rsidRPr="0029375F">
        <w:rPr>
          <w:rFonts w:ascii="Arial" w:hAnsi="Arial" w:cs="Arial"/>
          <w:color w:val="000000"/>
          <w:sz w:val="21"/>
          <w:szCs w:val="21"/>
        </w:rPr>
        <w:t>,</w:t>
      </w:r>
      <w:r w:rsidRPr="0029375F">
        <w:rPr>
          <w:rFonts w:ascii="Arial" w:hAnsi="Arial" w:cs="Arial"/>
          <w:color w:val="000000"/>
          <w:sz w:val="21"/>
          <w:szCs w:val="21"/>
        </w:rPr>
        <w:t>共建和谐、幸福、宜居的优质生活圈</w:t>
      </w:r>
      <w:r>
        <w:rPr>
          <w:rFonts w:ascii="Arial" w:hAnsi="Arial" w:cs="Arial" w:hint="eastAsia"/>
          <w:color w:val="000000"/>
          <w:sz w:val="21"/>
          <w:szCs w:val="21"/>
        </w:rPr>
        <w:t>；</w:t>
      </w:r>
    </w:p>
    <w:p w14:paraId="59834880" w14:textId="77777777" w:rsidR="00BE38CC"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sidRPr="0029375F">
        <w:rPr>
          <w:rFonts w:ascii="Arial" w:hAnsi="Arial" w:cs="Arial"/>
          <w:color w:val="000000"/>
          <w:sz w:val="21"/>
          <w:szCs w:val="21"/>
        </w:rPr>
        <w:t>共保生态资源</w:t>
      </w:r>
      <w:r>
        <w:rPr>
          <w:rFonts w:ascii="Arial" w:hAnsi="Arial" w:cs="Arial" w:hint="eastAsia"/>
          <w:color w:val="000000"/>
          <w:sz w:val="21"/>
          <w:szCs w:val="21"/>
        </w:rPr>
        <w:t>：</w:t>
      </w:r>
      <w:r w:rsidRPr="0029375F">
        <w:rPr>
          <w:rFonts w:ascii="Arial" w:hAnsi="Arial" w:cs="Arial"/>
          <w:color w:val="000000"/>
          <w:sz w:val="21"/>
          <w:szCs w:val="21"/>
        </w:rPr>
        <w:t>共建美丽乡村</w:t>
      </w:r>
      <w:r w:rsidRPr="0029375F">
        <w:rPr>
          <w:rFonts w:ascii="Arial" w:hAnsi="Arial" w:cs="Arial"/>
          <w:color w:val="000000"/>
          <w:sz w:val="21"/>
          <w:szCs w:val="21"/>
        </w:rPr>
        <w:t>,</w:t>
      </w:r>
      <w:r w:rsidRPr="0029375F">
        <w:rPr>
          <w:rFonts w:ascii="Arial" w:hAnsi="Arial" w:cs="Arial"/>
          <w:color w:val="000000"/>
          <w:sz w:val="21"/>
          <w:szCs w:val="21"/>
        </w:rPr>
        <w:t>协同推进环境整治</w:t>
      </w:r>
      <w:r w:rsidRPr="0029375F">
        <w:rPr>
          <w:rFonts w:ascii="Arial" w:hAnsi="Arial" w:cs="Arial"/>
          <w:color w:val="000000"/>
          <w:sz w:val="21"/>
          <w:szCs w:val="21"/>
        </w:rPr>
        <w:t>,</w:t>
      </w:r>
      <w:r w:rsidRPr="0029375F">
        <w:rPr>
          <w:rFonts w:ascii="Arial" w:hAnsi="Arial" w:cs="Arial"/>
          <w:color w:val="000000"/>
          <w:sz w:val="21"/>
          <w:szCs w:val="21"/>
        </w:rPr>
        <w:t>共筑生态文明建设示范区</w:t>
      </w:r>
      <w:r>
        <w:rPr>
          <w:rFonts w:ascii="Arial" w:hAnsi="Arial" w:cs="Arial" w:hint="eastAsia"/>
          <w:color w:val="000000"/>
          <w:sz w:val="21"/>
          <w:szCs w:val="21"/>
        </w:rPr>
        <w:t>。</w:t>
      </w:r>
    </w:p>
    <w:p w14:paraId="40D64E46" w14:textId="1C813729" w:rsidR="00C7455C" w:rsidRPr="00E05368" w:rsidRDefault="00BE38CC" w:rsidP="00935557">
      <w:pPr>
        <w:widowControl w:val="0"/>
        <w:adjustRightInd w:val="0"/>
        <w:snapToGrid w:val="0"/>
        <w:spacing w:line="480" w:lineRule="auto"/>
        <w:jc w:val="both"/>
        <w:rPr>
          <w:rFonts w:ascii="Arial" w:hAnsi="Arial" w:cs="Arial"/>
          <w:color w:val="000000"/>
          <w:sz w:val="21"/>
          <w:szCs w:val="21"/>
        </w:rPr>
      </w:pPr>
      <w:r w:rsidRPr="0029375F">
        <w:rPr>
          <w:rFonts w:ascii="Arial" w:hAnsi="Arial" w:cs="Arial"/>
          <w:noProof/>
          <w:color w:val="000000"/>
          <w:sz w:val="21"/>
          <w:szCs w:val="21"/>
        </w:rPr>
        <w:drawing>
          <wp:inline distT="0" distB="0" distL="0" distR="0" wp14:anchorId="6AF87CCB" wp14:editId="59D8727B">
            <wp:extent cx="5904000" cy="1359482"/>
            <wp:effectExtent l="0" t="0" r="1905"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04000" cy="1359482"/>
                    </a:xfrm>
                    <a:prstGeom prst="rect">
                      <a:avLst/>
                    </a:prstGeom>
                  </pic:spPr>
                </pic:pic>
              </a:graphicData>
            </a:graphic>
          </wp:inline>
        </w:drawing>
      </w:r>
    </w:p>
    <w:p w14:paraId="7885B73B" w14:textId="77777777" w:rsidR="00C7455C" w:rsidRPr="00E05368" w:rsidRDefault="00C7455C" w:rsidP="00C7455C">
      <w:pPr>
        <w:pStyle w:val="2"/>
        <w:tabs>
          <w:tab w:val="left" w:pos="5220"/>
        </w:tabs>
        <w:spacing w:before="0" w:after="0" w:line="480" w:lineRule="auto"/>
        <w:ind w:firstLineChars="98" w:firstLine="207"/>
        <w:jc w:val="both"/>
        <w:rPr>
          <w:rFonts w:eastAsia="宋体" w:cs="Arial"/>
          <w:sz w:val="21"/>
          <w:szCs w:val="21"/>
        </w:rPr>
      </w:pPr>
      <w:bookmarkStart w:id="125" w:name="_Toc43885858"/>
      <w:bookmarkStart w:id="126" w:name="_Toc74250071"/>
      <w:bookmarkStart w:id="127" w:name="_Toc74662901"/>
      <w:r w:rsidRPr="00E05368">
        <w:rPr>
          <w:rFonts w:eastAsia="宋体" w:cs="Arial"/>
          <w:sz w:val="21"/>
          <w:szCs w:val="21"/>
        </w:rPr>
        <w:lastRenderedPageBreak/>
        <w:t>（</w:t>
      </w:r>
      <w:r w:rsidRPr="00E05368">
        <w:rPr>
          <w:rFonts w:eastAsia="宋体" w:cs="Arial" w:hint="eastAsia"/>
          <w:sz w:val="21"/>
          <w:szCs w:val="21"/>
        </w:rPr>
        <w:t>四）土地市场概况</w:t>
      </w:r>
      <w:bookmarkEnd w:id="125"/>
      <w:bookmarkEnd w:id="126"/>
      <w:bookmarkEnd w:id="127"/>
    </w:p>
    <w:p w14:paraId="66BED245" w14:textId="77777777" w:rsidR="00C01AA7" w:rsidRPr="00E05368"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hint="eastAsia"/>
          <w:color w:val="000000"/>
          <w:sz w:val="21"/>
          <w:szCs w:val="21"/>
        </w:rPr>
        <w:t>1</w:t>
      </w:r>
      <w:r w:rsidRPr="00E05368">
        <w:rPr>
          <w:rFonts w:ascii="Arial" w:hAnsi="Arial" w:cs="Arial" w:hint="eastAsia"/>
          <w:color w:val="000000"/>
          <w:sz w:val="21"/>
          <w:szCs w:val="21"/>
        </w:rPr>
        <w:t>、供应情况</w:t>
      </w:r>
    </w:p>
    <w:p w14:paraId="058F3411" w14:textId="756C8BE6" w:rsidR="00D52F38" w:rsidRDefault="00D52F38" w:rsidP="00D52F38">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Pr>
          <w:rFonts w:ascii="Arial" w:hAnsi="Arial" w:cs="Arial" w:hint="eastAsia"/>
          <w:color w:val="000000"/>
          <w:sz w:val="21"/>
          <w:szCs w:val="21"/>
        </w:rPr>
        <w:t>1</w:t>
      </w:r>
      <w:r>
        <w:rPr>
          <w:rFonts w:ascii="Arial" w:hAnsi="Arial" w:cs="Arial" w:hint="eastAsia"/>
          <w:color w:val="000000"/>
          <w:sz w:val="21"/>
          <w:szCs w:val="21"/>
        </w:rPr>
        <w:t>）</w:t>
      </w:r>
      <w:r w:rsidRPr="00D52F38">
        <w:rPr>
          <w:rFonts w:ascii="Arial" w:hAnsi="Arial" w:cs="Arial"/>
          <w:color w:val="000000"/>
          <w:sz w:val="21"/>
          <w:szCs w:val="21"/>
        </w:rPr>
        <w:t>2021</w:t>
      </w:r>
      <w:r w:rsidRPr="00D52F38">
        <w:rPr>
          <w:rFonts w:ascii="Arial" w:hAnsi="Arial" w:cs="Arial"/>
          <w:color w:val="000000"/>
          <w:sz w:val="21"/>
          <w:szCs w:val="21"/>
        </w:rPr>
        <w:t>年全市国有建设用地供应计划</w:t>
      </w:r>
      <w:r>
        <w:rPr>
          <w:rFonts w:ascii="Arial" w:hAnsi="Arial" w:cs="Arial" w:hint="eastAsia"/>
          <w:color w:val="000000"/>
          <w:sz w:val="21"/>
          <w:szCs w:val="21"/>
        </w:rPr>
        <w:t>情况</w:t>
      </w:r>
    </w:p>
    <w:p w14:paraId="44DFF3D6" w14:textId="5E9A216C" w:rsidR="00D52F38" w:rsidRDefault="00D52F38" w:rsidP="00D52F38">
      <w:pPr>
        <w:widowControl w:val="0"/>
        <w:adjustRightInd w:val="0"/>
        <w:snapToGrid w:val="0"/>
        <w:spacing w:line="480" w:lineRule="auto"/>
        <w:ind w:firstLineChars="200" w:firstLine="420"/>
        <w:jc w:val="both"/>
        <w:rPr>
          <w:rFonts w:ascii="Arial" w:hAnsi="Arial" w:cs="Arial"/>
          <w:color w:val="000000"/>
          <w:sz w:val="21"/>
          <w:szCs w:val="21"/>
        </w:rPr>
      </w:pPr>
      <w:r w:rsidRPr="00D52F38">
        <w:rPr>
          <w:rFonts w:ascii="Arial" w:hAnsi="Arial" w:cs="Arial"/>
          <w:color w:val="000000"/>
          <w:sz w:val="21"/>
          <w:szCs w:val="21"/>
        </w:rPr>
        <w:t>2021</w:t>
      </w:r>
      <w:r w:rsidRPr="00D52F38">
        <w:rPr>
          <w:rFonts w:ascii="Arial" w:hAnsi="Arial" w:cs="Arial"/>
          <w:color w:val="000000"/>
          <w:sz w:val="21"/>
          <w:szCs w:val="21"/>
        </w:rPr>
        <w:t>年全市国有建设用地供应计划总量为</w:t>
      </w:r>
      <w:r w:rsidRPr="00D52F38">
        <w:rPr>
          <w:rFonts w:ascii="Arial" w:hAnsi="Arial" w:cs="Arial"/>
          <w:color w:val="000000"/>
          <w:sz w:val="21"/>
          <w:szCs w:val="21"/>
        </w:rPr>
        <w:t>2549</w:t>
      </w:r>
      <w:r w:rsidRPr="00D52F38">
        <w:rPr>
          <w:rFonts w:ascii="Arial" w:hAnsi="Arial" w:cs="Arial"/>
          <w:color w:val="000000"/>
          <w:sz w:val="21"/>
          <w:szCs w:val="21"/>
        </w:rPr>
        <w:t>公顷。</w:t>
      </w:r>
    </w:p>
    <w:p w14:paraId="774D31AB" w14:textId="603FE213" w:rsidR="00D52F38" w:rsidRDefault="00D52F38" w:rsidP="00D52F38">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1</w:t>
      </w:r>
      <w:r>
        <w:rPr>
          <w:rFonts w:ascii="Arial" w:hAnsi="Arial" w:cs="Arial" w:hint="eastAsia"/>
          <w:color w:val="000000"/>
          <w:sz w:val="21"/>
          <w:szCs w:val="21"/>
        </w:rPr>
        <w:t>）用途结构</w:t>
      </w:r>
    </w:p>
    <w:p w14:paraId="6B10FE7A" w14:textId="77777777" w:rsidR="00D52F38" w:rsidRPr="00D52F38" w:rsidRDefault="00D52F38" w:rsidP="00D52F38">
      <w:pPr>
        <w:widowControl w:val="0"/>
        <w:adjustRightInd w:val="0"/>
        <w:snapToGrid w:val="0"/>
        <w:spacing w:line="480" w:lineRule="auto"/>
        <w:ind w:firstLineChars="200" w:firstLine="420"/>
        <w:jc w:val="both"/>
        <w:rPr>
          <w:rFonts w:ascii="Arial" w:hAnsi="Arial" w:cs="Arial"/>
          <w:color w:val="000000"/>
          <w:sz w:val="21"/>
          <w:szCs w:val="21"/>
        </w:rPr>
      </w:pPr>
      <w:r w:rsidRPr="00D52F38">
        <w:rPr>
          <w:rFonts w:ascii="Arial" w:hAnsi="Arial" w:cs="Arial"/>
          <w:color w:val="000000"/>
          <w:sz w:val="21"/>
          <w:szCs w:val="21"/>
        </w:rPr>
        <w:t>2021</w:t>
      </w:r>
      <w:r w:rsidRPr="00D52F38">
        <w:rPr>
          <w:rFonts w:ascii="Arial" w:hAnsi="Arial" w:cs="Arial"/>
          <w:color w:val="000000"/>
          <w:sz w:val="21"/>
          <w:szCs w:val="21"/>
        </w:rPr>
        <w:t>年全市国有建设用地供应总量中，用途结构如下。</w:t>
      </w:r>
    </w:p>
    <w:p w14:paraId="534C9AAF" w14:textId="235E04B8" w:rsidR="00D52F38" w:rsidRDefault="00D52F38" w:rsidP="00D52F38">
      <w:pPr>
        <w:widowControl w:val="0"/>
        <w:adjustRightInd w:val="0"/>
        <w:snapToGrid w:val="0"/>
        <w:spacing w:line="480" w:lineRule="auto"/>
        <w:ind w:firstLineChars="200" w:firstLine="420"/>
        <w:jc w:val="both"/>
        <w:rPr>
          <w:rFonts w:ascii="Arial" w:hAnsi="Arial" w:cs="Arial"/>
          <w:color w:val="000000"/>
          <w:sz w:val="21"/>
          <w:szCs w:val="21"/>
        </w:rPr>
      </w:pPr>
      <w:r w:rsidRPr="00D52F38">
        <w:rPr>
          <w:rFonts w:ascii="Arial" w:hAnsi="Arial" w:cs="Arial"/>
          <w:color w:val="000000"/>
          <w:sz w:val="21"/>
          <w:szCs w:val="21"/>
        </w:rPr>
        <w:t>住宅用地面积</w:t>
      </w:r>
      <w:r w:rsidRPr="00D52F38">
        <w:rPr>
          <w:rFonts w:ascii="Arial" w:hAnsi="Arial" w:cs="Arial"/>
          <w:color w:val="000000"/>
          <w:sz w:val="21"/>
          <w:szCs w:val="21"/>
        </w:rPr>
        <w:t>919</w:t>
      </w:r>
      <w:r w:rsidRPr="00D52F38">
        <w:rPr>
          <w:rFonts w:ascii="Arial" w:hAnsi="Arial" w:cs="Arial"/>
          <w:color w:val="000000"/>
          <w:sz w:val="21"/>
          <w:szCs w:val="21"/>
        </w:rPr>
        <w:t>公顷，占计划总量的</w:t>
      </w:r>
      <w:r w:rsidRPr="00D52F38">
        <w:rPr>
          <w:rFonts w:ascii="Arial" w:hAnsi="Arial" w:cs="Arial"/>
          <w:color w:val="000000"/>
          <w:sz w:val="21"/>
          <w:szCs w:val="21"/>
        </w:rPr>
        <w:t>36</w:t>
      </w:r>
      <w:r w:rsidRPr="00D52F38">
        <w:rPr>
          <w:rFonts w:ascii="Arial" w:hAnsi="Arial" w:cs="Arial"/>
          <w:color w:val="000000"/>
          <w:sz w:val="21"/>
          <w:szCs w:val="21"/>
        </w:rPr>
        <w:t>％。</w:t>
      </w:r>
      <w:r w:rsidR="002C2FB0" w:rsidRPr="002C2FB0">
        <w:rPr>
          <w:rFonts w:ascii="Arial" w:hAnsi="Arial" w:cs="Arial" w:hint="eastAsia"/>
          <w:color w:val="000000"/>
          <w:sz w:val="21"/>
          <w:szCs w:val="21"/>
        </w:rPr>
        <w:t>其中：产权住宅用地</w:t>
      </w:r>
      <w:r w:rsidR="002C2FB0" w:rsidRPr="002C2FB0">
        <w:rPr>
          <w:rFonts w:ascii="Arial" w:hAnsi="Arial" w:cs="Arial"/>
          <w:color w:val="000000"/>
          <w:sz w:val="21"/>
          <w:szCs w:val="21"/>
        </w:rPr>
        <w:t>672</w:t>
      </w:r>
      <w:r w:rsidR="002C2FB0" w:rsidRPr="002C2FB0">
        <w:rPr>
          <w:rFonts w:ascii="Arial" w:hAnsi="Arial" w:cs="Arial"/>
          <w:color w:val="000000"/>
          <w:sz w:val="21"/>
          <w:szCs w:val="21"/>
        </w:rPr>
        <w:t>公顷（商品住宅用地</w:t>
      </w:r>
      <w:r w:rsidR="002C2FB0" w:rsidRPr="002C2FB0">
        <w:rPr>
          <w:rFonts w:ascii="Arial" w:hAnsi="Arial" w:cs="Arial"/>
          <w:color w:val="000000"/>
          <w:sz w:val="21"/>
          <w:szCs w:val="21"/>
        </w:rPr>
        <w:t>672</w:t>
      </w:r>
      <w:r w:rsidR="002C2FB0" w:rsidRPr="002C2FB0">
        <w:rPr>
          <w:rFonts w:ascii="Arial" w:hAnsi="Arial" w:cs="Arial"/>
          <w:color w:val="000000"/>
          <w:sz w:val="21"/>
          <w:szCs w:val="21"/>
        </w:rPr>
        <w:t>公顷，共有产权住宅用地</w:t>
      </w:r>
      <w:r w:rsidR="002C2FB0" w:rsidRPr="002C2FB0">
        <w:rPr>
          <w:rFonts w:ascii="Arial" w:hAnsi="Arial" w:cs="Arial"/>
          <w:color w:val="000000"/>
          <w:sz w:val="21"/>
          <w:szCs w:val="21"/>
        </w:rPr>
        <w:t>0</w:t>
      </w:r>
      <w:r w:rsidR="002C2FB0" w:rsidRPr="002C2FB0">
        <w:rPr>
          <w:rFonts w:ascii="Arial" w:hAnsi="Arial" w:cs="Arial"/>
          <w:color w:val="000000"/>
          <w:sz w:val="21"/>
          <w:szCs w:val="21"/>
        </w:rPr>
        <w:t>公顷），租赁住宅用地</w:t>
      </w:r>
      <w:r w:rsidR="002C2FB0" w:rsidRPr="002C2FB0">
        <w:rPr>
          <w:rFonts w:ascii="Arial" w:hAnsi="Arial" w:cs="Arial"/>
          <w:color w:val="000000"/>
          <w:sz w:val="21"/>
          <w:szCs w:val="21"/>
        </w:rPr>
        <w:t>92</w:t>
      </w:r>
      <w:r w:rsidR="002C2FB0" w:rsidRPr="002C2FB0">
        <w:rPr>
          <w:rFonts w:ascii="Arial" w:hAnsi="Arial" w:cs="Arial"/>
          <w:color w:val="000000"/>
          <w:sz w:val="21"/>
          <w:szCs w:val="21"/>
        </w:rPr>
        <w:t>公顷（按租赁对象划分为保障性租赁住宅用地</w:t>
      </w:r>
      <w:r w:rsidR="002C2FB0" w:rsidRPr="002C2FB0">
        <w:rPr>
          <w:rFonts w:ascii="Arial" w:hAnsi="Arial" w:cs="Arial"/>
          <w:color w:val="000000"/>
          <w:sz w:val="21"/>
          <w:szCs w:val="21"/>
        </w:rPr>
        <w:t>27</w:t>
      </w:r>
      <w:r w:rsidR="002C2FB0" w:rsidRPr="002C2FB0">
        <w:rPr>
          <w:rFonts w:ascii="Arial" w:hAnsi="Arial" w:cs="Arial"/>
          <w:color w:val="000000"/>
          <w:sz w:val="21"/>
          <w:szCs w:val="21"/>
        </w:rPr>
        <w:t>公顷，市场化租赁住宅用地</w:t>
      </w:r>
      <w:r w:rsidR="002C2FB0" w:rsidRPr="002C2FB0">
        <w:rPr>
          <w:rFonts w:ascii="Arial" w:hAnsi="Arial" w:cs="Arial"/>
          <w:color w:val="000000"/>
          <w:sz w:val="21"/>
          <w:szCs w:val="21"/>
        </w:rPr>
        <w:t>65</w:t>
      </w:r>
      <w:r w:rsidR="002C2FB0" w:rsidRPr="002C2FB0">
        <w:rPr>
          <w:rFonts w:ascii="Arial" w:hAnsi="Arial" w:cs="Arial"/>
          <w:color w:val="000000"/>
          <w:sz w:val="21"/>
          <w:szCs w:val="21"/>
        </w:rPr>
        <w:t>公顷；按土地来源划分为集中建设租赁住宅用地面积</w:t>
      </w:r>
      <w:r w:rsidR="002C2FB0" w:rsidRPr="002C2FB0">
        <w:rPr>
          <w:rFonts w:ascii="Arial" w:hAnsi="Arial" w:cs="Arial"/>
          <w:color w:val="000000"/>
          <w:sz w:val="21"/>
          <w:szCs w:val="21"/>
        </w:rPr>
        <w:t>54</w:t>
      </w:r>
      <w:r w:rsidR="002C2FB0" w:rsidRPr="002C2FB0">
        <w:rPr>
          <w:rFonts w:ascii="Arial" w:hAnsi="Arial" w:cs="Arial"/>
          <w:color w:val="000000"/>
          <w:sz w:val="21"/>
          <w:szCs w:val="21"/>
        </w:rPr>
        <w:t>公顷，配套建设租赁住宅用地面积</w:t>
      </w:r>
      <w:r w:rsidR="002C2FB0" w:rsidRPr="002C2FB0">
        <w:rPr>
          <w:rFonts w:ascii="Arial" w:hAnsi="Arial" w:cs="Arial"/>
          <w:color w:val="000000"/>
          <w:sz w:val="21"/>
          <w:szCs w:val="21"/>
        </w:rPr>
        <w:t>38</w:t>
      </w:r>
      <w:r w:rsidR="002C2FB0" w:rsidRPr="002C2FB0">
        <w:rPr>
          <w:rFonts w:ascii="Arial" w:hAnsi="Arial" w:cs="Arial"/>
          <w:color w:val="000000"/>
          <w:sz w:val="21"/>
          <w:szCs w:val="21"/>
        </w:rPr>
        <w:t>公顷）；其他住宅用地（回迁安置房用地等）</w:t>
      </w:r>
      <w:r w:rsidR="002C2FB0" w:rsidRPr="002C2FB0">
        <w:rPr>
          <w:rFonts w:ascii="Arial" w:hAnsi="Arial" w:cs="Arial"/>
          <w:color w:val="000000"/>
          <w:sz w:val="21"/>
          <w:szCs w:val="21"/>
        </w:rPr>
        <w:t>155</w:t>
      </w:r>
      <w:r w:rsidR="002C2FB0" w:rsidRPr="002C2FB0">
        <w:rPr>
          <w:rFonts w:ascii="Arial" w:hAnsi="Arial" w:cs="Arial"/>
          <w:color w:val="000000"/>
          <w:sz w:val="21"/>
          <w:szCs w:val="21"/>
        </w:rPr>
        <w:t>公顷。</w:t>
      </w:r>
      <w:r w:rsidRPr="00D52F38">
        <w:rPr>
          <w:rFonts w:ascii="Arial" w:hAnsi="Arial" w:cs="Arial"/>
          <w:color w:val="000000"/>
          <w:sz w:val="21"/>
          <w:szCs w:val="21"/>
        </w:rPr>
        <w:t>商服用地面积</w:t>
      </w:r>
      <w:r w:rsidRPr="00D52F38">
        <w:rPr>
          <w:rFonts w:ascii="Arial" w:hAnsi="Arial" w:cs="Arial"/>
          <w:color w:val="000000"/>
          <w:sz w:val="21"/>
          <w:szCs w:val="21"/>
        </w:rPr>
        <w:t>252</w:t>
      </w:r>
      <w:r w:rsidRPr="00D52F38">
        <w:rPr>
          <w:rFonts w:ascii="Arial" w:hAnsi="Arial" w:cs="Arial"/>
          <w:color w:val="000000"/>
          <w:sz w:val="21"/>
          <w:szCs w:val="21"/>
        </w:rPr>
        <w:t>公顷，占计划总量的</w:t>
      </w:r>
      <w:r w:rsidRPr="00D52F38">
        <w:rPr>
          <w:rFonts w:ascii="Arial" w:hAnsi="Arial" w:cs="Arial"/>
          <w:color w:val="000000"/>
          <w:sz w:val="21"/>
          <w:szCs w:val="21"/>
        </w:rPr>
        <w:t>10</w:t>
      </w:r>
      <w:r w:rsidRPr="00D52F38">
        <w:rPr>
          <w:rFonts w:ascii="Arial" w:hAnsi="Arial" w:cs="Arial"/>
          <w:color w:val="000000"/>
          <w:sz w:val="21"/>
          <w:szCs w:val="21"/>
        </w:rPr>
        <w:t>％。工矿仓储及科研用地面积</w:t>
      </w:r>
      <w:r w:rsidRPr="00D52F38">
        <w:rPr>
          <w:rFonts w:ascii="Arial" w:hAnsi="Arial" w:cs="Arial"/>
          <w:color w:val="000000"/>
          <w:sz w:val="21"/>
          <w:szCs w:val="21"/>
        </w:rPr>
        <w:t>672</w:t>
      </w:r>
      <w:r w:rsidRPr="00D52F38">
        <w:rPr>
          <w:rFonts w:ascii="Arial" w:hAnsi="Arial" w:cs="Arial"/>
          <w:color w:val="000000"/>
          <w:sz w:val="21"/>
          <w:szCs w:val="21"/>
        </w:rPr>
        <w:t>公顷，占计划总量的</w:t>
      </w:r>
      <w:r w:rsidRPr="00D52F38">
        <w:rPr>
          <w:rFonts w:ascii="Arial" w:hAnsi="Arial" w:cs="Arial"/>
          <w:color w:val="000000"/>
          <w:sz w:val="21"/>
          <w:szCs w:val="21"/>
        </w:rPr>
        <w:t>26</w:t>
      </w:r>
      <w:r w:rsidRPr="00D52F38">
        <w:rPr>
          <w:rFonts w:ascii="Arial" w:hAnsi="Arial" w:cs="Arial"/>
          <w:color w:val="000000"/>
          <w:sz w:val="21"/>
          <w:szCs w:val="21"/>
        </w:rPr>
        <w:t>％。公共管理与服务用地面积</w:t>
      </w:r>
      <w:r w:rsidRPr="00D52F38">
        <w:rPr>
          <w:rFonts w:ascii="Arial" w:hAnsi="Arial" w:cs="Arial"/>
          <w:color w:val="000000"/>
          <w:sz w:val="21"/>
          <w:szCs w:val="21"/>
        </w:rPr>
        <w:t>168</w:t>
      </w:r>
      <w:r w:rsidRPr="00D52F38">
        <w:rPr>
          <w:rFonts w:ascii="Arial" w:hAnsi="Arial" w:cs="Arial"/>
          <w:color w:val="000000"/>
          <w:sz w:val="21"/>
          <w:szCs w:val="21"/>
        </w:rPr>
        <w:t>公顷，占计划总量的</w:t>
      </w:r>
      <w:r w:rsidRPr="00D52F38">
        <w:rPr>
          <w:rFonts w:ascii="Arial" w:hAnsi="Arial" w:cs="Arial"/>
          <w:color w:val="000000"/>
          <w:sz w:val="21"/>
          <w:szCs w:val="21"/>
        </w:rPr>
        <w:t>7</w:t>
      </w:r>
      <w:r w:rsidRPr="00D52F38">
        <w:rPr>
          <w:rFonts w:ascii="Arial" w:hAnsi="Arial" w:cs="Arial"/>
          <w:color w:val="000000"/>
          <w:sz w:val="21"/>
          <w:szCs w:val="21"/>
        </w:rPr>
        <w:t>％。道路交通用地面积</w:t>
      </w:r>
      <w:r w:rsidRPr="00D52F38">
        <w:rPr>
          <w:rFonts w:ascii="Arial" w:hAnsi="Arial" w:cs="Arial"/>
          <w:color w:val="000000"/>
          <w:sz w:val="21"/>
          <w:szCs w:val="21"/>
        </w:rPr>
        <w:t>500</w:t>
      </w:r>
      <w:r w:rsidRPr="00D52F38">
        <w:rPr>
          <w:rFonts w:ascii="Arial" w:hAnsi="Arial" w:cs="Arial"/>
          <w:color w:val="000000"/>
          <w:sz w:val="21"/>
          <w:szCs w:val="21"/>
        </w:rPr>
        <w:t>公顷，占计划总量的</w:t>
      </w:r>
      <w:r w:rsidRPr="00D52F38">
        <w:rPr>
          <w:rFonts w:ascii="Arial" w:hAnsi="Arial" w:cs="Arial"/>
          <w:color w:val="000000"/>
          <w:sz w:val="21"/>
          <w:szCs w:val="21"/>
        </w:rPr>
        <w:t>20</w:t>
      </w:r>
      <w:r w:rsidRPr="00D52F38">
        <w:rPr>
          <w:rFonts w:ascii="Arial" w:hAnsi="Arial" w:cs="Arial"/>
          <w:color w:val="000000"/>
          <w:sz w:val="21"/>
          <w:szCs w:val="21"/>
        </w:rPr>
        <w:t>％。环卫、水利等设施用地面积</w:t>
      </w:r>
      <w:r w:rsidRPr="00D52F38">
        <w:rPr>
          <w:rFonts w:ascii="Arial" w:hAnsi="Arial" w:cs="Arial"/>
          <w:color w:val="000000"/>
          <w:sz w:val="21"/>
          <w:szCs w:val="21"/>
        </w:rPr>
        <w:t>38</w:t>
      </w:r>
      <w:r w:rsidRPr="00D52F38">
        <w:rPr>
          <w:rFonts w:ascii="Arial" w:hAnsi="Arial" w:cs="Arial"/>
          <w:color w:val="000000"/>
          <w:sz w:val="21"/>
          <w:szCs w:val="21"/>
        </w:rPr>
        <w:t>公顷，占计划总量的</w:t>
      </w:r>
      <w:r w:rsidRPr="00D52F38">
        <w:rPr>
          <w:rFonts w:ascii="Arial" w:hAnsi="Arial" w:cs="Arial"/>
          <w:color w:val="000000"/>
          <w:sz w:val="21"/>
          <w:szCs w:val="21"/>
        </w:rPr>
        <w:t>1</w:t>
      </w:r>
      <w:r w:rsidRPr="00D52F38">
        <w:rPr>
          <w:rFonts w:ascii="Arial" w:hAnsi="Arial" w:cs="Arial"/>
          <w:color w:val="000000"/>
          <w:sz w:val="21"/>
          <w:szCs w:val="21"/>
        </w:rPr>
        <w:t>％。</w:t>
      </w:r>
    </w:p>
    <w:p w14:paraId="0B44B129" w14:textId="654D34A7" w:rsidR="00D52F38" w:rsidRPr="00D52F38" w:rsidRDefault="00D52F38" w:rsidP="00D52F38">
      <w:pPr>
        <w:widowControl w:val="0"/>
        <w:adjustRightInd w:val="0"/>
        <w:snapToGrid w:val="0"/>
        <w:spacing w:line="480" w:lineRule="auto"/>
        <w:ind w:firstLineChars="200" w:firstLine="480"/>
        <w:jc w:val="center"/>
        <w:rPr>
          <w:rFonts w:ascii="Arial" w:hAnsi="Arial" w:cs="Arial"/>
          <w:color w:val="000000"/>
          <w:sz w:val="21"/>
          <w:szCs w:val="21"/>
        </w:rPr>
      </w:pPr>
      <w:r>
        <w:rPr>
          <w:rFonts w:ascii="Arial" w:hAnsi="Arial" w:cs="Arial"/>
          <w:color w:val="333333"/>
        </w:rPr>
        <w:t>南京市</w:t>
      </w:r>
      <w:r>
        <w:rPr>
          <w:rFonts w:ascii="Arial" w:hAnsi="Arial" w:cs="Arial"/>
          <w:color w:val="333333"/>
        </w:rPr>
        <w:t>2021</w:t>
      </w:r>
      <w:r>
        <w:rPr>
          <w:rFonts w:ascii="Arial" w:hAnsi="Arial" w:cs="Arial"/>
          <w:color w:val="333333"/>
        </w:rPr>
        <w:t>年度供地用途结构示意图</w:t>
      </w:r>
    </w:p>
    <w:p w14:paraId="3CD71C6B" w14:textId="332D1F04" w:rsidR="00D52F38" w:rsidRDefault="00D52F38" w:rsidP="00D52F38">
      <w:pPr>
        <w:shd w:val="clear" w:color="auto" w:fill="FFFFFF"/>
        <w:jc w:val="center"/>
        <w:rPr>
          <w:rFonts w:ascii="Arial" w:hAnsi="Arial" w:cs="Arial"/>
          <w:color w:val="000000"/>
          <w:sz w:val="18"/>
          <w:szCs w:val="18"/>
        </w:rPr>
      </w:pPr>
      <w:r>
        <w:rPr>
          <w:rFonts w:ascii="Arial" w:hAnsi="Arial" w:cs="Arial"/>
          <w:noProof/>
          <w:color w:val="000000"/>
          <w:sz w:val="18"/>
          <w:szCs w:val="18"/>
        </w:rPr>
        <w:drawing>
          <wp:inline distT="0" distB="0" distL="0" distR="0" wp14:anchorId="7F25E00B" wp14:editId="4B3C28DB">
            <wp:extent cx="4794736" cy="2764465"/>
            <wp:effectExtent l="0" t="0" r="6350" b="0"/>
            <wp:docPr id="6" name="图片 6" descr="https://pics2.baidu.com/feed/1f178a82b9014a9015e2356938d2731ab11beeb0.png?token=6ad476561378f93e063161505fc543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ics2.baidu.com/feed/1f178a82b9014a9015e2356938d2731ab11beeb0.png?token=6ad476561378f93e063161505fc543b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802909" cy="2769177"/>
                    </a:xfrm>
                    <a:prstGeom prst="rect">
                      <a:avLst/>
                    </a:prstGeom>
                    <a:noFill/>
                    <a:ln>
                      <a:noFill/>
                    </a:ln>
                  </pic:spPr>
                </pic:pic>
              </a:graphicData>
            </a:graphic>
          </wp:inline>
        </w:drawing>
      </w:r>
    </w:p>
    <w:p w14:paraId="0448A2F2" w14:textId="6DE686FC" w:rsidR="00D52F38" w:rsidRDefault="00D52F38" w:rsidP="00935557">
      <w:pPr>
        <w:widowControl w:val="0"/>
        <w:adjustRightInd w:val="0"/>
        <w:snapToGrid w:val="0"/>
        <w:spacing w:before="100" w:beforeAutospacing="1"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2</w:t>
      </w:r>
      <w:r>
        <w:rPr>
          <w:rFonts w:ascii="Arial" w:hAnsi="Arial" w:cs="Arial" w:hint="eastAsia"/>
          <w:color w:val="000000"/>
          <w:sz w:val="21"/>
          <w:szCs w:val="21"/>
        </w:rPr>
        <w:t>）</w:t>
      </w:r>
      <w:r w:rsidRPr="00D52F38">
        <w:rPr>
          <w:rFonts w:ascii="Arial" w:hAnsi="Arial" w:cs="Arial" w:hint="eastAsia"/>
          <w:color w:val="000000"/>
          <w:sz w:val="21"/>
          <w:szCs w:val="21"/>
        </w:rPr>
        <w:t>空间分布</w:t>
      </w:r>
    </w:p>
    <w:p w14:paraId="0B92B282" w14:textId="77777777" w:rsidR="00D52F38" w:rsidRDefault="00D52F38" w:rsidP="00D52F38">
      <w:pPr>
        <w:widowControl w:val="0"/>
        <w:adjustRightInd w:val="0"/>
        <w:snapToGrid w:val="0"/>
        <w:spacing w:line="480" w:lineRule="auto"/>
        <w:ind w:firstLineChars="200" w:firstLine="420"/>
        <w:jc w:val="both"/>
        <w:rPr>
          <w:rFonts w:ascii="Arial" w:hAnsi="Arial" w:cs="Arial"/>
          <w:color w:val="000000"/>
          <w:sz w:val="21"/>
          <w:szCs w:val="21"/>
        </w:rPr>
      </w:pPr>
      <w:r w:rsidRPr="00D52F38">
        <w:rPr>
          <w:rFonts w:ascii="Arial" w:hAnsi="Arial" w:cs="Arial"/>
          <w:color w:val="000000"/>
          <w:sz w:val="21"/>
          <w:szCs w:val="21"/>
        </w:rPr>
        <w:t>2021</w:t>
      </w:r>
      <w:r w:rsidRPr="00D52F38">
        <w:rPr>
          <w:rFonts w:ascii="Arial" w:hAnsi="Arial" w:cs="Arial"/>
          <w:color w:val="000000"/>
          <w:sz w:val="21"/>
          <w:szCs w:val="21"/>
        </w:rPr>
        <w:t>年度国有建设用地供应总量中，各区分布情况为：江北新区直管区供应</w:t>
      </w:r>
      <w:r w:rsidRPr="00D52F38">
        <w:rPr>
          <w:rFonts w:ascii="Arial" w:hAnsi="Arial" w:cs="Arial"/>
          <w:color w:val="000000"/>
          <w:sz w:val="21"/>
          <w:szCs w:val="21"/>
        </w:rPr>
        <w:t>243</w:t>
      </w:r>
      <w:r w:rsidRPr="00D52F38">
        <w:rPr>
          <w:rFonts w:ascii="Arial" w:hAnsi="Arial" w:cs="Arial"/>
          <w:color w:val="000000"/>
          <w:sz w:val="21"/>
          <w:szCs w:val="21"/>
        </w:rPr>
        <w:t>公顷，占全市供应总量的</w:t>
      </w:r>
      <w:r w:rsidRPr="00D52F38">
        <w:rPr>
          <w:rFonts w:ascii="Arial" w:hAnsi="Arial" w:cs="Arial"/>
          <w:color w:val="000000"/>
          <w:sz w:val="21"/>
          <w:szCs w:val="21"/>
        </w:rPr>
        <w:t>10</w:t>
      </w:r>
      <w:r w:rsidRPr="00D52F38">
        <w:rPr>
          <w:rFonts w:ascii="Arial" w:hAnsi="Arial" w:cs="Arial"/>
          <w:color w:val="000000"/>
          <w:sz w:val="21"/>
          <w:szCs w:val="21"/>
        </w:rPr>
        <w:t>％；玄武</w:t>
      </w:r>
      <w:proofErr w:type="gramStart"/>
      <w:r w:rsidRPr="00D52F38">
        <w:rPr>
          <w:rFonts w:ascii="Arial" w:hAnsi="Arial" w:cs="Arial"/>
          <w:color w:val="000000"/>
          <w:sz w:val="21"/>
          <w:szCs w:val="21"/>
        </w:rPr>
        <w:t>区供应</w:t>
      </w:r>
      <w:proofErr w:type="gramEnd"/>
      <w:r w:rsidRPr="00D52F38">
        <w:rPr>
          <w:rFonts w:ascii="Arial" w:hAnsi="Arial" w:cs="Arial"/>
          <w:color w:val="000000"/>
          <w:sz w:val="21"/>
          <w:szCs w:val="21"/>
        </w:rPr>
        <w:t>25</w:t>
      </w:r>
      <w:r w:rsidRPr="00D52F38">
        <w:rPr>
          <w:rFonts w:ascii="Arial" w:hAnsi="Arial" w:cs="Arial"/>
          <w:color w:val="000000"/>
          <w:sz w:val="21"/>
          <w:szCs w:val="21"/>
        </w:rPr>
        <w:t>公顷，占全市供应总量的</w:t>
      </w:r>
      <w:r w:rsidRPr="00D52F38">
        <w:rPr>
          <w:rFonts w:ascii="Arial" w:hAnsi="Arial" w:cs="Arial"/>
          <w:color w:val="000000"/>
          <w:sz w:val="21"/>
          <w:szCs w:val="21"/>
        </w:rPr>
        <w:t>1</w:t>
      </w:r>
      <w:r w:rsidRPr="00D52F38">
        <w:rPr>
          <w:rFonts w:ascii="Arial" w:hAnsi="Arial" w:cs="Arial"/>
          <w:color w:val="000000"/>
          <w:sz w:val="21"/>
          <w:szCs w:val="21"/>
        </w:rPr>
        <w:t>％；秦淮区供应</w:t>
      </w:r>
      <w:r w:rsidRPr="00D52F38">
        <w:rPr>
          <w:rFonts w:ascii="Arial" w:hAnsi="Arial" w:cs="Arial"/>
          <w:color w:val="000000"/>
          <w:sz w:val="21"/>
          <w:szCs w:val="21"/>
        </w:rPr>
        <w:t>124</w:t>
      </w:r>
      <w:r w:rsidRPr="00D52F38">
        <w:rPr>
          <w:rFonts w:ascii="Arial" w:hAnsi="Arial" w:cs="Arial"/>
          <w:color w:val="000000"/>
          <w:sz w:val="21"/>
          <w:szCs w:val="21"/>
        </w:rPr>
        <w:t>公顷，占全市供应总</w:t>
      </w:r>
      <w:r w:rsidRPr="00D52F38">
        <w:rPr>
          <w:rFonts w:ascii="Arial" w:hAnsi="Arial" w:cs="Arial"/>
          <w:color w:val="000000"/>
          <w:sz w:val="21"/>
          <w:szCs w:val="21"/>
        </w:rPr>
        <w:lastRenderedPageBreak/>
        <w:t>量的</w:t>
      </w:r>
      <w:r w:rsidRPr="00D52F38">
        <w:rPr>
          <w:rFonts w:ascii="Arial" w:hAnsi="Arial" w:cs="Arial"/>
          <w:color w:val="000000"/>
          <w:sz w:val="21"/>
          <w:szCs w:val="21"/>
        </w:rPr>
        <w:t>5</w:t>
      </w:r>
      <w:r w:rsidRPr="00D52F38">
        <w:rPr>
          <w:rFonts w:ascii="Arial" w:hAnsi="Arial" w:cs="Arial"/>
          <w:color w:val="000000"/>
          <w:sz w:val="21"/>
          <w:szCs w:val="21"/>
        </w:rPr>
        <w:t>％；建</w:t>
      </w:r>
      <w:proofErr w:type="gramStart"/>
      <w:r w:rsidRPr="00D52F38">
        <w:rPr>
          <w:rFonts w:ascii="Arial" w:hAnsi="Arial" w:cs="Arial"/>
          <w:color w:val="000000"/>
          <w:sz w:val="21"/>
          <w:szCs w:val="21"/>
        </w:rPr>
        <w:t>邺区供应</w:t>
      </w:r>
      <w:proofErr w:type="gramEnd"/>
      <w:r w:rsidRPr="00D52F38">
        <w:rPr>
          <w:rFonts w:ascii="Arial" w:hAnsi="Arial" w:cs="Arial"/>
          <w:color w:val="000000"/>
          <w:sz w:val="21"/>
          <w:szCs w:val="21"/>
        </w:rPr>
        <w:t>31</w:t>
      </w:r>
      <w:r w:rsidRPr="00D52F38">
        <w:rPr>
          <w:rFonts w:ascii="Arial" w:hAnsi="Arial" w:cs="Arial"/>
          <w:color w:val="000000"/>
          <w:sz w:val="21"/>
          <w:szCs w:val="21"/>
        </w:rPr>
        <w:t>公顷，占全市供应总量的</w:t>
      </w:r>
      <w:r w:rsidRPr="00D52F38">
        <w:rPr>
          <w:rFonts w:ascii="Arial" w:hAnsi="Arial" w:cs="Arial"/>
          <w:color w:val="000000"/>
          <w:sz w:val="21"/>
          <w:szCs w:val="21"/>
        </w:rPr>
        <w:t>1</w:t>
      </w:r>
      <w:r w:rsidRPr="00D52F38">
        <w:rPr>
          <w:rFonts w:ascii="Arial" w:hAnsi="Arial" w:cs="Arial"/>
          <w:color w:val="000000"/>
          <w:sz w:val="21"/>
          <w:szCs w:val="21"/>
        </w:rPr>
        <w:t>％；鼓楼</w:t>
      </w:r>
      <w:proofErr w:type="gramStart"/>
      <w:r w:rsidRPr="00D52F38">
        <w:rPr>
          <w:rFonts w:ascii="Arial" w:hAnsi="Arial" w:cs="Arial"/>
          <w:color w:val="000000"/>
          <w:sz w:val="21"/>
          <w:szCs w:val="21"/>
        </w:rPr>
        <w:t>区供应</w:t>
      </w:r>
      <w:proofErr w:type="gramEnd"/>
      <w:r w:rsidRPr="00D52F38">
        <w:rPr>
          <w:rFonts w:ascii="Arial" w:hAnsi="Arial" w:cs="Arial"/>
          <w:color w:val="000000"/>
          <w:sz w:val="21"/>
          <w:szCs w:val="21"/>
        </w:rPr>
        <w:t>26</w:t>
      </w:r>
      <w:r w:rsidRPr="00D52F38">
        <w:rPr>
          <w:rFonts w:ascii="Arial" w:hAnsi="Arial" w:cs="Arial"/>
          <w:color w:val="000000"/>
          <w:sz w:val="21"/>
          <w:szCs w:val="21"/>
        </w:rPr>
        <w:t>公顷，占全市供应总量的</w:t>
      </w:r>
      <w:r w:rsidRPr="00D52F38">
        <w:rPr>
          <w:rFonts w:ascii="Arial" w:hAnsi="Arial" w:cs="Arial"/>
          <w:color w:val="000000"/>
          <w:sz w:val="21"/>
          <w:szCs w:val="21"/>
        </w:rPr>
        <w:t>1</w:t>
      </w:r>
      <w:r w:rsidRPr="00D52F38">
        <w:rPr>
          <w:rFonts w:ascii="Arial" w:hAnsi="Arial" w:cs="Arial"/>
          <w:color w:val="000000"/>
          <w:sz w:val="21"/>
          <w:szCs w:val="21"/>
        </w:rPr>
        <w:t>％；雨花台区供应</w:t>
      </w:r>
      <w:r w:rsidRPr="00D52F38">
        <w:rPr>
          <w:rFonts w:ascii="Arial" w:hAnsi="Arial" w:cs="Arial"/>
          <w:color w:val="000000"/>
          <w:sz w:val="21"/>
          <w:szCs w:val="21"/>
        </w:rPr>
        <w:t>188</w:t>
      </w:r>
      <w:r w:rsidRPr="00D52F38">
        <w:rPr>
          <w:rFonts w:ascii="Arial" w:hAnsi="Arial" w:cs="Arial"/>
          <w:color w:val="000000"/>
          <w:sz w:val="21"/>
          <w:szCs w:val="21"/>
        </w:rPr>
        <w:t>公顷，占全市供应总量的</w:t>
      </w:r>
      <w:r w:rsidRPr="00D52F38">
        <w:rPr>
          <w:rFonts w:ascii="Arial" w:hAnsi="Arial" w:cs="Arial"/>
          <w:color w:val="000000"/>
          <w:sz w:val="21"/>
          <w:szCs w:val="21"/>
        </w:rPr>
        <w:t>7</w:t>
      </w:r>
      <w:r w:rsidRPr="00D52F38">
        <w:rPr>
          <w:rFonts w:ascii="Arial" w:hAnsi="Arial" w:cs="Arial"/>
          <w:color w:val="000000"/>
          <w:sz w:val="21"/>
          <w:szCs w:val="21"/>
        </w:rPr>
        <w:t>％；栖霞</w:t>
      </w:r>
      <w:proofErr w:type="gramStart"/>
      <w:r w:rsidRPr="00D52F38">
        <w:rPr>
          <w:rFonts w:ascii="Arial" w:hAnsi="Arial" w:cs="Arial"/>
          <w:color w:val="000000"/>
          <w:sz w:val="21"/>
          <w:szCs w:val="21"/>
        </w:rPr>
        <w:t>区供应</w:t>
      </w:r>
      <w:proofErr w:type="gramEnd"/>
      <w:r w:rsidRPr="00D52F38">
        <w:rPr>
          <w:rFonts w:ascii="Arial" w:hAnsi="Arial" w:cs="Arial"/>
          <w:color w:val="000000"/>
          <w:sz w:val="21"/>
          <w:szCs w:val="21"/>
        </w:rPr>
        <w:t>337</w:t>
      </w:r>
      <w:r w:rsidRPr="00D52F38">
        <w:rPr>
          <w:rFonts w:ascii="Arial" w:hAnsi="Arial" w:cs="Arial"/>
          <w:color w:val="000000"/>
          <w:sz w:val="21"/>
          <w:szCs w:val="21"/>
        </w:rPr>
        <w:t>公顷，占全市供应总量的</w:t>
      </w:r>
      <w:r w:rsidRPr="00D52F38">
        <w:rPr>
          <w:rFonts w:ascii="Arial" w:hAnsi="Arial" w:cs="Arial"/>
          <w:color w:val="000000"/>
          <w:sz w:val="21"/>
          <w:szCs w:val="21"/>
        </w:rPr>
        <w:t>13</w:t>
      </w:r>
      <w:r w:rsidRPr="00D52F38">
        <w:rPr>
          <w:rFonts w:ascii="Arial" w:hAnsi="Arial" w:cs="Arial"/>
          <w:color w:val="000000"/>
          <w:sz w:val="21"/>
          <w:szCs w:val="21"/>
        </w:rPr>
        <w:t>％；浦口</w:t>
      </w:r>
      <w:proofErr w:type="gramStart"/>
      <w:r w:rsidRPr="00D52F38">
        <w:rPr>
          <w:rFonts w:ascii="Arial" w:hAnsi="Arial" w:cs="Arial"/>
          <w:color w:val="000000"/>
          <w:sz w:val="21"/>
          <w:szCs w:val="21"/>
        </w:rPr>
        <w:t>区供应</w:t>
      </w:r>
      <w:proofErr w:type="gramEnd"/>
      <w:r w:rsidRPr="00D52F38">
        <w:rPr>
          <w:rFonts w:ascii="Arial" w:hAnsi="Arial" w:cs="Arial"/>
          <w:color w:val="000000"/>
          <w:sz w:val="21"/>
          <w:szCs w:val="21"/>
        </w:rPr>
        <w:t>252</w:t>
      </w:r>
      <w:r w:rsidRPr="00D52F38">
        <w:rPr>
          <w:rFonts w:ascii="Arial" w:hAnsi="Arial" w:cs="Arial"/>
          <w:color w:val="000000"/>
          <w:sz w:val="21"/>
          <w:szCs w:val="21"/>
        </w:rPr>
        <w:t>公顷，占全市供应总量的</w:t>
      </w:r>
      <w:r w:rsidRPr="00D52F38">
        <w:rPr>
          <w:rFonts w:ascii="Arial" w:hAnsi="Arial" w:cs="Arial"/>
          <w:color w:val="000000"/>
          <w:sz w:val="21"/>
          <w:szCs w:val="21"/>
        </w:rPr>
        <w:t>10</w:t>
      </w:r>
      <w:r w:rsidRPr="00D52F38">
        <w:rPr>
          <w:rFonts w:ascii="Arial" w:hAnsi="Arial" w:cs="Arial"/>
          <w:color w:val="000000"/>
          <w:sz w:val="21"/>
          <w:szCs w:val="21"/>
        </w:rPr>
        <w:t>％；江宁区供应</w:t>
      </w:r>
      <w:r w:rsidRPr="00D52F38">
        <w:rPr>
          <w:rFonts w:ascii="Arial" w:hAnsi="Arial" w:cs="Arial"/>
          <w:color w:val="000000"/>
          <w:sz w:val="21"/>
          <w:szCs w:val="21"/>
        </w:rPr>
        <w:t>587</w:t>
      </w:r>
      <w:r w:rsidRPr="00D52F38">
        <w:rPr>
          <w:rFonts w:ascii="Arial" w:hAnsi="Arial" w:cs="Arial"/>
          <w:color w:val="000000"/>
          <w:sz w:val="21"/>
          <w:szCs w:val="21"/>
        </w:rPr>
        <w:t>公顷，占全市供应总量的</w:t>
      </w:r>
      <w:r w:rsidRPr="00D52F38">
        <w:rPr>
          <w:rFonts w:ascii="Arial" w:hAnsi="Arial" w:cs="Arial"/>
          <w:color w:val="000000"/>
          <w:sz w:val="21"/>
          <w:szCs w:val="21"/>
        </w:rPr>
        <w:t>23</w:t>
      </w:r>
      <w:r w:rsidRPr="00D52F38">
        <w:rPr>
          <w:rFonts w:ascii="Arial" w:hAnsi="Arial" w:cs="Arial"/>
          <w:color w:val="000000"/>
          <w:sz w:val="21"/>
          <w:szCs w:val="21"/>
        </w:rPr>
        <w:t>％；溧水</w:t>
      </w:r>
      <w:proofErr w:type="gramStart"/>
      <w:r w:rsidRPr="00D52F38">
        <w:rPr>
          <w:rFonts w:ascii="Arial" w:hAnsi="Arial" w:cs="Arial"/>
          <w:color w:val="000000"/>
          <w:sz w:val="21"/>
          <w:szCs w:val="21"/>
        </w:rPr>
        <w:t>区供应</w:t>
      </w:r>
      <w:proofErr w:type="gramEnd"/>
      <w:r w:rsidRPr="00D52F38">
        <w:rPr>
          <w:rFonts w:ascii="Arial" w:hAnsi="Arial" w:cs="Arial"/>
          <w:color w:val="000000"/>
          <w:sz w:val="21"/>
          <w:szCs w:val="21"/>
        </w:rPr>
        <w:t>314</w:t>
      </w:r>
      <w:r w:rsidRPr="00D52F38">
        <w:rPr>
          <w:rFonts w:ascii="Arial" w:hAnsi="Arial" w:cs="Arial"/>
          <w:color w:val="000000"/>
          <w:sz w:val="21"/>
          <w:szCs w:val="21"/>
        </w:rPr>
        <w:t>公顷，占全市供应总量的</w:t>
      </w:r>
      <w:r w:rsidRPr="00D52F38">
        <w:rPr>
          <w:rFonts w:ascii="Arial" w:hAnsi="Arial" w:cs="Arial"/>
          <w:color w:val="000000"/>
          <w:sz w:val="21"/>
          <w:szCs w:val="21"/>
        </w:rPr>
        <w:t>12</w:t>
      </w:r>
      <w:r w:rsidRPr="00D52F38">
        <w:rPr>
          <w:rFonts w:ascii="Arial" w:hAnsi="Arial" w:cs="Arial"/>
          <w:color w:val="000000"/>
          <w:sz w:val="21"/>
          <w:szCs w:val="21"/>
        </w:rPr>
        <w:t>％；</w:t>
      </w:r>
      <w:proofErr w:type="gramStart"/>
      <w:r w:rsidRPr="00D52F38">
        <w:rPr>
          <w:rFonts w:ascii="Arial" w:hAnsi="Arial" w:cs="Arial"/>
          <w:color w:val="000000"/>
          <w:sz w:val="21"/>
          <w:szCs w:val="21"/>
        </w:rPr>
        <w:t>六合区供应</w:t>
      </w:r>
      <w:proofErr w:type="gramEnd"/>
      <w:r w:rsidRPr="00D52F38">
        <w:rPr>
          <w:rFonts w:ascii="Arial" w:hAnsi="Arial" w:cs="Arial"/>
          <w:color w:val="000000"/>
          <w:sz w:val="21"/>
          <w:szCs w:val="21"/>
        </w:rPr>
        <w:t>200</w:t>
      </w:r>
      <w:r w:rsidRPr="00D52F38">
        <w:rPr>
          <w:rFonts w:ascii="Arial" w:hAnsi="Arial" w:cs="Arial"/>
          <w:color w:val="000000"/>
          <w:sz w:val="21"/>
          <w:szCs w:val="21"/>
        </w:rPr>
        <w:t>公顷，占全市供应总量的</w:t>
      </w:r>
      <w:r w:rsidRPr="00D52F38">
        <w:rPr>
          <w:rFonts w:ascii="Arial" w:hAnsi="Arial" w:cs="Arial"/>
          <w:color w:val="000000"/>
          <w:sz w:val="21"/>
          <w:szCs w:val="21"/>
        </w:rPr>
        <w:t>8</w:t>
      </w:r>
      <w:r w:rsidRPr="00D52F38">
        <w:rPr>
          <w:rFonts w:ascii="Arial" w:hAnsi="Arial" w:cs="Arial"/>
          <w:color w:val="000000"/>
          <w:sz w:val="21"/>
          <w:szCs w:val="21"/>
        </w:rPr>
        <w:t>％；高淳区供应</w:t>
      </w:r>
      <w:r w:rsidRPr="00D52F38">
        <w:rPr>
          <w:rFonts w:ascii="Arial" w:hAnsi="Arial" w:cs="Arial"/>
          <w:color w:val="000000"/>
          <w:sz w:val="21"/>
          <w:szCs w:val="21"/>
        </w:rPr>
        <w:t>222</w:t>
      </w:r>
      <w:r w:rsidRPr="00D52F38">
        <w:rPr>
          <w:rFonts w:ascii="Arial" w:hAnsi="Arial" w:cs="Arial"/>
          <w:color w:val="000000"/>
          <w:sz w:val="21"/>
          <w:szCs w:val="21"/>
        </w:rPr>
        <w:t>公顷，占全市供应总量的</w:t>
      </w:r>
      <w:r w:rsidRPr="00D52F38">
        <w:rPr>
          <w:rFonts w:ascii="Arial" w:hAnsi="Arial" w:cs="Arial"/>
          <w:color w:val="000000"/>
          <w:sz w:val="21"/>
          <w:szCs w:val="21"/>
        </w:rPr>
        <w:t>9</w:t>
      </w:r>
      <w:r w:rsidRPr="00D52F38">
        <w:rPr>
          <w:rFonts w:ascii="Arial" w:hAnsi="Arial" w:cs="Arial"/>
          <w:color w:val="000000"/>
          <w:sz w:val="21"/>
          <w:szCs w:val="21"/>
        </w:rPr>
        <w:t>％。</w:t>
      </w:r>
    </w:p>
    <w:p w14:paraId="6CF6A144" w14:textId="4C95A2AA" w:rsidR="00D52F38" w:rsidRPr="00D52F38" w:rsidRDefault="00D52F38" w:rsidP="00D52F38">
      <w:pPr>
        <w:widowControl w:val="0"/>
        <w:adjustRightInd w:val="0"/>
        <w:snapToGrid w:val="0"/>
        <w:spacing w:line="480" w:lineRule="auto"/>
        <w:ind w:firstLineChars="200" w:firstLine="480"/>
        <w:jc w:val="center"/>
        <w:rPr>
          <w:rFonts w:ascii="Arial" w:hAnsi="Arial" w:cs="Arial"/>
          <w:color w:val="000000"/>
          <w:sz w:val="21"/>
          <w:szCs w:val="21"/>
        </w:rPr>
      </w:pPr>
      <w:r>
        <w:rPr>
          <w:rFonts w:ascii="Arial" w:hAnsi="Arial" w:cs="Arial"/>
          <w:color w:val="333333"/>
        </w:rPr>
        <w:t>南京市</w:t>
      </w:r>
      <w:r>
        <w:rPr>
          <w:rFonts w:ascii="Arial" w:hAnsi="Arial" w:cs="Arial"/>
          <w:color w:val="333333"/>
        </w:rPr>
        <w:t>2021</w:t>
      </w:r>
      <w:r>
        <w:rPr>
          <w:rFonts w:ascii="Arial" w:hAnsi="Arial" w:cs="Arial"/>
          <w:color w:val="333333"/>
        </w:rPr>
        <w:t>年度供地空间分布示意图</w:t>
      </w:r>
    </w:p>
    <w:p w14:paraId="15D6D4CF" w14:textId="6679B9FE" w:rsidR="00D52F38" w:rsidRDefault="00D52F38" w:rsidP="00D52F38">
      <w:pPr>
        <w:shd w:val="clear" w:color="auto" w:fill="FFFFFF"/>
        <w:jc w:val="center"/>
        <w:rPr>
          <w:rFonts w:ascii="Arial" w:hAnsi="Arial" w:cs="Arial"/>
          <w:color w:val="000000"/>
          <w:sz w:val="18"/>
          <w:szCs w:val="18"/>
        </w:rPr>
      </w:pPr>
      <w:r>
        <w:rPr>
          <w:rFonts w:ascii="Arial" w:hAnsi="Arial" w:cs="Arial"/>
          <w:noProof/>
          <w:color w:val="000000"/>
          <w:sz w:val="18"/>
          <w:szCs w:val="18"/>
        </w:rPr>
        <w:drawing>
          <wp:inline distT="0" distB="0" distL="0" distR="0" wp14:anchorId="78B9D0F8" wp14:editId="143F9667">
            <wp:extent cx="4848225" cy="2790825"/>
            <wp:effectExtent l="0" t="0" r="0" b="9525"/>
            <wp:docPr id="7" name="图片 7" descr="https://pics0.baidu.com/feed/c75c10385343fbf2d7cf89492adb808864388f22.png?token=5332e755166c9e9afdbc5538df454c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ics0.baidu.com/feed/c75c10385343fbf2d7cf89492adb808864388f22.png?token=5332e755166c9e9afdbc5538df454c5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48225" cy="2790825"/>
                    </a:xfrm>
                    <a:prstGeom prst="rect">
                      <a:avLst/>
                    </a:prstGeom>
                    <a:noFill/>
                    <a:ln>
                      <a:noFill/>
                    </a:ln>
                  </pic:spPr>
                </pic:pic>
              </a:graphicData>
            </a:graphic>
          </wp:inline>
        </w:drawing>
      </w:r>
    </w:p>
    <w:p w14:paraId="3FD556ED" w14:textId="2946F3F6" w:rsidR="00D52F38" w:rsidRDefault="00D52F38" w:rsidP="00D52F38">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sidR="00010751">
        <w:rPr>
          <w:rFonts w:ascii="Arial" w:hAnsi="Arial" w:cs="Arial"/>
          <w:color w:val="000000"/>
          <w:sz w:val="21"/>
          <w:szCs w:val="21"/>
        </w:rPr>
        <w:t>2</w:t>
      </w:r>
      <w:r>
        <w:rPr>
          <w:rFonts w:ascii="Arial" w:hAnsi="Arial" w:cs="Arial" w:hint="eastAsia"/>
          <w:color w:val="000000"/>
          <w:sz w:val="21"/>
          <w:szCs w:val="21"/>
        </w:rPr>
        <w:t>）</w:t>
      </w:r>
      <w:r>
        <w:rPr>
          <w:rFonts w:ascii="Arial" w:hAnsi="Arial" w:cs="Arial" w:hint="eastAsia"/>
          <w:color w:val="000000"/>
          <w:sz w:val="21"/>
          <w:szCs w:val="21"/>
        </w:rPr>
        <w:t>2017</w:t>
      </w:r>
      <w:r>
        <w:rPr>
          <w:rFonts w:ascii="Arial" w:hAnsi="Arial" w:cs="Arial" w:hint="eastAsia"/>
          <w:color w:val="000000"/>
          <w:sz w:val="21"/>
          <w:szCs w:val="21"/>
        </w:rPr>
        <w:t>年至今</w:t>
      </w:r>
      <w:r>
        <w:rPr>
          <w:rFonts w:ascii="Arial" w:hAnsi="Arial" w:cs="Arial"/>
          <w:color w:val="000000"/>
          <w:sz w:val="21"/>
          <w:szCs w:val="21"/>
        </w:rPr>
        <w:t>全市国有建设用地供应</w:t>
      </w:r>
      <w:r>
        <w:rPr>
          <w:rFonts w:ascii="Arial" w:hAnsi="Arial" w:cs="Arial" w:hint="eastAsia"/>
          <w:color w:val="000000"/>
          <w:sz w:val="21"/>
          <w:szCs w:val="21"/>
        </w:rPr>
        <w:t>情况</w:t>
      </w:r>
    </w:p>
    <w:p w14:paraId="41958060" w14:textId="74799E78" w:rsidR="00C01AA7" w:rsidRPr="00E05368" w:rsidRDefault="00C54C76" w:rsidP="00C01AA7">
      <w:pPr>
        <w:widowControl w:val="0"/>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hint="eastAsia"/>
          <w:color w:val="000000"/>
          <w:sz w:val="21"/>
          <w:szCs w:val="21"/>
        </w:rPr>
        <w:t>从近</w:t>
      </w:r>
      <w:r>
        <w:rPr>
          <w:rFonts w:ascii="Arial" w:hAnsi="Arial" w:cs="Arial" w:hint="eastAsia"/>
          <w:color w:val="000000"/>
          <w:sz w:val="21"/>
          <w:szCs w:val="21"/>
        </w:rPr>
        <w:t>4</w:t>
      </w:r>
      <w:r>
        <w:rPr>
          <w:rFonts w:ascii="Arial" w:hAnsi="Arial" w:cs="Arial" w:hint="eastAsia"/>
          <w:color w:val="000000"/>
          <w:sz w:val="21"/>
          <w:szCs w:val="21"/>
        </w:rPr>
        <w:t>年年度供应情况走势来看</w:t>
      </w:r>
      <w:r w:rsidR="00FD5CC9">
        <w:rPr>
          <w:rFonts w:ascii="Arial" w:hAnsi="Arial" w:cs="Arial" w:hint="eastAsia"/>
          <w:color w:val="000000"/>
          <w:sz w:val="21"/>
          <w:szCs w:val="21"/>
        </w:rPr>
        <w:t>2017-2018</w:t>
      </w:r>
      <w:r w:rsidR="00C01AA7">
        <w:rPr>
          <w:rFonts w:ascii="Arial" w:hAnsi="Arial" w:cs="Arial" w:hint="eastAsia"/>
          <w:color w:val="000000"/>
          <w:sz w:val="21"/>
          <w:szCs w:val="21"/>
        </w:rPr>
        <w:t>年呈平稳态势，</w:t>
      </w:r>
      <w:r w:rsidR="00FD5CC9">
        <w:rPr>
          <w:rFonts w:ascii="Arial" w:hAnsi="Arial" w:cs="Arial" w:hint="eastAsia"/>
          <w:color w:val="000000"/>
          <w:sz w:val="21"/>
          <w:szCs w:val="21"/>
        </w:rPr>
        <w:t>2018-2020</w:t>
      </w:r>
      <w:r w:rsidR="00C01AA7">
        <w:rPr>
          <w:rFonts w:ascii="Arial" w:hAnsi="Arial" w:cs="Arial" w:hint="eastAsia"/>
          <w:color w:val="000000"/>
          <w:sz w:val="21"/>
          <w:szCs w:val="21"/>
        </w:rPr>
        <w:t>年呈上升</w:t>
      </w:r>
      <w:r w:rsidR="00C01AA7" w:rsidRPr="00E05368">
        <w:rPr>
          <w:rFonts w:ascii="Arial" w:hAnsi="Arial" w:cs="Arial" w:hint="eastAsia"/>
          <w:color w:val="000000"/>
          <w:sz w:val="21"/>
          <w:szCs w:val="21"/>
        </w:rPr>
        <w:t>态势</w:t>
      </w:r>
      <w:r>
        <w:rPr>
          <w:rFonts w:ascii="Arial" w:hAnsi="Arial" w:cs="Arial" w:hint="eastAsia"/>
          <w:color w:val="000000"/>
          <w:sz w:val="21"/>
          <w:szCs w:val="21"/>
        </w:rPr>
        <w:t>。</w:t>
      </w:r>
      <w:r w:rsidDel="00C54C76">
        <w:rPr>
          <w:rFonts w:ascii="Arial" w:hAnsi="Arial" w:cs="Arial" w:hint="eastAsia"/>
          <w:color w:val="000000"/>
          <w:sz w:val="21"/>
          <w:szCs w:val="21"/>
        </w:rPr>
        <w:t xml:space="preserve"> </w:t>
      </w:r>
      <w:r w:rsidR="00C01AA7" w:rsidRPr="00E05368">
        <w:rPr>
          <w:rFonts w:ascii="Arial" w:hAnsi="Arial" w:cs="Arial" w:hint="eastAsia"/>
          <w:color w:val="000000"/>
          <w:sz w:val="21"/>
          <w:szCs w:val="21"/>
        </w:rPr>
        <w:t>201</w:t>
      </w:r>
      <w:r w:rsidR="00FD5CC9">
        <w:rPr>
          <w:rFonts w:ascii="Arial" w:hAnsi="Arial" w:cs="Arial" w:hint="eastAsia"/>
          <w:color w:val="000000"/>
          <w:sz w:val="21"/>
          <w:szCs w:val="21"/>
        </w:rPr>
        <w:t>7-2018</w:t>
      </w:r>
      <w:r w:rsidR="00C01AA7">
        <w:rPr>
          <w:rFonts w:ascii="Arial" w:hAnsi="Arial" w:cs="Arial" w:hint="eastAsia"/>
          <w:color w:val="000000"/>
          <w:sz w:val="21"/>
          <w:szCs w:val="21"/>
        </w:rPr>
        <w:t>年年供应量</w:t>
      </w:r>
      <w:r w:rsidR="00C01AA7" w:rsidRPr="00E05368">
        <w:rPr>
          <w:rFonts w:ascii="Arial" w:hAnsi="Arial" w:cs="Arial" w:hint="eastAsia"/>
          <w:color w:val="000000"/>
          <w:sz w:val="21"/>
          <w:szCs w:val="21"/>
        </w:rPr>
        <w:t>宗地数</w:t>
      </w:r>
      <w:r w:rsidR="00C01AA7">
        <w:rPr>
          <w:rFonts w:ascii="Arial" w:hAnsi="Arial" w:cs="Arial" w:hint="eastAsia"/>
          <w:color w:val="000000"/>
          <w:sz w:val="21"/>
          <w:szCs w:val="21"/>
        </w:rPr>
        <w:t>平均在</w:t>
      </w:r>
      <w:r w:rsidR="00FD5CC9">
        <w:rPr>
          <w:rFonts w:ascii="Arial" w:hAnsi="Arial" w:cs="Arial" w:hint="eastAsia"/>
          <w:color w:val="000000"/>
          <w:sz w:val="21"/>
          <w:szCs w:val="21"/>
        </w:rPr>
        <w:t>90</w:t>
      </w:r>
      <w:r w:rsidR="00C01AA7" w:rsidRPr="00E05368">
        <w:rPr>
          <w:rFonts w:ascii="Arial" w:hAnsi="Arial" w:cs="Arial" w:hint="eastAsia"/>
          <w:color w:val="000000"/>
          <w:sz w:val="21"/>
          <w:szCs w:val="21"/>
        </w:rPr>
        <w:t>宗</w:t>
      </w:r>
      <w:r w:rsidR="00C01AA7">
        <w:rPr>
          <w:rFonts w:ascii="Arial" w:hAnsi="Arial" w:cs="Arial" w:hint="eastAsia"/>
          <w:color w:val="000000"/>
          <w:sz w:val="21"/>
          <w:szCs w:val="21"/>
        </w:rPr>
        <w:t>上下</w:t>
      </w:r>
      <w:r w:rsidR="00C01AA7" w:rsidRPr="00E05368">
        <w:rPr>
          <w:rFonts w:ascii="Arial" w:hAnsi="Arial" w:cs="Arial" w:hint="eastAsia"/>
          <w:color w:val="000000"/>
          <w:sz w:val="21"/>
          <w:szCs w:val="21"/>
        </w:rPr>
        <w:t>、土地面积</w:t>
      </w:r>
      <w:r w:rsidR="00C01AA7">
        <w:rPr>
          <w:rFonts w:ascii="Arial" w:hAnsi="Arial" w:cs="Arial" w:hint="eastAsia"/>
          <w:color w:val="000000"/>
          <w:sz w:val="21"/>
          <w:szCs w:val="21"/>
        </w:rPr>
        <w:t>在</w:t>
      </w:r>
      <w:r w:rsidR="00FD5CC9">
        <w:rPr>
          <w:rFonts w:ascii="Arial" w:hAnsi="Arial" w:cs="Arial" w:hint="eastAsia"/>
          <w:color w:val="000000"/>
          <w:sz w:val="21"/>
          <w:szCs w:val="21"/>
        </w:rPr>
        <w:t>550-</w:t>
      </w:r>
      <w:r w:rsidR="00C01AA7">
        <w:rPr>
          <w:rFonts w:ascii="Arial" w:hAnsi="Arial" w:cs="Arial" w:hint="eastAsia"/>
          <w:color w:val="000000"/>
          <w:sz w:val="21"/>
          <w:szCs w:val="21"/>
        </w:rPr>
        <w:t>600</w:t>
      </w:r>
      <w:r w:rsidR="00C01AA7" w:rsidRPr="00E05368">
        <w:rPr>
          <w:rFonts w:ascii="Arial" w:hAnsi="Arial" w:cs="Arial" w:hint="eastAsia"/>
          <w:color w:val="000000"/>
          <w:sz w:val="21"/>
          <w:szCs w:val="21"/>
        </w:rPr>
        <w:t>万平方米</w:t>
      </w:r>
      <w:r w:rsidR="00C01AA7">
        <w:rPr>
          <w:rFonts w:ascii="Arial" w:hAnsi="Arial" w:cs="Arial" w:hint="eastAsia"/>
          <w:color w:val="000000"/>
          <w:sz w:val="21"/>
          <w:szCs w:val="21"/>
        </w:rPr>
        <w:t>档位浮动；</w:t>
      </w:r>
      <w:r w:rsidR="00C01AA7">
        <w:rPr>
          <w:rFonts w:ascii="Arial" w:hAnsi="Arial" w:cs="Arial" w:hint="eastAsia"/>
          <w:color w:val="000000"/>
          <w:sz w:val="21"/>
          <w:szCs w:val="21"/>
        </w:rPr>
        <w:t>2019</w:t>
      </w:r>
      <w:r w:rsidR="00C01AA7">
        <w:rPr>
          <w:rFonts w:ascii="Arial" w:hAnsi="Arial" w:cs="Arial" w:hint="eastAsia"/>
          <w:color w:val="000000"/>
          <w:sz w:val="21"/>
          <w:szCs w:val="21"/>
        </w:rPr>
        <w:t>年年供应量上升</w:t>
      </w:r>
      <w:r w:rsidR="00C01AA7" w:rsidRPr="00E05368">
        <w:rPr>
          <w:rFonts w:ascii="Arial" w:hAnsi="Arial" w:cs="Arial" w:hint="eastAsia"/>
          <w:color w:val="000000"/>
          <w:sz w:val="21"/>
          <w:szCs w:val="21"/>
        </w:rPr>
        <w:t>至</w:t>
      </w:r>
      <w:r w:rsidR="00FD5CC9">
        <w:rPr>
          <w:rFonts w:ascii="Arial" w:hAnsi="Arial" w:cs="Arial" w:hint="eastAsia"/>
          <w:color w:val="000000"/>
          <w:sz w:val="21"/>
          <w:szCs w:val="21"/>
        </w:rPr>
        <w:t>120</w:t>
      </w:r>
      <w:r w:rsidR="00C01AA7" w:rsidRPr="00E05368">
        <w:rPr>
          <w:rFonts w:ascii="Arial" w:hAnsi="Arial" w:cs="Arial" w:hint="eastAsia"/>
          <w:color w:val="000000"/>
          <w:sz w:val="21"/>
          <w:szCs w:val="21"/>
        </w:rPr>
        <w:t>宗、供应面积</w:t>
      </w:r>
      <w:r w:rsidR="00FD5CC9" w:rsidRPr="00FD5CC9">
        <w:rPr>
          <w:rFonts w:ascii="Arial" w:hAnsi="Arial" w:cs="Arial"/>
          <w:color w:val="000000"/>
          <w:sz w:val="21"/>
          <w:szCs w:val="21"/>
        </w:rPr>
        <w:t>686.74</w:t>
      </w:r>
      <w:r w:rsidR="00C01AA7" w:rsidRPr="00E05368">
        <w:rPr>
          <w:rFonts w:ascii="Arial" w:hAnsi="Arial" w:cs="Arial" w:hint="eastAsia"/>
          <w:color w:val="000000"/>
          <w:sz w:val="21"/>
          <w:szCs w:val="21"/>
        </w:rPr>
        <w:t>万平方米，</w:t>
      </w:r>
      <w:r w:rsidR="00C01AA7">
        <w:rPr>
          <w:rFonts w:ascii="Arial" w:hAnsi="Arial" w:cs="Arial" w:hint="eastAsia"/>
          <w:color w:val="000000"/>
          <w:sz w:val="21"/>
          <w:szCs w:val="21"/>
        </w:rPr>
        <w:t>宗地供应量较前一年度明显上升</w:t>
      </w:r>
      <w:r w:rsidR="00FD5CC9">
        <w:rPr>
          <w:rFonts w:ascii="Arial" w:hAnsi="Arial" w:cs="Arial" w:hint="eastAsia"/>
          <w:color w:val="000000"/>
          <w:sz w:val="21"/>
          <w:szCs w:val="21"/>
        </w:rPr>
        <w:t>；</w:t>
      </w:r>
      <w:r w:rsidR="00FD5CC9">
        <w:rPr>
          <w:rFonts w:ascii="Arial" w:hAnsi="Arial" w:cs="Arial" w:hint="eastAsia"/>
          <w:color w:val="000000"/>
          <w:sz w:val="21"/>
          <w:szCs w:val="21"/>
        </w:rPr>
        <w:t>2020</w:t>
      </w:r>
      <w:r w:rsidR="00FD5CC9">
        <w:rPr>
          <w:rFonts w:ascii="Arial" w:hAnsi="Arial" w:cs="Arial" w:hint="eastAsia"/>
          <w:color w:val="000000"/>
          <w:sz w:val="21"/>
          <w:szCs w:val="21"/>
        </w:rPr>
        <w:t>年年供应量上升</w:t>
      </w:r>
      <w:r w:rsidR="00FD5CC9" w:rsidRPr="00E05368">
        <w:rPr>
          <w:rFonts w:ascii="Arial" w:hAnsi="Arial" w:cs="Arial" w:hint="eastAsia"/>
          <w:color w:val="000000"/>
          <w:sz w:val="21"/>
          <w:szCs w:val="21"/>
        </w:rPr>
        <w:t>至</w:t>
      </w:r>
      <w:r w:rsidR="00FD5CC9">
        <w:rPr>
          <w:rFonts w:ascii="Arial" w:hAnsi="Arial" w:cs="Arial" w:hint="eastAsia"/>
          <w:color w:val="000000"/>
          <w:sz w:val="21"/>
          <w:szCs w:val="21"/>
        </w:rPr>
        <w:t>141</w:t>
      </w:r>
      <w:r w:rsidR="00FD5CC9" w:rsidRPr="00E05368">
        <w:rPr>
          <w:rFonts w:ascii="Arial" w:hAnsi="Arial" w:cs="Arial" w:hint="eastAsia"/>
          <w:color w:val="000000"/>
          <w:sz w:val="21"/>
          <w:szCs w:val="21"/>
        </w:rPr>
        <w:t>宗、供应面积</w:t>
      </w:r>
      <w:r w:rsidR="00FD5CC9" w:rsidRPr="00FD5CC9">
        <w:rPr>
          <w:rFonts w:ascii="Arial" w:hAnsi="Arial" w:cs="Arial"/>
          <w:color w:val="000000"/>
          <w:sz w:val="21"/>
          <w:szCs w:val="21"/>
        </w:rPr>
        <w:t>763.51</w:t>
      </w:r>
      <w:r w:rsidR="00FD5CC9" w:rsidRPr="00E05368">
        <w:rPr>
          <w:rFonts w:ascii="Arial" w:hAnsi="Arial" w:cs="Arial" w:hint="eastAsia"/>
          <w:color w:val="000000"/>
          <w:sz w:val="21"/>
          <w:szCs w:val="21"/>
        </w:rPr>
        <w:t>万平方米，</w:t>
      </w:r>
      <w:r w:rsidR="00FD5CC9">
        <w:rPr>
          <w:rFonts w:ascii="Arial" w:hAnsi="Arial" w:cs="Arial" w:hint="eastAsia"/>
          <w:color w:val="000000"/>
          <w:sz w:val="21"/>
          <w:szCs w:val="21"/>
        </w:rPr>
        <w:t>宗地供应量较前一年度明显上升</w:t>
      </w:r>
      <w:r w:rsidR="00C01AA7">
        <w:rPr>
          <w:rFonts w:ascii="Arial" w:hAnsi="Arial" w:cs="Arial" w:hint="eastAsia"/>
          <w:color w:val="000000"/>
          <w:sz w:val="21"/>
          <w:szCs w:val="21"/>
        </w:rPr>
        <w:t>。</w:t>
      </w:r>
    </w:p>
    <w:p w14:paraId="1F6ABE84" w14:textId="360E0313" w:rsidR="00C01AA7" w:rsidRPr="00E05368"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hint="eastAsia"/>
          <w:color w:val="000000"/>
          <w:sz w:val="21"/>
          <w:szCs w:val="21"/>
        </w:rPr>
        <w:t>2</w:t>
      </w:r>
      <w:r w:rsidR="00FD5CC9">
        <w:rPr>
          <w:rFonts w:ascii="Arial" w:hAnsi="Arial" w:cs="Arial"/>
          <w:color w:val="000000"/>
          <w:sz w:val="21"/>
          <w:szCs w:val="21"/>
        </w:rPr>
        <w:t>02</w:t>
      </w:r>
      <w:r w:rsidR="00FD5CC9">
        <w:rPr>
          <w:rFonts w:ascii="Arial" w:hAnsi="Arial" w:cs="Arial" w:hint="eastAsia"/>
          <w:color w:val="000000"/>
          <w:sz w:val="21"/>
          <w:szCs w:val="21"/>
        </w:rPr>
        <w:t>1</w:t>
      </w:r>
      <w:r>
        <w:rPr>
          <w:rFonts w:ascii="Arial" w:hAnsi="Arial" w:cs="Arial" w:hint="eastAsia"/>
          <w:color w:val="000000"/>
          <w:sz w:val="21"/>
          <w:szCs w:val="21"/>
        </w:rPr>
        <w:t>年</w:t>
      </w:r>
      <w:r w:rsidR="00FD5CC9">
        <w:rPr>
          <w:rFonts w:ascii="Arial" w:hAnsi="Arial" w:cs="Arial" w:hint="eastAsia"/>
          <w:color w:val="000000"/>
          <w:sz w:val="21"/>
          <w:szCs w:val="21"/>
        </w:rPr>
        <w:t>1-5</w:t>
      </w:r>
      <w:r w:rsidR="00FD5CC9">
        <w:rPr>
          <w:rFonts w:ascii="Arial" w:hAnsi="Arial" w:cs="Arial" w:hint="eastAsia"/>
          <w:color w:val="000000"/>
          <w:sz w:val="21"/>
          <w:szCs w:val="21"/>
        </w:rPr>
        <w:t>月</w:t>
      </w:r>
      <w:r>
        <w:rPr>
          <w:rFonts w:ascii="Arial" w:hAnsi="Arial" w:cs="Arial" w:hint="eastAsia"/>
          <w:color w:val="000000"/>
          <w:sz w:val="21"/>
          <w:szCs w:val="21"/>
        </w:rPr>
        <w:t>，</w:t>
      </w:r>
      <w:r w:rsidR="00FD5CC9">
        <w:rPr>
          <w:rFonts w:ascii="Arial" w:hAnsi="Arial" w:cs="Arial" w:hint="eastAsia"/>
          <w:color w:val="000000"/>
          <w:sz w:val="21"/>
          <w:szCs w:val="21"/>
        </w:rPr>
        <w:t>南京</w:t>
      </w:r>
      <w:r>
        <w:rPr>
          <w:rFonts w:ascii="Arial" w:hAnsi="Arial" w:cs="Arial" w:hint="eastAsia"/>
          <w:color w:val="000000"/>
          <w:sz w:val="21"/>
          <w:szCs w:val="21"/>
        </w:rPr>
        <w:t>市</w:t>
      </w:r>
      <w:r w:rsidRPr="00E05368">
        <w:rPr>
          <w:rFonts w:ascii="Arial" w:hAnsi="Arial" w:cs="Arial" w:hint="eastAsia"/>
          <w:color w:val="000000"/>
          <w:sz w:val="21"/>
          <w:szCs w:val="21"/>
        </w:rPr>
        <w:t>住宅用地新增供应</w:t>
      </w:r>
      <w:r w:rsidR="00FD5CC9">
        <w:rPr>
          <w:rFonts w:ascii="Arial" w:hAnsi="Arial" w:cs="Arial" w:hint="eastAsia"/>
          <w:color w:val="000000"/>
          <w:sz w:val="21"/>
          <w:szCs w:val="21"/>
        </w:rPr>
        <w:t>72</w:t>
      </w:r>
      <w:r w:rsidRPr="00E05368">
        <w:rPr>
          <w:rFonts w:ascii="Arial" w:hAnsi="Arial" w:cs="Arial" w:hint="eastAsia"/>
          <w:color w:val="000000"/>
          <w:sz w:val="21"/>
          <w:szCs w:val="21"/>
        </w:rPr>
        <w:t>宗，供应土地面积</w:t>
      </w:r>
      <w:r w:rsidR="00FD5CC9" w:rsidRPr="00FD5CC9">
        <w:rPr>
          <w:rFonts w:ascii="Arial" w:hAnsi="Arial" w:cs="Arial"/>
          <w:color w:val="000000"/>
          <w:sz w:val="21"/>
          <w:szCs w:val="21"/>
        </w:rPr>
        <w:t>402.5</w:t>
      </w:r>
      <w:r w:rsidRPr="00E05368">
        <w:rPr>
          <w:rFonts w:ascii="Arial" w:hAnsi="Arial" w:cs="Arial" w:hint="eastAsia"/>
          <w:color w:val="000000"/>
          <w:sz w:val="21"/>
          <w:szCs w:val="21"/>
        </w:rPr>
        <w:t>万平方米，新增规划建筑面积</w:t>
      </w:r>
      <w:r w:rsidR="00FD5CC9" w:rsidRPr="00FD5CC9">
        <w:rPr>
          <w:rFonts w:ascii="Arial" w:hAnsi="Arial" w:cs="Arial"/>
          <w:color w:val="000000"/>
          <w:sz w:val="21"/>
          <w:szCs w:val="21"/>
        </w:rPr>
        <w:t>955.19</w:t>
      </w:r>
      <w:r w:rsidRPr="00E05368">
        <w:rPr>
          <w:rFonts w:ascii="Arial" w:hAnsi="Arial" w:cs="Arial" w:hint="eastAsia"/>
          <w:color w:val="000000"/>
          <w:sz w:val="21"/>
          <w:szCs w:val="21"/>
        </w:rPr>
        <w:t>万平方米，同比去年</w:t>
      </w:r>
      <w:r w:rsidR="00FD5CC9">
        <w:rPr>
          <w:rFonts w:ascii="Arial" w:hAnsi="Arial" w:cs="Arial" w:hint="eastAsia"/>
          <w:color w:val="000000"/>
          <w:sz w:val="21"/>
          <w:szCs w:val="21"/>
        </w:rPr>
        <w:t>同期</w:t>
      </w:r>
      <w:r>
        <w:rPr>
          <w:rFonts w:ascii="Arial" w:hAnsi="Arial" w:cs="Arial" w:hint="eastAsia"/>
          <w:color w:val="000000"/>
          <w:sz w:val="21"/>
          <w:szCs w:val="21"/>
        </w:rPr>
        <w:t>供应量大幅上升，</w:t>
      </w:r>
      <w:r w:rsidRPr="00E05368">
        <w:rPr>
          <w:rFonts w:ascii="Arial" w:hAnsi="Arial" w:cs="Arial" w:hint="eastAsia"/>
          <w:color w:val="000000"/>
          <w:sz w:val="21"/>
          <w:szCs w:val="21"/>
        </w:rPr>
        <w:t>供应宗地数量</w:t>
      </w:r>
      <w:r w:rsidR="00FD5CC9">
        <w:rPr>
          <w:rFonts w:ascii="Arial" w:hAnsi="Arial" w:cs="Arial" w:hint="eastAsia"/>
          <w:color w:val="000000"/>
          <w:sz w:val="21"/>
          <w:szCs w:val="21"/>
        </w:rPr>
        <w:t>、土地面积、新增供应建筑面积三项数据同比上升均接近</w:t>
      </w:r>
      <w:r w:rsidR="00FD5CC9">
        <w:rPr>
          <w:rFonts w:ascii="Arial" w:hAnsi="Arial" w:cs="Arial" w:hint="eastAsia"/>
          <w:color w:val="000000"/>
          <w:sz w:val="21"/>
          <w:szCs w:val="21"/>
        </w:rPr>
        <w:t>1</w:t>
      </w:r>
      <w:r w:rsidR="00FD5CC9">
        <w:rPr>
          <w:rFonts w:ascii="Arial" w:hAnsi="Arial" w:cs="Arial" w:hint="eastAsia"/>
          <w:color w:val="000000"/>
          <w:sz w:val="21"/>
          <w:szCs w:val="21"/>
        </w:rPr>
        <w:t>倍</w:t>
      </w:r>
      <w:r w:rsidRPr="00E05368">
        <w:rPr>
          <w:rFonts w:ascii="Arial" w:hAnsi="Arial" w:cs="Arial" w:hint="eastAsia"/>
          <w:color w:val="000000"/>
          <w:sz w:val="21"/>
          <w:szCs w:val="21"/>
        </w:rPr>
        <w:t>。</w:t>
      </w:r>
    </w:p>
    <w:p w14:paraId="5D1B870C" w14:textId="77F026EF" w:rsidR="00C01AA7" w:rsidRPr="00E05368" w:rsidRDefault="00FD5CC9" w:rsidP="00C01AA7">
      <w:pPr>
        <w:widowControl w:val="0"/>
        <w:adjustRightInd w:val="0"/>
        <w:snapToGrid w:val="0"/>
        <w:spacing w:line="480" w:lineRule="auto"/>
        <w:jc w:val="center"/>
        <w:rPr>
          <w:rFonts w:cs="Arial"/>
          <w:color w:val="000000"/>
          <w:sz w:val="21"/>
          <w:szCs w:val="21"/>
        </w:rPr>
      </w:pPr>
      <w:r>
        <w:rPr>
          <w:noProof/>
        </w:rPr>
        <w:lastRenderedPageBreak/>
        <w:drawing>
          <wp:inline distT="0" distB="0" distL="0" distR="0" wp14:anchorId="531288FF" wp14:editId="091E8751">
            <wp:extent cx="5486400" cy="2098675"/>
            <wp:effectExtent l="0" t="0" r="19050" b="15875"/>
            <wp:docPr id="13" name="图表 1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0418C0F0" w14:textId="77777777" w:rsidR="00C01AA7" w:rsidRPr="00E05368" w:rsidRDefault="00C01AA7" w:rsidP="00C01AA7">
      <w:pPr>
        <w:widowControl w:val="0"/>
        <w:adjustRightInd w:val="0"/>
        <w:snapToGrid w:val="0"/>
        <w:spacing w:line="480" w:lineRule="auto"/>
        <w:jc w:val="both"/>
        <w:rPr>
          <w:rFonts w:ascii="华文细黑" w:eastAsia="华文细黑" w:hAnsi="华文细黑" w:cs="Arial"/>
          <w:color w:val="000000"/>
          <w:sz w:val="15"/>
          <w:szCs w:val="15"/>
        </w:rPr>
      </w:pPr>
      <w:r w:rsidRPr="00E05368">
        <w:rPr>
          <w:rFonts w:ascii="华文细黑" w:eastAsia="华文细黑" w:hAnsi="华文细黑" w:cs="Arial" w:hint="eastAsia"/>
          <w:color w:val="000000"/>
          <w:sz w:val="15"/>
          <w:szCs w:val="15"/>
        </w:rPr>
        <w:t>资料来源：</w:t>
      </w:r>
      <w:r w:rsidRPr="00E05368">
        <w:rPr>
          <w:rFonts w:ascii="华文细黑" w:eastAsia="华文细黑" w:hAnsi="华文细黑" w:cs="Arial"/>
          <w:color w:val="000000"/>
          <w:sz w:val="15"/>
          <w:szCs w:val="15"/>
        </w:rPr>
        <w:t>CREIS</w:t>
      </w:r>
      <w:r w:rsidRPr="00E05368">
        <w:rPr>
          <w:rFonts w:ascii="华文细黑" w:eastAsia="华文细黑" w:hAnsi="华文细黑" w:cs="Arial" w:hint="eastAsia"/>
          <w:color w:val="000000"/>
          <w:sz w:val="15"/>
          <w:szCs w:val="15"/>
        </w:rPr>
        <w:t>中指数据</w:t>
      </w:r>
    </w:p>
    <w:p w14:paraId="44AE680A" w14:textId="77777777" w:rsidR="00C01AA7" w:rsidRPr="00E05368"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hint="eastAsia"/>
          <w:color w:val="000000"/>
          <w:sz w:val="21"/>
          <w:szCs w:val="21"/>
        </w:rPr>
        <w:t>2</w:t>
      </w:r>
      <w:r w:rsidRPr="00E05368">
        <w:rPr>
          <w:rFonts w:ascii="Arial" w:hAnsi="Arial" w:cs="Arial" w:hint="eastAsia"/>
          <w:color w:val="000000"/>
          <w:sz w:val="21"/>
          <w:szCs w:val="21"/>
        </w:rPr>
        <w:t>、成交情况</w:t>
      </w:r>
    </w:p>
    <w:p w14:paraId="71DA31F4" w14:textId="78C1641E" w:rsidR="00C01AA7"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hint="eastAsia"/>
          <w:color w:val="000000"/>
          <w:sz w:val="21"/>
          <w:szCs w:val="21"/>
        </w:rPr>
        <w:t>从近</w:t>
      </w:r>
      <w:r w:rsidR="004829FC">
        <w:rPr>
          <w:rFonts w:ascii="Arial" w:hAnsi="Arial" w:cs="Arial" w:hint="eastAsia"/>
          <w:color w:val="000000"/>
          <w:sz w:val="21"/>
          <w:szCs w:val="21"/>
        </w:rPr>
        <w:t>5</w:t>
      </w:r>
      <w:r w:rsidRPr="00E05368">
        <w:rPr>
          <w:rFonts w:ascii="Arial" w:hAnsi="Arial" w:cs="Arial" w:hint="eastAsia"/>
          <w:color w:val="000000"/>
          <w:sz w:val="21"/>
          <w:szCs w:val="21"/>
        </w:rPr>
        <w:t>年</w:t>
      </w:r>
      <w:r w:rsidR="004829FC">
        <w:rPr>
          <w:rFonts w:ascii="Arial" w:hAnsi="Arial" w:cs="Arial" w:hint="eastAsia"/>
          <w:color w:val="000000"/>
          <w:sz w:val="21"/>
          <w:szCs w:val="21"/>
        </w:rPr>
        <w:t>南京</w:t>
      </w:r>
      <w:r>
        <w:rPr>
          <w:rFonts w:ascii="Arial" w:hAnsi="Arial" w:cs="Arial" w:hint="eastAsia"/>
          <w:color w:val="000000"/>
          <w:sz w:val="21"/>
          <w:szCs w:val="21"/>
        </w:rPr>
        <w:t>市住宅用地土地成交情况</w:t>
      </w:r>
      <w:r w:rsidRPr="00E05368">
        <w:rPr>
          <w:rFonts w:ascii="Arial" w:hAnsi="Arial" w:cs="Arial" w:hint="eastAsia"/>
          <w:color w:val="000000"/>
          <w:sz w:val="21"/>
          <w:szCs w:val="21"/>
        </w:rPr>
        <w:t>来看，</w:t>
      </w:r>
      <w:r>
        <w:rPr>
          <w:rFonts w:ascii="Arial" w:hAnsi="Arial" w:cs="Arial" w:hint="eastAsia"/>
          <w:color w:val="000000"/>
          <w:sz w:val="21"/>
          <w:szCs w:val="21"/>
        </w:rPr>
        <w:t>整体走势呈波动</w:t>
      </w:r>
      <w:r w:rsidR="00C54C76">
        <w:rPr>
          <w:rFonts w:ascii="Arial" w:hAnsi="Arial" w:cs="Arial" w:hint="eastAsia"/>
          <w:color w:val="000000"/>
          <w:sz w:val="21"/>
          <w:szCs w:val="21"/>
        </w:rPr>
        <w:t>态势</w:t>
      </w:r>
      <w:r>
        <w:rPr>
          <w:rFonts w:ascii="Arial" w:hAnsi="Arial" w:cs="Arial" w:hint="eastAsia"/>
          <w:color w:val="000000"/>
          <w:sz w:val="21"/>
          <w:szCs w:val="21"/>
        </w:rPr>
        <w:t>。</w:t>
      </w:r>
      <w:r w:rsidRPr="00E05368">
        <w:rPr>
          <w:rFonts w:ascii="Arial" w:hAnsi="Arial" w:cs="Arial" w:hint="eastAsia"/>
          <w:color w:val="000000"/>
          <w:sz w:val="21"/>
          <w:szCs w:val="21"/>
        </w:rPr>
        <w:t>2</w:t>
      </w:r>
      <w:r w:rsidR="00F2423B">
        <w:rPr>
          <w:rFonts w:ascii="Arial" w:hAnsi="Arial" w:cs="Arial"/>
          <w:color w:val="000000"/>
          <w:sz w:val="21"/>
          <w:szCs w:val="21"/>
        </w:rPr>
        <w:t>01</w:t>
      </w:r>
      <w:r w:rsidR="00F2423B">
        <w:rPr>
          <w:rFonts w:ascii="Arial" w:hAnsi="Arial" w:cs="Arial" w:hint="eastAsia"/>
          <w:color w:val="000000"/>
          <w:sz w:val="21"/>
          <w:szCs w:val="21"/>
        </w:rPr>
        <w:t>7</w:t>
      </w:r>
      <w:r>
        <w:rPr>
          <w:rFonts w:ascii="Arial" w:hAnsi="Arial" w:cs="Arial" w:hint="eastAsia"/>
          <w:color w:val="000000"/>
          <w:sz w:val="21"/>
          <w:szCs w:val="21"/>
        </w:rPr>
        <w:t>年</w:t>
      </w:r>
      <w:r w:rsidRPr="00E05368">
        <w:rPr>
          <w:rFonts w:ascii="Arial" w:hAnsi="Arial" w:cs="Arial" w:hint="eastAsia"/>
          <w:color w:val="000000"/>
          <w:sz w:val="21"/>
          <w:szCs w:val="21"/>
        </w:rPr>
        <w:t>，住宅</w:t>
      </w:r>
      <w:r w:rsidRPr="00E05368">
        <w:rPr>
          <w:rFonts w:ascii="Arial" w:hAnsi="Arial" w:cs="Arial"/>
          <w:color w:val="000000"/>
          <w:sz w:val="21"/>
          <w:szCs w:val="21"/>
        </w:rPr>
        <w:t>用地成交土地面积</w:t>
      </w:r>
      <w:r>
        <w:rPr>
          <w:rFonts w:ascii="Arial" w:hAnsi="Arial" w:cs="Arial" w:hint="eastAsia"/>
          <w:color w:val="000000"/>
          <w:sz w:val="21"/>
          <w:szCs w:val="21"/>
        </w:rPr>
        <w:t>为</w:t>
      </w:r>
      <w:r w:rsidR="0046756A" w:rsidRPr="0046756A">
        <w:rPr>
          <w:rFonts w:ascii="Arial" w:hAnsi="Arial" w:cs="Arial"/>
          <w:color w:val="000000"/>
          <w:sz w:val="21"/>
          <w:szCs w:val="21"/>
        </w:rPr>
        <w:t>562.95</w:t>
      </w:r>
      <w:r w:rsidRPr="00E05368">
        <w:rPr>
          <w:rFonts w:ascii="Arial" w:hAnsi="Arial" w:cs="Arial" w:hint="eastAsia"/>
          <w:color w:val="000000"/>
          <w:sz w:val="21"/>
          <w:szCs w:val="21"/>
        </w:rPr>
        <w:t>万</w:t>
      </w:r>
      <w:r w:rsidRPr="00E05368">
        <w:rPr>
          <w:rFonts w:ascii="Arial" w:hAnsi="Arial" w:cs="Arial"/>
          <w:color w:val="000000"/>
          <w:sz w:val="21"/>
          <w:szCs w:val="21"/>
        </w:rPr>
        <w:t>平方米</w:t>
      </w:r>
      <w:r w:rsidRPr="00E05368">
        <w:rPr>
          <w:rFonts w:ascii="Arial" w:hAnsi="Arial" w:cs="Arial" w:hint="eastAsia"/>
          <w:color w:val="000000"/>
          <w:sz w:val="21"/>
          <w:szCs w:val="21"/>
        </w:rPr>
        <w:t>，成交</w:t>
      </w:r>
      <w:r w:rsidRPr="00E05368">
        <w:rPr>
          <w:rFonts w:ascii="Arial" w:hAnsi="Arial" w:cs="Arial"/>
          <w:color w:val="000000"/>
          <w:sz w:val="21"/>
          <w:szCs w:val="21"/>
        </w:rPr>
        <w:t>规划面积</w:t>
      </w:r>
      <w:r w:rsidR="0046756A" w:rsidRPr="0046756A">
        <w:rPr>
          <w:rFonts w:ascii="Arial" w:hAnsi="Arial" w:cs="Arial"/>
          <w:color w:val="000000"/>
          <w:sz w:val="21"/>
          <w:szCs w:val="21"/>
        </w:rPr>
        <w:t>1272.27</w:t>
      </w:r>
      <w:r w:rsidRPr="00E05368">
        <w:rPr>
          <w:rFonts w:ascii="Arial" w:hAnsi="Arial" w:cs="Arial" w:hint="eastAsia"/>
          <w:color w:val="000000"/>
          <w:sz w:val="21"/>
          <w:szCs w:val="21"/>
        </w:rPr>
        <w:t>平方米，</w:t>
      </w:r>
      <w:r w:rsidRPr="00E05368">
        <w:rPr>
          <w:rFonts w:ascii="Arial" w:hAnsi="Arial" w:cs="Arial"/>
          <w:color w:val="000000"/>
          <w:sz w:val="21"/>
          <w:szCs w:val="21"/>
        </w:rPr>
        <w:t>成交金额</w:t>
      </w:r>
      <w:r w:rsidRPr="00E05368">
        <w:rPr>
          <w:rFonts w:ascii="Arial" w:hAnsi="Arial" w:cs="Arial" w:hint="eastAsia"/>
          <w:color w:val="000000"/>
          <w:sz w:val="21"/>
          <w:szCs w:val="21"/>
        </w:rPr>
        <w:t>为</w:t>
      </w:r>
      <w:r w:rsidR="0046756A" w:rsidRPr="0046756A">
        <w:rPr>
          <w:rFonts w:ascii="Arial" w:hAnsi="Arial" w:cs="Arial"/>
          <w:color w:val="000000"/>
          <w:sz w:val="21"/>
          <w:szCs w:val="21"/>
        </w:rPr>
        <w:t>1507.98</w:t>
      </w:r>
      <w:r w:rsidRPr="00E05368">
        <w:rPr>
          <w:rFonts w:ascii="Arial" w:hAnsi="Arial" w:cs="Arial" w:hint="eastAsia"/>
          <w:color w:val="000000"/>
          <w:sz w:val="21"/>
          <w:szCs w:val="21"/>
        </w:rPr>
        <w:t>亿元</w:t>
      </w:r>
      <w:r>
        <w:rPr>
          <w:rFonts w:ascii="Arial" w:hAnsi="Arial" w:cs="Arial" w:hint="eastAsia"/>
          <w:color w:val="000000"/>
          <w:sz w:val="21"/>
          <w:szCs w:val="21"/>
        </w:rPr>
        <w:t>；</w:t>
      </w:r>
      <w:r w:rsidR="002051AE" w:rsidRPr="002051AE">
        <w:rPr>
          <w:rFonts w:ascii="Arial" w:hAnsi="Arial" w:cs="Arial"/>
          <w:color w:val="000000"/>
          <w:sz w:val="21"/>
          <w:szCs w:val="21"/>
        </w:rPr>
        <w:t>2017</w:t>
      </w:r>
      <w:r w:rsidR="002051AE" w:rsidRPr="002051AE">
        <w:rPr>
          <w:rFonts w:ascii="Arial" w:hAnsi="Arial" w:cs="Arial"/>
          <w:color w:val="000000"/>
          <w:sz w:val="21"/>
          <w:szCs w:val="21"/>
        </w:rPr>
        <w:t>年</w:t>
      </w:r>
      <w:r w:rsidR="002051AE" w:rsidRPr="002051AE">
        <w:rPr>
          <w:rFonts w:ascii="Arial" w:hAnsi="Arial" w:cs="Arial"/>
          <w:color w:val="000000"/>
          <w:sz w:val="21"/>
          <w:szCs w:val="21"/>
        </w:rPr>
        <w:t>5</w:t>
      </w:r>
      <w:r w:rsidR="002051AE" w:rsidRPr="002051AE">
        <w:rPr>
          <w:rFonts w:ascii="Arial" w:hAnsi="Arial" w:cs="Arial"/>
          <w:color w:val="000000"/>
          <w:sz w:val="21"/>
          <w:szCs w:val="21"/>
        </w:rPr>
        <w:t>月，南京市人民政府发布《南京市人民政府办公厅</w:t>
      </w:r>
      <w:r w:rsidR="002051AE">
        <w:rPr>
          <w:rFonts w:ascii="Arial" w:hAnsi="Arial" w:cs="Arial"/>
          <w:color w:val="000000"/>
          <w:sz w:val="21"/>
          <w:szCs w:val="21"/>
        </w:rPr>
        <w:t>关于进一步加强房地产市场调控的通知》，规定了一系列限购限贷政策</w:t>
      </w:r>
      <w:r w:rsidR="002051AE">
        <w:rPr>
          <w:rFonts w:ascii="Arial" w:hAnsi="Arial" w:cs="Arial" w:hint="eastAsia"/>
          <w:color w:val="000000"/>
          <w:sz w:val="21"/>
          <w:szCs w:val="21"/>
        </w:rPr>
        <w:t>，</w:t>
      </w:r>
      <w:r w:rsidR="0046756A">
        <w:rPr>
          <w:rFonts w:ascii="Arial" w:hAnsi="Arial" w:cs="Arial" w:hint="eastAsia"/>
          <w:color w:val="000000"/>
          <w:sz w:val="21"/>
          <w:szCs w:val="21"/>
        </w:rPr>
        <w:t>2018</w:t>
      </w:r>
      <w:r>
        <w:rPr>
          <w:rFonts w:ascii="Arial" w:hAnsi="Arial" w:cs="Arial" w:hint="eastAsia"/>
          <w:color w:val="000000"/>
          <w:sz w:val="21"/>
          <w:szCs w:val="21"/>
        </w:rPr>
        <w:t>年</w:t>
      </w:r>
      <w:r w:rsidR="002051AE">
        <w:rPr>
          <w:rFonts w:ascii="Arial" w:hAnsi="Arial" w:cs="Arial"/>
          <w:color w:val="000000"/>
          <w:sz w:val="21"/>
          <w:szCs w:val="21"/>
        </w:rPr>
        <w:t>住宅用地的成交下跌</w:t>
      </w:r>
      <w:r w:rsidR="002051AE">
        <w:rPr>
          <w:rFonts w:ascii="Arial" w:hAnsi="Arial" w:cs="Arial" w:hint="eastAsia"/>
          <w:color w:val="000000"/>
          <w:sz w:val="21"/>
          <w:szCs w:val="21"/>
        </w:rPr>
        <w:t>趋势明显</w:t>
      </w:r>
      <w:r>
        <w:rPr>
          <w:rFonts w:ascii="Arial" w:hAnsi="Arial" w:cs="Arial" w:hint="eastAsia"/>
          <w:color w:val="000000"/>
          <w:sz w:val="21"/>
          <w:szCs w:val="21"/>
        </w:rPr>
        <w:t>，</w:t>
      </w:r>
      <w:r w:rsidR="002051AE" w:rsidRPr="008F02E1">
        <w:rPr>
          <w:rFonts w:ascii="Arial" w:hAnsi="Arial" w:cs="Arial"/>
          <w:color w:val="000000"/>
          <w:sz w:val="21"/>
          <w:szCs w:val="21"/>
        </w:rPr>
        <w:t>2017</w:t>
      </w:r>
      <w:r w:rsidR="002051AE" w:rsidRPr="008F02E1">
        <w:rPr>
          <w:rFonts w:ascii="Arial" w:hAnsi="Arial" w:cs="Arial"/>
          <w:color w:val="000000"/>
          <w:sz w:val="21"/>
          <w:szCs w:val="21"/>
        </w:rPr>
        <w:t>年</w:t>
      </w:r>
      <w:r w:rsidR="002051AE">
        <w:rPr>
          <w:rFonts w:ascii="Arial" w:hAnsi="Arial" w:cs="Arial" w:hint="eastAsia"/>
          <w:color w:val="000000"/>
          <w:sz w:val="21"/>
          <w:szCs w:val="21"/>
        </w:rPr>
        <w:t>南京市</w:t>
      </w:r>
      <w:r w:rsidR="002051AE" w:rsidRPr="008F02E1">
        <w:rPr>
          <w:rFonts w:ascii="Arial" w:hAnsi="Arial" w:cs="Arial"/>
          <w:color w:val="000000"/>
          <w:sz w:val="21"/>
          <w:szCs w:val="21"/>
        </w:rPr>
        <w:t>成交的住宅用地有</w:t>
      </w:r>
      <w:r w:rsidR="002051AE">
        <w:rPr>
          <w:rFonts w:ascii="Arial" w:hAnsi="Arial" w:cs="Arial" w:hint="eastAsia"/>
          <w:color w:val="000000"/>
          <w:sz w:val="21"/>
          <w:szCs w:val="21"/>
        </w:rPr>
        <w:t>93</w:t>
      </w:r>
      <w:r w:rsidR="002051AE" w:rsidRPr="008F02E1">
        <w:rPr>
          <w:rFonts w:ascii="Arial" w:hAnsi="Arial" w:cs="Arial"/>
          <w:color w:val="000000"/>
          <w:sz w:val="21"/>
          <w:szCs w:val="21"/>
        </w:rPr>
        <w:t>宗，而到了</w:t>
      </w:r>
      <w:r w:rsidR="002051AE" w:rsidRPr="008F02E1">
        <w:rPr>
          <w:rFonts w:ascii="Arial" w:hAnsi="Arial" w:cs="Arial"/>
          <w:color w:val="000000"/>
          <w:sz w:val="21"/>
          <w:szCs w:val="21"/>
        </w:rPr>
        <w:t>2018</w:t>
      </w:r>
      <w:r w:rsidR="002051AE">
        <w:rPr>
          <w:rFonts w:ascii="Arial" w:hAnsi="Arial" w:cs="Arial"/>
          <w:color w:val="000000"/>
          <w:sz w:val="21"/>
          <w:szCs w:val="21"/>
        </w:rPr>
        <w:t>年</w:t>
      </w:r>
      <w:r w:rsidR="002051AE" w:rsidRPr="008F02E1">
        <w:rPr>
          <w:rFonts w:ascii="Arial" w:hAnsi="Arial" w:cs="Arial"/>
          <w:color w:val="000000"/>
          <w:sz w:val="21"/>
          <w:szCs w:val="21"/>
        </w:rPr>
        <w:t>只成交了</w:t>
      </w:r>
      <w:r w:rsidR="002051AE">
        <w:rPr>
          <w:rFonts w:ascii="Arial" w:hAnsi="Arial" w:cs="Arial" w:hint="eastAsia"/>
          <w:color w:val="000000"/>
          <w:sz w:val="21"/>
          <w:szCs w:val="21"/>
        </w:rPr>
        <w:t>81</w:t>
      </w:r>
      <w:r w:rsidR="002051AE">
        <w:rPr>
          <w:rFonts w:ascii="Arial" w:hAnsi="Arial" w:cs="Arial"/>
          <w:color w:val="000000"/>
          <w:sz w:val="21"/>
          <w:szCs w:val="21"/>
        </w:rPr>
        <w:t>宗</w:t>
      </w:r>
      <w:r w:rsidR="002051AE" w:rsidRPr="00E05368">
        <w:rPr>
          <w:rFonts w:ascii="Arial" w:hAnsi="Arial" w:cs="Arial" w:hint="eastAsia"/>
          <w:color w:val="000000"/>
          <w:sz w:val="21"/>
          <w:szCs w:val="21"/>
        </w:rPr>
        <w:t>，</w:t>
      </w:r>
      <w:r w:rsidR="002051AE">
        <w:rPr>
          <w:rFonts w:ascii="Arial" w:hAnsi="Arial" w:cs="Arial" w:hint="eastAsia"/>
          <w:color w:val="000000"/>
          <w:sz w:val="21"/>
          <w:szCs w:val="21"/>
        </w:rPr>
        <w:t>且各项指标下浮明显</w:t>
      </w:r>
      <w:r>
        <w:rPr>
          <w:rFonts w:ascii="Arial" w:hAnsi="Arial" w:cs="Arial" w:hint="eastAsia"/>
          <w:color w:val="000000"/>
          <w:sz w:val="21"/>
          <w:szCs w:val="21"/>
        </w:rPr>
        <w:t>；</w:t>
      </w:r>
      <w:r>
        <w:rPr>
          <w:rFonts w:ascii="Arial" w:hAnsi="Arial" w:cs="Arial" w:hint="eastAsia"/>
          <w:color w:val="000000"/>
          <w:sz w:val="21"/>
          <w:szCs w:val="21"/>
        </w:rPr>
        <w:t>2019</w:t>
      </w:r>
      <w:r w:rsidR="002051AE">
        <w:rPr>
          <w:rFonts w:ascii="Arial" w:hAnsi="Arial" w:cs="Arial" w:hint="eastAsia"/>
          <w:color w:val="000000"/>
          <w:sz w:val="21"/>
          <w:szCs w:val="21"/>
        </w:rPr>
        <w:t>年南京</w:t>
      </w:r>
      <w:r>
        <w:rPr>
          <w:rFonts w:ascii="Arial" w:hAnsi="Arial" w:cs="Arial" w:hint="eastAsia"/>
          <w:color w:val="000000"/>
          <w:sz w:val="21"/>
          <w:szCs w:val="21"/>
        </w:rPr>
        <w:t>市住宅用地成交金额</w:t>
      </w:r>
      <w:r w:rsidRPr="00E05368">
        <w:rPr>
          <w:rFonts w:ascii="Arial" w:hAnsi="Arial" w:cs="Arial" w:hint="eastAsia"/>
          <w:color w:val="000000"/>
          <w:sz w:val="21"/>
          <w:szCs w:val="21"/>
        </w:rPr>
        <w:t>大幅攀升，</w:t>
      </w:r>
      <w:r>
        <w:rPr>
          <w:rFonts w:ascii="Arial" w:hAnsi="Arial" w:cs="Arial" w:hint="eastAsia"/>
          <w:color w:val="000000"/>
          <w:sz w:val="21"/>
          <w:szCs w:val="21"/>
        </w:rPr>
        <w:t>涨幅较上一年度达</w:t>
      </w:r>
      <w:r w:rsidR="002051AE">
        <w:rPr>
          <w:rFonts w:ascii="Arial" w:hAnsi="Arial" w:cs="Arial" w:hint="eastAsia"/>
          <w:color w:val="000000"/>
          <w:sz w:val="21"/>
          <w:szCs w:val="21"/>
        </w:rPr>
        <w:t>1</w:t>
      </w:r>
      <w:r>
        <w:rPr>
          <w:rFonts w:ascii="Arial" w:hAnsi="Arial" w:cs="Arial" w:hint="eastAsia"/>
          <w:color w:val="000000"/>
          <w:sz w:val="21"/>
          <w:szCs w:val="21"/>
        </w:rPr>
        <w:t>倍，各项指标均上浮明显；</w:t>
      </w:r>
      <w:r w:rsidRPr="00E05368">
        <w:rPr>
          <w:rFonts w:ascii="Arial" w:hAnsi="Arial" w:cs="Arial" w:hint="eastAsia"/>
          <w:color w:val="000000"/>
          <w:sz w:val="21"/>
          <w:szCs w:val="21"/>
        </w:rPr>
        <w:t>2</w:t>
      </w:r>
      <w:r w:rsidRPr="00E05368">
        <w:rPr>
          <w:rFonts w:ascii="Arial" w:hAnsi="Arial" w:cs="Arial"/>
          <w:color w:val="000000"/>
          <w:sz w:val="21"/>
          <w:szCs w:val="21"/>
        </w:rPr>
        <w:t>020</w:t>
      </w:r>
      <w:r>
        <w:rPr>
          <w:rFonts w:ascii="Arial" w:hAnsi="Arial" w:cs="Arial" w:hint="eastAsia"/>
          <w:color w:val="000000"/>
          <w:sz w:val="21"/>
          <w:szCs w:val="21"/>
        </w:rPr>
        <w:t>年</w:t>
      </w:r>
      <w:r w:rsidRPr="00E05368">
        <w:rPr>
          <w:rFonts w:ascii="Arial" w:hAnsi="Arial" w:cs="Arial" w:hint="eastAsia"/>
          <w:color w:val="000000"/>
          <w:sz w:val="21"/>
          <w:szCs w:val="21"/>
        </w:rPr>
        <w:t>，住宅</w:t>
      </w:r>
      <w:r w:rsidRPr="00E05368">
        <w:rPr>
          <w:rFonts w:ascii="Arial" w:hAnsi="Arial" w:cs="Arial"/>
          <w:color w:val="000000"/>
          <w:sz w:val="21"/>
          <w:szCs w:val="21"/>
        </w:rPr>
        <w:t>用地成交土地面积</w:t>
      </w:r>
      <w:r>
        <w:rPr>
          <w:rFonts w:ascii="Arial" w:hAnsi="Arial" w:cs="Arial" w:hint="eastAsia"/>
          <w:color w:val="000000"/>
          <w:sz w:val="21"/>
          <w:szCs w:val="21"/>
        </w:rPr>
        <w:t>为</w:t>
      </w:r>
      <w:r w:rsidR="00301570" w:rsidRPr="00301570">
        <w:rPr>
          <w:rFonts w:ascii="Arial" w:hAnsi="Arial" w:cs="Arial"/>
          <w:color w:val="000000"/>
          <w:sz w:val="21"/>
          <w:szCs w:val="21"/>
        </w:rPr>
        <w:t>748.33</w:t>
      </w:r>
      <w:r w:rsidRPr="00E05368">
        <w:rPr>
          <w:rFonts w:ascii="Arial" w:hAnsi="Arial" w:cs="Arial" w:hint="eastAsia"/>
          <w:color w:val="000000"/>
          <w:sz w:val="21"/>
          <w:szCs w:val="21"/>
        </w:rPr>
        <w:t>万</w:t>
      </w:r>
      <w:r w:rsidRPr="00E05368">
        <w:rPr>
          <w:rFonts w:ascii="Arial" w:hAnsi="Arial" w:cs="Arial"/>
          <w:color w:val="000000"/>
          <w:sz w:val="21"/>
          <w:szCs w:val="21"/>
        </w:rPr>
        <w:t>平方米</w:t>
      </w:r>
      <w:r w:rsidRPr="00E05368">
        <w:rPr>
          <w:rFonts w:ascii="Arial" w:hAnsi="Arial" w:cs="Arial" w:hint="eastAsia"/>
          <w:color w:val="000000"/>
          <w:sz w:val="21"/>
          <w:szCs w:val="21"/>
        </w:rPr>
        <w:t>，成交</w:t>
      </w:r>
      <w:r w:rsidRPr="00E05368">
        <w:rPr>
          <w:rFonts w:ascii="Arial" w:hAnsi="Arial" w:cs="Arial"/>
          <w:color w:val="000000"/>
          <w:sz w:val="21"/>
          <w:szCs w:val="21"/>
        </w:rPr>
        <w:t>规划面积</w:t>
      </w:r>
      <w:r w:rsidR="00301570" w:rsidRPr="00301570">
        <w:rPr>
          <w:rFonts w:ascii="Arial" w:hAnsi="Arial" w:cs="Arial"/>
          <w:color w:val="000000"/>
          <w:sz w:val="21"/>
          <w:szCs w:val="21"/>
        </w:rPr>
        <w:t>1749.9</w:t>
      </w:r>
      <w:r w:rsidRPr="00E05368">
        <w:rPr>
          <w:rFonts w:ascii="Arial" w:hAnsi="Arial" w:cs="Arial" w:hint="eastAsia"/>
          <w:color w:val="000000"/>
          <w:sz w:val="21"/>
          <w:szCs w:val="21"/>
        </w:rPr>
        <w:t>平方米，</w:t>
      </w:r>
      <w:r w:rsidRPr="00E05368">
        <w:rPr>
          <w:rFonts w:ascii="Arial" w:hAnsi="Arial" w:cs="Arial"/>
          <w:color w:val="000000"/>
          <w:sz w:val="21"/>
          <w:szCs w:val="21"/>
        </w:rPr>
        <w:t>成交金额</w:t>
      </w:r>
      <w:r w:rsidRPr="00E05368">
        <w:rPr>
          <w:rFonts w:ascii="Arial" w:hAnsi="Arial" w:cs="Arial" w:hint="eastAsia"/>
          <w:color w:val="000000"/>
          <w:sz w:val="21"/>
          <w:szCs w:val="21"/>
        </w:rPr>
        <w:t>为</w:t>
      </w:r>
      <w:r w:rsidR="00301570" w:rsidRPr="00301570">
        <w:rPr>
          <w:rFonts w:ascii="Arial" w:hAnsi="Arial" w:cs="Arial"/>
          <w:color w:val="000000"/>
          <w:sz w:val="21"/>
          <w:szCs w:val="21"/>
        </w:rPr>
        <w:t>1890.81</w:t>
      </w:r>
      <w:r w:rsidRPr="00E05368">
        <w:rPr>
          <w:rFonts w:ascii="Arial" w:hAnsi="Arial" w:cs="Arial" w:hint="eastAsia"/>
          <w:color w:val="000000"/>
          <w:sz w:val="21"/>
          <w:szCs w:val="21"/>
        </w:rPr>
        <w:t>亿元，相比</w:t>
      </w:r>
      <w:r>
        <w:rPr>
          <w:rFonts w:ascii="Arial" w:hAnsi="Arial" w:cs="Arial" w:hint="eastAsia"/>
          <w:color w:val="000000"/>
          <w:sz w:val="21"/>
          <w:szCs w:val="21"/>
        </w:rPr>
        <w:t>上一年度</w:t>
      </w:r>
      <w:r w:rsidRPr="00E05368">
        <w:rPr>
          <w:rFonts w:ascii="Arial" w:hAnsi="Arial" w:cs="Arial" w:hint="eastAsia"/>
          <w:color w:val="000000"/>
          <w:sz w:val="21"/>
          <w:szCs w:val="21"/>
        </w:rPr>
        <w:t>，</w:t>
      </w:r>
      <w:r>
        <w:rPr>
          <w:rFonts w:ascii="Arial" w:hAnsi="Arial" w:cs="Arial" w:hint="eastAsia"/>
          <w:color w:val="000000"/>
          <w:sz w:val="21"/>
          <w:szCs w:val="21"/>
        </w:rPr>
        <w:t>各项指标均有上浮</w:t>
      </w:r>
      <w:r w:rsidRPr="00E05368">
        <w:rPr>
          <w:rFonts w:ascii="Arial" w:hAnsi="Arial" w:cs="Arial" w:hint="eastAsia"/>
          <w:color w:val="000000"/>
          <w:sz w:val="21"/>
          <w:szCs w:val="21"/>
        </w:rPr>
        <w:t>。</w:t>
      </w:r>
    </w:p>
    <w:p w14:paraId="675005F9" w14:textId="158B6C15" w:rsidR="005D7CB2" w:rsidRDefault="005D7CB2" w:rsidP="00C01AA7">
      <w:pPr>
        <w:widowControl w:val="0"/>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hint="eastAsia"/>
          <w:color w:val="000000"/>
          <w:sz w:val="21"/>
          <w:szCs w:val="21"/>
        </w:rPr>
        <w:t>2</w:t>
      </w:r>
      <w:r>
        <w:rPr>
          <w:rFonts w:ascii="Arial" w:hAnsi="Arial" w:cs="Arial"/>
          <w:color w:val="000000"/>
          <w:sz w:val="21"/>
          <w:szCs w:val="21"/>
        </w:rPr>
        <w:t>02</w:t>
      </w:r>
      <w:r>
        <w:rPr>
          <w:rFonts w:ascii="Arial" w:hAnsi="Arial" w:cs="Arial" w:hint="eastAsia"/>
          <w:color w:val="000000"/>
          <w:sz w:val="21"/>
          <w:szCs w:val="21"/>
        </w:rPr>
        <w:t>1</w:t>
      </w:r>
      <w:r>
        <w:rPr>
          <w:rFonts w:ascii="Arial" w:hAnsi="Arial" w:cs="Arial" w:hint="eastAsia"/>
          <w:color w:val="000000"/>
          <w:sz w:val="21"/>
          <w:szCs w:val="21"/>
        </w:rPr>
        <w:t>年</w:t>
      </w:r>
      <w:r>
        <w:rPr>
          <w:rFonts w:ascii="Arial" w:hAnsi="Arial" w:cs="Arial" w:hint="eastAsia"/>
          <w:color w:val="000000"/>
          <w:sz w:val="21"/>
          <w:szCs w:val="21"/>
        </w:rPr>
        <w:t>1-5</w:t>
      </w:r>
      <w:r>
        <w:rPr>
          <w:rFonts w:ascii="Arial" w:hAnsi="Arial" w:cs="Arial" w:hint="eastAsia"/>
          <w:color w:val="000000"/>
          <w:sz w:val="21"/>
          <w:szCs w:val="21"/>
        </w:rPr>
        <w:t>月，</w:t>
      </w:r>
      <w:r w:rsidRPr="00E05368">
        <w:rPr>
          <w:rFonts w:ascii="Arial" w:hAnsi="Arial" w:cs="Arial" w:hint="eastAsia"/>
          <w:color w:val="000000"/>
          <w:sz w:val="21"/>
          <w:szCs w:val="21"/>
        </w:rPr>
        <w:t>住宅</w:t>
      </w:r>
      <w:r w:rsidRPr="00E05368">
        <w:rPr>
          <w:rFonts w:ascii="Arial" w:hAnsi="Arial" w:cs="Arial"/>
          <w:color w:val="000000"/>
          <w:sz w:val="21"/>
          <w:szCs w:val="21"/>
        </w:rPr>
        <w:t>用地成交土地面积</w:t>
      </w:r>
      <w:r>
        <w:rPr>
          <w:rFonts w:ascii="Arial" w:hAnsi="Arial" w:cs="Arial" w:hint="eastAsia"/>
          <w:color w:val="000000"/>
          <w:sz w:val="21"/>
          <w:szCs w:val="21"/>
        </w:rPr>
        <w:t>为</w:t>
      </w:r>
      <w:r w:rsidRPr="005D7CB2">
        <w:rPr>
          <w:rFonts w:ascii="Arial" w:hAnsi="Arial" w:cs="Arial"/>
          <w:color w:val="000000"/>
          <w:sz w:val="21"/>
          <w:szCs w:val="21"/>
        </w:rPr>
        <w:t>384.88</w:t>
      </w:r>
      <w:r w:rsidRPr="00E05368">
        <w:rPr>
          <w:rFonts w:ascii="Arial" w:hAnsi="Arial" w:cs="Arial" w:hint="eastAsia"/>
          <w:color w:val="000000"/>
          <w:sz w:val="21"/>
          <w:szCs w:val="21"/>
        </w:rPr>
        <w:t>万</w:t>
      </w:r>
      <w:r w:rsidRPr="00E05368">
        <w:rPr>
          <w:rFonts w:ascii="Arial" w:hAnsi="Arial" w:cs="Arial"/>
          <w:color w:val="000000"/>
          <w:sz w:val="21"/>
          <w:szCs w:val="21"/>
        </w:rPr>
        <w:t>平方米</w:t>
      </w:r>
      <w:r w:rsidRPr="00E05368">
        <w:rPr>
          <w:rFonts w:ascii="Arial" w:hAnsi="Arial" w:cs="Arial" w:hint="eastAsia"/>
          <w:color w:val="000000"/>
          <w:sz w:val="21"/>
          <w:szCs w:val="21"/>
        </w:rPr>
        <w:t>，成交</w:t>
      </w:r>
      <w:r w:rsidRPr="00E05368">
        <w:rPr>
          <w:rFonts w:ascii="Arial" w:hAnsi="Arial" w:cs="Arial"/>
          <w:color w:val="000000"/>
          <w:sz w:val="21"/>
          <w:szCs w:val="21"/>
        </w:rPr>
        <w:t>规划面积</w:t>
      </w:r>
      <w:r w:rsidRPr="005D7CB2">
        <w:rPr>
          <w:rFonts w:ascii="Arial" w:hAnsi="Arial" w:cs="Arial"/>
          <w:color w:val="000000"/>
          <w:sz w:val="21"/>
          <w:szCs w:val="21"/>
        </w:rPr>
        <w:t>935.99</w:t>
      </w:r>
      <w:r w:rsidRPr="00E05368">
        <w:rPr>
          <w:rFonts w:ascii="Arial" w:hAnsi="Arial" w:cs="Arial" w:hint="eastAsia"/>
          <w:color w:val="000000"/>
          <w:sz w:val="21"/>
          <w:szCs w:val="21"/>
        </w:rPr>
        <w:t>平方米，</w:t>
      </w:r>
      <w:r w:rsidRPr="00E05368">
        <w:rPr>
          <w:rFonts w:ascii="Arial" w:hAnsi="Arial" w:cs="Arial"/>
          <w:color w:val="000000"/>
          <w:sz w:val="21"/>
          <w:szCs w:val="21"/>
        </w:rPr>
        <w:t>成交金额</w:t>
      </w:r>
      <w:r w:rsidRPr="00E05368">
        <w:rPr>
          <w:rFonts w:ascii="Arial" w:hAnsi="Arial" w:cs="Arial" w:hint="eastAsia"/>
          <w:color w:val="000000"/>
          <w:sz w:val="21"/>
          <w:szCs w:val="21"/>
        </w:rPr>
        <w:t>为</w:t>
      </w:r>
      <w:r w:rsidRPr="005D7CB2">
        <w:rPr>
          <w:rFonts w:ascii="Arial" w:hAnsi="Arial" w:cs="Arial"/>
          <w:color w:val="000000"/>
          <w:sz w:val="21"/>
          <w:szCs w:val="21"/>
        </w:rPr>
        <w:t>1183.2</w:t>
      </w:r>
      <w:r w:rsidRPr="00E05368">
        <w:rPr>
          <w:rFonts w:ascii="Arial" w:hAnsi="Arial" w:cs="Arial" w:hint="eastAsia"/>
          <w:color w:val="000000"/>
          <w:sz w:val="21"/>
          <w:szCs w:val="21"/>
        </w:rPr>
        <w:t>亿元，相比</w:t>
      </w:r>
      <w:r>
        <w:rPr>
          <w:rFonts w:ascii="Arial" w:hAnsi="Arial" w:cs="Arial" w:hint="eastAsia"/>
          <w:color w:val="000000"/>
          <w:sz w:val="21"/>
          <w:szCs w:val="21"/>
        </w:rPr>
        <w:t>上一年度同期</w:t>
      </w:r>
      <w:r w:rsidRPr="00E05368">
        <w:rPr>
          <w:rFonts w:ascii="Arial" w:hAnsi="Arial" w:cs="Arial" w:hint="eastAsia"/>
          <w:color w:val="000000"/>
          <w:sz w:val="21"/>
          <w:szCs w:val="21"/>
        </w:rPr>
        <w:t>，</w:t>
      </w:r>
      <w:r>
        <w:rPr>
          <w:rFonts w:ascii="Arial" w:hAnsi="Arial" w:cs="Arial" w:hint="eastAsia"/>
          <w:color w:val="000000"/>
          <w:sz w:val="21"/>
          <w:szCs w:val="21"/>
        </w:rPr>
        <w:t>各项指标均有大幅上浮</w:t>
      </w:r>
      <w:r w:rsidRPr="00E05368">
        <w:rPr>
          <w:rFonts w:ascii="Arial" w:hAnsi="Arial" w:cs="Arial" w:hint="eastAsia"/>
          <w:color w:val="000000"/>
          <w:sz w:val="21"/>
          <w:szCs w:val="21"/>
        </w:rPr>
        <w:t>。</w:t>
      </w:r>
    </w:p>
    <w:p w14:paraId="5ABB542D" w14:textId="7FB1841C" w:rsidR="00C01AA7" w:rsidRPr="00E05368" w:rsidRDefault="00296804" w:rsidP="00C01AA7">
      <w:pPr>
        <w:widowControl w:val="0"/>
        <w:adjustRightInd w:val="0"/>
        <w:snapToGrid w:val="0"/>
        <w:spacing w:line="480" w:lineRule="auto"/>
        <w:jc w:val="center"/>
        <w:rPr>
          <w:rFonts w:ascii="Arial" w:hAnsi="Arial" w:cs="Arial"/>
          <w:color w:val="000000"/>
          <w:sz w:val="21"/>
          <w:szCs w:val="21"/>
        </w:rPr>
      </w:pPr>
      <w:r>
        <w:rPr>
          <w:noProof/>
        </w:rPr>
        <w:drawing>
          <wp:inline distT="0" distB="0" distL="0" distR="0" wp14:anchorId="582622B4" wp14:editId="76D42531">
            <wp:extent cx="5486400" cy="2089150"/>
            <wp:effectExtent l="0" t="0" r="19050" b="25400"/>
            <wp:docPr id="16" name="图表 1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5F9929D2" w14:textId="77777777" w:rsidR="00C01AA7" w:rsidRPr="00E05368" w:rsidRDefault="00C01AA7" w:rsidP="00C01AA7">
      <w:pPr>
        <w:widowControl w:val="0"/>
        <w:adjustRightInd w:val="0"/>
        <w:snapToGrid w:val="0"/>
        <w:spacing w:line="480" w:lineRule="auto"/>
        <w:jc w:val="both"/>
        <w:rPr>
          <w:rFonts w:ascii="华文细黑" w:eastAsia="华文细黑" w:hAnsi="华文细黑" w:cs="Arial"/>
          <w:color w:val="000000"/>
          <w:sz w:val="15"/>
          <w:szCs w:val="15"/>
        </w:rPr>
      </w:pPr>
      <w:r w:rsidRPr="00E05368">
        <w:rPr>
          <w:rFonts w:ascii="华文细黑" w:eastAsia="华文细黑" w:hAnsi="华文细黑" w:cs="Arial" w:hint="eastAsia"/>
          <w:color w:val="000000"/>
          <w:sz w:val="15"/>
          <w:szCs w:val="15"/>
        </w:rPr>
        <w:t>资料来源：</w:t>
      </w:r>
      <w:r w:rsidRPr="00E05368">
        <w:rPr>
          <w:rFonts w:ascii="Arial" w:eastAsia="华文细黑" w:hAnsi="Arial" w:cs="Arial"/>
          <w:color w:val="000000"/>
          <w:sz w:val="15"/>
          <w:szCs w:val="15"/>
        </w:rPr>
        <w:t>CREIS</w:t>
      </w:r>
      <w:r w:rsidRPr="00E05368">
        <w:rPr>
          <w:rFonts w:ascii="华文细黑" w:eastAsia="华文细黑" w:hAnsi="华文细黑" w:cs="Arial" w:hint="eastAsia"/>
          <w:color w:val="000000"/>
          <w:sz w:val="15"/>
          <w:szCs w:val="15"/>
        </w:rPr>
        <w:t>中指数据</w:t>
      </w:r>
    </w:p>
    <w:p w14:paraId="11E65793" w14:textId="337675F4" w:rsidR="00C01AA7" w:rsidRDefault="001362DE" w:rsidP="00C01AA7">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从区域来看，</w:t>
      </w:r>
      <w:r>
        <w:rPr>
          <w:rFonts w:ascii="Arial" w:hAnsi="Arial" w:cs="Arial" w:hint="eastAsia"/>
          <w:color w:val="000000"/>
          <w:sz w:val="21"/>
          <w:szCs w:val="21"/>
        </w:rPr>
        <w:t>2020</w:t>
      </w:r>
      <w:r>
        <w:rPr>
          <w:rFonts w:ascii="Arial" w:hAnsi="Arial" w:cs="Arial" w:hint="eastAsia"/>
          <w:color w:val="000000"/>
          <w:sz w:val="21"/>
          <w:szCs w:val="21"/>
        </w:rPr>
        <w:t>年</w:t>
      </w:r>
      <w:r>
        <w:rPr>
          <w:rFonts w:ascii="Arial" w:hAnsi="Arial" w:cs="Arial" w:hint="eastAsia"/>
          <w:color w:val="000000"/>
          <w:sz w:val="21"/>
          <w:szCs w:val="21"/>
        </w:rPr>
        <w:t>-</w:t>
      </w:r>
      <w:r w:rsidRPr="00E05368">
        <w:rPr>
          <w:rFonts w:ascii="Arial" w:hAnsi="Arial" w:cs="Arial" w:hint="eastAsia"/>
          <w:color w:val="000000"/>
          <w:sz w:val="21"/>
          <w:szCs w:val="21"/>
        </w:rPr>
        <w:t>2</w:t>
      </w:r>
      <w:r>
        <w:rPr>
          <w:rFonts w:ascii="Arial" w:hAnsi="Arial" w:cs="Arial"/>
          <w:color w:val="000000"/>
          <w:sz w:val="21"/>
          <w:szCs w:val="21"/>
        </w:rPr>
        <w:t>02</w:t>
      </w:r>
      <w:r>
        <w:rPr>
          <w:rFonts w:ascii="Arial" w:hAnsi="Arial" w:cs="Arial" w:hint="eastAsia"/>
          <w:color w:val="000000"/>
          <w:sz w:val="21"/>
          <w:szCs w:val="21"/>
        </w:rPr>
        <w:t>1</w:t>
      </w:r>
      <w:r>
        <w:rPr>
          <w:rFonts w:ascii="Arial" w:hAnsi="Arial" w:cs="Arial" w:hint="eastAsia"/>
          <w:color w:val="000000"/>
          <w:sz w:val="21"/>
          <w:szCs w:val="21"/>
        </w:rPr>
        <w:t>年</w:t>
      </w:r>
      <w:r>
        <w:rPr>
          <w:rFonts w:ascii="Arial" w:hAnsi="Arial" w:cs="Arial" w:hint="eastAsia"/>
          <w:color w:val="000000"/>
          <w:sz w:val="21"/>
          <w:szCs w:val="21"/>
        </w:rPr>
        <w:t>1-5</w:t>
      </w:r>
      <w:r>
        <w:rPr>
          <w:rFonts w:ascii="Arial" w:hAnsi="Arial" w:cs="Arial" w:hint="eastAsia"/>
          <w:color w:val="000000"/>
          <w:sz w:val="21"/>
          <w:szCs w:val="21"/>
        </w:rPr>
        <w:t>月，溧水区住宅用地成交面积最多为</w:t>
      </w:r>
      <w:r w:rsidRPr="001362DE">
        <w:rPr>
          <w:rFonts w:ascii="Arial" w:hAnsi="Arial" w:cs="Arial"/>
          <w:color w:val="000000"/>
          <w:sz w:val="21"/>
          <w:szCs w:val="21"/>
        </w:rPr>
        <w:t>237.08</w:t>
      </w:r>
      <w:r>
        <w:rPr>
          <w:rFonts w:ascii="Arial" w:hAnsi="Arial" w:cs="Arial" w:hint="eastAsia"/>
          <w:color w:val="000000"/>
          <w:sz w:val="21"/>
          <w:szCs w:val="21"/>
        </w:rPr>
        <w:t>万平方米，占比</w:t>
      </w:r>
      <w:r>
        <w:rPr>
          <w:rFonts w:ascii="Arial" w:hAnsi="Arial" w:cs="Arial" w:hint="eastAsia"/>
          <w:color w:val="000000"/>
          <w:sz w:val="21"/>
          <w:szCs w:val="21"/>
        </w:rPr>
        <w:lastRenderedPageBreak/>
        <w:t>为</w:t>
      </w:r>
      <w:r>
        <w:rPr>
          <w:rFonts w:ascii="Arial" w:hAnsi="Arial" w:cs="Arial" w:hint="eastAsia"/>
          <w:color w:val="000000"/>
          <w:sz w:val="21"/>
          <w:szCs w:val="21"/>
        </w:rPr>
        <w:t>20.9%</w:t>
      </w:r>
      <w:r>
        <w:rPr>
          <w:rFonts w:ascii="Arial" w:hAnsi="Arial" w:cs="Arial" w:hint="eastAsia"/>
          <w:color w:val="000000"/>
          <w:sz w:val="21"/>
          <w:szCs w:val="21"/>
        </w:rPr>
        <w:t>，其次分别为浦口区、江宁区，成交量分别为</w:t>
      </w:r>
      <w:r w:rsidRPr="001362DE">
        <w:rPr>
          <w:rFonts w:ascii="Arial" w:hAnsi="Arial" w:cs="Arial"/>
          <w:color w:val="000000"/>
          <w:sz w:val="21"/>
          <w:szCs w:val="21"/>
        </w:rPr>
        <w:t>210.73</w:t>
      </w:r>
      <w:r>
        <w:rPr>
          <w:rFonts w:ascii="Arial" w:hAnsi="Arial" w:cs="Arial" w:hint="eastAsia"/>
          <w:color w:val="000000"/>
          <w:sz w:val="21"/>
          <w:szCs w:val="21"/>
        </w:rPr>
        <w:t>万平方米、</w:t>
      </w:r>
      <w:r w:rsidRPr="001362DE">
        <w:rPr>
          <w:rFonts w:ascii="Arial" w:hAnsi="Arial" w:cs="Arial"/>
          <w:color w:val="000000"/>
          <w:sz w:val="21"/>
          <w:szCs w:val="21"/>
        </w:rPr>
        <w:t>170.68</w:t>
      </w:r>
      <w:r>
        <w:rPr>
          <w:rFonts w:ascii="Arial" w:hAnsi="Arial" w:cs="Arial" w:hint="eastAsia"/>
          <w:color w:val="000000"/>
          <w:sz w:val="21"/>
          <w:szCs w:val="21"/>
        </w:rPr>
        <w:t>万平方米，占比分别为</w:t>
      </w:r>
      <w:r>
        <w:rPr>
          <w:rFonts w:ascii="Arial" w:hAnsi="Arial" w:cs="Arial" w:hint="eastAsia"/>
          <w:color w:val="000000"/>
          <w:sz w:val="21"/>
          <w:szCs w:val="21"/>
        </w:rPr>
        <w:t>18.6%</w:t>
      </w:r>
      <w:r>
        <w:rPr>
          <w:rFonts w:ascii="Arial" w:hAnsi="Arial" w:cs="Arial" w:hint="eastAsia"/>
          <w:color w:val="000000"/>
          <w:sz w:val="21"/>
          <w:szCs w:val="21"/>
        </w:rPr>
        <w:t>、</w:t>
      </w:r>
      <w:r>
        <w:rPr>
          <w:rFonts w:ascii="Arial" w:hAnsi="Arial" w:cs="Arial" w:hint="eastAsia"/>
          <w:color w:val="000000"/>
          <w:sz w:val="21"/>
          <w:szCs w:val="21"/>
        </w:rPr>
        <w:t>15.1%</w:t>
      </w:r>
      <w:r>
        <w:rPr>
          <w:rFonts w:ascii="Arial" w:hAnsi="Arial" w:cs="Arial" w:hint="eastAsia"/>
          <w:color w:val="000000"/>
          <w:sz w:val="21"/>
          <w:szCs w:val="21"/>
        </w:rPr>
        <w:t>。</w:t>
      </w:r>
    </w:p>
    <w:p w14:paraId="4CBA66A9" w14:textId="2E567112" w:rsidR="00C01AA7" w:rsidRPr="00E05368" w:rsidRDefault="001362DE" w:rsidP="00C01AA7">
      <w:pPr>
        <w:widowControl w:val="0"/>
        <w:adjustRightInd w:val="0"/>
        <w:snapToGrid w:val="0"/>
        <w:jc w:val="center"/>
        <w:rPr>
          <w:rFonts w:ascii="Arial" w:hAnsi="Arial" w:cs="Arial"/>
          <w:color w:val="000000"/>
          <w:sz w:val="21"/>
          <w:szCs w:val="21"/>
        </w:rPr>
      </w:pPr>
      <w:r>
        <w:rPr>
          <w:noProof/>
        </w:rPr>
        <w:drawing>
          <wp:inline distT="0" distB="0" distL="0" distR="0" wp14:anchorId="453C800D" wp14:editId="43A3C003">
            <wp:extent cx="5486400" cy="2072640"/>
            <wp:effectExtent l="0" t="0" r="19050" b="22860"/>
            <wp:docPr id="21" name="图表 2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26014D71" w14:textId="77777777" w:rsidR="00C01AA7" w:rsidRPr="00E05368" w:rsidRDefault="00C01AA7" w:rsidP="00C01AA7">
      <w:pPr>
        <w:widowControl w:val="0"/>
        <w:adjustRightInd w:val="0"/>
        <w:snapToGrid w:val="0"/>
        <w:spacing w:line="480" w:lineRule="auto"/>
        <w:jc w:val="both"/>
        <w:rPr>
          <w:rFonts w:ascii="华文细黑" w:eastAsia="华文细黑" w:hAnsi="华文细黑" w:cs="Arial"/>
          <w:color w:val="000000"/>
          <w:sz w:val="15"/>
          <w:szCs w:val="15"/>
        </w:rPr>
      </w:pPr>
      <w:r w:rsidRPr="00E05368">
        <w:rPr>
          <w:rFonts w:ascii="华文细黑" w:eastAsia="华文细黑" w:hAnsi="华文细黑" w:cs="Arial" w:hint="eastAsia"/>
          <w:color w:val="000000"/>
          <w:sz w:val="15"/>
          <w:szCs w:val="15"/>
        </w:rPr>
        <w:t>资料来源：</w:t>
      </w:r>
      <w:r w:rsidRPr="00E05368">
        <w:rPr>
          <w:rFonts w:ascii="Arial" w:eastAsia="华文细黑" w:hAnsi="Arial" w:cs="Arial"/>
          <w:color w:val="000000"/>
          <w:sz w:val="15"/>
          <w:szCs w:val="15"/>
        </w:rPr>
        <w:t>CREIS</w:t>
      </w:r>
      <w:r w:rsidRPr="00E05368">
        <w:rPr>
          <w:rFonts w:ascii="华文细黑" w:eastAsia="华文细黑" w:hAnsi="华文细黑" w:cs="Arial" w:hint="eastAsia"/>
          <w:color w:val="000000"/>
          <w:sz w:val="15"/>
          <w:szCs w:val="15"/>
        </w:rPr>
        <w:t>中指数据</w:t>
      </w:r>
    </w:p>
    <w:p w14:paraId="2AF4BCBA" w14:textId="2E2ABCC6" w:rsidR="00BC677C" w:rsidRDefault="00BC677C" w:rsidP="00BC677C">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2017-2018</w:t>
      </w:r>
      <w:r>
        <w:rPr>
          <w:rFonts w:ascii="Arial" w:hAnsi="Arial" w:cs="Arial" w:hint="eastAsia"/>
          <w:color w:val="000000"/>
          <w:sz w:val="21"/>
          <w:szCs w:val="21"/>
        </w:rPr>
        <w:t>年，南京市住宅用地成交楼面均价</w:t>
      </w:r>
      <w:r w:rsidR="00C54C76">
        <w:rPr>
          <w:rFonts w:ascii="Arial" w:hAnsi="Arial" w:cs="Arial" w:hint="eastAsia"/>
          <w:color w:val="000000"/>
          <w:sz w:val="21"/>
          <w:szCs w:val="21"/>
        </w:rPr>
        <w:t>大幅</w:t>
      </w:r>
      <w:r>
        <w:rPr>
          <w:rFonts w:ascii="Arial" w:hAnsi="Arial" w:cs="Arial" w:hint="eastAsia"/>
          <w:color w:val="000000"/>
          <w:sz w:val="21"/>
          <w:szCs w:val="21"/>
        </w:rPr>
        <w:t>下降，由</w:t>
      </w:r>
      <w:r>
        <w:rPr>
          <w:rFonts w:ascii="Arial" w:hAnsi="Arial" w:cs="Arial"/>
          <w:color w:val="000000"/>
          <w:sz w:val="21"/>
          <w:szCs w:val="21"/>
        </w:rPr>
        <w:t>11852</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平方米下降至</w:t>
      </w:r>
      <w:r>
        <w:rPr>
          <w:rFonts w:ascii="Arial" w:hAnsi="Arial" w:cs="Arial" w:hint="eastAsia"/>
          <w:color w:val="000000"/>
          <w:sz w:val="21"/>
          <w:szCs w:val="21"/>
        </w:rPr>
        <w:t>8047</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平方米，至</w:t>
      </w:r>
      <w:r>
        <w:rPr>
          <w:rFonts w:ascii="Arial" w:hAnsi="Arial" w:cs="Arial" w:hint="eastAsia"/>
          <w:color w:val="000000"/>
          <w:sz w:val="21"/>
          <w:szCs w:val="21"/>
        </w:rPr>
        <w:t>2019</w:t>
      </w:r>
      <w:r>
        <w:rPr>
          <w:rFonts w:ascii="Arial" w:hAnsi="Arial" w:cs="Arial" w:hint="eastAsia"/>
          <w:color w:val="000000"/>
          <w:sz w:val="21"/>
          <w:szCs w:val="21"/>
        </w:rPr>
        <w:t>年有所回升，上涨至</w:t>
      </w:r>
      <w:r>
        <w:rPr>
          <w:rFonts w:ascii="Arial" w:hAnsi="Arial" w:cs="Arial" w:hint="eastAsia"/>
          <w:color w:val="000000"/>
          <w:sz w:val="21"/>
          <w:szCs w:val="21"/>
        </w:rPr>
        <w:t>10829</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平方米，同比增长</w:t>
      </w:r>
      <w:r>
        <w:rPr>
          <w:rFonts w:ascii="Arial" w:hAnsi="Arial" w:cs="Arial" w:hint="eastAsia"/>
          <w:color w:val="000000"/>
          <w:sz w:val="21"/>
          <w:szCs w:val="21"/>
        </w:rPr>
        <w:t>35%</w:t>
      </w:r>
      <w:r>
        <w:rPr>
          <w:rFonts w:ascii="Arial" w:hAnsi="Arial" w:cs="Arial" w:hint="eastAsia"/>
          <w:color w:val="000000"/>
          <w:sz w:val="21"/>
          <w:szCs w:val="21"/>
        </w:rPr>
        <w:t>；</w:t>
      </w:r>
      <w:r>
        <w:rPr>
          <w:rFonts w:ascii="Arial" w:hAnsi="Arial" w:cs="Arial" w:hint="eastAsia"/>
          <w:color w:val="000000"/>
          <w:sz w:val="21"/>
          <w:szCs w:val="21"/>
        </w:rPr>
        <w:t>2020</w:t>
      </w:r>
      <w:r>
        <w:rPr>
          <w:rFonts w:ascii="Arial" w:hAnsi="Arial" w:cs="Arial" w:hint="eastAsia"/>
          <w:color w:val="000000"/>
          <w:sz w:val="21"/>
          <w:szCs w:val="21"/>
        </w:rPr>
        <w:t>年与</w:t>
      </w:r>
      <w:r>
        <w:rPr>
          <w:rFonts w:ascii="Arial" w:hAnsi="Arial" w:cs="Arial" w:hint="eastAsia"/>
          <w:color w:val="000000"/>
          <w:sz w:val="21"/>
          <w:szCs w:val="21"/>
        </w:rPr>
        <w:t>2019</w:t>
      </w:r>
      <w:r>
        <w:rPr>
          <w:rFonts w:ascii="Arial" w:hAnsi="Arial" w:cs="Arial" w:hint="eastAsia"/>
          <w:color w:val="000000"/>
          <w:sz w:val="21"/>
          <w:szCs w:val="21"/>
        </w:rPr>
        <w:t>年持平；</w:t>
      </w:r>
      <w:r>
        <w:rPr>
          <w:rFonts w:ascii="Arial" w:hAnsi="Arial" w:cs="Arial" w:hint="eastAsia"/>
          <w:color w:val="000000"/>
          <w:sz w:val="21"/>
          <w:szCs w:val="21"/>
        </w:rPr>
        <w:t>2021</w:t>
      </w:r>
      <w:r>
        <w:rPr>
          <w:rFonts w:ascii="Arial" w:hAnsi="Arial" w:cs="Arial" w:hint="eastAsia"/>
          <w:color w:val="000000"/>
          <w:sz w:val="21"/>
          <w:szCs w:val="21"/>
        </w:rPr>
        <w:t>年</w:t>
      </w:r>
      <w:r>
        <w:rPr>
          <w:rFonts w:ascii="Arial" w:hAnsi="Arial" w:cs="Arial" w:hint="eastAsia"/>
          <w:color w:val="000000"/>
          <w:sz w:val="21"/>
          <w:szCs w:val="21"/>
        </w:rPr>
        <w:t>1-5</w:t>
      </w:r>
      <w:r>
        <w:rPr>
          <w:rFonts w:ascii="Arial" w:hAnsi="Arial" w:cs="Arial" w:hint="eastAsia"/>
          <w:color w:val="000000"/>
          <w:sz w:val="21"/>
          <w:szCs w:val="21"/>
        </w:rPr>
        <w:t>月成交楼面均价为</w:t>
      </w:r>
      <w:r>
        <w:rPr>
          <w:rFonts w:ascii="Arial" w:hAnsi="Arial" w:cs="Arial" w:hint="eastAsia"/>
          <w:color w:val="000000"/>
          <w:sz w:val="21"/>
          <w:szCs w:val="21"/>
        </w:rPr>
        <w:t>12641</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w:t>
      </w:r>
      <w:r w:rsidRPr="00E05368">
        <w:rPr>
          <w:rFonts w:ascii="Arial" w:hAnsi="Arial" w:cs="Arial" w:hint="eastAsia"/>
          <w:color w:val="000000"/>
          <w:sz w:val="21"/>
          <w:szCs w:val="21"/>
        </w:rPr>
        <w:t>相比</w:t>
      </w:r>
      <w:r>
        <w:rPr>
          <w:rFonts w:ascii="Arial" w:hAnsi="Arial" w:cs="Arial" w:hint="eastAsia"/>
          <w:color w:val="000000"/>
          <w:sz w:val="21"/>
          <w:szCs w:val="21"/>
        </w:rPr>
        <w:t>上一年度同期</w:t>
      </w:r>
      <w:r w:rsidRPr="00E05368">
        <w:rPr>
          <w:rFonts w:ascii="Arial" w:hAnsi="Arial" w:cs="Arial" w:hint="eastAsia"/>
          <w:color w:val="000000"/>
          <w:sz w:val="21"/>
          <w:szCs w:val="21"/>
        </w:rPr>
        <w:t>，</w:t>
      </w:r>
      <w:r>
        <w:rPr>
          <w:rFonts w:ascii="Arial" w:hAnsi="Arial" w:cs="Arial" w:hint="eastAsia"/>
          <w:color w:val="000000"/>
          <w:sz w:val="21"/>
          <w:szCs w:val="21"/>
        </w:rPr>
        <w:t>增长</w:t>
      </w:r>
      <w:r>
        <w:rPr>
          <w:rFonts w:ascii="Arial" w:hAnsi="Arial" w:cs="Arial" w:hint="eastAsia"/>
          <w:color w:val="000000"/>
          <w:sz w:val="21"/>
          <w:szCs w:val="21"/>
        </w:rPr>
        <w:t>4%</w:t>
      </w:r>
      <w:r>
        <w:rPr>
          <w:rFonts w:ascii="Arial" w:hAnsi="Arial" w:cs="Arial" w:hint="eastAsia"/>
          <w:color w:val="000000"/>
          <w:sz w:val="21"/>
          <w:szCs w:val="21"/>
        </w:rPr>
        <w:t>。</w:t>
      </w:r>
    </w:p>
    <w:p w14:paraId="350F6725" w14:textId="71F9CA31" w:rsidR="00BC677C" w:rsidRPr="00E05368" w:rsidRDefault="00BC677C" w:rsidP="00BC677C">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从溢价率来看，</w:t>
      </w:r>
      <w:r>
        <w:rPr>
          <w:rFonts w:ascii="Arial" w:hAnsi="Arial" w:cs="Arial" w:hint="eastAsia"/>
          <w:color w:val="000000"/>
          <w:sz w:val="21"/>
          <w:szCs w:val="21"/>
        </w:rPr>
        <w:t>2017</w:t>
      </w:r>
      <w:r>
        <w:rPr>
          <w:rFonts w:ascii="Arial" w:hAnsi="Arial" w:cs="Arial" w:hint="eastAsia"/>
          <w:color w:val="000000"/>
          <w:sz w:val="21"/>
          <w:szCs w:val="21"/>
        </w:rPr>
        <w:t>年南京市住宅用地溢价率为近</w:t>
      </w:r>
      <w:r>
        <w:rPr>
          <w:rFonts w:ascii="Arial" w:hAnsi="Arial" w:cs="Arial" w:hint="eastAsia"/>
          <w:color w:val="000000"/>
          <w:sz w:val="21"/>
          <w:szCs w:val="21"/>
        </w:rPr>
        <w:t>5</w:t>
      </w:r>
      <w:r>
        <w:rPr>
          <w:rFonts w:ascii="Arial" w:hAnsi="Arial" w:cs="Arial" w:hint="eastAsia"/>
          <w:color w:val="000000"/>
          <w:sz w:val="21"/>
          <w:szCs w:val="21"/>
        </w:rPr>
        <w:t>年最高点，为</w:t>
      </w:r>
      <w:r>
        <w:rPr>
          <w:rFonts w:ascii="Arial" w:hAnsi="Arial" w:cs="Arial" w:hint="eastAsia"/>
          <w:color w:val="000000"/>
          <w:sz w:val="21"/>
          <w:szCs w:val="21"/>
        </w:rPr>
        <w:t>37.79%</w:t>
      </w:r>
      <w:r>
        <w:rPr>
          <w:rFonts w:ascii="Arial" w:hAnsi="Arial" w:cs="Arial" w:hint="eastAsia"/>
          <w:color w:val="000000"/>
          <w:sz w:val="21"/>
          <w:szCs w:val="21"/>
        </w:rPr>
        <w:t>，随南</w:t>
      </w:r>
      <w:r w:rsidR="000B6FF7">
        <w:rPr>
          <w:rFonts w:ascii="Arial" w:hAnsi="Arial" w:cs="Arial" w:hint="eastAsia"/>
          <w:color w:val="000000"/>
          <w:sz w:val="21"/>
          <w:szCs w:val="21"/>
        </w:rPr>
        <w:t>京市逐步推出加大房地产市场调控力度的政策，住宅用地溢价率波动下滑，</w:t>
      </w:r>
      <w:r>
        <w:rPr>
          <w:rFonts w:ascii="Arial" w:hAnsi="Arial" w:cs="Arial" w:hint="eastAsia"/>
          <w:color w:val="000000"/>
          <w:sz w:val="21"/>
          <w:szCs w:val="21"/>
        </w:rPr>
        <w:t>2018</w:t>
      </w:r>
      <w:r>
        <w:rPr>
          <w:rFonts w:ascii="Arial" w:hAnsi="Arial" w:cs="Arial" w:hint="eastAsia"/>
          <w:color w:val="000000"/>
          <w:sz w:val="21"/>
          <w:szCs w:val="21"/>
        </w:rPr>
        <w:t>年</w:t>
      </w:r>
      <w:r w:rsidR="000B6FF7">
        <w:rPr>
          <w:rFonts w:ascii="Arial" w:hAnsi="Arial" w:cs="Arial" w:hint="eastAsia"/>
          <w:color w:val="000000"/>
          <w:sz w:val="21"/>
          <w:szCs w:val="21"/>
        </w:rPr>
        <w:t>-2020</w:t>
      </w:r>
      <w:r w:rsidR="000B6FF7">
        <w:rPr>
          <w:rFonts w:ascii="Arial" w:hAnsi="Arial" w:cs="Arial" w:hint="eastAsia"/>
          <w:color w:val="000000"/>
          <w:sz w:val="21"/>
          <w:szCs w:val="21"/>
        </w:rPr>
        <w:t>年平均溢价率分别为</w:t>
      </w:r>
      <w:r w:rsidR="000B6FF7">
        <w:rPr>
          <w:rFonts w:ascii="Arial" w:hAnsi="Arial" w:cs="Arial" w:hint="eastAsia"/>
          <w:color w:val="000000"/>
          <w:sz w:val="21"/>
          <w:szCs w:val="21"/>
        </w:rPr>
        <w:t>6.69%</w:t>
      </w:r>
      <w:r w:rsidR="000B6FF7">
        <w:rPr>
          <w:rFonts w:ascii="Arial" w:hAnsi="Arial" w:cs="Arial" w:hint="eastAsia"/>
          <w:color w:val="000000"/>
          <w:sz w:val="21"/>
          <w:szCs w:val="21"/>
        </w:rPr>
        <w:t>、</w:t>
      </w:r>
      <w:r w:rsidR="000B6FF7">
        <w:rPr>
          <w:rFonts w:ascii="Arial" w:hAnsi="Arial" w:cs="Arial" w:hint="eastAsia"/>
          <w:color w:val="000000"/>
          <w:sz w:val="21"/>
          <w:szCs w:val="21"/>
        </w:rPr>
        <w:t>16.98%</w:t>
      </w:r>
      <w:r w:rsidR="000B6FF7">
        <w:rPr>
          <w:rFonts w:ascii="Arial" w:hAnsi="Arial" w:cs="Arial" w:hint="eastAsia"/>
          <w:color w:val="000000"/>
          <w:sz w:val="21"/>
          <w:szCs w:val="21"/>
        </w:rPr>
        <w:t>、</w:t>
      </w:r>
      <w:r w:rsidR="000B6FF7">
        <w:rPr>
          <w:rFonts w:ascii="Arial" w:hAnsi="Arial" w:cs="Arial" w:hint="eastAsia"/>
          <w:color w:val="000000"/>
          <w:sz w:val="21"/>
          <w:szCs w:val="21"/>
        </w:rPr>
        <w:t>11.54%</w:t>
      </w:r>
      <w:r w:rsidR="000B6FF7">
        <w:rPr>
          <w:rFonts w:ascii="Arial" w:hAnsi="Arial" w:cs="Arial" w:hint="eastAsia"/>
          <w:color w:val="000000"/>
          <w:sz w:val="21"/>
          <w:szCs w:val="21"/>
        </w:rPr>
        <w:t>；</w:t>
      </w:r>
      <w:r w:rsidR="000B6FF7">
        <w:rPr>
          <w:rFonts w:ascii="Arial" w:hAnsi="Arial" w:cs="Arial" w:hint="eastAsia"/>
          <w:color w:val="000000"/>
          <w:sz w:val="21"/>
          <w:szCs w:val="21"/>
        </w:rPr>
        <w:t>2021</w:t>
      </w:r>
      <w:r w:rsidR="000B6FF7">
        <w:rPr>
          <w:rFonts w:ascii="Arial" w:hAnsi="Arial" w:cs="Arial" w:hint="eastAsia"/>
          <w:color w:val="000000"/>
          <w:sz w:val="21"/>
          <w:szCs w:val="21"/>
        </w:rPr>
        <w:t>年</w:t>
      </w:r>
      <w:r w:rsidR="000B6FF7">
        <w:rPr>
          <w:rFonts w:ascii="Arial" w:hAnsi="Arial" w:cs="Arial" w:hint="eastAsia"/>
          <w:color w:val="000000"/>
          <w:sz w:val="21"/>
          <w:szCs w:val="21"/>
        </w:rPr>
        <w:t>1-5</w:t>
      </w:r>
      <w:r w:rsidR="000B6FF7">
        <w:rPr>
          <w:rFonts w:ascii="Arial" w:hAnsi="Arial" w:cs="Arial" w:hint="eastAsia"/>
          <w:color w:val="000000"/>
          <w:sz w:val="21"/>
          <w:szCs w:val="21"/>
        </w:rPr>
        <w:t>月</w:t>
      </w:r>
      <w:r>
        <w:rPr>
          <w:rFonts w:ascii="Arial" w:hAnsi="Arial" w:cs="Arial" w:hint="eastAsia"/>
          <w:color w:val="000000"/>
          <w:sz w:val="21"/>
          <w:szCs w:val="21"/>
        </w:rPr>
        <w:t>平均溢价率有所回升</w:t>
      </w:r>
      <w:r w:rsidR="000B6FF7">
        <w:rPr>
          <w:rFonts w:ascii="Arial" w:hAnsi="Arial" w:cs="Arial" w:hint="eastAsia"/>
          <w:color w:val="000000"/>
          <w:sz w:val="21"/>
          <w:szCs w:val="21"/>
        </w:rPr>
        <w:t>至</w:t>
      </w:r>
      <w:r w:rsidR="000B6FF7">
        <w:rPr>
          <w:rFonts w:ascii="Arial" w:hAnsi="Arial" w:cs="Arial" w:hint="eastAsia"/>
          <w:color w:val="000000"/>
          <w:sz w:val="21"/>
          <w:szCs w:val="21"/>
        </w:rPr>
        <w:t>17.02%</w:t>
      </w:r>
      <w:r>
        <w:rPr>
          <w:rFonts w:ascii="Arial" w:hAnsi="Arial" w:cs="Arial" w:hint="eastAsia"/>
          <w:color w:val="000000"/>
          <w:sz w:val="21"/>
          <w:szCs w:val="21"/>
        </w:rPr>
        <w:t>，</w:t>
      </w:r>
      <w:r w:rsidR="000B6FF7">
        <w:rPr>
          <w:rFonts w:ascii="Arial" w:hAnsi="Arial" w:cs="Arial" w:hint="eastAsia"/>
          <w:color w:val="000000"/>
          <w:sz w:val="21"/>
          <w:szCs w:val="21"/>
        </w:rPr>
        <w:t>较</w:t>
      </w:r>
      <w:r w:rsidR="000B6FF7">
        <w:rPr>
          <w:rFonts w:ascii="Arial" w:hAnsi="Arial" w:cs="Arial" w:hint="eastAsia"/>
          <w:color w:val="000000"/>
          <w:sz w:val="21"/>
          <w:szCs w:val="21"/>
        </w:rPr>
        <w:t>2020</w:t>
      </w:r>
      <w:r w:rsidR="000B6FF7">
        <w:rPr>
          <w:rFonts w:ascii="Arial" w:hAnsi="Arial" w:cs="Arial" w:hint="eastAsia"/>
          <w:color w:val="000000"/>
          <w:sz w:val="21"/>
          <w:szCs w:val="21"/>
        </w:rPr>
        <w:t>年同期上升</w:t>
      </w:r>
      <w:r w:rsidR="000B6FF7">
        <w:rPr>
          <w:rFonts w:ascii="Arial" w:hAnsi="Arial" w:cs="Arial" w:hint="eastAsia"/>
          <w:color w:val="000000"/>
          <w:sz w:val="21"/>
          <w:szCs w:val="21"/>
        </w:rPr>
        <w:t>9</w:t>
      </w:r>
      <w:r>
        <w:rPr>
          <w:rFonts w:ascii="Arial" w:hAnsi="Arial" w:cs="Arial" w:hint="eastAsia"/>
          <w:color w:val="000000"/>
          <w:sz w:val="21"/>
          <w:szCs w:val="21"/>
        </w:rPr>
        <w:t>个百分点。</w:t>
      </w:r>
    </w:p>
    <w:p w14:paraId="4E5E650B" w14:textId="775476B7" w:rsidR="00C01AA7" w:rsidRPr="00E05368" w:rsidRDefault="000B6FF7" w:rsidP="00C01AA7">
      <w:pPr>
        <w:widowControl w:val="0"/>
        <w:adjustRightInd w:val="0"/>
        <w:snapToGrid w:val="0"/>
        <w:spacing w:line="480" w:lineRule="auto"/>
        <w:jc w:val="center"/>
        <w:rPr>
          <w:rFonts w:ascii="Arial" w:hAnsi="Arial" w:cs="Arial"/>
          <w:color w:val="000000"/>
          <w:sz w:val="21"/>
          <w:szCs w:val="21"/>
        </w:rPr>
      </w:pPr>
      <w:r>
        <w:rPr>
          <w:noProof/>
        </w:rPr>
        <w:drawing>
          <wp:inline distT="0" distB="0" distL="0" distR="0" wp14:anchorId="7E5B38C5" wp14:editId="7C0A0CA0">
            <wp:extent cx="5486400" cy="2089150"/>
            <wp:effectExtent l="0" t="0" r="19050" b="25400"/>
            <wp:docPr id="27" name="图表 2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16573D5A" w14:textId="77777777" w:rsidR="00C01AA7" w:rsidRPr="00E05368" w:rsidRDefault="00C01AA7" w:rsidP="00C01AA7">
      <w:pPr>
        <w:adjustRightInd w:val="0"/>
        <w:snapToGrid w:val="0"/>
        <w:spacing w:line="480" w:lineRule="auto"/>
        <w:ind w:leftChars="-67" w:left="-20" w:hangingChars="94" w:hanging="141"/>
        <w:rPr>
          <w:rFonts w:ascii="华文细黑" w:eastAsia="华文细黑" w:hAnsi="华文细黑" w:cs="Arial"/>
          <w:color w:val="000000"/>
          <w:sz w:val="15"/>
          <w:szCs w:val="15"/>
        </w:rPr>
      </w:pPr>
      <w:r w:rsidRPr="00E05368">
        <w:rPr>
          <w:rFonts w:ascii="华文细黑" w:eastAsia="华文细黑" w:hAnsi="华文细黑" w:cs="Arial" w:hint="eastAsia"/>
          <w:color w:val="000000"/>
          <w:sz w:val="15"/>
          <w:szCs w:val="15"/>
        </w:rPr>
        <w:t>资料来源：</w:t>
      </w:r>
      <w:r w:rsidRPr="00E05368">
        <w:rPr>
          <w:rFonts w:ascii="Arial" w:eastAsia="华文细黑" w:hAnsi="Arial" w:cs="Arial"/>
          <w:color w:val="000000"/>
          <w:sz w:val="15"/>
          <w:szCs w:val="15"/>
        </w:rPr>
        <w:t>CREIS</w:t>
      </w:r>
      <w:r w:rsidRPr="00E05368">
        <w:rPr>
          <w:rFonts w:ascii="华文细黑" w:eastAsia="华文细黑" w:hAnsi="华文细黑" w:cs="Arial" w:hint="eastAsia"/>
          <w:color w:val="000000"/>
          <w:sz w:val="15"/>
          <w:szCs w:val="15"/>
        </w:rPr>
        <w:t>中指数据</w:t>
      </w:r>
    </w:p>
    <w:p w14:paraId="2BD95DD1" w14:textId="6EE0C139" w:rsidR="00C01AA7" w:rsidRPr="00E05368" w:rsidRDefault="0008092B" w:rsidP="00C01AA7">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从南京</w:t>
      </w:r>
      <w:r w:rsidR="00C01AA7" w:rsidRPr="00501FDA">
        <w:rPr>
          <w:rFonts w:ascii="Arial" w:hAnsi="Arial" w:cs="Arial" w:hint="eastAsia"/>
          <w:color w:val="000000"/>
          <w:sz w:val="21"/>
          <w:szCs w:val="21"/>
        </w:rPr>
        <w:t>市各行政区域成交土地规模分析，</w:t>
      </w:r>
      <w:r>
        <w:rPr>
          <w:rFonts w:ascii="Arial" w:hAnsi="Arial" w:cs="Arial" w:hint="eastAsia"/>
          <w:color w:val="000000"/>
          <w:sz w:val="21"/>
          <w:szCs w:val="21"/>
        </w:rPr>
        <w:t>2020</w:t>
      </w:r>
      <w:r w:rsidR="00C01AA7" w:rsidRPr="00501FDA">
        <w:rPr>
          <w:rFonts w:ascii="Arial" w:hAnsi="Arial" w:cs="Arial" w:hint="eastAsia"/>
          <w:color w:val="000000"/>
          <w:sz w:val="21"/>
          <w:szCs w:val="21"/>
        </w:rPr>
        <w:t>年至</w:t>
      </w:r>
      <w:r>
        <w:rPr>
          <w:rFonts w:ascii="Arial" w:hAnsi="Arial" w:cs="Arial" w:hint="eastAsia"/>
          <w:color w:val="000000"/>
          <w:sz w:val="21"/>
          <w:szCs w:val="21"/>
        </w:rPr>
        <w:t>2021</w:t>
      </w:r>
      <w:r w:rsidR="00C01AA7" w:rsidRPr="00501FDA">
        <w:rPr>
          <w:rFonts w:ascii="Arial" w:hAnsi="Arial" w:cs="Arial" w:hint="eastAsia"/>
          <w:color w:val="000000"/>
          <w:sz w:val="21"/>
          <w:szCs w:val="21"/>
        </w:rPr>
        <w:t>年</w:t>
      </w:r>
      <w:r w:rsidR="008374F5">
        <w:rPr>
          <w:rFonts w:ascii="Arial" w:hAnsi="Arial" w:cs="Arial" w:hint="eastAsia"/>
          <w:color w:val="000000"/>
          <w:sz w:val="21"/>
          <w:szCs w:val="21"/>
        </w:rPr>
        <w:t>1-5</w:t>
      </w:r>
      <w:r w:rsidR="008374F5">
        <w:rPr>
          <w:rFonts w:ascii="Arial" w:hAnsi="Arial" w:cs="Arial" w:hint="eastAsia"/>
          <w:color w:val="000000"/>
          <w:sz w:val="21"/>
          <w:szCs w:val="21"/>
        </w:rPr>
        <w:t>月溧水</w:t>
      </w:r>
      <w:proofErr w:type="gramStart"/>
      <w:r w:rsidR="008374F5">
        <w:rPr>
          <w:rFonts w:ascii="Arial" w:hAnsi="Arial" w:cs="Arial" w:hint="eastAsia"/>
          <w:color w:val="000000"/>
          <w:sz w:val="21"/>
          <w:szCs w:val="21"/>
        </w:rPr>
        <w:t>区</w:t>
      </w:r>
      <w:r w:rsidR="00C01AA7" w:rsidRPr="00501FDA">
        <w:rPr>
          <w:rFonts w:ascii="Arial" w:hAnsi="Arial" w:cs="Arial" w:hint="eastAsia"/>
          <w:color w:val="000000"/>
          <w:sz w:val="21"/>
          <w:szCs w:val="21"/>
        </w:rPr>
        <w:t>成交</w:t>
      </w:r>
      <w:proofErr w:type="gramEnd"/>
      <w:r w:rsidR="00C01AA7" w:rsidRPr="00501FDA">
        <w:rPr>
          <w:rFonts w:ascii="Arial" w:hAnsi="Arial" w:cs="Arial" w:hint="eastAsia"/>
          <w:color w:val="000000"/>
          <w:sz w:val="21"/>
          <w:szCs w:val="21"/>
        </w:rPr>
        <w:t>规模最大，成交土地面积为</w:t>
      </w:r>
      <w:r w:rsidR="008374F5" w:rsidRPr="008374F5">
        <w:rPr>
          <w:rFonts w:ascii="Arial" w:hAnsi="Arial" w:cs="Arial"/>
          <w:color w:val="000000"/>
          <w:sz w:val="21"/>
          <w:szCs w:val="21"/>
        </w:rPr>
        <w:t>237.08</w:t>
      </w:r>
      <w:r w:rsidR="00C01AA7" w:rsidRPr="00501FDA">
        <w:rPr>
          <w:rFonts w:ascii="Arial" w:hAnsi="Arial" w:cs="Arial" w:hint="eastAsia"/>
          <w:color w:val="000000"/>
          <w:sz w:val="21"/>
          <w:szCs w:val="21"/>
        </w:rPr>
        <w:t>万平方米，新增规划建筑面积</w:t>
      </w:r>
      <w:r w:rsidR="00C01AA7" w:rsidRPr="00501FDA">
        <w:rPr>
          <w:rFonts w:ascii="Arial" w:hAnsi="Arial" w:cs="Arial"/>
          <w:color w:val="000000"/>
          <w:sz w:val="21"/>
          <w:szCs w:val="21"/>
        </w:rPr>
        <w:t>为</w:t>
      </w:r>
      <w:r w:rsidR="008374F5" w:rsidRPr="008374F5">
        <w:rPr>
          <w:rFonts w:ascii="Arial" w:hAnsi="Arial" w:cs="Arial"/>
          <w:color w:val="000000"/>
          <w:sz w:val="21"/>
          <w:szCs w:val="21"/>
        </w:rPr>
        <w:t>471.32</w:t>
      </w:r>
      <w:r w:rsidR="00C01AA7" w:rsidRPr="00501FDA">
        <w:rPr>
          <w:rFonts w:ascii="Arial" w:hAnsi="Arial" w:cs="Arial" w:hint="eastAsia"/>
          <w:color w:val="000000"/>
          <w:sz w:val="21"/>
          <w:szCs w:val="21"/>
        </w:rPr>
        <w:t>万</w:t>
      </w:r>
      <w:r w:rsidR="00C01AA7" w:rsidRPr="00501FDA">
        <w:rPr>
          <w:rFonts w:ascii="Arial" w:hAnsi="Arial" w:cs="Arial"/>
          <w:color w:val="000000"/>
          <w:sz w:val="21"/>
          <w:szCs w:val="21"/>
        </w:rPr>
        <w:t>平方米</w:t>
      </w:r>
      <w:r w:rsidR="008374F5">
        <w:rPr>
          <w:rFonts w:ascii="Arial" w:hAnsi="Arial" w:cs="Arial" w:hint="eastAsia"/>
          <w:color w:val="000000"/>
          <w:sz w:val="21"/>
          <w:szCs w:val="21"/>
        </w:rPr>
        <w:t>。从数据上可以看出，楼面价方面是建</w:t>
      </w:r>
      <w:proofErr w:type="gramStart"/>
      <w:r w:rsidR="008374F5">
        <w:rPr>
          <w:rFonts w:ascii="Arial" w:hAnsi="Arial" w:cs="Arial" w:hint="eastAsia"/>
          <w:color w:val="000000"/>
          <w:sz w:val="21"/>
          <w:szCs w:val="21"/>
        </w:rPr>
        <w:t>邺</w:t>
      </w:r>
      <w:proofErr w:type="gramEnd"/>
      <w:r w:rsidR="008374F5">
        <w:rPr>
          <w:rFonts w:ascii="Arial" w:hAnsi="Arial" w:cs="Arial" w:hint="eastAsia"/>
          <w:color w:val="000000"/>
          <w:sz w:val="21"/>
          <w:szCs w:val="21"/>
        </w:rPr>
        <w:t>区及秦淮区</w:t>
      </w:r>
      <w:r w:rsidR="00C01AA7" w:rsidRPr="00501FDA">
        <w:rPr>
          <w:rFonts w:ascii="Arial" w:hAnsi="Arial" w:cs="Arial" w:hint="eastAsia"/>
          <w:color w:val="000000"/>
          <w:sz w:val="21"/>
          <w:szCs w:val="21"/>
        </w:rPr>
        <w:t>最高，</w:t>
      </w:r>
      <w:r w:rsidR="008374F5">
        <w:rPr>
          <w:rFonts w:ascii="Arial" w:hAnsi="Arial" w:cs="Arial" w:hint="eastAsia"/>
          <w:color w:val="000000"/>
          <w:sz w:val="21"/>
          <w:szCs w:val="21"/>
        </w:rPr>
        <w:t>分别为</w:t>
      </w:r>
      <w:r w:rsidR="008374F5">
        <w:rPr>
          <w:rFonts w:ascii="Arial" w:hAnsi="Arial" w:cs="Arial" w:hint="eastAsia"/>
          <w:color w:val="000000"/>
          <w:sz w:val="21"/>
          <w:szCs w:val="21"/>
        </w:rPr>
        <w:t>21876</w:t>
      </w:r>
      <w:r w:rsidR="00C01AA7" w:rsidRPr="00501FDA">
        <w:rPr>
          <w:rFonts w:ascii="Arial" w:hAnsi="Arial" w:cs="Arial"/>
          <w:color w:val="000000"/>
          <w:sz w:val="21"/>
          <w:szCs w:val="21"/>
        </w:rPr>
        <w:t>元</w:t>
      </w:r>
      <w:r w:rsidR="00C01AA7" w:rsidRPr="00501FDA">
        <w:rPr>
          <w:rFonts w:ascii="Arial" w:hAnsi="Arial" w:cs="Arial"/>
          <w:color w:val="000000"/>
          <w:sz w:val="21"/>
          <w:szCs w:val="21"/>
        </w:rPr>
        <w:t>/</w:t>
      </w:r>
      <w:proofErr w:type="gramStart"/>
      <w:r w:rsidR="00C01AA7" w:rsidRPr="00501FDA">
        <w:rPr>
          <w:rFonts w:ascii="Arial" w:hAnsi="Arial" w:cs="Arial"/>
          <w:color w:val="000000"/>
          <w:sz w:val="21"/>
          <w:szCs w:val="21"/>
        </w:rPr>
        <w:t>平米</w:t>
      </w:r>
      <w:r w:rsidR="008374F5">
        <w:rPr>
          <w:rFonts w:ascii="Arial" w:hAnsi="Arial" w:cs="Arial" w:hint="eastAsia"/>
          <w:color w:val="000000"/>
          <w:sz w:val="21"/>
          <w:szCs w:val="21"/>
        </w:rPr>
        <w:t>及</w:t>
      </w:r>
      <w:proofErr w:type="gramEnd"/>
      <w:r w:rsidR="008374F5">
        <w:rPr>
          <w:rFonts w:ascii="Arial" w:hAnsi="Arial" w:cs="Arial" w:hint="eastAsia"/>
          <w:color w:val="000000"/>
          <w:sz w:val="21"/>
          <w:szCs w:val="21"/>
        </w:rPr>
        <w:t>20100</w:t>
      </w:r>
      <w:r w:rsidR="008374F5" w:rsidRPr="00501FDA">
        <w:rPr>
          <w:rFonts w:ascii="Arial" w:hAnsi="Arial" w:cs="Arial"/>
          <w:color w:val="000000"/>
          <w:sz w:val="21"/>
          <w:szCs w:val="21"/>
        </w:rPr>
        <w:t>元</w:t>
      </w:r>
      <w:r w:rsidR="008374F5" w:rsidRPr="00501FDA">
        <w:rPr>
          <w:rFonts w:ascii="Arial" w:hAnsi="Arial" w:cs="Arial"/>
          <w:color w:val="000000"/>
          <w:sz w:val="21"/>
          <w:szCs w:val="21"/>
        </w:rPr>
        <w:t>/</w:t>
      </w:r>
      <w:r w:rsidR="008374F5" w:rsidRPr="00501FDA">
        <w:rPr>
          <w:rFonts w:ascii="Arial" w:hAnsi="Arial" w:cs="Arial"/>
          <w:color w:val="000000"/>
          <w:sz w:val="21"/>
          <w:szCs w:val="21"/>
        </w:rPr>
        <w:t>平米</w:t>
      </w:r>
      <w:r w:rsidR="008374F5">
        <w:rPr>
          <w:rFonts w:ascii="Arial" w:hAnsi="Arial" w:cs="Arial" w:hint="eastAsia"/>
          <w:color w:val="000000"/>
          <w:sz w:val="21"/>
          <w:szCs w:val="21"/>
        </w:rPr>
        <w:t>。</w:t>
      </w:r>
    </w:p>
    <w:p w14:paraId="4CF0F6A3" w14:textId="474AFF83" w:rsidR="00C01AA7" w:rsidRPr="00E05368" w:rsidRDefault="008374F5" w:rsidP="00C01AA7">
      <w:pPr>
        <w:widowControl w:val="0"/>
        <w:adjustRightInd w:val="0"/>
        <w:snapToGrid w:val="0"/>
        <w:spacing w:line="480" w:lineRule="auto"/>
        <w:jc w:val="center"/>
        <w:rPr>
          <w:rFonts w:ascii="Arial" w:hAnsi="Arial" w:cs="Arial"/>
          <w:color w:val="000000"/>
          <w:sz w:val="21"/>
          <w:szCs w:val="21"/>
        </w:rPr>
      </w:pPr>
      <w:r>
        <w:rPr>
          <w:noProof/>
        </w:rPr>
        <w:lastRenderedPageBreak/>
        <w:drawing>
          <wp:inline distT="0" distB="0" distL="0" distR="0" wp14:anchorId="233925C6" wp14:editId="626AE6F5">
            <wp:extent cx="5486400" cy="2072640"/>
            <wp:effectExtent l="0" t="0" r="19050" b="22860"/>
            <wp:docPr id="28" name="图表 2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5332B1A4" w14:textId="77777777" w:rsidR="00C01AA7" w:rsidRPr="00E05368" w:rsidRDefault="00C01AA7" w:rsidP="00C01AA7">
      <w:pPr>
        <w:adjustRightInd w:val="0"/>
        <w:snapToGrid w:val="0"/>
        <w:spacing w:line="480" w:lineRule="auto"/>
        <w:ind w:leftChars="-67" w:left="-20" w:hangingChars="94" w:hanging="141"/>
        <w:rPr>
          <w:rFonts w:ascii="华文细黑" w:eastAsia="华文细黑" w:hAnsi="华文细黑" w:cs="Arial"/>
          <w:color w:val="000000"/>
          <w:sz w:val="15"/>
          <w:szCs w:val="15"/>
        </w:rPr>
      </w:pPr>
      <w:r w:rsidRPr="00E05368">
        <w:rPr>
          <w:rFonts w:ascii="华文细黑" w:eastAsia="华文细黑" w:hAnsi="华文细黑" w:cs="Arial" w:hint="eastAsia"/>
          <w:color w:val="000000"/>
          <w:sz w:val="15"/>
          <w:szCs w:val="15"/>
        </w:rPr>
        <w:t>资料来源：</w:t>
      </w:r>
      <w:r w:rsidRPr="00E05368">
        <w:rPr>
          <w:rFonts w:ascii="Arial" w:eastAsia="华文细黑" w:hAnsi="Arial" w:cs="Arial"/>
          <w:color w:val="000000"/>
          <w:sz w:val="15"/>
          <w:szCs w:val="15"/>
        </w:rPr>
        <w:t>CREIS</w:t>
      </w:r>
      <w:r w:rsidRPr="00E05368">
        <w:rPr>
          <w:rFonts w:ascii="华文细黑" w:eastAsia="华文细黑" w:hAnsi="华文细黑" w:cs="Arial" w:hint="eastAsia"/>
          <w:color w:val="000000"/>
          <w:sz w:val="15"/>
          <w:szCs w:val="15"/>
        </w:rPr>
        <w:t>中指数据</w:t>
      </w:r>
    </w:p>
    <w:p w14:paraId="72DF098C" w14:textId="77777777" w:rsidR="00C7455C" w:rsidRPr="00E05368" w:rsidRDefault="00C7455C" w:rsidP="00C7455C">
      <w:pPr>
        <w:pStyle w:val="2"/>
        <w:tabs>
          <w:tab w:val="left" w:pos="5220"/>
        </w:tabs>
        <w:spacing w:before="0" w:after="0" w:line="480" w:lineRule="auto"/>
        <w:ind w:firstLineChars="98" w:firstLine="207"/>
        <w:jc w:val="both"/>
        <w:rPr>
          <w:rFonts w:eastAsia="宋体" w:cs="Arial"/>
          <w:sz w:val="21"/>
          <w:szCs w:val="21"/>
        </w:rPr>
      </w:pPr>
      <w:bookmarkStart w:id="128" w:name="_Toc43885859"/>
      <w:bookmarkStart w:id="129" w:name="_Toc74250072"/>
      <w:bookmarkStart w:id="130" w:name="_Toc74662902"/>
      <w:r w:rsidRPr="00E05368">
        <w:rPr>
          <w:rFonts w:eastAsia="宋体" w:cs="Arial"/>
          <w:sz w:val="21"/>
          <w:szCs w:val="21"/>
        </w:rPr>
        <w:t>（</w:t>
      </w:r>
      <w:r w:rsidRPr="00E05368">
        <w:rPr>
          <w:rFonts w:eastAsia="宋体" w:cs="Arial" w:hint="eastAsia"/>
          <w:sz w:val="21"/>
          <w:szCs w:val="21"/>
        </w:rPr>
        <w:t>五</w:t>
      </w:r>
      <w:r w:rsidRPr="00E05368">
        <w:rPr>
          <w:rFonts w:eastAsia="宋体" w:cs="Arial"/>
          <w:sz w:val="21"/>
          <w:szCs w:val="21"/>
        </w:rPr>
        <w:t>）</w:t>
      </w:r>
      <w:r w:rsidRPr="00E05368">
        <w:rPr>
          <w:rFonts w:eastAsia="宋体" w:cs="Arial" w:hint="eastAsia"/>
          <w:sz w:val="21"/>
          <w:szCs w:val="21"/>
        </w:rPr>
        <w:t>房地产市场概况</w:t>
      </w:r>
      <w:bookmarkEnd w:id="128"/>
      <w:bookmarkEnd w:id="129"/>
      <w:bookmarkEnd w:id="130"/>
    </w:p>
    <w:p w14:paraId="3D85E392" w14:textId="77777777" w:rsidR="00C01AA7" w:rsidRPr="00E05368" w:rsidRDefault="00C01AA7" w:rsidP="00C01AA7">
      <w:pPr>
        <w:widowControl w:val="0"/>
        <w:adjustRightInd w:val="0"/>
        <w:snapToGrid w:val="0"/>
        <w:spacing w:line="480" w:lineRule="auto"/>
        <w:ind w:firstLineChars="200" w:firstLine="420"/>
        <w:jc w:val="both"/>
        <w:rPr>
          <w:rFonts w:ascii="Arial" w:hAnsi="Arial" w:cs="Arial"/>
          <w:sz w:val="21"/>
          <w:szCs w:val="21"/>
        </w:rPr>
      </w:pPr>
      <w:r w:rsidRPr="00E05368">
        <w:rPr>
          <w:rFonts w:ascii="Arial" w:hAnsi="Arial" w:cs="Arial" w:hint="eastAsia"/>
          <w:sz w:val="21"/>
          <w:szCs w:val="21"/>
        </w:rPr>
        <w:t>1</w:t>
      </w:r>
      <w:r w:rsidRPr="00E05368">
        <w:rPr>
          <w:rFonts w:ascii="Arial" w:hAnsi="Arial" w:cs="Arial" w:hint="eastAsia"/>
          <w:sz w:val="21"/>
          <w:szCs w:val="21"/>
        </w:rPr>
        <w:t>、供销走势</w:t>
      </w:r>
    </w:p>
    <w:p w14:paraId="547823F1" w14:textId="1D3D2C10" w:rsidR="00C01AA7" w:rsidRDefault="00C01AA7" w:rsidP="00C01AA7">
      <w:pPr>
        <w:widowControl w:val="0"/>
        <w:adjustRightInd w:val="0"/>
        <w:snapToGrid w:val="0"/>
        <w:spacing w:line="480" w:lineRule="auto"/>
        <w:ind w:firstLineChars="200" w:firstLine="420"/>
        <w:jc w:val="both"/>
        <w:rPr>
          <w:rFonts w:ascii="Arial" w:hAnsi="Arial" w:cs="Arial"/>
          <w:sz w:val="21"/>
          <w:szCs w:val="21"/>
        </w:rPr>
      </w:pPr>
      <w:r w:rsidRPr="00E05368">
        <w:rPr>
          <w:rFonts w:ascii="Arial" w:hAnsi="Arial" w:cs="Arial" w:hint="eastAsia"/>
          <w:sz w:val="21"/>
          <w:szCs w:val="21"/>
        </w:rPr>
        <w:t>从供应量上看，</w:t>
      </w:r>
      <w:r w:rsidR="003B3DDE">
        <w:rPr>
          <w:rFonts w:ascii="Arial" w:hAnsi="Arial" w:cs="Arial" w:hint="eastAsia"/>
          <w:sz w:val="21"/>
          <w:szCs w:val="21"/>
        </w:rPr>
        <w:t>南京</w:t>
      </w:r>
      <w:r>
        <w:rPr>
          <w:rFonts w:ascii="Arial" w:hAnsi="Arial" w:cs="Arial" w:hint="eastAsia"/>
          <w:sz w:val="21"/>
          <w:szCs w:val="21"/>
        </w:rPr>
        <w:t>市商品住宅用房供应量</w:t>
      </w:r>
      <w:r>
        <w:rPr>
          <w:rFonts w:ascii="Arial" w:hAnsi="Arial" w:cs="Arial" w:hint="eastAsia"/>
          <w:sz w:val="21"/>
          <w:szCs w:val="21"/>
        </w:rPr>
        <w:t>2015-2016</w:t>
      </w:r>
      <w:r>
        <w:rPr>
          <w:rFonts w:ascii="Arial" w:hAnsi="Arial" w:cs="Arial" w:hint="eastAsia"/>
          <w:sz w:val="21"/>
          <w:szCs w:val="21"/>
        </w:rPr>
        <w:t>年处于较高水平，</w:t>
      </w:r>
      <w:r>
        <w:rPr>
          <w:rFonts w:ascii="Arial" w:hAnsi="Arial" w:cs="Arial" w:hint="eastAsia"/>
          <w:sz w:val="21"/>
          <w:szCs w:val="21"/>
        </w:rPr>
        <w:t>2017-2018</w:t>
      </w:r>
      <w:r>
        <w:rPr>
          <w:rFonts w:ascii="Arial" w:hAnsi="Arial" w:cs="Arial" w:hint="eastAsia"/>
          <w:sz w:val="21"/>
          <w:szCs w:val="21"/>
        </w:rPr>
        <w:t>年跌入谷底</w:t>
      </w:r>
      <w:r w:rsidRPr="00E05368">
        <w:rPr>
          <w:rFonts w:ascii="Arial" w:hAnsi="Arial" w:cs="Arial" w:hint="eastAsia"/>
          <w:sz w:val="21"/>
          <w:szCs w:val="21"/>
        </w:rPr>
        <w:t>，</w:t>
      </w:r>
      <w:r>
        <w:rPr>
          <w:rFonts w:ascii="Arial" w:hAnsi="Arial" w:cs="Arial" w:hint="eastAsia"/>
          <w:sz w:val="21"/>
          <w:szCs w:val="21"/>
        </w:rPr>
        <w:t>2019-2020</w:t>
      </w:r>
      <w:r>
        <w:rPr>
          <w:rFonts w:ascii="Arial" w:hAnsi="Arial" w:cs="Arial" w:hint="eastAsia"/>
          <w:sz w:val="21"/>
          <w:szCs w:val="21"/>
        </w:rPr>
        <w:t>年小幅度回升</w:t>
      </w:r>
      <w:r w:rsidR="00B372EC">
        <w:rPr>
          <w:rFonts w:ascii="Arial" w:hAnsi="Arial" w:cs="Arial" w:hint="eastAsia"/>
          <w:sz w:val="21"/>
          <w:szCs w:val="21"/>
        </w:rPr>
        <w:t>，</w:t>
      </w:r>
      <w:r w:rsidR="00B372EC">
        <w:rPr>
          <w:rFonts w:ascii="Arial" w:hAnsi="Arial" w:cs="Arial" w:hint="eastAsia"/>
          <w:color w:val="000000"/>
          <w:sz w:val="21"/>
          <w:szCs w:val="21"/>
        </w:rPr>
        <w:t>但仍未恢复至</w:t>
      </w:r>
      <w:r w:rsidR="00B372EC">
        <w:rPr>
          <w:rFonts w:ascii="Arial" w:hAnsi="Arial" w:cs="Arial" w:hint="eastAsia"/>
          <w:color w:val="000000"/>
          <w:sz w:val="21"/>
          <w:szCs w:val="21"/>
        </w:rPr>
        <w:t>2015-2016</w:t>
      </w:r>
      <w:r w:rsidR="00B372EC">
        <w:rPr>
          <w:rFonts w:ascii="Arial" w:hAnsi="Arial" w:cs="Arial" w:hint="eastAsia"/>
          <w:color w:val="000000"/>
          <w:sz w:val="21"/>
          <w:szCs w:val="21"/>
        </w:rPr>
        <w:t>年市场水平</w:t>
      </w:r>
      <w:r>
        <w:rPr>
          <w:rFonts w:ascii="Arial" w:hAnsi="Arial" w:cs="Arial" w:hint="eastAsia"/>
          <w:sz w:val="21"/>
          <w:szCs w:val="21"/>
        </w:rPr>
        <w:t>。其中</w:t>
      </w:r>
      <w:r w:rsidR="00B372EC">
        <w:rPr>
          <w:rFonts w:ascii="Arial" w:hAnsi="Arial" w:cs="Arial" w:hint="eastAsia"/>
          <w:sz w:val="21"/>
          <w:szCs w:val="21"/>
        </w:rPr>
        <w:t>2015</w:t>
      </w:r>
      <w:r>
        <w:rPr>
          <w:rFonts w:ascii="Arial" w:hAnsi="Arial" w:cs="Arial" w:hint="eastAsia"/>
          <w:sz w:val="21"/>
          <w:szCs w:val="21"/>
        </w:rPr>
        <w:t>年为近年来供应顶峰（</w:t>
      </w:r>
      <w:r w:rsidR="00B372EC" w:rsidRPr="00B372EC">
        <w:rPr>
          <w:rFonts w:ascii="Arial" w:hAnsi="Arial" w:cs="Arial"/>
          <w:sz w:val="21"/>
          <w:szCs w:val="21"/>
        </w:rPr>
        <w:t>1047.17</w:t>
      </w:r>
      <w:r>
        <w:rPr>
          <w:rFonts w:ascii="Arial" w:hAnsi="Arial" w:cs="Arial" w:hint="eastAsia"/>
          <w:sz w:val="21"/>
          <w:szCs w:val="21"/>
        </w:rPr>
        <w:t>万平方米），</w:t>
      </w:r>
      <w:r>
        <w:rPr>
          <w:rFonts w:ascii="Arial" w:hAnsi="Arial" w:cs="Arial" w:hint="eastAsia"/>
          <w:sz w:val="21"/>
          <w:szCs w:val="21"/>
        </w:rPr>
        <w:t>2017</w:t>
      </w:r>
      <w:r>
        <w:rPr>
          <w:rFonts w:ascii="Arial" w:hAnsi="Arial" w:cs="Arial" w:hint="eastAsia"/>
          <w:sz w:val="21"/>
          <w:szCs w:val="21"/>
        </w:rPr>
        <w:t>年出现急剧下滑（</w:t>
      </w:r>
      <w:r w:rsidR="00B372EC" w:rsidRPr="00B372EC">
        <w:rPr>
          <w:rFonts w:ascii="Arial" w:hAnsi="Arial" w:cs="Arial"/>
          <w:sz w:val="21"/>
          <w:szCs w:val="21"/>
        </w:rPr>
        <w:t>688.73</w:t>
      </w:r>
      <w:r>
        <w:rPr>
          <w:rFonts w:ascii="Arial" w:hAnsi="Arial" w:cs="Arial" w:hint="eastAsia"/>
          <w:sz w:val="21"/>
          <w:szCs w:val="21"/>
        </w:rPr>
        <w:t>万平方米）</w:t>
      </w:r>
      <w:r w:rsidRPr="00465885">
        <w:rPr>
          <w:rFonts w:ascii="Arial" w:hAnsi="Arial" w:cs="Arial" w:hint="eastAsia"/>
          <w:sz w:val="21"/>
          <w:szCs w:val="21"/>
        </w:rPr>
        <w:t>。</w:t>
      </w:r>
      <w:r w:rsidR="006969FD">
        <w:rPr>
          <w:rFonts w:ascii="Arial" w:hAnsi="Arial" w:cs="Arial" w:hint="eastAsia"/>
          <w:sz w:val="21"/>
          <w:szCs w:val="21"/>
        </w:rPr>
        <w:t>2021</w:t>
      </w:r>
      <w:r w:rsidR="006969FD">
        <w:rPr>
          <w:rFonts w:ascii="Arial" w:hAnsi="Arial" w:cs="Arial" w:hint="eastAsia"/>
          <w:sz w:val="21"/>
          <w:szCs w:val="21"/>
        </w:rPr>
        <w:t>年</w:t>
      </w:r>
      <w:r w:rsidR="006969FD">
        <w:rPr>
          <w:rFonts w:ascii="Arial" w:hAnsi="Arial" w:cs="Arial" w:hint="eastAsia"/>
          <w:sz w:val="21"/>
          <w:szCs w:val="21"/>
        </w:rPr>
        <w:t>1-5</w:t>
      </w:r>
      <w:r w:rsidR="006969FD">
        <w:rPr>
          <w:rFonts w:ascii="Arial" w:hAnsi="Arial" w:cs="Arial" w:hint="eastAsia"/>
          <w:sz w:val="21"/>
          <w:szCs w:val="21"/>
        </w:rPr>
        <w:t>月</w:t>
      </w:r>
      <w:r>
        <w:rPr>
          <w:rFonts w:ascii="Arial" w:hAnsi="Arial" w:cs="Arial" w:hint="eastAsia"/>
          <w:sz w:val="21"/>
          <w:szCs w:val="21"/>
        </w:rPr>
        <w:t>供应量</w:t>
      </w:r>
      <w:r w:rsidR="006969FD">
        <w:rPr>
          <w:rFonts w:ascii="Arial" w:hAnsi="Arial" w:cs="Arial" w:hint="eastAsia"/>
          <w:sz w:val="21"/>
          <w:szCs w:val="21"/>
        </w:rPr>
        <w:t>（</w:t>
      </w:r>
      <w:r w:rsidR="006969FD" w:rsidRPr="006969FD">
        <w:rPr>
          <w:rFonts w:ascii="Arial" w:hAnsi="Arial" w:cs="Arial"/>
          <w:sz w:val="21"/>
          <w:szCs w:val="21"/>
        </w:rPr>
        <w:t>449.61</w:t>
      </w:r>
      <w:r w:rsidR="006969FD">
        <w:rPr>
          <w:rFonts w:ascii="Arial" w:hAnsi="Arial" w:cs="Arial" w:hint="eastAsia"/>
          <w:sz w:val="21"/>
          <w:szCs w:val="21"/>
        </w:rPr>
        <w:t>万平方米）</w:t>
      </w:r>
      <w:r>
        <w:rPr>
          <w:rFonts w:ascii="Arial" w:hAnsi="Arial" w:cs="Arial" w:hint="eastAsia"/>
          <w:sz w:val="21"/>
          <w:szCs w:val="21"/>
        </w:rPr>
        <w:t>较上一年度</w:t>
      </w:r>
      <w:r w:rsidR="006969FD">
        <w:rPr>
          <w:rFonts w:ascii="Arial" w:hAnsi="Arial" w:cs="Arial" w:hint="eastAsia"/>
          <w:sz w:val="21"/>
          <w:szCs w:val="21"/>
        </w:rPr>
        <w:t>同期</w:t>
      </w:r>
      <w:r>
        <w:rPr>
          <w:rFonts w:ascii="Arial" w:hAnsi="Arial" w:cs="Arial" w:hint="eastAsia"/>
          <w:sz w:val="21"/>
          <w:szCs w:val="21"/>
        </w:rPr>
        <w:t>上涨突出，</w:t>
      </w:r>
      <w:r w:rsidR="006969FD">
        <w:rPr>
          <w:rFonts w:ascii="Arial" w:hAnsi="Arial" w:cs="Arial" w:hint="eastAsia"/>
          <w:sz w:val="21"/>
          <w:szCs w:val="21"/>
        </w:rPr>
        <w:t>涨幅达</w:t>
      </w:r>
      <w:r w:rsidR="006969FD">
        <w:rPr>
          <w:rFonts w:ascii="Arial" w:hAnsi="Arial" w:cs="Arial" w:hint="eastAsia"/>
          <w:sz w:val="21"/>
          <w:szCs w:val="21"/>
        </w:rPr>
        <w:t>91.6%</w:t>
      </w:r>
      <w:r>
        <w:rPr>
          <w:rFonts w:ascii="Arial" w:hAnsi="Arial" w:cs="Arial" w:hint="eastAsia"/>
          <w:sz w:val="21"/>
          <w:szCs w:val="21"/>
        </w:rPr>
        <w:t>。</w:t>
      </w:r>
    </w:p>
    <w:p w14:paraId="61BCE3DE" w14:textId="114BBED8" w:rsidR="00C01AA7" w:rsidRPr="00E05368" w:rsidRDefault="00202DDC" w:rsidP="00C01AA7">
      <w:pPr>
        <w:widowControl w:val="0"/>
        <w:adjustRightInd w:val="0"/>
        <w:snapToGrid w:val="0"/>
        <w:spacing w:line="480" w:lineRule="auto"/>
        <w:jc w:val="center"/>
        <w:rPr>
          <w:rFonts w:ascii="Arial" w:hAnsi="Arial" w:cs="Arial"/>
          <w:sz w:val="21"/>
          <w:szCs w:val="21"/>
        </w:rPr>
      </w:pPr>
      <w:r>
        <w:rPr>
          <w:noProof/>
        </w:rPr>
        <w:drawing>
          <wp:inline distT="0" distB="0" distL="0" distR="0" wp14:anchorId="21E51387" wp14:editId="6C2AD837">
            <wp:extent cx="5486400" cy="1931035"/>
            <wp:effectExtent l="0" t="0" r="19050" b="12065"/>
            <wp:docPr id="29" name="图表 2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267EB748" w14:textId="77777777" w:rsidR="00C01AA7" w:rsidRPr="00E05368" w:rsidRDefault="00C01AA7" w:rsidP="00C01AA7">
      <w:pPr>
        <w:adjustRightInd w:val="0"/>
        <w:snapToGrid w:val="0"/>
        <w:spacing w:line="480" w:lineRule="auto"/>
        <w:rPr>
          <w:rFonts w:ascii="华文细黑" w:eastAsia="华文细黑" w:hAnsi="华文细黑" w:cs="Arial"/>
          <w:sz w:val="15"/>
          <w:szCs w:val="15"/>
        </w:rPr>
      </w:pPr>
      <w:r w:rsidRPr="00E05368">
        <w:rPr>
          <w:rFonts w:ascii="华文细黑" w:eastAsia="华文细黑" w:hAnsi="华文细黑" w:cs="Arial" w:hint="eastAsia"/>
          <w:sz w:val="15"/>
          <w:szCs w:val="15"/>
        </w:rPr>
        <w:t>资料来源：</w:t>
      </w:r>
      <w:r w:rsidRPr="00E05368">
        <w:rPr>
          <w:rFonts w:ascii="Arial" w:eastAsia="华文细黑" w:hAnsi="Arial" w:cs="Arial"/>
          <w:color w:val="000000"/>
          <w:sz w:val="15"/>
          <w:szCs w:val="15"/>
        </w:rPr>
        <w:t>CREIS</w:t>
      </w:r>
      <w:r w:rsidRPr="00E05368">
        <w:rPr>
          <w:rFonts w:ascii="华文细黑" w:eastAsia="华文细黑" w:hAnsi="华文细黑" w:cs="Arial" w:hint="eastAsia"/>
          <w:color w:val="000000"/>
          <w:sz w:val="15"/>
          <w:szCs w:val="15"/>
        </w:rPr>
        <w:t>中指数据</w:t>
      </w:r>
    </w:p>
    <w:p w14:paraId="664A13C1" w14:textId="08978941" w:rsidR="00C01AA7" w:rsidRPr="00E05368" w:rsidRDefault="00940DA9" w:rsidP="00C01AA7">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2020</w:t>
      </w:r>
      <w:r w:rsidR="00C01AA7" w:rsidRPr="00E05368">
        <w:rPr>
          <w:rFonts w:ascii="Arial" w:hAnsi="Arial" w:cs="Arial" w:hint="eastAsia"/>
          <w:sz w:val="21"/>
          <w:szCs w:val="21"/>
        </w:rPr>
        <w:t>年</w:t>
      </w:r>
      <w:r>
        <w:rPr>
          <w:rFonts w:ascii="Arial" w:hAnsi="Arial" w:cs="Arial" w:hint="eastAsia"/>
          <w:sz w:val="21"/>
          <w:szCs w:val="21"/>
        </w:rPr>
        <w:t>南京</w:t>
      </w:r>
      <w:r w:rsidR="00C01AA7">
        <w:rPr>
          <w:rFonts w:ascii="Arial" w:hAnsi="Arial" w:cs="Arial" w:hint="eastAsia"/>
          <w:sz w:val="21"/>
          <w:szCs w:val="21"/>
        </w:rPr>
        <w:t>市</w:t>
      </w:r>
      <w:r w:rsidR="00C01AA7" w:rsidRPr="00E05368">
        <w:rPr>
          <w:rFonts w:ascii="Arial" w:hAnsi="Arial" w:cs="Arial" w:hint="eastAsia"/>
          <w:sz w:val="21"/>
          <w:szCs w:val="21"/>
        </w:rPr>
        <w:t>商品住宅供应面积为</w:t>
      </w:r>
      <w:r w:rsidRPr="00940DA9">
        <w:rPr>
          <w:rFonts w:ascii="Arial" w:hAnsi="Arial" w:cs="Arial"/>
          <w:sz w:val="21"/>
          <w:szCs w:val="21"/>
        </w:rPr>
        <w:t>1015.6</w:t>
      </w:r>
      <w:r w:rsidR="00C01AA7" w:rsidRPr="00E05368">
        <w:rPr>
          <w:rFonts w:ascii="Arial" w:hAnsi="Arial" w:cs="Arial" w:hint="eastAsia"/>
          <w:sz w:val="21"/>
          <w:szCs w:val="21"/>
        </w:rPr>
        <w:t>万</w:t>
      </w:r>
      <w:r w:rsidR="00C01AA7" w:rsidRPr="00E05368">
        <w:rPr>
          <w:rFonts w:ascii="Arial" w:hAnsi="Arial" w:cs="Arial"/>
          <w:sz w:val="21"/>
          <w:szCs w:val="21"/>
        </w:rPr>
        <w:t>平方米</w:t>
      </w:r>
      <w:r w:rsidR="00C01AA7" w:rsidRPr="00E05368">
        <w:rPr>
          <w:rFonts w:ascii="Arial" w:hAnsi="Arial" w:cs="Arial" w:hint="eastAsia"/>
          <w:sz w:val="21"/>
          <w:szCs w:val="21"/>
        </w:rPr>
        <w:t>，供应</w:t>
      </w:r>
      <w:proofErr w:type="gramStart"/>
      <w:r w:rsidR="00C01AA7" w:rsidRPr="00E05368">
        <w:rPr>
          <w:rFonts w:ascii="Arial" w:hAnsi="Arial" w:cs="Arial" w:hint="eastAsia"/>
          <w:sz w:val="21"/>
          <w:szCs w:val="21"/>
        </w:rPr>
        <w:t>面积环</w:t>
      </w:r>
      <w:proofErr w:type="gramEnd"/>
      <w:r w:rsidR="00C01AA7" w:rsidRPr="00E05368">
        <w:rPr>
          <w:rFonts w:ascii="Arial" w:hAnsi="Arial" w:cs="Arial" w:hint="eastAsia"/>
          <w:sz w:val="21"/>
          <w:szCs w:val="21"/>
        </w:rPr>
        <w:t>比上涨</w:t>
      </w:r>
      <w:r>
        <w:rPr>
          <w:rFonts w:ascii="Arial" w:hAnsi="Arial" w:cs="Arial" w:hint="eastAsia"/>
          <w:sz w:val="21"/>
          <w:szCs w:val="21"/>
        </w:rPr>
        <w:t>19.6</w:t>
      </w:r>
      <w:r w:rsidR="00C01AA7" w:rsidRPr="00E05368">
        <w:rPr>
          <w:rFonts w:ascii="Arial" w:hAnsi="Arial" w:cs="Arial" w:hint="eastAsia"/>
          <w:sz w:val="21"/>
          <w:szCs w:val="21"/>
        </w:rPr>
        <w:t>%</w:t>
      </w:r>
      <w:r w:rsidR="00C01AA7" w:rsidRPr="00E05368">
        <w:rPr>
          <w:rFonts w:ascii="Arial" w:hAnsi="Arial" w:cs="Arial" w:hint="eastAsia"/>
          <w:sz w:val="21"/>
          <w:szCs w:val="21"/>
        </w:rPr>
        <w:t>。</w:t>
      </w:r>
      <w:r>
        <w:rPr>
          <w:rFonts w:ascii="Arial" w:hAnsi="Arial" w:cs="Arial" w:hint="eastAsia"/>
          <w:sz w:val="21"/>
          <w:szCs w:val="21"/>
        </w:rPr>
        <w:t>2020</w:t>
      </w:r>
      <w:r w:rsidR="00C01AA7" w:rsidRPr="00E05368">
        <w:rPr>
          <w:rFonts w:ascii="Arial" w:hAnsi="Arial" w:cs="Arial" w:hint="eastAsia"/>
          <w:sz w:val="21"/>
          <w:szCs w:val="21"/>
        </w:rPr>
        <w:t>年全市</w:t>
      </w:r>
      <w:r w:rsidR="00C01AA7" w:rsidRPr="00E05368">
        <w:rPr>
          <w:rFonts w:ascii="Arial" w:hAnsi="Arial" w:cs="Arial"/>
          <w:sz w:val="21"/>
          <w:szCs w:val="21"/>
        </w:rPr>
        <w:t>成交</w:t>
      </w:r>
      <w:r w:rsidR="00C01AA7">
        <w:rPr>
          <w:rFonts w:ascii="Arial" w:hAnsi="Arial" w:cs="Arial" w:hint="eastAsia"/>
          <w:color w:val="000000"/>
          <w:sz w:val="21"/>
          <w:szCs w:val="21"/>
        </w:rPr>
        <w:t>整体走势呈波动上涨</w:t>
      </w:r>
      <w:r w:rsidR="00C01AA7" w:rsidRPr="00E05368">
        <w:rPr>
          <w:rFonts w:ascii="Arial" w:hAnsi="Arial" w:cs="Arial" w:hint="eastAsia"/>
          <w:sz w:val="21"/>
          <w:szCs w:val="21"/>
        </w:rPr>
        <w:t>，商品住宅共成交</w:t>
      </w:r>
      <w:r w:rsidRPr="00940DA9">
        <w:rPr>
          <w:rFonts w:ascii="Arial" w:hAnsi="Arial" w:cs="Arial"/>
          <w:sz w:val="21"/>
          <w:szCs w:val="21"/>
        </w:rPr>
        <w:t>71084</w:t>
      </w:r>
      <w:r w:rsidR="00C01AA7" w:rsidRPr="00E05368">
        <w:rPr>
          <w:rFonts w:ascii="Arial" w:hAnsi="Arial" w:cs="Arial" w:hint="eastAsia"/>
          <w:sz w:val="21"/>
          <w:szCs w:val="21"/>
        </w:rPr>
        <w:t>套，成交面积</w:t>
      </w:r>
      <w:r w:rsidRPr="00940DA9">
        <w:rPr>
          <w:rFonts w:ascii="Arial" w:hAnsi="Arial" w:cs="Arial"/>
          <w:sz w:val="21"/>
          <w:szCs w:val="21"/>
        </w:rPr>
        <w:t>835.92</w:t>
      </w:r>
      <w:r w:rsidR="00C01AA7" w:rsidRPr="00E05368">
        <w:rPr>
          <w:rFonts w:ascii="Arial" w:hAnsi="Arial" w:cs="Arial" w:hint="eastAsia"/>
          <w:sz w:val="21"/>
          <w:szCs w:val="21"/>
        </w:rPr>
        <w:t>万平方米，与去年同期相比</w:t>
      </w:r>
      <w:r w:rsidR="00C01AA7">
        <w:rPr>
          <w:rFonts w:ascii="Arial" w:hAnsi="Arial" w:cs="Arial" w:hint="eastAsia"/>
          <w:sz w:val="21"/>
          <w:szCs w:val="21"/>
        </w:rPr>
        <w:t>分别上涨了</w:t>
      </w:r>
      <w:r>
        <w:rPr>
          <w:rFonts w:ascii="Arial" w:hAnsi="Arial" w:cs="Arial" w:hint="eastAsia"/>
          <w:sz w:val="21"/>
          <w:szCs w:val="21"/>
        </w:rPr>
        <w:t>4.7</w:t>
      </w:r>
      <w:r w:rsidR="00C01AA7" w:rsidRPr="00E05368">
        <w:rPr>
          <w:rFonts w:ascii="Arial" w:hAnsi="Arial" w:cs="Arial" w:hint="eastAsia"/>
          <w:sz w:val="21"/>
          <w:szCs w:val="21"/>
        </w:rPr>
        <w:t>%</w:t>
      </w:r>
      <w:r w:rsidR="00C01AA7">
        <w:rPr>
          <w:rFonts w:ascii="Arial" w:hAnsi="Arial" w:cs="Arial" w:hint="eastAsia"/>
          <w:sz w:val="21"/>
          <w:szCs w:val="21"/>
        </w:rPr>
        <w:t>和</w:t>
      </w:r>
      <w:r>
        <w:rPr>
          <w:rFonts w:ascii="Arial" w:hAnsi="Arial" w:cs="Arial" w:hint="eastAsia"/>
          <w:sz w:val="21"/>
          <w:szCs w:val="21"/>
        </w:rPr>
        <w:t>5.2</w:t>
      </w:r>
      <w:r w:rsidR="00C01AA7">
        <w:rPr>
          <w:rFonts w:ascii="Arial" w:hAnsi="Arial" w:cs="Arial" w:hint="eastAsia"/>
          <w:sz w:val="21"/>
          <w:szCs w:val="21"/>
        </w:rPr>
        <w:t>%</w:t>
      </w:r>
      <w:r w:rsidR="00C01AA7" w:rsidRPr="00E05368">
        <w:rPr>
          <w:rFonts w:ascii="Arial" w:hAnsi="Arial" w:cs="Arial" w:hint="eastAsia"/>
          <w:sz w:val="21"/>
          <w:szCs w:val="21"/>
        </w:rPr>
        <w:t>。</w:t>
      </w:r>
    </w:p>
    <w:p w14:paraId="42E4C1B5" w14:textId="2BB2A67F" w:rsidR="00C01AA7" w:rsidRPr="00E05368" w:rsidRDefault="00C01AA7" w:rsidP="00C01AA7">
      <w:pPr>
        <w:widowControl w:val="0"/>
        <w:adjustRightInd w:val="0"/>
        <w:snapToGrid w:val="0"/>
        <w:spacing w:line="480" w:lineRule="auto"/>
        <w:ind w:firstLineChars="200" w:firstLine="420"/>
        <w:jc w:val="both"/>
        <w:rPr>
          <w:rFonts w:ascii="Arial" w:hAnsi="Arial" w:cs="Arial"/>
          <w:sz w:val="21"/>
          <w:szCs w:val="21"/>
        </w:rPr>
      </w:pPr>
      <w:r w:rsidRPr="00B012C7">
        <w:rPr>
          <w:rFonts w:ascii="Arial" w:hAnsi="Arial" w:cs="Arial" w:hint="eastAsia"/>
          <w:sz w:val="21"/>
          <w:szCs w:val="21"/>
        </w:rPr>
        <w:t>从</w:t>
      </w:r>
      <w:r w:rsidR="004F42B4" w:rsidRPr="00B012C7">
        <w:rPr>
          <w:rFonts w:ascii="Arial" w:hAnsi="Arial" w:cs="Arial" w:hint="eastAsia"/>
          <w:sz w:val="21"/>
          <w:szCs w:val="21"/>
        </w:rPr>
        <w:t>2020</w:t>
      </w:r>
      <w:r w:rsidR="004F42B4" w:rsidRPr="00B012C7">
        <w:rPr>
          <w:rFonts w:ascii="Arial" w:hAnsi="Arial" w:cs="Arial" w:hint="eastAsia"/>
          <w:sz w:val="21"/>
          <w:szCs w:val="21"/>
        </w:rPr>
        <w:t>年</w:t>
      </w:r>
      <w:r w:rsidRPr="00B012C7">
        <w:rPr>
          <w:rFonts w:ascii="Arial" w:hAnsi="Arial" w:cs="Arial" w:hint="eastAsia"/>
          <w:sz w:val="21"/>
          <w:szCs w:val="21"/>
        </w:rPr>
        <w:t>月度走势可以看到，一季度受假期及疫情影响，新批供应及成交量都处于低位，一季度共推出商品住宅</w:t>
      </w:r>
      <w:r w:rsidR="00B012C7" w:rsidRPr="00B012C7">
        <w:rPr>
          <w:rFonts w:ascii="Arial" w:hAnsi="Arial" w:cs="Arial" w:hint="eastAsia"/>
          <w:sz w:val="21"/>
          <w:szCs w:val="21"/>
        </w:rPr>
        <w:t>118.37</w:t>
      </w:r>
      <w:r w:rsidRPr="00B012C7">
        <w:rPr>
          <w:rFonts w:ascii="Arial" w:hAnsi="Arial" w:cs="Arial" w:hint="eastAsia"/>
          <w:sz w:val="21"/>
          <w:szCs w:val="21"/>
        </w:rPr>
        <w:t>万平方米，其中</w:t>
      </w:r>
      <w:r w:rsidRPr="00B012C7">
        <w:rPr>
          <w:rFonts w:ascii="Arial" w:hAnsi="Arial" w:cs="Arial" w:hint="eastAsia"/>
          <w:sz w:val="21"/>
          <w:szCs w:val="21"/>
        </w:rPr>
        <w:t>2</w:t>
      </w:r>
      <w:r w:rsidRPr="00B012C7">
        <w:rPr>
          <w:rFonts w:ascii="Arial" w:hAnsi="Arial" w:cs="Arial" w:hint="eastAsia"/>
          <w:sz w:val="21"/>
          <w:szCs w:val="21"/>
        </w:rPr>
        <w:t>月无供应量，进入二季度供应量有所提升，二季度供应量为</w:t>
      </w:r>
      <w:r w:rsidR="00B012C7" w:rsidRPr="00B012C7">
        <w:rPr>
          <w:rFonts w:ascii="Arial" w:hAnsi="Arial" w:cs="Arial" w:hint="eastAsia"/>
          <w:sz w:val="21"/>
          <w:szCs w:val="21"/>
        </w:rPr>
        <w:lastRenderedPageBreak/>
        <w:t>248.65</w:t>
      </w:r>
      <w:r w:rsidRPr="00B012C7">
        <w:rPr>
          <w:rFonts w:ascii="Arial" w:hAnsi="Arial" w:cs="Arial" w:hint="eastAsia"/>
          <w:sz w:val="21"/>
          <w:szCs w:val="21"/>
        </w:rPr>
        <w:t>万平方米，同比上升</w:t>
      </w:r>
      <w:r w:rsidR="00B012C7" w:rsidRPr="00B012C7">
        <w:rPr>
          <w:rFonts w:ascii="Arial" w:hAnsi="Arial" w:cs="Arial" w:hint="eastAsia"/>
          <w:sz w:val="21"/>
          <w:szCs w:val="21"/>
        </w:rPr>
        <w:t>110</w:t>
      </w:r>
      <w:r w:rsidRPr="00B012C7">
        <w:rPr>
          <w:rFonts w:ascii="Arial" w:hAnsi="Arial" w:cs="Arial" w:hint="eastAsia"/>
          <w:sz w:val="21"/>
          <w:szCs w:val="21"/>
        </w:rPr>
        <w:t>%</w:t>
      </w:r>
      <w:r w:rsidRPr="00B012C7">
        <w:rPr>
          <w:rFonts w:ascii="Arial" w:hAnsi="Arial" w:cs="Arial" w:hint="eastAsia"/>
          <w:sz w:val="21"/>
          <w:szCs w:val="21"/>
        </w:rPr>
        <w:t>；</w:t>
      </w:r>
      <w:r w:rsidR="00B012C7" w:rsidRPr="00B012C7">
        <w:rPr>
          <w:rFonts w:ascii="Arial" w:hAnsi="Arial" w:cs="Arial" w:hint="eastAsia"/>
          <w:sz w:val="21"/>
          <w:szCs w:val="21"/>
        </w:rPr>
        <w:t>三季度供应量为</w:t>
      </w:r>
      <w:r w:rsidR="00B012C7" w:rsidRPr="00B012C7">
        <w:rPr>
          <w:rFonts w:ascii="Arial" w:hAnsi="Arial" w:cs="Arial" w:hint="eastAsia"/>
          <w:sz w:val="21"/>
          <w:szCs w:val="21"/>
        </w:rPr>
        <w:t>300.13</w:t>
      </w:r>
      <w:r w:rsidR="00B012C7" w:rsidRPr="00B012C7">
        <w:rPr>
          <w:rFonts w:ascii="Arial" w:hAnsi="Arial" w:cs="Arial" w:hint="eastAsia"/>
          <w:sz w:val="21"/>
          <w:szCs w:val="21"/>
        </w:rPr>
        <w:t>万平方米，同比上升</w:t>
      </w:r>
      <w:r w:rsidR="00B012C7" w:rsidRPr="00B012C7">
        <w:rPr>
          <w:rFonts w:ascii="Arial" w:hAnsi="Arial" w:cs="Arial" w:hint="eastAsia"/>
          <w:sz w:val="21"/>
          <w:szCs w:val="21"/>
        </w:rPr>
        <w:t>20.7%</w:t>
      </w:r>
      <w:r w:rsidR="00B012C7" w:rsidRPr="00B012C7">
        <w:rPr>
          <w:rFonts w:ascii="Arial" w:hAnsi="Arial" w:cs="Arial" w:hint="eastAsia"/>
          <w:sz w:val="21"/>
          <w:szCs w:val="21"/>
        </w:rPr>
        <w:t>；四季度逐月递增，供应量为</w:t>
      </w:r>
      <w:r w:rsidR="00B012C7" w:rsidRPr="00B012C7">
        <w:rPr>
          <w:rFonts w:ascii="Arial" w:hAnsi="Arial" w:cs="Arial" w:hint="eastAsia"/>
          <w:sz w:val="21"/>
          <w:szCs w:val="21"/>
        </w:rPr>
        <w:t>348.46</w:t>
      </w:r>
      <w:r w:rsidR="00B012C7" w:rsidRPr="00B012C7">
        <w:rPr>
          <w:rFonts w:ascii="Arial" w:hAnsi="Arial" w:cs="Arial" w:hint="eastAsia"/>
          <w:sz w:val="21"/>
          <w:szCs w:val="21"/>
        </w:rPr>
        <w:t>万平方米，同比上升</w:t>
      </w:r>
      <w:r w:rsidR="00B012C7" w:rsidRPr="00B012C7">
        <w:rPr>
          <w:rFonts w:ascii="Arial" w:hAnsi="Arial" w:cs="Arial" w:hint="eastAsia"/>
          <w:sz w:val="21"/>
          <w:szCs w:val="21"/>
        </w:rPr>
        <w:t>16.1%</w:t>
      </w:r>
      <w:r w:rsidR="00B012C7" w:rsidRPr="00B012C7">
        <w:rPr>
          <w:rFonts w:ascii="Arial" w:hAnsi="Arial" w:cs="Arial" w:hint="eastAsia"/>
          <w:sz w:val="21"/>
          <w:szCs w:val="21"/>
        </w:rPr>
        <w:t>。</w:t>
      </w:r>
      <w:r w:rsidRPr="00B012C7">
        <w:rPr>
          <w:rFonts w:ascii="Arial" w:hAnsi="Arial" w:cs="Arial" w:hint="eastAsia"/>
          <w:sz w:val="21"/>
          <w:szCs w:val="21"/>
        </w:rPr>
        <w:t>成交方面，同样受疫情影响，</w:t>
      </w:r>
      <w:r w:rsidRPr="00B012C7">
        <w:rPr>
          <w:rFonts w:ascii="Arial" w:hAnsi="Arial" w:cs="Arial" w:hint="eastAsia"/>
          <w:sz w:val="21"/>
          <w:szCs w:val="21"/>
        </w:rPr>
        <w:t>2</w:t>
      </w:r>
      <w:r w:rsidRPr="00B012C7">
        <w:rPr>
          <w:rFonts w:ascii="Arial" w:hAnsi="Arial" w:cs="Arial" w:hint="eastAsia"/>
          <w:sz w:val="21"/>
          <w:szCs w:val="21"/>
        </w:rPr>
        <w:t>月为近年来同期最低，</w:t>
      </w:r>
      <w:r w:rsidR="00B012C7" w:rsidRPr="00B012C7">
        <w:rPr>
          <w:rFonts w:ascii="Arial" w:hAnsi="Arial" w:cs="Arial" w:hint="eastAsia"/>
          <w:sz w:val="21"/>
          <w:szCs w:val="21"/>
        </w:rPr>
        <w:t>之后随着疫情逐步得到控制，市场热度明显提升，成交量开始持续回升</w:t>
      </w:r>
      <w:r w:rsidRPr="00B012C7">
        <w:rPr>
          <w:rFonts w:ascii="Arial" w:hAnsi="Arial" w:cs="Arial" w:hint="eastAsia"/>
          <w:sz w:val="21"/>
          <w:szCs w:val="21"/>
        </w:rPr>
        <w:t>，楼市整体呈回暖趋势。</w:t>
      </w:r>
      <w:r w:rsidR="00B012C7" w:rsidRPr="00B012C7">
        <w:rPr>
          <w:rFonts w:ascii="Arial" w:hAnsi="Arial" w:cs="Arial" w:hint="eastAsia"/>
          <w:sz w:val="21"/>
          <w:szCs w:val="21"/>
        </w:rPr>
        <w:t>2021</w:t>
      </w:r>
      <w:r w:rsidR="00B012C7" w:rsidRPr="00B012C7">
        <w:rPr>
          <w:rFonts w:ascii="Arial" w:hAnsi="Arial" w:cs="Arial" w:hint="eastAsia"/>
          <w:sz w:val="21"/>
          <w:szCs w:val="21"/>
        </w:rPr>
        <w:t>年</w:t>
      </w:r>
      <w:r w:rsidR="00B012C7" w:rsidRPr="00B012C7">
        <w:rPr>
          <w:rFonts w:ascii="Arial" w:hAnsi="Arial" w:cs="Arial" w:hint="eastAsia"/>
          <w:sz w:val="21"/>
          <w:szCs w:val="21"/>
        </w:rPr>
        <w:t>1-5</w:t>
      </w:r>
      <w:r w:rsidR="00B012C7" w:rsidRPr="00B012C7">
        <w:rPr>
          <w:rFonts w:ascii="Arial" w:hAnsi="Arial" w:cs="Arial" w:hint="eastAsia"/>
          <w:sz w:val="21"/>
          <w:szCs w:val="21"/>
        </w:rPr>
        <w:t>月南京市商品住宅新批供应面积为</w:t>
      </w:r>
      <w:r w:rsidR="00B012C7" w:rsidRPr="00B012C7">
        <w:rPr>
          <w:rFonts w:ascii="Arial" w:hAnsi="Arial" w:cs="Arial"/>
          <w:sz w:val="21"/>
          <w:szCs w:val="21"/>
        </w:rPr>
        <w:t>449.61</w:t>
      </w:r>
      <w:r w:rsidR="00B012C7" w:rsidRPr="00B012C7">
        <w:rPr>
          <w:rFonts w:ascii="Arial" w:hAnsi="Arial" w:cs="Arial" w:hint="eastAsia"/>
          <w:sz w:val="21"/>
          <w:szCs w:val="21"/>
        </w:rPr>
        <w:t>万平方米。</w:t>
      </w:r>
      <w:r w:rsidR="00B012C7" w:rsidRPr="00B012C7">
        <w:rPr>
          <w:rFonts w:ascii="Arial" w:hAnsi="Arial" w:cs="Arial" w:hint="eastAsia"/>
          <w:sz w:val="21"/>
          <w:szCs w:val="21"/>
        </w:rPr>
        <w:t>2021</w:t>
      </w:r>
      <w:r w:rsidR="00B012C7" w:rsidRPr="00B012C7">
        <w:rPr>
          <w:rFonts w:ascii="Arial" w:hAnsi="Arial" w:cs="Arial" w:hint="eastAsia"/>
          <w:sz w:val="21"/>
          <w:szCs w:val="21"/>
        </w:rPr>
        <w:t>年</w:t>
      </w:r>
      <w:r w:rsidR="00B012C7" w:rsidRPr="00B012C7">
        <w:rPr>
          <w:rFonts w:ascii="Arial" w:hAnsi="Arial" w:cs="Arial" w:hint="eastAsia"/>
          <w:sz w:val="21"/>
          <w:szCs w:val="21"/>
        </w:rPr>
        <w:t>1-5</w:t>
      </w:r>
      <w:r w:rsidR="00B012C7" w:rsidRPr="00B012C7">
        <w:rPr>
          <w:rFonts w:ascii="Arial" w:hAnsi="Arial" w:cs="Arial" w:hint="eastAsia"/>
          <w:sz w:val="21"/>
          <w:szCs w:val="21"/>
        </w:rPr>
        <w:t>月南京市商品住宅共计成交</w:t>
      </w:r>
      <w:r w:rsidR="00B012C7" w:rsidRPr="00B012C7">
        <w:rPr>
          <w:rFonts w:ascii="Arial" w:hAnsi="Arial" w:cs="Arial"/>
          <w:sz w:val="21"/>
          <w:szCs w:val="21"/>
        </w:rPr>
        <w:t>50929</w:t>
      </w:r>
      <w:r w:rsidR="00B012C7" w:rsidRPr="00B012C7">
        <w:rPr>
          <w:rFonts w:ascii="Arial" w:hAnsi="Arial" w:cs="Arial" w:hint="eastAsia"/>
          <w:sz w:val="21"/>
          <w:szCs w:val="21"/>
        </w:rPr>
        <w:t>套，成交面积</w:t>
      </w:r>
      <w:r w:rsidR="00B012C7" w:rsidRPr="00B012C7">
        <w:rPr>
          <w:rFonts w:ascii="Arial" w:hAnsi="Arial" w:cs="Arial"/>
          <w:sz w:val="21"/>
          <w:szCs w:val="21"/>
        </w:rPr>
        <w:t>599.03</w:t>
      </w:r>
      <w:r w:rsidR="00B012C7" w:rsidRPr="00B012C7">
        <w:rPr>
          <w:rFonts w:ascii="Arial" w:hAnsi="Arial" w:cs="Arial" w:hint="eastAsia"/>
          <w:sz w:val="21"/>
          <w:szCs w:val="21"/>
        </w:rPr>
        <w:t>万平方米，与去年同期相比分别上涨了</w:t>
      </w:r>
      <w:r w:rsidR="00B012C7" w:rsidRPr="00B012C7">
        <w:rPr>
          <w:rFonts w:ascii="Arial" w:hAnsi="Arial" w:cs="Arial" w:hint="eastAsia"/>
          <w:sz w:val="21"/>
          <w:szCs w:val="21"/>
        </w:rPr>
        <w:t>116.1%</w:t>
      </w:r>
      <w:r w:rsidR="00B012C7" w:rsidRPr="00B012C7">
        <w:rPr>
          <w:rFonts w:ascii="Arial" w:hAnsi="Arial" w:cs="Arial" w:hint="eastAsia"/>
          <w:sz w:val="21"/>
          <w:szCs w:val="21"/>
        </w:rPr>
        <w:t>和</w:t>
      </w:r>
      <w:r w:rsidR="00B012C7" w:rsidRPr="00B012C7">
        <w:rPr>
          <w:rFonts w:ascii="Arial" w:hAnsi="Arial" w:cs="Arial" w:hint="eastAsia"/>
          <w:sz w:val="21"/>
          <w:szCs w:val="21"/>
        </w:rPr>
        <w:t>114.9%</w:t>
      </w:r>
      <w:r w:rsidR="00B012C7" w:rsidRPr="00B012C7">
        <w:rPr>
          <w:rFonts w:ascii="Arial" w:hAnsi="Arial" w:cs="Arial" w:hint="eastAsia"/>
          <w:sz w:val="21"/>
          <w:szCs w:val="21"/>
        </w:rPr>
        <w:t>，供应成交双升。</w:t>
      </w:r>
    </w:p>
    <w:p w14:paraId="5CE81A7D" w14:textId="0BC3B27E" w:rsidR="00C01AA7" w:rsidRPr="00E05368" w:rsidRDefault="003A2444" w:rsidP="00C01AA7">
      <w:pPr>
        <w:widowControl w:val="0"/>
        <w:adjustRightInd w:val="0"/>
        <w:snapToGrid w:val="0"/>
        <w:spacing w:line="480" w:lineRule="auto"/>
        <w:jc w:val="center"/>
        <w:rPr>
          <w:rFonts w:ascii="Arial" w:hAnsi="Arial" w:cs="Arial"/>
          <w:sz w:val="21"/>
          <w:szCs w:val="21"/>
        </w:rPr>
      </w:pPr>
      <w:r>
        <w:rPr>
          <w:noProof/>
        </w:rPr>
        <w:drawing>
          <wp:inline distT="0" distB="0" distL="0" distR="0" wp14:anchorId="6DA353ED" wp14:editId="4C63C2AF">
            <wp:extent cx="5486400" cy="2177415"/>
            <wp:effectExtent l="0" t="0" r="19050" b="13335"/>
            <wp:docPr id="14" name="图表 1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C62EC59-CB9C-4170-A287-85EC3FCB8F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4F4D102A" w14:textId="77777777" w:rsidR="00C01AA7" w:rsidRPr="00E05368" w:rsidRDefault="00C01AA7" w:rsidP="00C01AA7">
      <w:pPr>
        <w:adjustRightInd w:val="0"/>
        <w:snapToGrid w:val="0"/>
        <w:spacing w:line="480" w:lineRule="auto"/>
        <w:rPr>
          <w:rFonts w:ascii="华文细黑" w:eastAsia="华文细黑" w:hAnsi="华文细黑" w:cs="Arial"/>
          <w:sz w:val="15"/>
          <w:szCs w:val="15"/>
        </w:rPr>
      </w:pPr>
      <w:r w:rsidRPr="00E05368">
        <w:rPr>
          <w:rFonts w:ascii="华文细黑" w:eastAsia="华文细黑" w:hAnsi="华文细黑" w:cs="Arial" w:hint="eastAsia"/>
          <w:sz w:val="15"/>
          <w:szCs w:val="15"/>
        </w:rPr>
        <w:t>资料来源：</w:t>
      </w:r>
      <w:r w:rsidRPr="00E05368">
        <w:rPr>
          <w:rFonts w:ascii="Arial" w:eastAsia="华文细黑" w:hAnsi="Arial" w:cs="Arial"/>
          <w:color w:val="000000"/>
          <w:sz w:val="15"/>
          <w:szCs w:val="15"/>
        </w:rPr>
        <w:t>CREIS</w:t>
      </w:r>
      <w:r w:rsidRPr="00E05368">
        <w:rPr>
          <w:rFonts w:ascii="华文细黑" w:eastAsia="华文细黑" w:hAnsi="华文细黑" w:cs="Arial" w:hint="eastAsia"/>
          <w:color w:val="000000"/>
          <w:sz w:val="15"/>
          <w:szCs w:val="15"/>
        </w:rPr>
        <w:t>中指数据</w:t>
      </w:r>
    </w:p>
    <w:p w14:paraId="5A720488" w14:textId="77777777" w:rsidR="00C01AA7" w:rsidRPr="00F41AD8" w:rsidRDefault="00C01AA7" w:rsidP="00C01AA7">
      <w:pPr>
        <w:widowControl w:val="0"/>
        <w:adjustRightInd w:val="0"/>
        <w:snapToGrid w:val="0"/>
        <w:spacing w:line="480" w:lineRule="auto"/>
        <w:ind w:firstLineChars="200" w:firstLine="420"/>
        <w:jc w:val="both"/>
        <w:rPr>
          <w:rFonts w:ascii="Arial" w:hAnsi="Arial" w:cs="Arial"/>
          <w:sz w:val="21"/>
          <w:szCs w:val="21"/>
        </w:rPr>
      </w:pPr>
      <w:r w:rsidRPr="00F41AD8">
        <w:rPr>
          <w:rFonts w:ascii="Arial" w:hAnsi="Arial" w:cs="Arial"/>
          <w:sz w:val="21"/>
          <w:szCs w:val="21"/>
        </w:rPr>
        <w:t>2</w:t>
      </w:r>
      <w:r w:rsidRPr="00F41AD8">
        <w:rPr>
          <w:rFonts w:ascii="Arial" w:hAnsi="Arial" w:cs="Arial" w:hint="eastAsia"/>
          <w:sz w:val="21"/>
          <w:szCs w:val="21"/>
        </w:rPr>
        <w:t>、成交价格情况</w:t>
      </w:r>
    </w:p>
    <w:p w14:paraId="6324B71C" w14:textId="7FCEB892" w:rsidR="00C01AA7" w:rsidRDefault="00725CBE" w:rsidP="00596852">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2017</w:t>
      </w:r>
      <w:r w:rsidR="00C54C76">
        <w:rPr>
          <w:rFonts w:ascii="Arial" w:hAnsi="Arial" w:cs="Arial" w:hint="eastAsia"/>
          <w:sz w:val="21"/>
          <w:szCs w:val="21"/>
        </w:rPr>
        <w:t>年至</w:t>
      </w:r>
      <w:r w:rsidR="00C01AA7" w:rsidRPr="00E05368">
        <w:rPr>
          <w:rFonts w:ascii="Arial" w:hAnsi="Arial" w:cs="Arial" w:hint="eastAsia"/>
          <w:sz w:val="21"/>
          <w:szCs w:val="21"/>
        </w:rPr>
        <w:t>20</w:t>
      </w:r>
      <w:r>
        <w:rPr>
          <w:rFonts w:ascii="Arial" w:hAnsi="Arial" w:cs="Arial" w:hint="eastAsia"/>
          <w:sz w:val="21"/>
          <w:szCs w:val="21"/>
        </w:rPr>
        <w:t>21</w:t>
      </w:r>
      <w:r>
        <w:rPr>
          <w:rFonts w:ascii="Arial" w:hAnsi="Arial" w:cs="Arial" w:hint="eastAsia"/>
          <w:sz w:val="21"/>
          <w:szCs w:val="21"/>
        </w:rPr>
        <w:t>年</w:t>
      </w:r>
      <w:r>
        <w:rPr>
          <w:rFonts w:ascii="Arial" w:hAnsi="Arial" w:cs="Arial" w:hint="eastAsia"/>
          <w:sz w:val="21"/>
          <w:szCs w:val="21"/>
        </w:rPr>
        <w:t>5</w:t>
      </w:r>
      <w:r>
        <w:rPr>
          <w:rFonts w:ascii="Arial" w:hAnsi="Arial" w:cs="Arial" w:hint="eastAsia"/>
          <w:sz w:val="21"/>
          <w:szCs w:val="21"/>
        </w:rPr>
        <w:t>月，南京</w:t>
      </w:r>
      <w:r w:rsidR="00C01AA7">
        <w:rPr>
          <w:rFonts w:ascii="Arial" w:hAnsi="Arial" w:cs="Arial" w:hint="eastAsia"/>
          <w:sz w:val="21"/>
          <w:szCs w:val="21"/>
        </w:rPr>
        <w:t>市</w:t>
      </w:r>
      <w:r w:rsidR="00C01AA7" w:rsidRPr="00E05368">
        <w:rPr>
          <w:rFonts w:ascii="Arial" w:hAnsi="Arial" w:cs="Arial" w:hint="eastAsia"/>
          <w:sz w:val="21"/>
          <w:szCs w:val="21"/>
        </w:rPr>
        <w:t>商品住宅成交价格整体</w:t>
      </w:r>
      <w:r>
        <w:rPr>
          <w:rFonts w:ascii="Arial" w:hAnsi="Arial" w:cs="Arial" w:hint="eastAsia"/>
          <w:sz w:val="21"/>
          <w:szCs w:val="21"/>
        </w:rPr>
        <w:t>呈上涨走势</w:t>
      </w:r>
      <w:r w:rsidR="00C01AA7">
        <w:rPr>
          <w:rFonts w:ascii="Arial" w:hAnsi="Arial" w:cs="Arial" w:hint="eastAsia"/>
          <w:sz w:val="21"/>
          <w:szCs w:val="21"/>
        </w:rPr>
        <w:t>，</w:t>
      </w:r>
      <w:r w:rsidR="00C54C76">
        <w:rPr>
          <w:rFonts w:ascii="Arial" w:hAnsi="Arial" w:cs="Arial" w:hint="eastAsia"/>
          <w:sz w:val="21"/>
          <w:szCs w:val="21"/>
        </w:rPr>
        <w:t>各年度</w:t>
      </w:r>
      <w:r w:rsidR="00C01AA7" w:rsidRPr="00E05368">
        <w:rPr>
          <w:rFonts w:ascii="Arial" w:hAnsi="Arial" w:cs="Arial" w:hint="eastAsia"/>
          <w:sz w:val="21"/>
          <w:szCs w:val="21"/>
        </w:rPr>
        <w:t>成交均价分别为</w:t>
      </w:r>
      <w:r>
        <w:rPr>
          <w:rFonts w:ascii="Arial" w:hAnsi="Arial" w:cs="Arial" w:hint="eastAsia"/>
          <w:sz w:val="21"/>
          <w:szCs w:val="21"/>
        </w:rPr>
        <w:t>25201</w:t>
      </w:r>
      <w:r w:rsidR="00C01AA7" w:rsidRPr="00E05368">
        <w:rPr>
          <w:rFonts w:ascii="Arial" w:hAnsi="Arial" w:cs="Arial" w:hint="eastAsia"/>
          <w:sz w:val="21"/>
          <w:szCs w:val="21"/>
        </w:rPr>
        <w:t>元</w:t>
      </w:r>
      <w:r w:rsidR="00C01AA7" w:rsidRPr="00E05368">
        <w:rPr>
          <w:rFonts w:ascii="Arial" w:hAnsi="Arial" w:cs="Arial" w:hint="eastAsia"/>
          <w:sz w:val="21"/>
          <w:szCs w:val="21"/>
        </w:rPr>
        <w:t>/</w:t>
      </w:r>
      <w:r w:rsidR="00C01AA7" w:rsidRPr="00E05368">
        <w:rPr>
          <w:rFonts w:ascii="Arial" w:hAnsi="Arial" w:cs="Arial" w:hint="eastAsia"/>
          <w:sz w:val="21"/>
          <w:szCs w:val="21"/>
        </w:rPr>
        <w:t>平方米</w:t>
      </w:r>
      <w:r w:rsidR="00C01AA7" w:rsidRPr="00E05368">
        <w:rPr>
          <w:rFonts w:ascii="Arial" w:hAnsi="Arial" w:cs="Arial"/>
          <w:sz w:val="21"/>
          <w:szCs w:val="21"/>
        </w:rPr>
        <w:t xml:space="preserve"> </w:t>
      </w:r>
      <w:r w:rsidR="00C01AA7" w:rsidRPr="00E05368">
        <w:rPr>
          <w:rFonts w:ascii="Arial" w:hAnsi="Arial" w:cs="Arial" w:hint="eastAsia"/>
          <w:sz w:val="21"/>
          <w:szCs w:val="21"/>
        </w:rPr>
        <w:t>、</w:t>
      </w:r>
      <w:r>
        <w:rPr>
          <w:rFonts w:ascii="Arial" w:hAnsi="Arial" w:cs="Arial" w:hint="eastAsia"/>
          <w:sz w:val="21"/>
          <w:szCs w:val="21"/>
        </w:rPr>
        <w:t>25546</w:t>
      </w:r>
      <w:r w:rsidR="00C01AA7" w:rsidRPr="00E05368">
        <w:rPr>
          <w:rFonts w:ascii="Arial" w:hAnsi="Arial" w:cs="Arial" w:hint="eastAsia"/>
          <w:sz w:val="21"/>
          <w:szCs w:val="21"/>
        </w:rPr>
        <w:t>元</w:t>
      </w:r>
      <w:r w:rsidR="00C01AA7" w:rsidRPr="00E05368">
        <w:rPr>
          <w:rFonts w:ascii="Arial" w:hAnsi="Arial" w:cs="Arial" w:hint="eastAsia"/>
          <w:sz w:val="21"/>
          <w:szCs w:val="21"/>
        </w:rPr>
        <w:t>/</w:t>
      </w:r>
      <w:r w:rsidR="00C01AA7" w:rsidRPr="00E05368">
        <w:rPr>
          <w:rFonts w:ascii="Arial" w:hAnsi="Arial" w:cs="Arial" w:hint="eastAsia"/>
          <w:sz w:val="21"/>
          <w:szCs w:val="21"/>
        </w:rPr>
        <w:t>平方米、</w:t>
      </w:r>
      <w:r>
        <w:rPr>
          <w:rFonts w:ascii="Arial" w:hAnsi="Arial" w:cs="Arial" w:hint="eastAsia"/>
          <w:sz w:val="21"/>
          <w:szCs w:val="21"/>
        </w:rPr>
        <w:t>28305</w:t>
      </w:r>
      <w:r w:rsidR="00C01AA7" w:rsidRPr="00E05368">
        <w:rPr>
          <w:rFonts w:ascii="Arial" w:hAnsi="Arial" w:cs="Arial" w:hint="eastAsia"/>
          <w:sz w:val="21"/>
          <w:szCs w:val="21"/>
        </w:rPr>
        <w:t>元</w:t>
      </w:r>
      <w:r w:rsidR="00C01AA7" w:rsidRPr="00E05368">
        <w:rPr>
          <w:rFonts w:ascii="Arial" w:hAnsi="Arial" w:cs="Arial" w:hint="eastAsia"/>
          <w:sz w:val="21"/>
          <w:szCs w:val="21"/>
        </w:rPr>
        <w:t>/</w:t>
      </w:r>
      <w:r w:rsidR="00C01AA7" w:rsidRPr="00E05368">
        <w:rPr>
          <w:rFonts w:ascii="Arial" w:hAnsi="Arial" w:cs="Arial" w:hint="eastAsia"/>
          <w:sz w:val="21"/>
          <w:szCs w:val="21"/>
        </w:rPr>
        <w:t>平方米、</w:t>
      </w:r>
      <w:r>
        <w:rPr>
          <w:rFonts w:ascii="Arial" w:hAnsi="Arial" w:cs="Arial" w:hint="eastAsia"/>
          <w:sz w:val="21"/>
          <w:szCs w:val="21"/>
        </w:rPr>
        <w:t>29007</w:t>
      </w:r>
      <w:r w:rsidR="00C01AA7" w:rsidRPr="00E05368">
        <w:rPr>
          <w:rFonts w:ascii="Arial" w:hAnsi="Arial" w:cs="Arial" w:hint="eastAsia"/>
          <w:sz w:val="21"/>
          <w:szCs w:val="21"/>
        </w:rPr>
        <w:t>元</w:t>
      </w:r>
      <w:r w:rsidR="00C01AA7" w:rsidRPr="00E05368">
        <w:rPr>
          <w:rFonts w:ascii="Arial" w:hAnsi="Arial" w:cs="Arial" w:hint="eastAsia"/>
          <w:sz w:val="21"/>
          <w:szCs w:val="21"/>
        </w:rPr>
        <w:t>/</w:t>
      </w:r>
      <w:r w:rsidR="00C01AA7" w:rsidRPr="00E05368">
        <w:rPr>
          <w:rFonts w:ascii="Arial" w:hAnsi="Arial" w:cs="Arial" w:hint="eastAsia"/>
          <w:sz w:val="21"/>
          <w:szCs w:val="21"/>
        </w:rPr>
        <w:t>平方米、</w:t>
      </w:r>
      <w:r>
        <w:rPr>
          <w:rFonts w:ascii="Arial" w:hAnsi="Arial" w:cs="Arial" w:hint="eastAsia"/>
          <w:sz w:val="21"/>
          <w:szCs w:val="21"/>
        </w:rPr>
        <w:t>32715</w:t>
      </w:r>
      <w:r w:rsidR="00C01AA7" w:rsidRPr="00E05368">
        <w:rPr>
          <w:rFonts w:ascii="Arial" w:hAnsi="Arial" w:cs="Arial" w:hint="eastAsia"/>
          <w:sz w:val="21"/>
          <w:szCs w:val="21"/>
        </w:rPr>
        <w:t>元</w:t>
      </w:r>
      <w:r w:rsidR="00C01AA7" w:rsidRPr="00E05368">
        <w:rPr>
          <w:rFonts w:ascii="Arial" w:hAnsi="Arial" w:cs="Arial" w:hint="eastAsia"/>
          <w:sz w:val="21"/>
          <w:szCs w:val="21"/>
        </w:rPr>
        <w:t>/</w:t>
      </w:r>
      <w:r>
        <w:rPr>
          <w:rFonts w:ascii="Arial" w:hAnsi="Arial" w:cs="Arial" w:hint="eastAsia"/>
          <w:sz w:val="21"/>
          <w:szCs w:val="21"/>
        </w:rPr>
        <w:t>平方米</w:t>
      </w:r>
      <w:r w:rsidR="00C01AA7" w:rsidRPr="00E05368">
        <w:rPr>
          <w:rFonts w:ascii="Arial" w:hAnsi="Arial" w:cs="Arial" w:hint="eastAsia"/>
          <w:sz w:val="21"/>
          <w:szCs w:val="21"/>
        </w:rPr>
        <w:t>，环比涨幅分别为</w:t>
      </w:r>
      <w:r>
        <w:rPr>
          <w:rFonts w:ascii="Arial" w:hAnsi="Arial" w:cs="Arial" w:hint="eastAsia"/>
          <w:sz w:val="21"/>
          <w:szCs w:val="21"/>
        </w:rPr>
        <w:t>1.36</w:t>
      </w:r>
      <w:r w:rsidR="00C01AA7" w:rsidRPr="00E05368">
        <w:rPr>
          <w:rFonts w:ascii="Arial" w:hAnsi="Arial" w:cs="Arial" w:hint="eastAsia"/>
          <w:sz w:val="21"/>
          <w:szCs w:val="21"/>
        </w:rPr>
        <w:t>%</w:t>
      </w:r>
      <w:r w:rsidR="00C01AA7" w:rsidRPr="00E05368">
        <w:rPr>
          <w:rFonts w:ascii="Arial" w:hAnsi="Arial" w:cs="Arial" w:hint="eastAsia"/>
          <w:sz w:val="21"/>
          <w:szCs w:val="21"/>
        </w:rPr>
        <w:t>、</w:t>
      </w:r>
      <w:r>
        <w:rPr>
          <w:rFonts w:ascii="Arial" w:hAnsi="Arial" w:cs="Arial" w:hint="eastAsia"/>
          <w:sz w:val="21"/>
          <w:szCs w:val="21"/>
        </w:rPr>
        <w:t>10.8</w:t>
      </w:r>
      <w:r w:rsidR="00C01AA7" w:rsidRPr="00E05368">
        <w:rPr>
          <w:rFonts w:ascii="Arial" w:hAnsi="Arial" w:cs="Arial" w:hint="eastAsia"/>
          <w:sz w:val="21"/>
          <w:szCs w:val="21"/>
        </w:rPr>
        <w:t>%</w:t>
      </w:r>
      <w:r w:rsidR="00C01AA7">
        <w:rPr>
          <w:rFonts w:ascii="Arial" w:hAnsi="Arial" w:cs="Arial" w:hint="eastAsia"/>
          <w:sz w:val="21"/>
          <w:szCs w:val="21"/>
        </w:rPr>
        <w:t>、</w:t>
      </w:r>
      <w:r>
        <w:rPr>
          <w:rFonts w:ascii="Arial" w:hAnsi="Arial" w:cs="Arial" w:hint="eastAsia"/>
          <w:sz w:val="21"/>
          <w:szCs w:val="21"/>
        </w:rPr>
        <w:t>2.48</w:t>
      </w:r>
      <w:r w:rsidR="00C01AA7">
        <w:rPr>
          <w:rFonts w:ascii="Arial" w:hAnsi="Arial" w:cs="Arial" w:hint="eastAsia"/>
          <w:sz w:val="21"/>
          <w:szCs w:val="21"/>
        </w:rPr>
        <w:t>%</w:t>
      </w:r>
      <w:r w:rsidR="00C01AA7">
        <w:rPr>
          <w:rFonts w:ascii="Arial" w:hAnsi="Arial" w:cs="Arial" w:hint="eastAsia"/>
          <w:sz w:val="21"/>
          <w:szCs w:val="21"/>
        </w:rPr>
        <w:t>、</w:t>
      </w:r>
      <w:r>
        <w:rPr>
          <w:rFonts w:ascii="Arial" w:hAnsi="Arial" w:cs="Arial" w:hint="eastAsia"/>
          <w:sz w:val="21"/>
          <w:szCs w:val="21"/>
        </w:rPr>
        <w:t>13.96</w:t>
      </w:r>
      <w:r w:rsidR="00C01AA7">
        <w:rPr>
          <w:rFonts w:ascii="Arial" w:hAnsi="Arial" w:cs="Arial" w:hint="eastAsia"/>
          <w:sz w:val="21"/>
          <w:szCs w:val="21"/>
        </w:rPr>
        <w:t>%</w:t>
      </w:r>
      <w:r>
        <w:rPr>
          <w:rFonts w:ascii="Arial" w:hAnsi="Arial" w:cs="Arial" w:hint="eastAsia"/>
          <w:sz w:val="21"/>
          <w:szCs w:val="21"/>
        </w:rPr>
        <w:t>（</w:t>
      </w:r>
      <w:r>
        <w:rPr>
          <w:rFonts w:ascii="Arial" w:hAnsi="Arial" w:cs="Arial" w:hint="eastAsia"/>
          <w:sz w:val="21"/>
          <w:szCs w:val="21"/>
        </w:rPr>
        <w:t>2020</w:t>
      </w:r>
      <w:r>
        <w:rPr>
          <w:rFonts w:ascii="Arial" w:hAnsi="Arial" w:cs="Arial" w:hint="eastAsia"/>
          <w:sz w:val="21"/>
          <w:szCs w:val="21"/>
        </w:rPr>
        <w:t>年同期）</w:t>
      </w:r>
      <w:r w:rsidR="00C01AA7" w:rsidRPr="00E05368">
        <w:rPr>
          <w:rFonts w:ascii="Arial" w:hAnsi="Arial" w:cs="Arial" w:hint="eastAsia"/>
          <w:sz w:val="21"/>
          <w:szCs w:val="21"/>
        </w:rPr>
        <w:t>。年总销售额</w:t>
      </w:r>
      <w:r>
        <w:rPr>
          <w:rFonts w:ascii="Arial" w:hAnsi="Arial" w:cs="Arial" w:hint="eastAsia"/>
          <w:sz w:val="21"/>
          <w:szCs w:val="21"/>
        </w:rPr>
        <w:t>波动上浮</w:t>
      </w:r>
      <w:r w:rsidR="00C01AA7" w:rsidRPr="00E05368">
        <w:rPr>
          <w:rFonts w:ascii="Arial" w:hAnsi="Arial" w:cs="Arial" w:hint="eastAsia"/>
          <w:sz w:val="21"/>
          <w:szCs w:val="21"/>
        </w:rPr>
        <w:t>，受政策调控影响，</w:t>
      </w:r>
      <w:r>
        <w:rPr>
          <w:rFonts w:ascii="Arial" w:hAnsi="Arial" w:cs="Arial" w:hint="eastAsia"/>
          <w:sz w:val="21"/>
          <w:szCs w:val="21"/>
        </w:rPr>
        <w:t>2017-2018</w:t>
      </w:r>
      <w:r w:rsidR="00C01AA7" w:rsidRPr="00E05368">
        <w:rPr>
          <w:rFonts w:ascii="Arial" w:hAnsi="Arial" w:cs="Arial" w:hint="eastAsia"/>
          <w:sz w:val="21"/>
          <w:szCs w:val="21"/>
        </w:rPr>
        <w:t>年</w:t>
      </w:r>
      <w:r>
        <w:rPr>
          <w:rFonts w:ascii="Arial" w:hAnsi="Arial" w:cs="Arial" w:hint="eastAsia"/>
          <w:sz w:val="21"/>
          <w:szCs w:val="21"/>
        </w:rPr>
        <w:t>为近</w:t>
      </w:r>
      <w:r>
        <w:rPr>
          <w:rFonts w:ascii="Arial" w:hAnsi="Arial" w:cs="Arial" w:hint="eastAsia"/>
          <w:sz w:val="21"/>
          <w:szCs w:val="21"/>
        </w:rPr>
        <w:t>4</w:t>
      </w:r>
      <w:r>
        <w:rPr>
          <w:rFonts w:ascii="Arial" w:hAnsi="Arial" w:cs="Arial" w:hint="eastAsia"/>
          <w:sz w:val="21"/>
          <w:szCs w:val="21"/>
        </w:rPr>
        <w:t>年低谷期</w:t>
      </w:r>
      <w:r w:rsidR="00C01AA7" w:rsidRPr="00E05368">
        <w:rPr>
          <w:rFonts w:ascii="Arial" w:hAnsi="Arial" w:cs="Arial" w:hint="eastAsia"/>
          <w:sz w:val="21"/>
          <w:szCs w:val="21"/>
        </w:rPr>
        <w:t>，</w:t>
      </w:r>
      <w:r>
        <w:rPr>
          <w:rFonts w:ascii="Arial" w:hAnsi="Arial" w:cs="Arial" w:hint="eastAsia"/>
          <w:sz w:val="21"/>
          <w:szCs w:val="21"/>
        </w:rPr>
        <w:t>2019-2020</w:t>
      </w:r>
      <w:r>
        <w:rPr>
          <w:rFonts w:ascii="Arial" w:hAnsi="Arial" w:cs="Arial" w:hint="eastAsia"/>
          <w:sz w:val="21"/>
          <w:szCs w:val="21"/>
        </w:rPr>
        <w:t>年销售额大幅提升。</w:t>
      </w:r>
      <w:r>
        <w:rPr>
          <w:rFonts w:ascii="Arial" w:hAnsi="Arial" w:cs="Arial" w:hint="eastAsia"/>
          <w:sz w:val="21"/>
          <w:szCs w:val="21"/>
        </w:rPr>
        <w:t>2021</w:t>
      </w:r>
      <w:r>
        <w:rPr>
          <w:rFonts w:ascii="Arial" w:hAnsi="Arial" w:cs="Arial" w:hint="eastAsia"/>
          <w:sz w:val="21"/>
          <w:szCs w:val="21"/>
        </w:rPr>
        <w:t>年</w:t>
      </w:r>
      <w:r>
        <w:rPr>
          <w:rFonts w:ascii="Arial" w:hAnsi="Arial" w:cs="Arial" w:hint="eastAsia"/>
          <w:sz w:val="21"/>
          <w:szCs w:val="21"/>
        </w:rPr>
        <w:t>1-5</w:t>
      </w:r>
      <w:r>
        <w:rPr>
          <w:rFonts w:ascii="Arial" w:hAnsi="Arial" w:cs="Arial" w:hint="eastAsia"/>
          <w:sz w:val="21"/>
          <w:szCs w:val="21"/>
        </w:rPr>
        <w:t>月</w:t>
      </w:r>
      <w:r w:rsidR="00C01AA7" w:rsidRPr="00E05368">
        <w:rPr>
          <w:rFonts w:ascii="Arial" w:hAnsi="Arial" w:cs="Arial" w:hint="eastAsia"/>
          <w:sz w:val="21"/>
          <w:szCs w:val="21"/>
        </w:rPr>
        <w:t>销售额</w:t>
      </w:r>
      <w:r>
        <w:rPr>
          <w:rFonts w:ascii="Arial" w:hAnsi="Arial" w:cs="Arial" w:hint="eastAsia"/>
          <w:sz w:val="21"/>
          <w:szCs w:val="21"/>
        </w:rPr>
        <w:t>已</w:t>
      </w:r>
      <w:r w:rsidR="00C01AA7" w:rsidRPr="00E05368">
        <w:rPr>
          <w:rFonts w:ascii="Arial" w:hAnsi="Arial" w:cs="Arial" w:hint="eastAsia"/>
          <w:sz w:val="21"/>
          <w:szCs w:val="21"/>
        </w:rPr>
        <w:t>达到</w:t>
      </w:r>
      <w:r w:rsidRPr="00725CBE">
        <w:rPr>
          <w:rFonts w:ascii="Arial" w:hAnsi="Arial" w:cs="Arial"/>
          <w:sz w:val="21"/>
          <w:szCs w:val="21"/>
        </w:rPr>
        <w:t>1959.7</w:t>
      </w:r>
      <w:r w:rsidR="00C01AA7">
        <w:rPr>
          <w:rFonts w:ascii="Arial" w:hAnsi="Arial" w:cs="Arial" w:hint="eastAsia"/>
          <w:sz w:val="21"/>
          <w:szCs w:val="21"/>
        </w:rPr>
        <w:t>亿元</w:t>
      </w:r>
      <w:r>
        <w:rPr>
          <w:rFonts w:ascii="Arial" w:hAnsi="Arial" w:cs="Arial" w:hint="eastAsia"/>
          <w:sz w:val="21"/>
          <w:szCs w:val="21"/>
        </w:rPr>
        <w:t>，占</w:t>
      </w:r>
      <w:r>
        <w:rPr>
          <w:rFonts w:ascii="Arial" w:hAnsi="Arial" w:cs="Arial" w:hint="eastAsia"/>
          <w:sz w:val="21"/>
          <w:szCs w:val="21"/>
        </w:rPr>
        <w:t>2020</w:t>
      </w:r>
      <w:r>
        <w:rPr>
          <w:rFonts w:ascii="Arial" w:hAnsi="Arial" w:cs="Arial" w:hint="eastAsia"/>
          <w:sz w:val="21"/>
          <w:szCs w:val="21"/>
        </w:rPr>
        <w:t>年全年销售额的</w:t>
      </w:r>
      <w:r>
        <w:rPr>
          <w:rFonts w:ascii="Arial" w:hAnsi="Arial" w:cs="Arial" w:hint="eastAsia"/>
          <w:sz w:val="21"/>
          <w:szCs w:val="21"/>
        </w:rPr>
        <w:t>80%</w:t>
      </w:r>
      <w:r>
        <w:rPr>
          <w:rFonts w:ascii="Arial" w:hAnsi="Arial" w:cs="Arial" w:hint="eastAsia"/>
          <w:sz w:val="21"/>
          <w:szCs w:val="21"/>
        </w:rPr>
        <w:t>，较</w:t>
      </w:r>
      <w:r>
        <w:rPr>
          <w:rFonts w:ascii="Arial" w:hAnsi="Arial" w:cs="Arial" w:hint="eastAsia"/>
          <w:sz w:val="21"/>
          <w:szCs w:val="21"/>
        </w:rPr>
        <w:t>2020</w:t>
      </w:r>
      <w:r>
        <w:rPr>
          <w:rFonts w:ascii="Arial" w:hAnsi="Arial" w:cs="Arial" w:hint="eastAsia"/>
          <w:sz w:val="21"/>
          <w:szCs w:val="21"/>
        </w:rPr>
        <w:t>年同期</w:t>
      </w:r>
      <w:r w:rsidR="00596852">
        <w:rPr>
          <w:rFonts w:ascii="Arial" w:hAnsi="Arial" w:cs="Arial" w:hint="eastAsia"/>
          <w:sz w:val="21"/>
          <w:szCs w:val="21"/>
        </w:rPr>
        <w:t>上浮</w:t>
      </w:r>
      <w:r w:rsidR="00596852">
        <w:rPr>
          <w:rFonts w:ascii="Arial" w:hAnsi="Arial" w:cs="Arial" w:hint="eastAsia"/>
          <w:sz w:val="21"/>
          <w:szCs w:val="21"/>
        </w:rPr>
        <w:t>144.9%</w:t>
      </w:r>
      <w:r w:rsidR="00C01AA7">
        <w:rPr>
          <w:rFonts w:ascii="Arial" w:hAnsi="Arial" w:cs="Arial" w:hint="eastAsia"/>
          <w:sz w:val="21"/>
          <w:szCs w:val="21"/>
        </w:rPr>
        <w:t>。</w:t>
      </w:r>
    </w:p>
    <w:p w14:paraId="1291A7FC" w14:textId="725AA174" w:rsidR="00C01AA7" w:rsidRPr="00E05368" w:rsidRDefault="00F41AD8" w:rsidP="00C01AA7">
      <w:pPr>
        <w:widowControl w:val="0"/>
        <w:adjustRightInd w:val="0"/>
        <w:snapToGrid w:val="0"/>
        <w:spacing w:line="480" w:lineRule="auto"/>
        <w:jc w:val="center"/>
        <w:rPr>
          <w:rFonts w:ascii="Arial" w:hAnsi="Arial" w:cs="Arial"/>
          <w:sz w:val="21"/>
          <w:szCs w:val="21"/>
        </w:rPr>
      </w:pPr>
      <w:r>
        <w:rPr>
          <w:noProof/>
        </w:rPr>
        <w:drawing>
          <wp:inline distT="0" distB="0" distL="0" distR="0" wp14:anchorId="19F0D5AE" wp14:editId="2A308F4A">
            <wp:extent cx="5486400" cy="1906905"/>
            <wp:effectExtent l="0" t="0" r="19050" b="17145"/>
            <wp:docPr id="18" name="图表 1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82303F7-F59D-4736-A72D-863D6401992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78E616DB" w14:textId="77777777" w:rsidR="00C01AA7" w:rsidRPr="00E751A6" w:rsidRDefault="00C01AA7" w:rsidP="00C01AA7">
      <w:pPr>
        <w:spacing w:line="480" w:lineRule="auto"/>
        <w:rPr>
          <w:rFonts w:ascii="Arial" w:hAnsi="Arial" w:cs="Arial"/>
          <w:szCs w:val="21"/>
        </w:rPr>
      </w:pPr>
      <w:r w:rsidRPr="00E05368">
        <w:rPr>
          <w:rFonts w:ascii="华文细黑" w:eastAsia="华文细黑" w:hAnsi="华文细黑" w:cs="Arial" w:hint="eastAsia"/>
          <w:sz w:val="15"/>
          <w:szCs w:val="15"/>
        </w:rPr>
        <w:lastRenderedPageBreak/>
        <w:t>资料来源：</w:t>
      </w:r>
      <w:r w:rsidRPr="00E05368">
        <w:rPr>
          <w:rFonts w:ascii="Arial" w:eastAsia="华文细黑" w:hAnsi="Arial" w:cs="Arial"/>
          <w:color w:val="000000"/>
          <w:sz w:val="15"/>
          <w:szCs w:val="15"/>
        </w:rPr>
        <w:t>CREIS</w:t>
      </w:r>
      <w:r w:rsidRPr="00E05368">
        <w:rPr>
          <w:rFonts w:ascii="华文细黑" w:eastAsia="华文细黑" w:hAnsi="华文细黑" w:cs="Arial" w:hint="eastAsia"/>
          <w:color w:val="000000"/>
          <w:sz w:val="15"/>
          <w:szCs w:val="15"/>
        </w:rPr>
        <w:t>中指数据</w:t>
      </w:r>
    </w:p>
    <w:p w14:paraId="2E07C51F" w14:textId="634B7153" w:rsidR="00C01AA7" w:rsidRPr="00E05368" w:rsidRDefault="00C01AA7" w:rsidP="00C01AA7">
      <w:pPr>
        <w:widowControl w:val="0"/>
        <w:adjustRightInd w:val="0"/>
        <w:snapToGrid w:val="0"/>
        <w:spacing w:line="480" w:lineRule="auto"/>
        <w:ind w:firstLineChars="200" w:firstLine="420"/>
        <w:jc w:val="both"/>
        <w:rPr>
          <w:rFonts w:ascii="Arial" w:hAnsi="Arial" w:cs="Arial"/>
          <w:sz w:val="21"/>
          <w:szCs w:val="21"/>
        </w:rPr>
      </w:pPr>
      <w:r w:rsidRPr="00E05368">
        <w:rPr>
          <w:rFonts w:ascii="Arial" w:hAnsi="Arial" w:cs="Arial" w:hint="eastAsia"/>
          <w:sz w:val="21"/>
          <w:szCs w:val="21"/>
        </w:rPr>
        <w:t>2</w:t>
      </w:r>
      <w:r w:rsidR="00AF48E5">
        <w:rPr>
          <w:rFonts w:ascii="Arial" w:hAnsi="Arial" w:cs="Arial"/>
          <w:sz w:val="21"/>
          <w:szCs w:val="21"/>
        </w:rPr>
        <w:t>0</w:t>
      </w:r>
      <w:r w:rsidR="00AF48E5">
        <w:rPr>
          <w:rFonts w:ascii="Arial" w:hAnsi="Arial" w:cs="Arial" w:hint="eastAsia"/>
          <w:sz w:val="21"/>
          <w:szCs w:val="21"/>
        </w:rPr>
        <w:t>20</w:t>
      </w:r>
      <w:r w:rsidRPr="00E05368">
        <w:rPr>
          <w:rFonts w:ascii="Arial" w:hAnsi="Arial" w:cs="Arial" w:hint="eastAsia"/>
          <w:sz w:val="21"/>
          <w:szCs w:val="21"/>
        </w:rPr>
        <w:t>年成交价格走势中可以看到，绝大部分时间成交价格保持在</w:t>
      </w:r>
      <w:r w:rsidR="00AF48E5">
        <w:rPr>
          <w:rFonts w:ascii="Arial" w:hAnsi="Arial" w:cs="Arial" w:hint="eastAsia"/>
          <w:sz w:val="21"/>
          <w:szCs w:val="21"/>
        </w:rPr>
        <w:t>28000-32</w:t>
      </w:r>
      <w:r>
        <w:rPr>
          <w:rFonts w:ascii="Arial" w:hAnsi="Arial" w:cs="Arial" w:hint="eastAsia"/>
          <w:sz w:val="21"/>
          <w:szCs w:val="21"/>
        </w:rPr>
        <w:t>000</w:t>
      </w:r>
      <w:r>
        <w:rPr>
          <w:rFonts w:ascii="Arial" w:hAnsi="Arial" w:cs="Arial" w:hint="eastAsia"/>
          <w:sz w:val="21"/>
          <w:szCs w:val="21"/>
        </w:rPr>
        <w:t>元</w:t>
      </w:r>
      <w:r>
        <w:rPr>
          <w:rFonts w:ascii="Arial" w:hAnsi="Arial" w:cs="Arial" w:hint="eastAsia"/>
          <w:sz w:val="21"/>
          <w:szCs w:val="21"/>
        </w:rPr>
        <w:t>/</w:t>
      </w:r>
      <w:r>
        <w:rPr>
          <w:rFonts w:ascii="Arial" w:hAnsi="Arial" w:cs="Arial" w:hint="eastAsia"/>
          <w:sz w:val="21"/>
          <w:szCs w:val="21"/>
        </w:rPr>
        <w:t>平方米价格区间</w:t>
      </w:r>
      <w:r w:rsidRPr="00E05368">
        <w:rPr>
          <w:rFonts w:ascii="Arial" w:hAnsi="Arial" w:cs="Arial" w:hint="eastAsia"/>
          <w:sz w:val="21"/>
          <w:szCs w:val="21"/>
        </w:rPr>
        <w:t>，</w:t>
      </w:r>
      <w:r w:rsidRPr="00E05368">
        <w:rPr>
          <w:rFonts w:ascii="Arial" w:hAnsi="Arial" w:cs="Arial" w:hint="eastAsia"/>
          <w:sz w:val="21"/>
          <w:szCs w:val="21"/>
        </w:rPr>
        <w:t>2</w:t>
      </w:r>
      <w:r w:rsidRPr="00E05368">
        <w:rPr>
          <w:rFonts w:ascii="Arial" w:hAnsi="Arial" w:cs="Arial"/>
          <w:sz w:val="21"/>
          <w:szCs w:val="21"/>
        </w:rPr>
        <w:t>020</w:t>
      </w:r>
      <w:r w:rsidRPr="00E05368">
        <w:rPr>
          <w:rFonts w:ascii="Arial" w:hAnsi="Arial" w:cs="Arial" w:hint="eastAsia"/>
          <w:sz w:val="21"/>
          <w:szCs w:val="21"/>
        </w:rPr>
        <w:t>年一季度受疫情影响，市场成交接近冰冻，价格</w:t>
      </w:r>
      <w:r w:rsidR="00AF48E5">
        <w:rPr>
          <w:rFonts w:ascii="Arial" w:hAnsi="Arial" w:cs="Arial" w:hint="eastAsia"/>
          <w:sz w:val="21"/>
          <w:szCs w:val="21"/>
        </w:rPr>
        <w:t>在</w:t>
      </w:r>
      <w:r w:rsidR="00AF48E5">
        <w:rPr>
          <w:rFonts w:ascii="Arial" w:hAnsi="Arial" w:cs="Arial" w:hint="eastAsia"/>
          <w:sz w:val="21"/>
          <w:szCs w:val="21"/>
        </w:rPr>
        <w:t>3</w:t>
      </w:r>
      <w:r w:rsidR="00AF48E5">
        <w:rPr>
          <w:rFonts w:ascii="Arial" w:hAnsi="Arial" w:cs="Arial" w:hint="eastAsia"/>
          <w:sz w:val="21"/>
          <w:szCs w:val="21"/>
        </w:rPr>
        <w:t>月出现明显</w:t>
      </w:r>
      <w:r w:rsidRPr="00E05368">
        <w:rPr>
          <w:rFonts w:ascii="Arial" w:hAnsi="Arial" w:cs="Arial" w:hint="eastAsia"/>
          <w:sz w:val="21"/>
          <w:szCs w:val="21"/>
        </w:rPr>
        <w:t>下滑，</w:t>
      </w:r>
      <w:r>
        <w:rPr>
          <w:rFonts w:ascii="Arial" w:hAnsi="Arial" w:cs="Arial" w:hint="eastAsia"/>
          <w:sz w:val="21"/>
          <w:szCs w:val="21"/>
        </w:rPr>
        <w:t>随着</w:t>
      </w:r>
      <w:r w:rsidRPr="00E05368">
        <w:rPr>
          <w:rFonts w:ascii="Arial" w:hAnsi="Arial" w:cs="Arial" w:hint="eastAsia"/>
          <w:sz w:val="21"/>
          <w:szCs w:val="21"/>
        </w:rPr>
        <w:t>二季度市场转暖后，价格也随之回升</w:t>
      </w:r>
      <w:r w:rsidR="00C54C76">
        <w:rPr>
          <w:rFonts w:ascii="Arial" w:hAnsi="Arial" w:cs="Arial" w:hint="eastAsia"/>
          <w:sz w:val="21"/>
          <w:szCs w:val="21"/>
        </w:rPr>
        <w:t>。</w:t>
      </w:r>
      <w:r w:rsidR="00AF48E5">
        <w:rPr>
          <w:rFonts w:ascii="Arial" w:hAnsi="Arial" w:cs="Arial"/>
          <w:sz w:val="21"/>
          <w:szCs w:val="21"/>
        </w:rPr>
        <w:t>202</w:t>
      </w:r>
      <w:r w:rsidR="00AF48E5">
        <w:rPr>
          <w:rFonts w:ascii="Arial" w:hAnsi="Arial" w:cs="Arial" w:hint="eastAsia"/>
          <w:sz w:val="21"/>
          <w:szCs w:val="21"/>
        </w:rPr>
        <w:t>1</w:t>
      </w:r>
      <w:r w:rsidRPr="00E05368">
        <w:rPr>
          <w:rFonts w:ascii="Arial" w:hAnsi="Arial" w:cs="Arial" w:hint="eastAsia"/>
          <w:sz w:val="21"/>
          <w:szCs w:val="21"/>
        </w:rPr>
        <w:t>年</w:t>
      </w:r>
      <w:r w:rsidR="00AF48E5">
        <w:rPr>
          <w:rFonts w:ascii="Arial" w:hAnsi="Arial" w:cs="Arial" w:hint="eastAsia"/>
          <w:sz w:val="21"/>
          <w:szCs w:val="21"/>
        </w:rPr>
        <w:t>1-5</w:t>
      </w:r>
      <w:r w:rsidR="00AF48E5">
        <w:rPr>
          <w:rFonts w:ascii="Arial" w:hAnsi="Arial" w:cs="Arial" w:hint="eastAsia"/>
          <w:sz w:val="21"/>
          <w:szCs w:val="21"/>
        </w:rPr>
        <w:t>月</w:t>
      </w:r>
      <w:r w:rsidRPr="00E05368">
        <w:rPr>
          <w:rFonts w:ascii="Arial" w:hAnsi="Arial" w:cs="Arial" w:hint="eastAsia"/>
          <w:sz w:val="21"/>
          <w:szCs w:val="21"/>
        </w:rPr>
        <w:t>成交均价为</w:t>
      </w:r>
      <w:r w:rsidR="00AF48E5" w:rsidRPr="00AF48E5">
        <w:rPr>
          <w:rFonts w:ascii="Arial" w:hAnsi="Arial" w:cs="Arial"/>
          <w:sz w:val="21"/>
          <w:szCs w:val="21"/>
        </w:rPr>
        <w:t>32715</w:t>
      </w:r>
      <w:r w:rsidRPr="00E05368">
        <w:rPr>
          <w:rFonts w:ascii="Arial" w:hAnsi="Arial" w:cs="Arial" w:hint="eastAsia"/>
          <w:sz w:val="21"/>
          <w:szCs w:val="21"/>
        </w:rPr>
        <w:t>元</w:t>
      </w:r>
      <w:r w:rsidRPr="00E05368">
        <w:rPr>
          <w:rFonts w:ascii="Arial" w:hAnsi="Arial" w:cs="Arial" w:hint="eastAsia"/>
          <w:sz w:val="21"/>
          <w:szCs w:val="21"/>
        </w:rPr>
        <w:t>/</w:t>
      </w:r>
      <w:r w:rsidRPr="00E05368">
        <w:rPr>
          <w:rFonts w:ascii="Arial" w:hAnsi="Arial" w:cs="Arial" w:hint="eastAsia"/>
          <w:sz w:val="21"/>
          <w:szCs w:val="21"/>
        </w:rPr>
        <w:t>平方米，相比</w:t>
      </w:r>
      <w:r w:rsidRPr="00E05368">
        <w:rPr>
          <w:rFonts w:ascii="Arial" w:hAnsi="Arial" w:cs="Arial" w:hint="eastAsia"/>
          <w:sz w:val="21"/>
          <w:szCs w:val="21"/>
        </w:rPr>
        <w:t>2</w:t>
      </w:r>
      <w:r w:rsidR="00AF48E5">
        <w:rPr>
          <w:rFonts w:ascii="Arial" w:hAnsi="Arial" w:cs="Arial"/>
          <w:sz w:val="21"/>
          <w:szCs w:val="21"/>
        </w:rPr>
        <w:t>0</w:t>
      </w:r>
      <w:r w:rsidR="00AF48E5">
        <w:rPr>
          <w:rFonts w:ascii="Arial" w:hAnsi="Arial" w:cs="Arial" w:hint="eastAsia"/>
          <w:sz w:val="21"/>
          <w:szCs w:val="21"/>
        </w:rPr>
        <w:t>20</w:t>
      </w:r>
      <w:r w:rsidRPr="00E05368">
        <w:rPr>
          <w:rFonts w:ascii="Arial" w:hAnsi="Arial" w:cs="Arial" w:hint="eastAsia"/>
          <w:sz w:val="21"/>
          <w:szCs w:val="21"/>
        </w:rPr>
        <w:t>年</w:t>
      </w:r>
      <w:r>
        <w:rPr>
          <w:rFonts w:ascii="Arial" w:hAnsi="Arial" w:cs="Arial" w:hint="eastAsia"/>
          <w:sz w:val="21"/>
          <w:szCs w:val="21"/>
        </w:rPr>
        <w:t>同期</w:t>
      </w:r>
      <w:r w:rsidR="00C54C76">
        <w:rPr>
          <w:rFonts w:ascii="Arial" w:hAnsi="Arial" w:cs="Arial" w:hint="eastAsia"/>
          <w:sz w:val="21"/>
          <w:szCs w:val="21"/>
        </w:rPr>
        <w:t>上涨</w:t>
      </w:r>
      <w:r>
        <w:rPr>
          <w:rFonts w:ascii="Arial" w:hAnsi="Arial" w:cs="Arial" w:hint="eastAsia"/>
          <w:sz w:val="21"/>
          <w:szCs w:val="21"/>
        </w:rPr>
        <w:t>情况明显。</w:t>
      </w:r>
    </w:p>
    <w:p w14:paraId="7B220FF3" w14:textId="2240F4D2" w:rsidR="00C01AA7" w:rsidRPr="00E05368" w:rsidRDefault="00AF48E5" w:rsidP="00C01AA7">
      <w:pPr>
        <w:spacing w:line="480" w:lineRule="auto"/>
        <w:jc w:val="center"/>
        <w:rPr>
          <w:rFonts w:ascii="Arial" w:hAnsi="Arial" w:cs="Arial"/>
          <w:szCs w:val="21"/>
        </w:rPr>
      </w:pPr>
      <w:r>
        <w:rPr>
          <w:noProof/>
        </w:rPr>
        <w:drawing>
          <wp:inline distT="0" distB="0" distL="0" distR="0" wp14:anchorId="30FCD6BC" wp14:editId="23F5C9F3">
            <wp:extent cx="5486400" cy="2159000"/>
            <wp:effectExtent l="0" t="0" r="19050" b="12700"/>
            <wp:docPr id="23" name="图表 2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2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64CAC760" w14:textId="77777777" w:rsidR="00C01AA7" w:rsidRPr="00E05368" w:rsidRDefault="00C01AA7" w:rsidP="00C01AA7">
      <w:pPr>
        <w:spacing w:line="480" w:lineRule="auto"/>
        <w:rPr>
          <w:rFonts w:ascii="Arial" w:hAnsi="Arial" w:cs="Arial"/>
          <w:szCs w:val="21"/>
        </w:rPr>
      </w:pPr>
      <w:r w:rsidRPr="00E05368">
        <w:rPr>
          <w:rFonts w:ascii="华文细黑" w:eastAsia="华文细黑" w:hAnsi="华文细黑" w:cs="Arial" w:hint="eastAsia"/>
          <w:sz w:val="15"/>
          <w:szCs w:val="15"/>
        </w:rPr>
        <w:t>资料来源：</w:t>
      </w:r>
      <w:r w:rsidRPr="00E05368">
        <w:rPr>
          <w:rFonts w:ascii="Arial" w:eastAsia="华文细黑" w:hAnsi="Arial" w:cs="Arial"/>
          <w:color w:val="000000"/>
          <w:sz w:val="15"/>
          <w:szCs w:val="15"/>
        </w:rPr>
        <w:t>CREIS</w:t>
      </w:r>
      <w:r w:rsidRPr="00E05368">
        <w:rPr>
          <w:rFonts w:ascii="华文细黑" w:eastAsia="华文细黑" w:hAnsi="华文细黑" w:cs="Arial" w:hint="eastAsia"/>
          <w:color w:val="000000"/>
          <w:sz w:val="15"/>
          <w:szCs w:val="15"/>
        </w:rPr>
        <w:t>中指数据</w:t>
      </w:r>
    </w:p>
    <w:p w14:paraId="524F8F81" w14:textId="77777777" w:rsidR="00C01AA7" w:rsidRPr="00E05368" w:rsidRDefault="00C01AA7" w:rsidP="00C01AA7">
      <w:pPr>
        <w:widowControl w:val="0"/>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3</w:t>
      </w:r>
      <w:r w:rsidRPr="00E05368">
        <w:rPr>
          <w:rFonts w:ascii="Arial" w:hAnsi="Arial" w:cs="Arial" w:hint="eastAsia"/>
          <w:sz w:val="21"/>
          <w:szCs w:val="21"/>
        </w:rPr>
        <w:t>、区域分布</w:t>
      </w:r>
    </w:p>
    <w:p w14:paraId="51413BB4" w14:textId="2B03065F" w:rsidR="00C01AA7" w:rsidRPr="00E05368" w:rsidRDefault="00E24C7B" w:rsidP="00E24C7B">
      <w:pPr>
        <w:widowControl w:val="0"/>
        <w:adjustRightInd w:val="0"/>
        <w:snapToGrid w:val="0"/>
        <w:spacing w:line="480" w:lineRule="auto"/>
        <w:ind w:firstLineChars="200" w:firstLine="420"/>
        <w:jc w:val="both"/>
        <w:rPr>
          <w:rFonts w:ascii="Arial" w:hAnsi="Arial" w:cs="Arial"/>
          <w:sz w:val="21"/>
          <w:szCs w:val="21"/>
        </w:rPr>
      </w:pPr>
      <w:r>
        <w:rPr>
          <w:rFonts w:ascii="Arial" w:hAnsi="Arial" w:cs="Arial"/>
          <w:sz w:val="21"/>
          <w:szCs w:val="21"/>
        </w:rPr>
        <w:t>20</w:t>
      </w:r>
      <w:r>
        <w:rPr>
          <w:rFonts w:ascii="Arial" w:hAnsi="Arial" w:cs="Arial" w:hint="eastAsia"/>
          <w:sz w:val="21"/>
          <w:szCs w:val="21"/>
        </w:rPr>
        <w:t>19</w:t>
      </w:r>
      <w:r w:rsidRPr="00E24C7B">
        <w:rPr>
          <w:rFonts w:ascii="Arial" w:hAnsi="Arial" w:cs="Arial"/>
          <w:sz w:val="21"/>
          <w:szCs w:val="21"/>
        </w:rPr>
        <w:t>年</w:t>
      </w:r>
      <w:r>
        <w:rPr>
          <w:rFonts w:ascii="Arial" w:hAnsi="Arial" w:cs="Arial" w:hint="eastAsia"/>
          <w:sz w:val="21"/>
          <w:szCs w:val="21"/>
        </w:rPr>
        <w:t>-2021</w:t>
      </w:r>
      <w:r>
        <w:rPr>
          <w:rFonts w:ascii="Arial" w:hAnsi="Arial" w:cs="Arial" w:hint="eastAsia"/>
          <w:sz w:val="21"/>
          <w:szCs w:val="21"/>
        </w:rPr>
        <w:t>年</w:t>
      </w:r>
      <w:r>
        <w:rPr>
          <w:rFonts w:ascii="Arial" w:hAnsi="Arial" w:cs="Arial" w:hint="eastAsia"/>
          <w:sz w:val="21"/>
          <w:szCs w:val="21"/>
        </w:rPr>
        <w:t>1-5</w:t>
      </w:r>
      <w:r>
        <w:rPr>
          <w:rFonts w:ascii="Arial" w:hAnsi="Arial" w:cs="Arial"/>
          <w:sz w:val="21"/>
          <w:szCs w:val="21"/>
        </w:rPr>
        <w:t>月成交主力区域</w:t>
      </w:r>
      <w:r w:rsidRPr="00E24C7B">
        <w:rPr>
          <w:rFonts w:ascii="Arial" w:hAnsi="Arial" w:cs="Arial"/>
          <w:sz w:val="21"/>
          <w:szCs w:val="21"/>
        </w:rPr>
        <w:t>为江宁区、浦口区，占比分别为</w:t>
      </w:r>
      <w:r>
        <w:rPr>
          <w:rFonts w:ascii="Arial" w:hAnsi="Arial" w:cs="Arial" w:hint="eastAsia"/>
          <w:sz w:val="21"/>
          <w:szCs w:val="21"/>
        </w:rPr>
        <w:t>19.74</w:t>
      </w:r>
      <w:r w:rsidRPr="00E24C7B">
        <w:rPr>
          <w:rFonts w:ascii="Arial" w:hAnsi="Arial" w:cs="Arial"/>
          <w:sz w:val="21"/>
          <w:szCs w:val="21"/>
        </w:rPr>
        <w:t>%</w:t>
      </w:r>
      <w:r w:rsidRPr="00E24C7B">
        <w:rPr>
          <w:rFonts w:ascii="Arial" w:hAnsi="Arial" w:cs="Arial"/>
          <w:sz w:val="21"/>
          <w:szCs w:val="21"/>
        </w:rPr>
        <w:t>、</w:t>
      </w:r>
      <w:r>
        <w:rPr>
          <w:rFonts w:ascii="Arial" w:hAnsi="Arial" w:cs="Arial" w:hint="eastAsia"/>
          <w:sz w:val="21"/>
          <w:szCs w:val="21"/>
        </w:rPr>
        <w:t>24.51</w:t>
      </w:r>
      <w:r w:rsidRPr="00E24C7B">
        <w:rPr>
          <w:rFonts w:ascii="Arial" w:hAnsi="Arial" w:cs="Arial"/>
          <w:sz w:val="21"/>
          <w:szCs w:val="21"/>
        </w:rPr>
        <w:t>%</w:t>
      </w:r>
      <w:r w:rsidRPr="00E24C7B">
        <w:rPr>
          <w:rFonts w:ascii="Arial" w:hAnsi="Arial" w:cs="Arial"/>
          <w:sz w:val="21"/>
          <w:szCs w:val="21"/>
        </w:rPr>
        <w:t>；市场冷</w:t>
      </w:r>
      <w:r>
        <w:rPr>
          <w:rFonts w:ascii="Arial" w:hAnsi="Arial" w:cs="Arial"/>
          <w:sz w:val="21"/>
          <w:szCs w:val="21"/>
        </w:rPr>
        <w:t>热程度不均，</w:t>
      </w:r>
      <w:r>
        <w:rPr>
          <w:rFonts w:ascii="Arial" w:hAnsi="Arial" w:cs="Arial" w:hint="eastAsia"/>
          <w:sz w:val="21"/>
          <w:szCs w:val="21"/>
        </w:rPr>
        <w:t>浦口区及江宁区</w:t>
      </w:r>
      <w:r w:rsidRPr="00E24C7B">
        <w:rPr>
          <w:rFonts w:ascii="Arial" w:hAnsi="Arial" w:cs="Arial"/>
          <w:sz w:val="21"/>
          <w:szCs w:val="21"/>
        </w:rPr>
        <w:t>市场体量最大，成交量也较高；秦淮区、玄武区</w:t>
      </w:r>
      <w:r>
        <w:rPr>
          <w:rFonts w:ascii="Arial" w:hAnsi="Arial" w:cs="Arial" w:hint="eastAsia"/>
          <w:sz w:val="21"/>
          <w:szCs w:val="21"/>
        </w:rPr>
        <w:t>、鼓楼区</w:t>
      </w:r>
      <w:r w:rsidRPr="00E24C7B">
        <w:rPr>
          <w:rFonts w:ascii="Arial" w:hAnsi="Arial" w:cs="Arial"/>
          <w:sz w:val="21"/>
          <w:szCs w:val="21"/>
        </w:rPr>
        <w:t>供应、成交常年处于低位。</w:t>
      </w:r>
    </w:p>
    <w:p w14:paraId="4E9C3B30" w14:textId="5021F7FD" w:rsidR="00C01AA7" w:rsidRPr="00E05368" w:rsidRDefault="00E24C7B" w:rsidP="00C01AA7">
      <w:pPr>
        <w:widowControl w:val="0"/>
        <w:adjustRightInd w:val="0"/>
        <w:snapToGrid w:val="0"/>
        <w:spacing w:line="480" w:lineRule="auto"/>
        <w:jc w:val="center"/>
        <w:rPr>
          <w:rFonts w:ascii="Arial" w:hAnsi="Arial" w:cs="Arial"/>
          <w:sz w:val="21"/>
          <w:szCs w:val="21"/>
        </w:rPr>
      </w:pPr>
      <w:r>
        <w:rPr>
          <w:noProof/>
        </w:rPr>
        <w:drawing>
          <wp:inline distT="0" distB="0" distL="0" distR="0" wp14:anchorId="423381E5" wp14:editId="27512E5E">
            <wp:extent cx="5486400" cy="2331720"/>
            <wp:effectExtent l="0" t="0" r="19050" b="11430"/>
            <wp:docPr id="5152" name="图表 515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48B7AAF-6929-4043-9861-C48CE782E1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5A976F43" w14:textId="77777777" w:rsidR="00C01AA7" w:rsidRPr="00E05368" w:rsidRDefault="00C01AA7" w:rsidP="00C01AA7">
      <w:pPr>
        <w:adjustRightInd w:val="0"/>
        <w:snapToGrid w:val="0"/>
        <w:spacing w:line="480" w:lineRule="auto"/>
        <w:rPr>
          <w:rFonts w:ascii="华文细黑" w:eastAsia="华文细黑" w:hAnsi="华文细黑" w:cs="Arial"/>
          <w:sz w:val="15"/>
          <w:szCs w:val="15"/>
        </w:rPr>
      </w:pPr>
      <w:r w:rsidRPr="00E05368">
        <w:rPr>
          <w:rFonts w:ascii="华文细黑" w:eastAsia="华文细黑" w:hAnsi="华文细黑" w:cs="Arial" w:hint="eastAsia"/>
          <w:sz w:val="15"/>
          <w:szCs w:val="15"/>
        </w:rPr>
        <w:t>资料来源：</w:t>
      </w:r>
      <w:r w:rsidRPr="00E05368">
        <w:rPr>
          <w:rFonts w:ascii="Arial" w:eastAsia="华文细黑" w:hAnsi="Arial" w:cs="Arial"/>
          <w:color w:val="000000"/>
          <w:sz w:val="15"/>
          <w:szCs w:val="15"/>
        </w:rPr>
        <w:t>CREIS</w:t>
      </w:r>
      <w:r w:rsidRPr="00E05368">
        <w:rPr>
          <w:rFonts w:ascii="华文细黑" w:eastAsia="华文细黑" w:hAnsi="华文细黑" w:cs="Arial" w:hint="eastAsia"/>
          <w:color w:val="000000"/>
          <w:sz w:val="15"/>
          <w:szCs w:val="15"/>
        </w:rPr>
        <w:t>中指数据</w:t>
      </w:r>
    </w:p>
    <w:p w14:paraId="7E943A79" w14:textId="77777777" w:rsidR="00C01AA7" w:rsidRPr="00494951" w:rsidRDefault="00C01AA7" w:rsidP="00C01AA7">
      <w:pPr>
        <w:widowControl w:val="0"/>
        <w:adjustRightInd w:val="0"/>
        <w:snapToGrid w:val="0"/>
        <w:spacing w:line="480" w:lineRule="auto"/>
        <w:ind w:firstLineChars="200" w:firstLine="420"/>
        <w:jc w:val="both"/>
        <w:rPr>
          <w:rFonts w:ascii="Arial" w:hAnsi="Arial" w:cs="Arial"/>
          <w:sz w:val="21"/>
          <w:szCs w:val="21"/>
        </w:rPr>
      </w:pPr>
      <w:r w:rsidRPr="00494951">
        <w:rPr>
          <w:rFonts w:ascii="Arial" w:hAnsi="Arial" w:cs="Arial" w:hint="eastAsia"/>
          <w:sz w:val="21"/>
          <w:szCs w:val="21"/>
        </w:rPr>
        <w:t>4</w:t>
      </w:r>
      <w:r w:rsidRPr="00494951">
        <w:rPr>
          <w:rFonts w:ascii="Arial" w:hAnsi="Arial" w:cs="Arial" w:hint="eastAsia"/>
          <w:sz w:val="21"/>
          <w:szCs w:val="21"/>
        </w:rPr>
        <w:t>、库存及去化情况</w:t>
      </w:r>
    </w:p>
    <w:p w14:paraId="17942BB2" w14:textId="3D2E59A1" w:rsidR="00C01AA7" w:rsidRPr="00E05368"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sidRPr="00482991">
        <w:rPr>
          <w:rFonts w:ascii="Arial" w:hAnsi="Arial" w:cs="Arial" w:hint="eastAsia"/>
          <w:color w:val="000000"/>
          <w:sz w:val="21"/>
          <w:szCs w:val="21"/>
        </w:rPr>
        <w:t>根据</w:t>
      </w:r>
      <w:r w:rsidR="005F43F3" w:rsidRPr="005F43F3">
        <w:rPr>
          <w:rFonts w:ascii="Arial" w:hAnsi="Arial" w:cs="Arial"/>
          <w:color w:val="000000"/>
          <w:sz w:val="21"/>
          <w:szCs w:val="21"/>
        </w:rPr>
        <w:t>CREIS</w:t>
      </w:r>
      <w:r w:rsidR="005F43F3">
        <w:rPr>
          <w:rFonts w:ascii="Arial" w:hAnsi="Arial" w:cs="Arial"/>
          <w:color w:val="000000"/>
          <w:sz w:val="21"/>
          <w:szCs w:val="21"/>
        </w:rPr>
        <w:t>中指</w:t>
      </w:r>
      <w:r w:rsidRPr="00482991">
        <w:rPr>
          <w:rFonts w:ascii="Arial" w:hAnsi="Arial" w:cs="Arial"/>
          <w:color w:val="000000"/>
          <w:sz w:val="21"/>
          <w:szCs w:val="21"/>
        </w:rPr>
        <w:t>数据</w:t>
      </w:r>
      <w:r w:rsidRPr="00482991">
        <w:rPr>
          <w:rFonts w:ascii="Arial" w:hAnsi="Arial" w:cs="Arial" w:hint="eastAsia"/>
          <w:color w:val="000000"/>
          <w:sz w:val="21"/>
          <w:szCs w:val="21"/>
        </w:rPr>
        <w:t>显示，截至</w:t>
      </w:r>
      <w:r w:rsidRPr="00482991">
        <w:rPr>
          <w:rFonts w:ascii="Arial" w:hAnsi="Arial" w:cs="Arial" w:hint="eastAsia"/>
          <w:sz w:val="21"/>
          <w:szCs w:val="21"/>
        </w:rPr>
        <w:t>到</w:t>
      </w:r>
      <w:r w:rsidR="005F43F3">
        <w:rPr>
          <w:rFonts w:ascii="Arial" w:hAnsi="Arial" w:cs="Arial" w:hint="eastAsia"/>
          <w:sz w:val="21"/>
          <w:szCs w:val="21"/>
        </w:rPr>
        <w:t>2021</w:t>
      </w:r>
      <w:r w:rsidRPr="00482991">
        <w:rPr>
          <w:rFonts w:ascii="Arial" w:hAnsi="Arial" w:cs="Arial" w:hint="eastAsia"/>
          <w:sz w:val="21"/>
          <w:szCs w:val="21"/>
        </w:rPr>
        <w:t>年</w:t>
      </w:r>
      <w:r w:rsidR="005F43F3">
        <w:rPr>
          <w:rFonts w:ascii="Arial" w:hAnsi="Arial" w:cs="Arial" w:hint="eastAsia"/>
          <w:sz w:val="21"/>
          <w:szCs w:val="21"/>
        </w:rPr>
        <w:t>5</w:t>
      </w:r>
      <w:r w:rsidRPr="00482991">
        <w:rPr>
          <w:rFonts w:ascii="Arial" w:hAnsi="Arial" w:cs="Arial" w:hint="eastAsia"/>
          <w:sz w:val="21"/>
          <w:szCs w:val="21"/>
        </w:rPr>
        <w:t>月</w:t>
      </w:r>
      <w:r w:rsidRPr="00482991">
        <w:rPr>
          <w:rFonts w:ascii="Arial" w:hAnsi="Arial" w:cs="Arial"/>
          <w:sz w:val="21"/>
          <w:szCs w:val="21"/>
        </w:rPr>
        <w:t>，</w:t>
      </w:r>
      <w:r w:rsidR="005F43F3">
        <w:rPr>
          <w:rFonts w:ascii="Arial" w:hAnsi="Arial" w:cs="Arial" w:hint="eastAsia"/>
          <w:sz w:val="21"/>
          <w:szCs w:val="21"/>
        </w:rPr>
        <w:t>南京</w:t>
      </w:r>
      <w:r w:rsidRPr="00482991">
        <w:rPr>
          <w:rFonts w:ascii="Arial" w:hAnsi="Arial" w:cs="Arial" w:hint="eastAsia"/>
          <w:sz w:val="21"/>
          <w:szCs w:val="21"/>
        </w:rPr>
        <w:t>市</w:t>
      </w:r>
      <w:r w:rsidRPr="00482991">
        <w:rPr>
          <w:rFonts w:ascii="Arial" w:hAnsi="Arial" w:cs="Arial"/>
          <w:sz w:val="21"/>
          <w:szCs w:val="21"/>
        </w:rPr>
        <w:t>商品住宅存量</w:t>
      </w:r>
      <w:r w:rsidR="005F43F3" w:rsidRPr="005F43F3">
        <w:rPr>
          <w:rFonts w:ascii="Arial" w:hAnsi="Arial" w:cs="Arial"/>
          <w:sz w:val="21"/>
          <w:szCs w:val="21"/>
        </w:rPr>
        <w:t>450.56</w:t>
      </w:r>
      <w:r w:rsidRPr="00482991">
        <w:rPr>
          <w:rFonts w:ascii="Arial" w:hAnsi="Arial" w:cs="Arial" w:hint="eastAsia"/>
          <w:sz w:val="21"/>
          <w:szCs w:val="21"/>
        </w:rPr>
        <w:t>万</w:t>
      </w:r>
      <w:r w:rsidRPr="00482991">
        <w:rPr>
          <w:rFonts w:ascii="Arial" w:hAnsi="Arial" w:cs="Arial"/>
          <w:sz w:val="21"/>
          <w:szCs w:val="21"/>
        </w:rPr>
        <w:t>平方米，</w:t>
      </w:r>
      <w:r w:rsidRPr="00482991">
        <w:rPr>
          <w:rFonts w:ascii="Arial" w:hAnsi="Arial" w:cs="Arial" w:hint="eastAsia"/>
          <w:sz w:val="21"/>
          <w:szCs w:val="21"/>
        </w:rPr>
        <w:t>较上</w:t>
      </w:r>
      <w:r w:rsidRPr="00482991">
        <w:rPr>
          <w:rFonts w:ascii="Arial" w:hAnsi="Arial" w:cs="Arial" w:hint="eastAsia"/>
          <w:sz w:val="21"/>
          <w:szCs w:val="21"/>
        </w:rPr>
        <w:lastRenderedPageBreak/>
        <w:t>一年度</w:t>
      </w:r>
      <w:r w:rsidR="005F43F3">
        <w:rPr>
          <w:rFonts w:ascii="Arial" w:hAnsi="Arial" w:cs="Arial" w:hint="eastAsia"/>
          <w:sz w:val="21"/>
          <w:szCs w:val="21"/>
        </w:rPr>
        <w:t>同期</w:t>
      </w:r>
      <w:r w:rsidRPr="00482991">
        <w:rPr>
          <w:rFonts w:ascii="Arial" w:hAnsi="Arial" w:cs="Arial" w:hint="eastAsia"/>
          <w:sz w:val="21"/>
          <w:szCs w:val="21"/>
        </w:rPr>
        <w:t>增长</w:t>
      </w:r>
      <w:r w:rsidR="005F43F3">
        <w:rPr>
          <w:rFonts w:ascii="Arial" w:hAnsi="Arial" w:cs="Arial" w:hint="eastAsia"/>
          <w:sz w:val="21"/>
          <w:szCs w:val="21"/>
        </w:rPr>
        <w:t>5.95</w:t>
      </w:r>
      <w:r w:rsidRPr="00482991">
        <w:rPr>
          <w:rFonts w:ascii="Arial" w:hAnsi="Arial" w:cs="Arial" w:hint="eastAsia"/>
          <w:sz w:val="21"/>
          <w:szCs w:val="21"/>
        </w:rPr>
        <w:t>%</w:t>
      </w:r>
      <w:r w:rsidR="005F43F3">
        <w:rPr>
          <w:rFonts w:ascii="Arial" w:hAnsi="Arial" w:cs="Arial" w:hint="eastAsia"/>
          <w:sz w:val="21"/>
          <w:szCs w:val="21"/>
        </w:rPr>
        <w:t>，库存规模基本维持在</w:t>
      </w:r>
      <w:r w:rsidR="005F43F3">
        <w:rPr>
          <w:rFonts w:ascii="Arial" w:hAnsi="Arial" w:cs="Arial" w:hint="eastAsia"/>
          <w:sz w:val="21"/>
          <w:szCs w:val="21"/>
        </w:rPr>
        <w:t>420-550</w:t>
      </w:r>
      <w:r w:rsidR="00711822">
        <w:rPr>
          <w:rFonts w:ascii="Arial" w:hAnsi="Arial" w:cs="Arial" w:hint="eastAsia"/>
          <w:sz w:val="21"/>
          <w:szCs w:val="21"/>
        </w:rPr>
        <w:t>万平方米。去化方面，整体去化走势在波动中增长</w:t>
      </w:r>
      <w:r w:rsidRPr="00482991">
        <w:rPr>
          <w:rFonts w:ascii="Arial" w:hAnsi="Arial" w:cs="Arial" w:hint="eastAsia"/>
          <w:sz w:val="21"/>
          <w:szCs w:val="21"/>
        </w:rPr>
        <w:t>，</w:t>
      </w:r>
      <w:r w:rsidR="00711822">
        <w:rPr>
          <w:rFonts w:ascii="Arial" w:hAnsi="Arial" w:cs="Arial" w:hint="eastAsia"/>
          <w:sz w:val="21"/>
          <w:szCs w:val="21"/>
        </w:rPr>
        <w:t>2020</w:t>
      </w:r>
      <w:r w:rsidR="00711822">
        <w:rPr>
          <w:rFonts w:ascii="Arial" w:hAnsi="Arial" w:cs="Arial" w:hint="eastAsia"/>
          <w:sz w:val="21"/>
          <w:szCs w:val="21"/>
        </w:rPr>
        <w:t>年</w:t>
      </w:r>
      <w:r w:rsidR="00711822">
        <w:rPr>
          <w:rFonts w:ascii="Arial" w:hAnsi="Arial" w:cs="Arial" w:hint="eastAsia"/>
          <w:sz w:val="21"/>
          <w:szCs w:val="21"/>
        </w:rPr>
        <w:t>1</w:t>
      </w:r>
      <w:r w:rsidR="00711822">
        <w:rPr>
          <w:rFonts w:ascii="Arial" w:hAnsi="Arial" w:cs="Arial" w:hint="eastAsia"/>
          <w:sz w:val="21"/>
          <w:szCs w:val="21"/>
        </w:rPr>
        <w:t>季度由于假期及疫情影响，月均去化约为</w:t>
      </w:r>
      <w:r w:rsidR="00711822">
        <w:rPr>
          <w:rFonts w:ascii="Arial" w:hAnsi="Arial" w:cs="Arial" w:hint="eastAsia"/>
          <w:sz w:val="21"/>
          <w:szCs w:val="21"/>
        </w:rPr>
        <w:t>40</w:t>
      </w:r>
      <w:r w:rsidR="00711822">
        <w:rPr>
          <w:rFonts w:ascii="Arial" w:hAnsi="Arial" w:cs="Arial" w:hint="eastAsia"/>
          <w:sz w:val="21"/>
          <w:szCs w:val="21"/>
        </w:rPr>
        <w:t>万平方米；</w:t>
      </w:r>
      <w:r w:rsidR="00711822">
        <w:rPr>
          <w:rFonts w:ascii="Arial" w:hAnsi="Arial" w:cs="Arial" w:hint="eastAsia"/>
          <w:sz w:val="21"/>
          <w:szCs w:val="21"/>
        </w:rPr>
        <w:t>2-3</w:t>
      </w:r>
      <w:r w:rsidR="00711822">
        <w:rPr>
          <w:rFonts w:ascii="Arial" w:hAnsi="Arial" w:cs="Arial" w:hint="eastAsia"/>
          <w:sz w:val="21"/>
          <w:szCs w:val="21"/>
        </w:rPr>
        <w:t>季度逐渐恢复，月均去化约</w:t>
      </w:r>
      <w:r w:rsidR="00711822">
        <w:rPr>
          <w:rFonts w:ascii="Arial" w:hAnsi="Arial" w:cs="Arial" w:hint="eastAsia"/>
          <w:sz w:val="21"/>
          <w:szCs w:val="21"/>
        </w:rPr>
        <w:t>75</w:t>
      </w:r>
      <w:r w:rsidR="00711822">
        <w:rPr>
          <w:rFonts w:ascii="Arial" w:hAnsi="Arial" w:cs="Arial" w:hint="eastAsia"/>
          <w:sz w:val="21"/>
          <w:szCs w:val="21"/>
        </w:rPr>
        <w:t>万平方米；</w:t>
      </w:r>
      <w:r w:rsidR="00711822">
        <w:rPr>
          <w:rFonts w:ascii="Arial" w:hAnsi="Arial" w:cs="Arial" w:hint="eastAsia"/>
          <w:sz w:val="21"/>
          <w:szCs w:val="21"/>
        </w:rPr>
        <w:t>4</w:t>
      </w:r>
      <w:r w:rsidR="00711822">
        <w:rPr>
          <w:rFonts w:ascii="Arial" w:hAnsi="Arial" w:cs="Arial" w:hint="eastAsia"/>
          <w:sz w:val="21"/>
          <w:szCs w:val="21"/>
        </w:rPr>
        <w:t>季度继续攀升，月均去化约</w:t>
      </w:r>
      <w:r w:rsidR="00711822">
        <w:rPr>
          <w:rFonts w:ascii="Arial" w:hAnsi="Arial" w:cs="Arial" w:hint="eastAsia"/>
          <w:sz w:val="21"/>
          <w:szCs w:val="21"/>
        </w:rPr>
        <w:t>86</w:t>
      </w:r>
      <w:r w:rsidR="00711822">
        <w:rPr>
          <w:rFonts w:ascii="Arial" w:hAnsi="Arial" w:cs="Arial" w:hint="eastAsia"/>
          <w:sz w:val="21"/>
          <w:szCs w:val="21"/>
        </w:rPr>
        <w:t>万平方米；至</w:t>
      </w:r>
      <w:r w:rsidR="00711822">
        <w:rPr>
          <w:rFonts w:ascii="Arial" w:hAnsi="Arial" w:cs="Arial" w:hint="eastAsia"/>
          <w:sz w:val="21"/>
          <w:szCs w:val="21"/>
        </w:rPr>
        <w:t>2021</w:t>
      </w:r>
      <w:r w:rsidR="00711822">
        <w:rPr>
          <w:rFonts w:ascii="Arial" w:hAnsi="Arial" w:cs="Arial" w:hint="eastAsia"/>
          <w:sz w:val="21"/>
          <w:szCs w:val="21"/>
        </w:rPr>
        <w:t>年</w:t>
      </w:r>
      <w:r w:rsidR="00711822">
        <w:rPr>
          <w:rFonts w:ascii="Arial" w:hAnsi="Arial" w:cs="Arial" w:hint="eastAsia"/>
          <w:sz w:val="21"/>
          <w:szCs w:val="21"/>
        </w:rPr>
        <w:t>3-5</w:t>
      </w:r>
      <w:r w:rsidR="00711822">
        <w:rPr>
          <w:rFonts w:ascii="Arial" w:hAnsi="Arial" w:cs="Arial" w:hint="eastAsia"/>
          <w:sz w:val="21"/>
          <w:szCs w:val="21"/>
        </w:rPr>
        <w:t>月飞速增长，月均去化约</w:t>
      </w:r>
      <w:r w:rsidR="00711822">
        <w:rPr>
          <w:rFonts w:ascii="Arial" w:hAnsi="Arial" w:cs="Arial" w:hint="eastAsia"/>
          <w:sz w:val="21"/>
          <w:szCs w:val="21"/>
        </w:rPr>
        <w:t>150</w:t>
      </w:r>
      <w:r w:rsidR="00711822">
        <w:rPr>
          <w:rFonts w:ascii="Arial" w:hAnsi="Arial" w:cs="Arial" w:hint="eastAsia"/>
          <w:sz w:val="21"/>
          <w:szCs w:val="21"/>
        </w:rPr>
        <w:t>万平方米</w:t>
      </w:r>
      <w:r w:rsidRPr="00482991">
        <w:rPr>
          <w:rFonts w:ascii="Arial" w:hAnsi="Arial" w:cs="Arial" w:hint="eastAsia"/>
          <w:sz w:val="21"/>
          <w:szCs w:val="21"/>
        </w:rPr>
        <w:t>。</w:t>
      </w:r>
      <w:r w:rsidR="00711822">
        <w:rPr>
          <w:rFonts w:ascii="Arial" w:hAnsi="Arial" w:cs="Arial" w:hint="eastAsia"/>
          <w:sz w:val="21"/>
          <w:szCs w:val="21"/>
        </w:rPr>
        <w:t>从</w:t>
      </w:r>
      <w:r w:rsidRPr="00482991">
        <w:rPr>
          <w:rFonts w:ascii="Arial" w:hAnsi="Arial" w:cs="Arial" w:hint="eastAsia"/>
          <w:sz w:val="21"/>
          <w:szCs w:val="21"/>
        </w:rPr>
        <w:t>出清周期来看，近</w:t>
      </w:r>
      <w:r w:rsidRPr="00482991">
        <w:rPr>
          <w:rFonts w:ascii="Arial" w:hAnsi="Arial" w:cs="Arial" w:hint="eastAsia"/>
          <w:sz w:val="21"/>
          <w:szCs w:val="21"/>
        </w:rPr>
        <w:t>1</w:t>
      </w:r>
      <w:r w:rsidRPr="00482991">
        <w:rPr>
          <w:rFonts w:ascii="Arial" w:hAnsi="Arial" w:cs="Arial" w:hint="eastAsia"/>
          <w:sz w:val="21"/>
          <w:szCs w:val="21"/>
        </w:rPr>
        <w:t>年半走势中看到，由于</w:t>
      </w:r>
      <w:r w:rsidR="00711822">
        <w:rPr>
          <w:rFonts w:ascii="Arial" w:hAnsi="Arial" w:cs="Arial" w:hint="eastAsia"/>
          <w:sz w:val="21"/>
          <w:szCs w:val="21"/>
        </w:rPr>
        <w:t>库存</w:t>
      </w:r>
      <w:proofErr w:type="gramStart"/>
      <w:r w:rsidR="00711822">
        <w:rPr>
          <w:rFonts w:ascii="Arial" w:hAnsi="Arial" w:cs="Arial" w:hint="eastAsia"/>
          <w:sz w:val="21"/>
          <w:szCs w:val="21"/>
        </w:rPr>
        <w:t>面积涨幅</w:t>
      </w:r>
      <w:proofErr w:type="gramEnd"/>
      <w:r w:rsidR="00711822">
        <w:rPr>
          <w:rFonts w:ascii="Arial" w:hAnsi="Arial" w:cs="Arial" w:hint="eastAsia"/>
          <w:sz w:val="21"/>
          <w:szCs w:val="21"/>
        </w:rPr>
        <w:t>不大，去化面积整体呈上升趋势，</w:t>
      </w:r>
      <w:r w:rsidR="00711822">
        <w:rPr>
          <w:rFonts w:ascii="Arial" w:hAnsi="Arial" w:cs="Arial" w:hint="eastAsia"/>
          <w:sz w:val="21"/>
          <w:szCs w:val="21"/>
        </w:rPr>
        <w:t>2020</w:t>
      </w:r>
      <w:r w:rsidR="00711822">
        <w:rPr>
          <w:rFonts w:ascii="Arial" w:hAnsi="Arial" w:cs="Arial" w:hint="eastAsia"/>
          <w:sz w:val="21"/>
          <w:szCs w:val="21"/>
        </w:rPr>
        <w:t>年全年出清周期为</w:t>
      </w:r>
      <w:r w:rsidR="00711822">
        <w:rPr>
          <w:rFonts w:ascii="Arial" w:hAnsi="Arial" w:cs="Arial" w:hint="eastAsia"/>
          <w:sz w:val="21"/>
          <w:szCs w:val="21"/>
        </w:rPr>
        <w:t>6.8</w:t>
      </w:r>
      <w:r w:rsidR="00711822">
        <w:rPr>
          <w:rFonts w:ascii="Arial" w:hAnsi="Arial" w:cs="Arial" w:hint="eastAsia"/>
          <w:sz w:val="21"/>
          <w:szCs w:val="21"/>
        </w:rPr>
        <w:t>月，至</w:t>
      </w:r>
      <w:r w:rsidR="00711822">
        <w:rPr>
          <w:rFonts w:ascii="Arial" w:hAnsi="Arial" w:cs="Arial" w:hint="eastAsia"/>
          <w:sz w:val="21"/>
          <w:szCs w:val="21"/>
        </w:rPr>
        <w:t>2021</w:t>
      </w:r>
      <w:r w:rsidR="00711822">
        <w:rPr>
          <w:rFonts w:ascii="Arial" w:hAnsi="Arial" w:cs="Arial" w:hint="eastAsia"/>
          <w:sz w:val="21"/>
          <w:szCs w:val="21"/>
        </w:rPr>
        <w:t>年</w:t>
      </w:r>
      <w:r w:rsidR="00711822">
        <w:rPr>
          <w:rFonts w:ascii="Arial" w:hAnsi="Arial" w:cs="Arial" w:hint="eastAsia"/>
          <w:sz w:val="21"/>
          <w:szCs w:val="21"/>
        </w:rPr>
        <w:t>5</w:t>
      </w:r>
      <w:r w:rsidR="00711822">
        <w:rPr>
          <w:rFonts w:ascii="Arial" w:hAnsi="Arial" w:cs="Arial" w:hint="eastAsia"/>
          <w:sz w:val="21"/>
          <w:szCs w:val="21"/>
        </w:rPr>
        <w:t>月出清周期</w:t>
      </w:r>
      <w:r w:rsidR="00900F74">
        <w:rPr>
          <w:rFonts w:ascii="Arial" w:hAnsi="Arial" w:cs="Arial" w:hint="eastAsia"/>
          <w:sz w:val="21"/>
          <w:szCs w:val="21"/>
        </w:rPr>
        <w:t>为</w:t>
      </w:r>
      <w:r w:rsidR="00900F74">
        <w:rPr>
          <w:rFonts w:ascii="Arial" w:hAnsi="Arial" w:cs="Arial" w:hint="eastAsia"/>
          <w:sz w:val="21"/>
          <w:szCs w:val="21"/>
        </w:rPr>
        <w:t>3.</w:t>
      </w:r>
      <w:proofErr w:type="gramStart"/>
      <w:r w:rsidR="00900F74">
        <w:rPr>
          <w:rFonts w:ascii="Arial" w:hAnsi="Arial" w:cs="Arial" w:hint="eastAsia"/>
          <w:sz w:val="21"/>
          <w:szCs w:val="21"/>
        </w:rPr>
        <w:t>86</w:t>
      </w:r>
      <w:proofErr w:type="gramEnd"/>
      <w:r w:rsidR="00900F74">
        <w:rPr>
          <w:rFonts w:ascii="Arial" w:hAnsi="Arial" w:cs="Arial" w:hint="eastAsia"/>
          <w:sz w:val="21"/>
          <w:szCs w:val="21"/>
        </w:rPr>
        <w:t>月</w:t>
      </w:r>
      <w:r w:rsidRPr="00482991">
        <w:rPr>
          <w:rFonts w:ascii="Arial" w:hAnsi="Arial" w:cs="Arial" w:hint="eastAsia"/>
          <w:sz w:val="21"/>
          <w:szCs w:val="21"/>
        </w:rPr>
        <w:t>。</w:t>
      </w:r>
    </w:p>
    <w:p w14:paraId="2A5D092F" w14:textId="265C01F7" w:rsidR="00C01AA7" w:rsidRPr="00E05368" w:rsidRDefault="00E24C7B" w:rsidP="00C01AA7">
      <w:pPr>
        <w:widowControl w:val="0"/>
        <w:adjustRightInd w:val="0"/>
        <w:snapToGrid w:val="0"/>
        <w:spacing w:line="480" w:lineRule="auto"/>
        <w:jc w:val="center"/>
        <w:rPr>
          <w:rFonts w:ascii="Arial" w:hAnsi="Arial" w:cs="Arial"/>
          <w:sz w:val="21"/>
          <w:szCs w:val="21"/>
        </w:rPr>
      </w:pPr>
      <w:r>
        <w:rPr>
          <w:noProof/>
        </w:rPr>
        <w:drawing>
          <wp:inline distT="0" distB="0" distL="0" distR="0" wp14:anchorId="32C42D62" wp14:editId="75F86405">
            <wp:extent cx="5486400" cy="2390775"/>
            <wp:effectExtent l="0" t="0" r="19050" b="9525"/>
            <wp:docPr id="5155" name="图表 515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88C4CB2-DB58-422B-A9FB-088CD3B6E0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4E36086B" w14:textId="1C8C6E9E" w:rsidR="00C01AA7" w:rsidRPr="00E05368" w:rsidRDefault="00C01AA7" w:rsidP="00C01AA7">
      <w:pPr>
        <w:adjustRightInd w:val="0"/>
        <w:snapToGrid w:val="0"/>
        <w:spacing w:line="480" w:lineRule="auto"/>
        <w:rPr>
          <w:rFonts w:ascii="华文细黑" w:eastAsia="华文细黑" w:hAnsi="华文细黑" w:cs="Arial"/>
          <w:sz w:val="15"/>
          <w:szCs w:val="15"/>
        </w:rPr>
      </w:pPr>
      <w:r>
        <w:rPr>
          <w:rFonts w:ascii="华文细黑" w:eastAsia="华文细黑" w:hAnsi="华文细黑" w:cs="Arial" w:hint="eastAsia"/>
          <w:sz w:val="15"/>
          <w:szCs w:val="15"/>
        </w:rPr>
        <w:t>资料来源：</w:t>
      </w:r>
      <w:r w:rsidR="005F43F3" w:rsidRPr="00E05368">
        <w:rPr>
          <w:rFonts w:ascii="Arial" w:eastAsia="华文细黑" w:hAnsi="Arial" w:cs="Arial"/>
          <w:color w:val="000000"/>
          <w:sz w:val="15"/>
          <w:szCs w:val="15"/>
        </w:rPr>
        <w:t>CREIS</w:t>
      </w:r>
      <w:r w:rsidR="005F43F3" w:rsidRPr="00E05368">
        <w:rPr>
          <w:rFonts w:ascii="华文细黑" w:eastAsia="华文细黑" w:hAnsi="华文细黑" w:cs="Arial" w:hint="eastAsia"/>
          <w:color w:val="000000"/>
          <w:sz w:val="15"/>
          <w:szCs w:val="15"/>
        </w:rPr>
        <w:t>中指数据</w:t>
      </w:r>
    </w:p>
    <w:p w14:paraId="6E9BFBB3" w14:textId="77777777" w:rsidR="00C7455C" w:rsidRPr="00E05368" w:rsidRDefault="00C7455C" w:rsidP="00C7455C">
      <w:pPr>
        <w:pStyle w:val="2"/>
        <w:tabs>
          <w:tab w:val="left" w:pos="5220"/>
        </w:tabs>
        <w:spacing w:before="0" w:after="0" w:line="480" w:lineRule="auto"/>
        <w:ind w:firstLineChars="98" w:firstLine="207"/>
        <w:jc w:val="both"/>
        <w:rPr>
          <w:rFonts w:eastAsia="宋体" w:cs="Arial"/>
          <w:sz w:val="21"/>
          <w:szCs w:val="21"/>
        </w:rPr>
      </w:pPr>
      <w:bookmarkStart w:id="131" w:name="_Toc43885860"/>
      <w:bookmarkStart w:id="132" w:name="_Toc74250073"/>
      <w:bookmarkStart w:id="133" w:name="_Toc74662903"/>
      <w:r w:rsidRPr="00E05368">
        <w:rPr>
          <w:rFonts w:eastAsia="宋体" w:cs="Arial"/>
          <w:sz w:val="21"/>
          <w:szCs w:val="21"/>
        </w:rPr>
        <w:t>（</w:t>
      </w:r>
      <w:r w:rsidRPr="00E05368">
        <w:rPr>
          <w:rFonts w:eastAsia="宋体" w:cs="Arial" w:hint="eastAsia"/>
          <w:sz w:val="21"/>
          <w:szCs w:val="21"/>
        </w:rPr>
        <w:t>六</w:t>
      </w:r>
      <w:r w:rsidRPr="00E05368">
        <w:rPr>
          <w:rFonts w:eastAsia="宋体" w:cs="Arial"/>
          <w:sz w:val="21"/>
          <w:szCs w:val="21"/>
        </w:rPr>
        <w:t>）</w:t>
      </w:r>
      <w:r w:rsidRPr="00E05368">
        <w:rPr>
          <w:rFonts w:eastAsia="宋体" w:cs="Arial" w:hint="eastAsia"/>
          <w:sz w:val="21"/>
          <w:szCs w:val="21"/>
        </w:rPr>
        <w:t>房地产政策</w:t>
      </w:r>
      <w:bookmarkEnd w:id="131"/>
      <w:bookmarkEnd w:id="132"/>
      <w:bookmarkEnd w:id="133"/>
    </w:p>
    <w:tbl>
      <w:tblPr>
        <w:tblStyle w:val="af0"/>
        <w:tblW w:w="9299" w:type="dxa"/>
        <w:jc w:val="center"/>
        <w:tblCellMar>
          <w:top w:w="57" w:type="dxa"/>
          <w:left w:w="57" w:type="dxa"/>
          <w:bottom w:w="57" w:type="dxa"/>
          <w:right w:w="57" w:type="dxa"/>
        </w:tblCellMar>
        <w:tblLook w:val="04A0" w:firstRow="1" w:lastRow="0" w:firstColumn="1" w:lastColumn="0" w:noHBand="0" w:noVBand="1"/>
      </w:tblPr>
      <w:tblGrid>
        <w:gridCol w:w="898"/>
        <w:gridCol w:w="3087"/>
        <w:gridCol w:w="5314"/>
      </w:tblGrid>
      <w:tr w:rsidR="00F41AD8" w:rsidRPr="00F84AA9" w14:paraId="0ED6A55D" w14:textId="77777777" w:rsidTr="00C446B5">
        <w:trPr>
          <w:cantSplit/>
          <w:tblHeader/>
          <w:jc w:val="center"/>
        </w:trPr>
        <w:tc>
          <w:tcPr>
            <w:tcW w:w="898" w:type="dxa"/>
            <w:vAlign w:val="center"/>
          </w:tcPr>
          <w:p w14:paraId="7FAA5141" w14:textId="77777777" w:rsidR="00F41AD8" w:rsidRPr="00F84AA9" w:rsidRDefault="00F41AD8" w:rsidP="00C446B5">
            <w:pPr>
              <w:widowControl w:val="0"/>
              <w:adjustRightInd w:val="0"/>
              <w:snapToGrid w:val="0"/>
              <w:spacing w:line="0" w:lineRule="atLeast"/>
              <w:jc w:val="both"/>
              <w:rPr>
                <w:rFonts w:ascii="Arial" w:eastAsia="华文细黑" w:hAnsi="Arial" w:cs="Arial"/>
                <w:color w:val="000000"/>
                <w:sz w:val="18"/>
                <w:szCs w:val="18"/>
              </w:rPr>
            </w:pPr>
            <w:r w:rsidRPr="00F84AA9">
              <w:rPr>
                <w:rFonts w:ascii="Arial" w:eastAsia="华文细黑" w:hAnsi="Arial" w:cs="Arial"/>
                <w:color w:val="000000"/>
                <w:sz w:val="18"/>
                <w:szCs w:val="18"/>
              </w:rPr>
              <w:t>政策</w:t>
            </w:r>
          </w:p>
        </w:tc>
        <w:tc>
          <w:tcPr>
            <w:tcW w:w="3087" w:type="dxa"/>
            <w:vAlign w:val="center"/>
          </w:tcPr>
          <w:p w14:paraId="43FC287E" w14:textId="77777777" w:rsidR="00F41AD8" w:rsidRPr="00F84AA9" w:rsidRDefault="00F41AD8" w:rsidP="00C446B5">
            <w:pPr>
              <w:widowControl w:val="0"/>
              <w:adjustRightInd w:val="0"/>
              <w:snapToGrid w:val="0"/>
              <w:spacing w:line="0" w:lineRule="atLeast"/>
              <w:jc w:val="both"/>
              <w:rPr>
                <w:rFonts w:ascii="Arial" w:eastAsia="华文细黑" w:hAnsi="Arial" w:cs="Arial"/>
                <w:color w:val="000000"/>
                <w:sz w:val="18"/>
                <w:szCs w:val="18"/>
              </w:rPr>
            </w:pPr>
            <w:r w:rsidRPr="00F84AA9">
              <w:rPr>
                <w:rFonts w:ascii="Arial" w:eastAsia="华文细黑" w:hAnsi="Arial" w:cs="Arial"/>
                <w:color w:val="000000"/>
                <w:sz w:val="18"/>
                <w:szCs w:val="18"/>
              </w:rPr>
              <w:t>文件</w:t>
            </w:r>
          </w:p>
        </w:tc>
        <w:tc>
          <w:tcPr>
            <w:tcW w:w="5314" w:type="dxa"/>
            <w:vAlign w:val="center"/>
          </w:tcPr>
          <w:p w14:paraId="3BAA499B" w14:textId="77777777" w:rsidR="00F41AD8" w:rsidRPr="00F84AA9" w:rsidRDefault="00F41AD8" w:rsidP="00C446B5">
            <w:pPr>
              <w:widowControl w:val="0"/>
              <w:adjustRightInd w:val="0"/>
              <w:snapToGrid w:val="0"/>
              <w:spacing w:line="0" w:lineRule="atLeast"/>
              <w:jc w:val="both"/>
              <w:rPr>
                <w:rFonts w:ascii="Arial" w:eastAsia="华文细黑" w:hAnsi="Arial" w:cs="Arial"/>
                <w:color w:val="000000"/>
                <w:sz w:val="18"/>
                <w:szCs w:val="18"/>
              </w:rPr>
            </w:pPr>
            <w:r w:rsidRPr="00F84AA9">
              <w:rPr>
                <w:rFonts w:ascii="Arial" w:eastAsia="华文细黑" w:hAnsi="Arial" w:cs="Arial"/>
                <w:color w:val="000000"/>
                <w:sz w:val="18"/>
                <w:szCs w:val="18"/>
              </w:rPr>
              <w:t>内容</w:t>
            </w:r>
          </w:p>
        </w:tc>
      </w:tr>
      <w:tr w:rsidR="00F41AD8" w:rsidRPr="00F84AA9" w14:paraId="5FDB5695" w14:textId="77777777" w:rsidTr="00C446B5">
        <w:trPr>
          <w:cantSplit/>
          <w:jc w:val="center"/>
        </w:trPr>
        <w:tc>
          <w:tcPr>
            <w:tcW w:w="898" w:type="dxa"/>
            <w:vAlign w:val="center"/>
          </w:tcPr>
          <w:p w14:paraId="5B92A365" w14:textId="77777777" w:rsidR="00F41AD8" w:rsidRPr="00F84AA9" w:rsidRDefault="00F41AD8" w:rsidP="00C446B5">
            <w:pPr>
              <w:widowControl w:val="0"/>
              <w:adjustRightInd w:val="0"/>
              <w:snapToGrid w:val="0"/>
              <w:spacing w:line="0" w:lineRule="atLeast"/>
              <w:jc w:val="both"/>
              <w:rPr>
                <w:rFonts w:ascii="Arial" w:eastAsia="华文细黑" w:hAnsi="Arial" w:cs="Arial"/>
                <w:color w:val="000000"/>
                <w:sz w:val="18"/>
                <w:szCs w:val="18"/>
              </w:rPr>
            </w:pPr>
            <w:r w:rsidRPr="00F84AA9">
              <w:rPr>
                <w:rFonts w:ascii="Arial" w:eastAsia="华文细黑" w:hAnsi="Arial" w:cs="Arial"/>
                <w:color w:val="000000"/>
                <w:sz w:val="18"/>
                <w:szCs w:val="18"/>
              </w:rPr>
              <w:t>限购政策</w:t>
            </w:r>
          </w:p>
        </w:tc>
        <w:tc>
          <w:tcPr>
            <w:tcW w:w="3087" w:type="dxa"/>
            <w:vAlign w:val="center"/>
          </w:tcPr>
          <w:p w14:paraId="239345E4" w14:textId="77777777" w:rsidR="00F41AD8" w:rsidRPr="00F84AA9" w:rsidRDefault="00F41AD8" w:rsidP="00F41AD8">
            <w:pPr>
              <w:pStyle w:val="af1"/>
              <w:widowControl w:val="0"/>
              <w:numPr>
                <w:ilvl w:val="0"/>
                <w:numId w:val="21"/>
              </w:numPr>
              <w:adjustRightInd w:val="0"/>
              <w:snapToGrid w:val="0"/>
              <w:spacing w:line="0" w:lineRule="atLeast"/>
              <w:ind w:firstLineChars="0"/>
              <w:jc w:val="both"/>
              <w:rPr>
                <w:rFonts w:ascii="Arial" w:eastAsia="华文细黑" w:hAnsi="Arial" w:cs="Arial"/>
                <w:color w:val="000000"/>
                <w:sz w:val="18"/>
                <w:szCs w:val="18"/>
              </w:rPr>
            </w:pPr>
            <w:r w:rsidRPr="00F84AA9">
              <w:rPr>
                <w:rFonts w:ascii="Arial" w:eastAsia="华文细黑" w:hAnsi="Arial" w:cs="Arial"/>
                <w:color w:val="000000"/>
                <w:sz w:val="18"/>
                <w:szCs w:val="18"/>
              </w:rPr>
              <w:t>《市政府关于推进供给侧结构性改革促进房地产市场平稳健康发展的实施意见》</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宁政发〔</w:t>
            </w:r>
            <w:r w:rsidRPr="00F84AA9">
              <w:rPr>
                <w:rFonts w:ascii="Arial" w:eastAsia="华文细黑" w:hAnsi="Arial" w:cs="Arial"/>
                <w:color w:val="000000"/>
                <w:sz w:val="18"/>
                <w:szCs w:val="18"/>
              </w:rPr>
              <w:t>2016</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75</w:t>
            </w:r>
            <w:r w:rsidRPr="00F84AA9">
              <w:rPr>
                <w:rFonts w:ascii="Arial" w:eastAsia="华文细黑" w:hAnsi="Arial" w:cs="Arial"/>
                <w:color w:val="000000"/>
                <w:sz w:val="18"/>
                <w:szCs w:val="18"/>
              </w:rPr>
              <w:t>号</w:t>
            </w:r>
            <w:r w:rsidRPr="00F84AA9">
              <w:rPr>
                <w:rFonts w:ascii="Arial" w:eastAsia="华文细黑" w:hAnsi="Arial" w:cs="Arial"/>
                <w:color w:val="000000"/>
                <w:sz w:val="18"/>
                <w:szCs w:val="18"/>
              </w:rPr>
              <w:t>]</w:t>
            </w:r>
          </w:p>
          <w:p w14:paraId="63ECFA64" w14:textId="77777777" w:rsidR="00F41AD8" w:rsidRPr="00F84AA9" w:rsidRDefault="00F41AD8" w:rsidP="00F41AD8">
            <w:pPr>
              <w:pStyle w:val="af1"/>
              <w:widowControl w:val="0"/>
              <w:numPr>
                <w:ilvl w:val="0"/>
                <w:numId w:val="21"/>
              </w:numPr>
              <w:adjustRightInd w:val="0"/>
              <w:snapToGrid w:val="0"/>
              <w:spacing w:line="0" w:lineRule="atLeast"/>
              <w:ind w:firstLineChars="0"/>
              <w:jc w:val="both"/>
              <w:rPr>
                <w:rFonts w:ascii="Arial" w:eastAsia="华文细黑" w:hAnsi="Arial" w:cs="Arial"/>
                <w:color w:val="000000"/>
                <w:sz w:val="18"/>
                <w:szCs w:val="18"/>
              </w:rPr>
            </w:pPr>
            <w:r w:rsidRPr="00F84AA9">
              <w:rPr>
                <w:rFonts w:ascii="Arial" w:eastAsia="华文细黑" w:hAnsi="Arial" w:cs="Arial"/>
                <w:color w:val="000000"/>
                <w:sz w:val="18"/>
                <w:szCs w:val="18"/>
              </w:rPr>
              <w:t>《关于进一步调控我市房地产市场实施主城区限购措施的通知》</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宁政办发〔</w:t>
            </w:r>
            <w:r w:rsidRPr="00F84AA9">
              <w:rPr>
                <w:rFonts w:ascii="Arial" w:eastAsia="华文细黑" w:hAnsi="Arial" w:cs="Arial"/>
                <w:color w:val="000000"/>
                <w:sz w:val="18"/>
                <w:szCs w:val="18"/>
              </w:rPr>
              <w:t>2016</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140</w:t>
            </w:r>
            <w:r w:rsidRPr="00F84AA9">
              <w:rPr>
                <w:rFonts w:ascii="Arial" w:eastAsia="华文细黑" w:hAnsi="Arial" w:cs="Arial"/>
                <w:color w:val="000000"/>
                <w:sz w:val="18"/>
                <w:szCs w:val="18"/>
              </w:rPr>
              <w:t>号</w:t>
            </w:r>
            <w:r w:rsidRPr="00F84AA9">
              <w:rPr>
                <w:rFonts w:ascii="Arial" w:eastAsia="华文细黑" w:hAnsi="Arial" w:cs="Arial"/>
                <w:color w:val="000000"/>
                <w:sz w:val="18"/>
                <w:szCs w:val="18"/>
              </w:rPr>
              <w:t>]</w:t>
            </w:r>
          </w:p>
          <w:p w14:paraId="154EC1DF" w14:textId="77777777" w:rsidR="00F41AD8" w:rsidRPr="00F84AA9" w:rsidRDefault="00F41AD8" w:rsidP="00F41AD8">
            <w:pPr>
              <w:pStyle w:val="af1"/>
              <w:widowControl w:val="0"/>
              <w:numPr>
                <w:ilvl w:val="0"/>
                <w:numId w:val="21"/>
              </w:numPr>
              <w:adjustRightInd w:val="0"/>
              <w:snapToGrid w:val="0"/>
              <w:spacing w:line="0" w:lineRule="atLeast"/>
              <w:ind w:firstLineChars="0"/>
              <w:jc w:val="both"/>
              <w:rPr>
                <w:rFonts w:ascii="Arial" w:eastAsia="华文细黑" w:hAnsi="Arial" w:cs="Arial"/>
                <w:color w:val="000000"/>
                <w:sz w:val="18"/>
                <w:szCs w:val="18"/>
              </w:rPr>
            </w:pPr>
            <w:proofErr w:type="gramStart"/>
            <w:r w:rsidRPr="00F84AA9">
              <w:rPr>
                <w:rFonts w:ascii="Arial" w:eastAsia="华文细黑" w:hAnsi="Arial" w:cs="Arial"/>
                <w:color w:val="000000"/>
                <w:sz w:val="18"/>
                <w:szCs w:val="18"/>
              </w:rPr>
              <w:t>《</w:t>
            </w:r>
            <w:proofErr w:type="gramEnd"/>
            <w:r w:rsidRPr="00F84AA9">
              <w:rPr>
                <w:rFonts w:ascii="Arial" w:eastAsia="华文细黑" w:hAnsi="Arial" w:cs="Arial"/>
                <w:color w:val="000000"/>
                <w:sz w:val="18"/>
                <w:szCs w:val="18"/>
              </w:rPr>
              <w:t>市政府办公厅关于进一步调整</w:t>
            </w:r>
          </w:p>
          <w:p w14:paraId="09703EF0" w14:textId="77777777" w:rsidR="00F41AD8" w:rsidRPr="00F84AA9" w:rsidRDefault="00F41AD8" w:rsidP="00C446B5">
            <w:pPr>
              <w:pStyle w:val="af1"/>
              <w:widowControl w:val="0"/>
              <w:adjustRightInd w:val="0"/>
              <w:snapToGrid w:val="0"/>
              <w:spacing w:line="0" w:lineRule="atLeast"/>
              <w:ind w:left="420" w:firstLineChars="0" w:firstLine="0"/>
              <w:jc w:val="both"/>
              <w:rPr>
                <w:rFonts w:ascii="Arial" w:eastAsia="华文细黑" w:hAnsi="Arial" w:cs="Arial"/>
                <w:color w:val="000000"/>
                <w:sz w:val="18"/>
                <w:szCs w:val="18"/>
              </w:rPr>
            </w:pPr>
            <w:r w:rsidRPr="00F84AA9">
              <w:rPr>
                <w:rFonts w:ascii="Arial" w:eastAsia="华文细黑" w:hAnsi="Arial" w:cs="Arial"/>
                <w:color w:val="000000"/>
                <w:sz w:val="18"/>
                <w:szCs w:val="18"/>
              </w:rPr>
              <w:t>我市住房限购政策的通知</w:t>
            </w:r>
            <w:proofErr w:type="gramStart"/>
            <w:r w:rsidRPr="00F84AA9">
              <w:rPr>
                <w:rFonts w:ascii="Arial" w:eastAsia="华文细黑" w:hAnsi="Arial" w:cs="Arial"/>
                <w:color w:val="000000"/>
                <w:sz w:val="18"/>
                <w:szCs w:val="18"/>
              </w:rPr>
              <w:t>》</w:t>
            </w:r>
            <w:proofErr w:type="gramEnd"/>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宁政办发〔</w:t>
            </w:r>
            <w:r w:rsidRPr="00F84AA9">
              <w:rPr>
                <w:rFonts w:ascii="Arial" w:eastAsia="华文细黑" w:hAnsi="Arial" w:cs="Arial"/>
                <w:color w:val="000000"/>
                <w:sz w:val="18"/>
                <w:szCs w:val="18"/>
              </w:rPr>
              <w:t>2017</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56</w:t>
            </w:r>
            <w:r w:rsidRPr="00F84AA9">
              <w:rPr>
                <w:rFonts w:ascii="Arial" w:eastAsia="华文细黑" w:hAnsi="Arial" w:cs="Arial"/>
                <w:color w:val="000000"/>
                <w:sz w:val="18"/>
                <w:szCs w:val="18"/>
              </w:rPr>
              <w:t>号</w:t>
            </w:r>
            <w:r w:rsidRPr="00F84AA9">
              <w:rPr>
                <w:rFonts w:ascii="Arial" w:eastAsia="华文细黑" w:hAnsi="Arial" w:cs="Arial"/>
                <w:color w:val="000000"/>
                <w:sz w:val="18"/>
                <w:szCs w:val="18"/>
              </w:rPr>
              <w:t>]</w:t>
            </w:r>
          </w:p>
          <w:p w14:paraId="322B3622" w14:textId="77777777" w:rsidR="00F41AD8" w:rsidRPr="00F84AA9" w:rsidRDefault="00F41AD8" w:rsidP="00F41AD8">
            <w:pPr>
              <w:pStyle w:val="af1"/>
              <w:widowControl w:val="0"/>
              <w:numPr>
                <w:ilvl w:val="0"/>
                <w:numId w:val="21"/>
              </w:numPr>
              <w:adjustRightInd w:val="0"/>
              <w:snapToGrid w:val="0"/>
              <w:spacing w:line="0" w:lineRule="atLeast"/>
              <w:ind w:firstLineChars="0"/>
              <w:jc w:val="both"/>
              <w:rPr>
                <w:rFonts w:ascii="Arial" w:eastAsia="华文细黑" w:hAnsi="Arial" w:cs="Arial"/>
                <w:color w:val="000000"/>
                <w:sz w:val="18"/>
                <w:szCs w:val="18"/>
              </w:rPr>
            </w:pPr>
            <w:r w:rsidRPr="00F84AA9">
              <w:rPr>
                <w:rFonts w:ascii="Arial" w:eastAsia="华文细黑" w:hAnsi="Arial" w:cs="Arial"/>
                <w:color w:val="000000"/>
                <w:sz w:val="18"/>
                <w:szCs w:val="18"/>
              </w:rPr>
              <w:t>《关于促进我市房地产市场平稳健康发展的通知》</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宁房市字〔</w:t>
            </w:r>
            <w:r w:rsidRPr="00F84AA9">
              <w:rPr>
                <w:rFonts w:ascii="Arial" w:eastAsia="华文细黑" w:hAnsi="Arial" w:cs="Arial"/>
                <w:color w:val="000000"/>
                <w:sz w:val="18"/>
                <w:szCs w:val="18"/>
              </w:rPr>
              <w:t>2020</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132</w:t>
            </w:r>
            <w:r w:rsidRPr="00F84AA9">
              <w:rPr>
                <w:rFonts w:ascii="Arial" w:eastAsia="华文细黑" w:hAnsi="Arial" w:cs="Arial"/>
                <w:color w:val="000000"/>
                <w:sz w:val="18"/>
                <w:szCs w:val="18"/>
              </w:rPr>
              <w:t>号</w:t>
            </w:r>
            <w:r w:rsidRPr="00F84AA9">
              <w:rPr>
                <w:rFonts w:ascii="Arial" w:eastAsia="华文细黑" w:hAnsi="Arial" w:cs="Arial"/>
                <w:color w:val="000000"/>
                <w:sz w:val="18"/>
                <w:szCs w:val="18"/>
              </w:rPr>
              <w:t>]</w:t>
            </w:r>
          </w:p>
        </w:tc>
        <w:tc>
          <w:tcPr>
            <w:tcW w:w="5314" w:type="dxa"/>
            <w:vAlign w:val="center"/>
          </w:tcPr>
          <w:p w14:paraId="3EC891FD"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1</w:t>
            </w:r>
            <w:r w:rsidRPr="00F84AA9">
              <w:rPr>
                <w:rFonts w:ascii="Arial" w:eastAsia="华文细黑" w:hAnsi="Arial" w:cs="Arial"/>
                <w:color w:val="000000"/>
                <w:sz w:val="18"/>
                <w:szCs w:val="18"/>
              </w:rPr>
              <w:t>、南京本地家庭已有</w:t>
            </w:r>
            <w:r w:rsidRPr="00F84AA9">
              <w:rPr>
                <w:rFonts w:ascii="Arial" w:eastAsia="华文细黑" w:hAnsi="Arial" w:cs="Arial"/>
                <w:color w:val="000000"/>
                <w:sz w:val="18"/>
                <w:szCs w:val="18"/>
              </w:rPr>
              <w:t>2</w:t>
            </w:r>
            <w:r w:rsidRPr="00F84AA9">
              <w:rPr>
                <w:rFonts w:ascii="Arial" w:eastAsia="华文细黑" w:hAnsi="Arial" w:cs="Arial"/>
                <w:color w:val="000000"/>
                <w:sz w:val="18"/>
                <w:szCs w:val="18"/>
              </w:rPr>
              <w:t>套及以上住房，不准在主城（不含六合溧水高淳）再买住房，不论是新房还是二手房都不准再买。</w:t>
            </w:r>
          </w:p>
          <w:p w14:paraId="2F95765F"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2</w:t>
            </w:r>
            <w:r w:rsidRPr="00F84AA9">
              <w:rPr>
                <w:rFonts w:ascii="Arial" w:eastAsia="华文细黑" w:hAnsi="Arial" w:cs="Arial"/>
                <w:color w:val="000000"/>
                <w:sz w:val="18"/>
                <w:szCs w:val="18"/>
              </w:rPr>
              <w:t>、外地人想在南京买房，必须在最近</w:t>
            </w:r>
            <w:r w:rsidRPr="00F84AA9">
              <w:rPr>
                <w:rFonts w:ascii="Arial" w:eastAsia="华文细黑" w:hAnsi="Arial" w:cs="Arial"/>
                <w:color w:val="000000"/>
                <w:sz w:val="18"/>
                <w:szCs w:val="18"/>
              </w:rPr>
              <w:t>3</w:t>
            </w:r>
            <w:r w:rsidRPr="00F84AA9">
              <w:rPr>
                <w:rFonts w:ascii="Arial" w:eastAsia="华文细黑" w:hAnsi="Arial" w:cs="Arial"/>
                <w:color w:val="000000"/>
                <w:sz w:val="18"/>
                <w:szCs w:val="18"/>
              </w:rPr>
              <w:t>年内累计缴纳</w:t>
            </w:r>
            <w:r w:rsidRPr="00F84AA9">
              <w:rPr>
                <w:rFonts w:ascii="Arial" w:eastAsia="华文细黑" w:hAnsi="Arial" w:cs="Arial"/>
                <w:color w:val="000000"/>
                <w:sz w:val="18"/>
                <w:szCs w:val="18"/>
              </w:rPr>
              <w:t>2</w:t>
            </w:r>
            <w:r w:rsidRPr="00F84AA9">
              <w:rPr>
                <w:rFonts w:ascii="Arial" w:eastAsia="华文细黑" w:hAnsi="Arial" w:cs="Arial"/>
                <w:color w:val="000000"/>
                <w:sz w:val="18"/>
                <w:szCs w:val="18"/>
              </w:rPr>
              <w:t>年以上的社保或个税，不允许补缴。</w:t>
            </w:r>
          </w:p>
          <w:p w14:paraId="13EADDBA"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3</w:t>
            </w:r>
            <w:r w:rsidRPr="00F84AA9">
              <w:rPr>
                <w:rFonts w:ascii="Arial" w:eastAsia="华文细黑" w:hAnsi="Arial" w:cs="Arial"/>
                <w:color w:val="000000"/>
                <w:sz w:val="18"/>
                <w:szCs w:val="18"/>
              </w:rPr>
              <w:t>、高淳、溧水、六合纳入限购范围，外地人满足条件可买一套、但不准买第二套；南京本地户籍不限购、但是限贷。</w:t>
            </w:r>
          </w:p>
          <w:p w14:paraId="3448D96D"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4</w:t>
            </w:r>
            <w:r w:rsidRPr="00F84AA9">
              <w:rPr>
                <w:rFonts w:ascii="Arial" w:eastAsia="华文细黑" w:hAnsi="Arial" w:cs="Arial"/>
                <w:color w:val="000000"/>
                <w:sz w:val="18"/>
                <w:szCs w:val="18"/>
              </w:rPr>
              <w:t>、高淳区，外地人只需居住证或者用工劳务合同和营业执照复印件即可直接办理购房证明。</w:t>
            </w:r>
          </w:p>
          <w:p w14:paraId="69C9EE8E"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5</w:t>
            </w:r>
            <w:r w:rsidRPr="00F84AA9">
              <w:rPr>
                <w:rFonts w:ascii="Arial" w:eastAsia="华文细黑" w:hAnsi="Arial" w:cs="Arial"/>
                <w:color w:val="000000"/>
                <w:sz w:val="18"/>
                <w:szCs w:val="18"/>
              </w:rPr>
              <w:t>、六合区（大厂除外），外地人有南京居住证、持有大专学历可直接开购房证明。</w:t>
            </w:r>
          </w:p>
          <w:p w14:paraId="02D1B420"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6</w:t>
            </w:r>
            <w:r w:rsidRPr="00F84AA9">
              <w:rPr>
                <w:rFonts w:ascii="Arial" w:eastAsia="华文细黑" w:hAnsi="Arial" w:cs="Arial"/>
                <w:color w:val="000000"/>
                <w:sz w:val="18"/>
                <w:szCs w:val="18"/>
              </w:rPr>
              <w:t>、溧水区，全日制专科学历（专业技术初级、高级工）及以上人才、本人</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配偶</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未成年子女在溧水无自住房、与企业签订一年以上劳动合同、单位为其缴纳社保或在溧水区缴纳个人所得税，可由企业统一申请人才购房。</w:t>
            </w:r>
          </w:p>
          <w:p w14:paraId="41F7F0BD"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7</w:t>
            </w:r>
            <w:r w:rsidRPr="00F84AA9">
              <w:rPr>
                <w:rFonts w:ascii="Arial" w:eastAsia="华文细黑" w:hAnsi="Arial" w:cs="Arial"/>
                <w:color w:val="000000"/>
                <w:sz w:val="18"/>
                <w:szCs w:val="18"/>
              </w:rPr>
              <w:t>、夫妻离异的，任何一方自离异之日起</w:t>
            </w:r>
            <w:r w:rsidRPr="00F84AA9">
              <w:rPr>
                <w:rFonts w:ascii="Arial" w:eastAsia="华文细黑" w:hAnsi="Arial" w:cs="Arial"/>
                <w:color w:val="000000"/>
                <w:sz w:val="18"/>
                <w:szCs w:val="18"/>
              </w:rPr>
              <w:t>2</w:t>
            </w:r>
            <w:r w:rsidRPr="00F84AA9">
              <w:rPr>
                <w:rFonts w:ascii="Arial" w:eastAsia="华文细黑" w:hAnsi="Arial" w:cs="Arial"/>
                <w:color w:val="000000"/>
                <w:sz w:val="18"/>
                <w:szCs w:val="18"/>
              </w:rPr>
              <w:t>年内购买商品住房的，其拥有住房套数按离异前家庭总套数计算。</w:t>
            </w:r>
          </w:p>
        </w:tc>
      </w:tr>
      <w:tr w:rsidR="00F41AD8" w:rsidRPr="00F84AA9" w14:paraId="5D86EB2A" w14:textId="77777777" w:rsidTr="00C446B5">
        <w:trPr>
          <w:cantSplit/>
          <w:jc w:val="center"/>
        </w:trPr>
        <w:tc>
          <w:tcPr>
            <w:tcW w:w="898" w:type="dxa"/>
            <w:vAlign w:val="center"/>
          </w:tcPr>
          <w:p w14:paraId="7C956D63" w14:textId="77777777" w:rsidR="00F41AD8" w:rsidRPr="00F84AA9" w:rsidRDefault="00F41AD8" w:rsidP="00C446B5">
            <w:pPr>
              <w:widowControl w:val="0"/>
              <w:adjustRightInd w:val="0"/>
              <w:snapToGrid w:val="0"/>
              <w:spacing w:line="0" w:lineRule="atLeast"/>
              <w:jc w:val="both"/>
              <w:rPr>
                <w:rFonts w:ascii="Arial" w:eastAsia="华文细黑" w:hAnsi="Arial" w:cs="Arial"/>
                <w:color w:val="000000"/>
                <w:sz w:val="18"/>
                <w:szCs w:val="18"/>
              </w:rPr>
            </w:pPr>
            <w:r w:rsidRPr="00F84AA9">
              <w:rPr>
                <w:rFonts w:ascii="Arial" w:eastAsia="华文细黑" w:hAnsi="Arial" w:cs="Arial"/>
                <w:color w:val="000000"/>
                <w:sz w:val="18"/>
                <w:szCs w:val="18"/>
              </w:rPr>
              <w:t>限售政策</w:t>
            </w:r>
          </w:p>
        </w:tc>
        <w:tc>
          <w:tcPr>
            <w:tcW w:w="3087" w:type="dxa"/>
            <w:vAlign w:val="center"/>
          </w:tcPr>
          <w:p w14:paraId="0B927850" w14:textId="77777777" w:rsidR="00F41AD8" w:rsidRPr="00F84AA9" w:rsidRDefault="00F41AD8" w:rsidP="00F41AD8">
            <w:pPr>
              <w:pStyle w:val="af1"/>
              <w:widowControl w:val="0"/>
              <w:numPr>
                <w:ilvl w:val="0"/>
                <w:numId w:val="20"/>
              </w:numPr>
              <w:adjustRightInd w:val="0"/>
              <w:snapToGrid w:val="0"/>
              <w:spacing w:line="0" w:lineRule="atLeast"/>
              <w:ind w:firstLineChars="0"/>
              <w:jc w:val="both"/>
              <w:rPr>
                <w:rFonts w:ascii="Arial" w:eastAsia="华文细黑" w:hAnsi="Arial" w:cs="Arial"/>
                <w:color w:val="000000"/>
                <w:sz w:val="18"/>
                <w:szCs w:val="18"/>
              </w:rPr>
            </w:pPr>
            <w:r w:rsidRPr="00F84AA9">
              <w:rPr>
                <w:rFonts w:ascii="Arial" w:eastAsia="华文细黑" w:hAnsi="Arial" w:cs="Arial"/>
                <w:color w:val="000000"/>
                <w:sz w:val="18"/>
                <w:szCs w:val="18"/>
              </w:rPr>
              <w:t>《南京市人民政府办公厅关于进一步加强房地产市场调控的通知》</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宁政办发〔</w:t>
            </w:r>
            <w:r w:rsidRPr="00F84AA9">
              <w:rPr>
                <w:rFonts w:ascii="Arial" w:eastAsia="华文细黑" w:hAnsi="Arial" w:cs="Arial"/>
                <w:color w:val="000000"/>
                <w:sz w:val="18"/>
                <w:szCs w:val="18"/>
              </w:rPr>
              <w:t>2017</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103</w:t>
            </w:r>
            <w:r w:rsidRPr="00F84AA9">
              <w:rPr>
                <w:rFonts w:ascii="Arial" w:eastAsia="华文细黑" w:hAnsi="Arial" w:cs="Arial"/>
                <w:color w:val="000000"/>
                <w:sz w:val="18"/>
                <w:szCs w:val="18"/>
              </w:rPr>
              <w:t>号</w:t>
            </w:r>
            <w:r w:rsidRPr="00F84AA9">
              <w:rPr>
                <w:rFonts w:ascii="Arial" w:eastAsia="华文细黑" w:hAnsi="Arial" w:cs="Arial"/>
                <w:color w:val="000000"/>
                <w:sz w:val="18"/>
                <w:szCs w:val="18"/>
              </w:rPr>
              <w:t>]</w:t>
            </w:r>
          </w:p>
        </w:tc>
        <w:tc>
          <w:tcPr>
            <w:tcW w:w="5314" w:type="dxa"/>
            <w:vAlign w:val="center"/>
          </w:tcPr>
          <w:p w14:paraId="0D1E4698"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1</w:t>
            </w:r>
            <w:r w:rsidRPr="00F84AA9">
              <w:rPr>
                <w:rFonts w:ascii="Arial" w:eastAsia="华文细黑" w:hAnsi="Arial" w:cs="Arial"/>
                <w:color w:val="000000"/>
                <w:sz w:val="18"/>
                <w:szCs w:val="18"/>
              </w:rPr>
              <w:t>、购房人（含居民家庭、企事业单位、社会组织）新购住房在取得不动产权证后，</w:t>
            </w:r>
            <w:r w:rsidRPr="00F84AA9">
              <w:rPr>
                <w:rFonts w:ascii="Arial" w:eastAsia="华文细黑" w:hAnsi="Arial" w:cs="Arial"/>
                <w:color w:val="000000"/>
                <w:sz w:val="18"/>
                <w:szCs w:val="18"/>
              </w:rPr>
              <w:t>3</w:t>
            </w:r>
            <w:r w:rsidRPr="00F84AA9">
              <w:rPr>
                <w:rFonts w:ascii="Arial" w:eastAsia="华文细黑" w:hAnsi="Arial" w:cs="Arial"/>
                <w:color w:val="000000"/>
                <w:sz w:val="18"/>
                <w:szCs w:val="18"/>
              </w:rPr>
              <w:t>年内不得转让。通过赠与方式转让住房的，自签署《赠与合同》并办理转让确认手续之日起，赠与人满</w:t>
            </w:r>
            <w:r w:rsidRPr="00F84AA9">
              <w:rPr>
                <w:rFonts w:ascii="Arial" w:eastAsia="华文细黑" w:hAnsi="Arial" w:cs="Arial"/>
                <w:color w:val="000000"/>
                <w:sz w:val="18"/>
                <w:szCs w:val="18"/>
              </w:rPr>
              <w:t>3</w:t>
            </w:r>
            <w:r w:rsidRPr="00F84AA9">
              <w:rPr>
                <w:rFonts w:ascii="Arial" w:eastAsia="华文细黑" w:hAnsi="Arial" w:cs="Arial"/>
                <w:color w:val="000000"/>
                <w:sz w:val="18"/>
                <w:szCs w:val="18"/>
              </w:rPr>
              <w:t>年后方可再次购买住房。通过赠与方式取得住房的家庭或居民，执行住房限购政策。</w:t>
            </w:r>
          </w:p>
        </w:tc>
      </w:tr>
      <w:tr w:rsidR="00F41AD8" w:rsidRPr="00F84AA9" w14:paraId="3D282B0C" w14:textId="77777777" w:rsidTr="00C446B5">
        <w:trPr>
          <w:cantSplit/>
          <w:jc w:val="center"/>
        </w:trPr>
        <w:tc>
          <w:tcPr>
            <w:tcW w:w="898" w:type="dxa"/>
            <w:vAlign w:val="center"/>
          </w:tcPr>
          <w:p w14:paraId="1BF8A212" w14:textId="77777777" w:rsidR="00F41AD8" w:rsidRPr="00F84AA9" w:rsidRDefault="00F41AD8" w:rsidP="00C446B5">
            <w:pPr>
              <w:widowControl w:val="0"/>
              <w:adjustRightInd w:val="0"/>
              <w:snapToGrid w:val="0"/>
              <w:spacing w:line="0" w:lineRule="atLeast"/>
              <w:jc w:val="both"/>
              <w:rPr>
                <w:rFonts w:ascii="Arial" w:eastAsia="华文细黑" w:hAnsi="Arial" w:cs="Arial"/>
                <w:color w:val="000000"/>
                <w:sz w:val="18"/>
                <w:szCs w:val="18"/>
              </w:rPr>
            </w:pPr>
            <w:r w:rsidRPr="00F84AA9">
              <w:rPr>
                <w:rFonts w:ascii="Arial" w:eastAsia="华文细黑" w:hAnsi="Arial" w:cs="Arial"/>
                <w:color w:val="000000"/>
                <w:sz w:val="18"/>
                <w:szCs w:val="18"/>
              </w:rPr>
              <w:lastRenderedPageBreak/>
              <w:t>贷款政策</w:t>
            </w:r>
          </w:p>
        </w:tc>
        <w:tc>
          <w:tcPr>
            <w:tcW w:w="3087" w:type="dxa"/>
            <w:vAlign w:val="center"/>
          </w:tcPr>
          <w:p w14:paraId="2C6E5106" w14:textId="77777777" w:rsidR="00F41AD8" w:rsidRPr="00F84AA9" w:rsidRDefault="00F41AD8" w:rsidP="00F41AD8">
            <w:pPr>
              <w:pStyle w:val="af1"/>
              <w:widowControl w:val="0"/>
              <w:numPr>
                <w:ilvl w:val="0"/>
                <w:numId w:val="20"/>
              </w:numPr>
              <w:adjustRightInd w:val="0"/>
              <w:snapToGrid w:val="0"/>
              <w:spacing w:line="0" w:lineRule="atLeast"/>
              <w:ind w:firstLineChars="0"/>
              <w:jc w:val="both"/>
              <w:rPr>
                <w:rFonts w:ascii="Arial" w:eastAsia="华文细黑" w:hAnsi="Arial" w:cs="Arial"/>
                <w:color w:val="000000"/>
                <w:sz w:val="18"/>
                <w:szCs w:val="18"/>
              </w:rPr>
            </w:pPr>
            <w:r w:rsidRPr="00F84AA9">
              <w:rPr>
                <w:rFonts w:ascii="Arial" w:eastAsia="华文细黑" w:hAnsi="Arial" w:cs="Arial"/>
                <w:color w:val="000000"/>
                <w:sz w:val="18"/>
                <w:szCs w:val="18"/>
              </w:rPr>
              <w:t>《南京市人民政府办公厅关于进一步加大我市房地产市场调控力度的通知》</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宁政办发</w:t>
            </w:r>
            <w:r w:rsidRPr="00F84AA9">
              <w:rPr>
                <w:rFonts w:ascii="Arial" w:eastAsia="华文细黑" w:hAnsi="Arial" w:cs="Arial"/>
                <w:color w:val="000000"/>
                <w:sz w:val="18"/>
                <w:szCs w:val="18"/>
              </w:rPr>
              <w:t>[2016]143</w:t>
            </w:r>
            <w:r w:rsidRPr="00F84AA9">
              <w:rPr>
                <w:rFonts w:ascii="Arial" w:eastAsia="华文细黑" w:hAnsi="Arial" w:cs="Arial"/>
                <w:color w:val="000000"/>
                <w:sz w:val="18"/>
                <w:szCs w:val="18"/>
              </w:rPr>
              <w:t>号</w:t>
            </w:r>
            <w:r w:rsidRPr="00F84AA9">
              <w:rPr>
                <w:rFonts w:ascii="Arial" w:eastAsia="华文细黑" w:hAnsi="Arial" w:cs="Arial"/>
                <w:color w:val="000000"/>
                <w:sz w:val="18"/>
                <w:szCs w:val="18"/>
              </w:rPr>
              <w:t>]</w:t>
            </w:r>
          </w:p>
          <w:p w14:paraId="1F272DC5" w14:textId="77777777" w:rsidR="00F41AD8" w:rsidRPr="00F84AA9" w:rsidRDefault="00F41AD8" w:rsidP="00F41AD8">
            <w:pPr>
              <w:pStyle w:val="af1"/>
              <w:widowControl w:val="0"/>
              <w:numPr>
                <w:ilvl w:val="0"/>
                <w:numId w:val="20"/>
              </w:numPr>
              <w:adjustRightInd w:val="0"/>
              <w:snapToGrid w:val="0"/>
              <w:spacing w:line="0" w:lineRule="atLeast"/>
              <w:ind w:firstLineChars="0"/>
              <w:jc w:val="both"/>
              <w:rPr>
                <w:rFonts w:ascii="Arial" w:eastAsia="华文细黑" w:hAnsi="Arial" w:cs="Arial"/>
                <w:color w:val="000000"/>
                <w:sz w:val="18"/>
                <w:szCs w:val="18"/>
              </w:rPr>
            </w:pPr>
            <w:r w:rsidRPr="00F84AA9">
              <w:rPr>
                <w:rFonts w:ascii="Arial" w:eastAsia="华文细黑" w:hAnsi="Arial" w:cs="Arial"/>
                <w:color w:val="000000"/>
                <w:sz w:val="18"/>
                <w:szCs w:val="18"/>
              </w:rPr>
              <w:t>《关于调整南京市住房公积金贷款有关政策的通知》（发布时间</w:t>
            </w:r>
            <w:r w:rsidRPr="00F84AA9">
              <w:rPr>
                <w:rFonts w:ascii="Arial" w:eastAsia="华文细黑" w:hAnsi="Arial" w:cs="Arial"/>
                <w:color w:val="000000"/>
                <w:sz w:val="18"/>
                <w:szCs w:val="18"/>
              </w:rPr>
              <w:t>2018</w:t>
            </w:r>
            <w:r w:rsidRPr="00F84AA9">
              <w:rPr>
                <w:rFonts w:ascii="Arial" w:eastAsia="华文细黑" w:hAnsi="Arial" w:cs="Arial"/>
                <w:color w:val="000000"/>
                <w:sz w:val="18"/>
                <w:szCs w:val="18"/>
              </w:rPr>
              <w:t>年</w:t>
            </w:r>
            <w:r w:rsidRPr="00F84AA9">
              <w:rPr>
                <w:rFonts w:ascii="Arial" w:eastAsia="华文细黑" w:hAnsi="Arial" w:cs="Arial"/>
                <w:color w:val="000000"/>
                <w:sz w:val="18"/>
                <w:szCs w:val="18"/>
              </w:rPr>
              <w:t>3</w:t>
            </w:r>
            <w:r w:rsidRPr="00F84AA9">
              <w:rPr>
                <w:rFonts w:ascii="Arial" w:eastAsia="华文细黑" w:hAnsi="Arial" w:cs="Arial"/>
                <w:color w:val="000000"/>
                <w:sz w:val="18"/>
                <w:szCs w:val="18"/>
              </w:rPr>
              <w:t>月</w:t>
            </w:r>
            <w:r w:rsidRPr="00F84AA9">
              <w:rPr>
                <w:rFonts w:ascii="Arial" w:eastAsia="华文细黑" w:hAnsi="Arial" w:cs="Arial"/>
                <w:color w:val="000000"/>
                <w:sz w:val="18"/>
                <w:szCs w:val="18"/>
              </w:rPr>
              <w:t>31</w:t>
            </w:r>
            <w:r w:rsidRPr="00F84AA9">
              <w:rPr>
                <w:rFonts w:ascii="Arial" w:eastAsia="华文细黑" w:hAnsi="Arial" w:cs="Arial"/>
                <w:color w:val="000000"/>
                <w:sz w:val="18"/>
                <w:szCs w:val="18"/>
              </w:rPr>
              <w:t>日）</w:t>
            </w:r>
          </w:p>
        </w:tc>
        <w:tc>
          <w:tcPr>
            <w:tcW w:w="5314" w:type="dxa"/>
            <w:vAlign w:val="center"/>
          </w:tcPr>
          <w:p w14:paraId="3D13A932"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1</w:t>
            </w:r>
            <w:r w:rsidRPr="00F84AA9">
              <w:rPr>
                <w:rFonts w:ascii="Arial" w:eastAsia="华文细黑" w:hAnsi="Arial" w:cs="Arial"/>
                <w:color w:val="000000"/>
                <w:sz w:val="18"/>
                <w:szCs w:val="18"/>
              </w:rPr>
              <w:t>、居民家庭首次购买普通住房</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指从未购置过住房</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，按照国家政策，最低首付款比例不低于</w:t>
            </w:r>
            <w:r w:rsidRPr="00F84AA9">
              <w:rPr>
                <w:rFonts w:ascii="Arial" w:eastAsia="华文细黑" w:hAnsi="Arial" w:cs="Arial"/>
                <w:color w:val="000000"/>
                <w:sz w:val="18"/>
                <w:szCs w:val="18"/>
              </w:rPr>
              <w:t>30%</w:t>
            </w:r>
            <w:r w:rsidRPr="00F84AA9">
              <w:rPr>
                <w:rFonts w:ascii="Arial" w:eastAsia="华文细黑" w:hAnsi="Arial" w:cs="Arial"/>
                <w:color w:val="000000"/>
                <w:sz w:val="18"/>
                <w:szCs w:val="18"/>
              </w:rPr>
              <w:t>。</w:t>
            </w:r>
          </w:p>
          <w:p w14:paraId="364EB9B5"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2</w:t>
            </w:r>
            <w:r w:rsidRPr="00F84AA9">
              <w:rPr>
                <w:rFonts w:ascii="Arial" w:eastAsia="华文细黑" w:hAnsi="Arial" w:cs="Arial"/>
                <w:color w:val="000000"/>
                <w:sz w:val="18"/>
                <w:szCs w:val="18"/>
              </w:rPr>
              <w:t>、对于有购房贷款记录、但申请贷款购房时实际没有住房的居民家庭；有</w:t>
            </w:r>
            <w:r w:rsidRPr="00F84AA9">
              <w:rPr>
                <w:rFonts w:ascii="Arial" w:eastAsia="华文细黑" w:hAnsi="Arial" w:cs="Arial"/>
                <w:color w:val="000000"/>
                <w:sz w:val="18"/>
                <w:szCs w:val="18"/>
              </w:rPr>
              <w:t>1</w:t>
            </w:r>
            <w:r w:rsidRPr="00F84AA9">
              <w:rPr>
                <w:rFonts w:ascii="Arial" w:eastAsia="华文细黑" w:hAnsi="Arial" w:cs="Arial"/>
                <w:color w:val="000000"/>
                <w:sz w:val="18"/>
                <w:szCs w:val="18"/>
              </w:rPr>
              <w:t>套住房、但没有购房贷款记录的居民家庭或相应购房贷款已结清的居民家庭，申请商业性个人住房贷款购买普通住房的最低首付款比例调整为不低于</w:t>
            </w:r>
            <w:r w:rsidRPr="00F84AA9">
              <w:rPr>
                <w:rFonts w:ascii="Arial" w:eastAsia="华文细黑" w:hAnsi="Arial" w:cs="Arial"/>
                <w:color w:val="000000"/>
                <w:sz w:val="18"/>
                <w:szCs w:val="18"/>
              </w:rPr>
              <w:t>50%</w:t>
            </w:r>
            <w:r w:rsidRPr="00F84AA9">
              <w:rPr>
                <w:rFonts w:ascii="Arial" w:eastAsia="华文细黑" w:hAnsi="Arial" w:cs="Arial"/>
                <w:color w:val="000000"/>
                <w:sz w:val="18"/>
                <w:szCs w:val="18"/>
              </w:rPr>
              <w:t>。</w:t>
            </w:r>
          </w:p>
          <w:p w14:paraId="053726BB"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3</w:t>
            </w:r>
            <w:r w:rsidRPr="00F84AA9">
              <w:rPr>
                <w:rFonts w:ascii="Arial" w:eastAsia="华文细黑" w:hAnsi="Arial" w:cs="Arial"/>
                <w:color w:val="000000"/>
                <w:sz w:val="18"/>
                <w:szCs w:val="18"/>
              </w:rPr>
              <w:t>、居民家庭拥有</w:t>
            </w:r>
            <w:r w:rsidRPr="00F84AA9">
              <w:rPr>
                <w:rFonts w:ascii="Arial" w:eastAsia="华文细黑" w:hAnsi="Arial" w:cs="Arial"/>
                <w:color w:val="000000"/>
                <w:sz w:val="18"/>
                <w:szCs w:val="18"/>
              </w:rPr>
              <w:t>1</w:t>
            </w:r>
            <w:r w:rsidRPr="00F84AA9">
              <w:rPr>
                <w:rFonts w:ascii="Arial" w:eastAsia="华文细黑" w:hAnsi="Arial" w:cs="Arial"/>
                <w:color w:val="000000"/>
                <w:sz w:val="18"/>
                <w:szCs w:val="18"/>
              </w:rPr>
              <w:t>套住房且相应购房贷款未结清，再次申请商业性个人住房贷款购买普通住房的最低首付款比例调整为不低于</w:t>
            </w:r>
            <w:r w:rsidRPr="00F84AA9">
              <w:rPr>
                <w:rFonts w:ascii="Arial" w:eastAsia="华文细黑" w:hAnsi="Arial" w:cs="Arial"/>
                <w:color w:val="000000"/>
                <w:sz w:val="18"/>
                <w:szCs w:val="18"/>
              </w:rPr>
              <w:t>80%</w:t>
            </w:r>
            <w:r w:rsidRPr="00F84AA9">
              <w:rPr>
                <w:rFonts w:ascii="Arial" w:eastAsia="华文细黑" w:hAnsi="Arial" w:cs="Arial"/>
                <w:color w:val="000000"/>
                <w:sz w:val="18"/>
                <w:szCs w:val="18"/>
              </w:rPr>
              <w:t>。对于拥有两套及以上住房的居民家庭，暂停发放商业性个人住房贷款。</w:t>
            </w:r>
          </w:p>
          <w:p w14:paraId="2FD57C79"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4</w:t>
            </w:r>
            <w:r w:rsidRPr="00F84AA9">
              <w:rPr>
                <w:rFonts w:ascii="Arial" w:eastAsia="华文细黑" w:hAnsi="Arial" w:cs="Arial"/>
                <w:color w:val="000000"/>
                <w:sz w:val="18"/>
                <w:szCs w:val="18"/>
              </w:rPr>
              <w:t>、购买首套房住房公积金最高可贷额度调整为</w:t>
            </w:r>
            <w:r w:rsidRPr="00F84AA9">
              <w:rPr>
                <w:rFonts w:ascii="Arial" w:eastAsia="华文细黑" w:hAnsi="Arial" w:cs="Arial"/>
                <w:color w:val="000000"/>
                <w:sz w:val="18"/>
                <w:szCs w:val="18"/>
              </w:rPr>
              <w:t>50</w:t>
            </w:r>
            <w:r w:rsidRPr="00F84AA9">
              <w:rPr>
                <w:rFonts w:ascii="Arial" w:eastAsia="华文细黑" w:hAnsi="Arial" w:cs="Arial"/>
                <w:color w:val="000000"/>
                <w:sz w:val="18"/>
                <w:szCs w:val="18"/>
              </w:rPr>
              <w:t>万元</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人、夫妻双方</w:t>
            </w:r>
            <w:r w:rsidRPr="00F84AA9">
              <w:rPr>
                <w:rFonts w:ascii="Arial" w:eastAsia="华文细黑" w:hAnsi="Arial" w:cs="Arial"/>
                <w:color w:val="000000"/>
                <w:sz w:val="18"/>
                <w:szCs w:val="18"/>
              </w:rPr>
              <w:t>100</w:t>
            </w:r>
            <w:r w:rsidRPr="00F84AA9">
              <w:rPr>
                <w:rFonts w:ascii="Arial" w:eastAsia="华文细黑" w:hAnsi="Arial" w:cs="Arial"/>
                <w:color w:val="000000"/>
                <w:sz w:val="18"/>
                <w:szCs w:val="18"/>
              </w:rPr>
              <w:t>万元</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户。</w:t>
            </w:r>
          </w:p>
          <w:p w14:paraId="2C14EBB3"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5</w:t>
            </w:r>
            <w:r w:rsidRPr="00F84AA9">
              <w:rPr>
                <w:rFonts w:ascii="Arial" w:eastAsia="华文细黑" w:hAnsi="Arial" w:cs="Arial"/>
                <w:color w:val="000000"/>
                <w:sz w:val="18"/>
                <w:szCs w:val="18"/>
              </w:rPr>
              <w:t>、调整购买第二套住房公积金贷款条件</w:t>
            </w:r>
            <w:proofErr w:type="gramStart"/>
            <w:r w:rsidRPr="00F84AA9">
              <w:rPr>
                <w:rFonts w:ascii="Arial" w:eastAsia="华文细黑" w:hAnsi="Arial" w:cs="Arial"/>
                <w:color w:val="000000"/>
                <w:sz w:val="18"/>
                <w:szCs w:val="18"/>
              </w:rPr>
              <w:t>中全市</w:t>
            </w:r>
            <w:proofErr w:type="gramEnd"/>
            <w:r w:rsidRPr="00F84AA9">
              <w:rPr>
                <w:rFonts w:ascii="Arial" w:eastAsia="华文细黑" w:hAnsi="Arial" w:cs="Arial"/>
                <w:color w:val="000000"/>
                <w:sz w:val="18"/>
                <w:szCs w:val="18"/>
              </w:rPr>
              <w:t>平均水平住房建筑面积的认定标准。</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本市平均水平</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的认定标准调整为</w:t>
            </w:r>
            <w:r w:rsidRPr="00F84AA9">
              <w:rPr>
                <w:rFonts w:ascii="Arial" w:eastAsia="华文细黑" w:hAnsi="Arial" w:cs="Arial"/>
                <w:color w:val="000000"/>
                <w:sz w:val="18"/>
                <w:szCs w:val="18"/>
              </w:rPr>
              <w:t>40</w:t>
            </w:r>
            <w:r w:rsidRPr="00F84AA9">
              <w:rPr>
                <w:rFonts w:ascii="Arial" w:eastAsia="华文细黑" w:hAnsi="Arial" w:cs="Arial"/>
                <w:color w:val="000000"/>
                <w:sz w:val="18"/>
                <w:szCs w:val="18"/>
              </w:rPr>
              <w:t>平。缴存职工家庭包括夫妻双方及未成年子女，按实际人口计算，每个家庭现有人均住房建筑面积不超过</w:t>
            </w:r>
            <w:r w:rsidRPr="00F84AA9">
              <w:rPr>
                <w:rFonts w:ascii="Arial" w:eastAsia="华文细黑" w:hAnsi="Arial" w:cs="Arial"/>
                <w:color w:val="000000"/>
                <w:sz w:val="18"/>
                <w:szCs w:val="18"/>
              </w:rPr>
              <w:t>40</w:t>
            </w:r>
            <w:r w:rsidRPr="00F84AA9">
              <w:rPr>
                <w:rFonts w:ascii="Arial" w:eastAsia="华文细黑" w:hAnsi="Arial" w:cs="Arial"/>
                <w:color w:val="000000"/>
                <w:sz w:val="18"/>
                <w:szCs w:val="18"/>
              </w:rPr>
              <w:t>平方米，且家庭现有首套房住房建筑面积不超过</w:t>
            </w:r>
            <w:r w:rsidRPr="00F84AA9">
              <w:rPr>
                <w:rFonts w:ascii="Arial" w:eastAsia="华文细黑" w:hAnsi="Arial" w:cs="Arial"/>
                <w:color w:val="000000"/>
                <w:sz w:val="18"/>
                <w:szCs w:val="18"/>
              </w:rPr>
              <w:t>120</w:t>
            </w:r>
            <w:r w:rsidRPr="00F84AA9">
              <w:rPr>
                <w:rFonts w:ascii="Arial" w:eastAsia="华文细黑" w:hAnsi="Arial" w:cs="Arial"/>
                <w:color w:val="000000"/>
                <w:sz w:val="18"/>
                <w:szCs w:val="18"/>
              </w:rPr>
              <w:t>平方米。</w:t>
            </w:r>
          </w:p>
          <w:p w14:paraId="39A2FF47"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6</w:t>
            </w:r>
            <w:r w:rsidRPr="00F84AA9">
              <w:rPr>
                <w:rFonts w:ascii="Arial" w:eastAsia="华文细黑" w:hAnsi="Arial" w:cs="Arial"/>
                <w:color w:val="000000"/>
                <w:sz w:val="18"/>
                <w:szCs w:val="18"/>
              </w:rPr>
              <w:t>、将本市无房未婚职工每月提取住房公积金支付房租的限额从</w:t>
            </w:r>
            <w:r w:rsidRPr="00F84AA9">
              <w:rPr>
                <w:rFonts w:ascii="Arial" w:eastAsia="华文细黑" w:hAnsi="Arial" w:cs="Arial"/>
                <w:color w:val="000000"/>
                <w:sz w:val="18"/>
                <w:szCs w:val="18"/>
              </w:rPr>
              <w:t>900</w:t>
            </w:r>
            <w:r w:rsidRPr="00F84AA9">
              <w:rPr>
                <w:rFonts w:ascii="Arial" w:eastAsia="华文细黑" w:hAnsi="Arial" w:cs="Arial"/>
                <w:color w:val="000000"/>
                <w:sz w:val="18"/>
                <w:szCs w:val="18"/>
              </w:rPr>
              <w:t>元提高至</w:t>
            </w:r>
            <w:r w:rsidRPr="00F84AA9">
              <w:rPr>
                <w:rFonts w:ascii="Arial" w:eastAsia="华文细黑" w:hAnsi="Arial" w:cs="Arial"/>
                <w:color w:val="000000"/>
                <w:sz w:val="18"/>
                <w:szCs w:val="18"/>
              </w:rPr>
              <w:t>1200</w:t>
            </w:r>
            <w:r w:rsidRPr="00F84AA9">
              <w:rPr>
                <w:rFonts w:ascii="Arial" w:eastAsia="华文细黑" w:hAnsi="Arial" w:cs="Arial"/>
                <w:color w:val="000000"/>
                <w:sz w:val="18"/>
                <w:szCs w:val="18"/>
              </w:rPr>
              <w:t>元，已婚职工夫妻双方合计每月提取限额从</w:t>
            </w:r>
            <w:r w:rsidRPr="00F84AA9">
              <w:rPr>
                <w:rFonts w:ascii="Arial" w:eastAsia="华文细黑" w:hAnsi="Arial" w:cs="Arial"/>
                <w:color w:val="000000"/>
                <w:sz w:val="18"/>
                <w:szCs w:val="18"/>
              </w:rPr>
              <w:t>1800</w:t>
            </w:r>
            <w:r w:rsidRPr="00F84AA9">
              <w:rPr>
                <w:rFonts w:ascii="Arial" w:eastAsia="华文细黑" w:hAnsi="Arial" w:cs="Arial"/>
                <w:color w:val="000000"/>
                <w:sz w:val="18"/>
                <w:szCs w:val="18"/>
              </w:rPr>
              <w:t>元提高至</w:t>
            </w:r>
            <w:r w:rsidRPr="00F84AA9">
              <w:rPr>
                <w:rFonts w:ascii="Arial" w:eastAsia="华文细黑" w:hAnsi="Arial" w:cs="Arial"/>
                <w:color w:val="000000"/>
                <w:sz w:val="18"/>
                <w:szCs w:val="18"/>
              </w:rPr>
              <w:t>2400</w:t>
            </w:r>
            <w:r w:rsidRPr="00F84AA9">
              <w:rPr>
                <w:rFonts w:ascii="Arial" w:eastAsia="华文细黑" w:hAnsi="Arial" w:cs="Arial"/>
                <w:color w:val="000000"/>
                <w:sz w:val="18"/>
                <w:szCs w:val="18"/>
              </w:rPr>
              <w:t>元。</w:t>
            </w:r>
          </w:p>
        </w:tc>
      </w:tr>
      <w:tr w:rsidR="00F41AD8" w:rsidRPr="00F84AA9" w14:paraId="1FB02D8A" w14:textId="77777777" w:rsidTr="00C446B5">
        <w:trPr>
          <w:cantSplit/>
          <w:jc w:val="center"/>
        </w:trPr>
        <w:tc>
          <w:tcPr>
            <w:tcW w:w="898" w:type="dxa"/>
            <w:vAlign w:val="center"/>
          </w:tcPr>
          <w:p w14:paraId="4908468C" w14:textId="77777777" w:rsidR="00F41AD8" w:rsidRPr="00F84AA9" w:rsidRDefault="00F41AD8" w:rsidP="00C446B5">
            <w:pPr>
              <w:widowControl w:val="0"/>
              <w:adjustRightInd w:val="0"/>
              <w:snapToGrid w:val="0"/>
              <w:spacing w:line="0" w:lineRule="atLeast"/>
              <w:jc w:val="both"/>
              <w:rPr>
                <w:rFonts w:ascii="Arial" w:eastAsia="华文细黑" w:hAnsi="Arial" w:cs="Arial"/>
                <w:color w:val="000000"/>
                <w:sz w:val="18"/>
                <w:szCs w:val="18"/>
              </w:rPr>
            </w:pPr>
            <w:r w:rsidRPr="00F84AA9">
              <w:rPr>
                <w:rFonts w:ascii="Arial" w:eastAsia="华文细黑" w:hAnsi="Arial" w:cs="Arial"/>
                <w:color w:val="000000"/>
                <w:sz w:val="18"/>
                <w:szCs w:val="18"/>
              </w:rPr>
              <w:t>限价政策</w:t>
            </w:r>
          </w:p>
        </w:tc>
        <w:tc>
          <w:tcPr>
            <w:tcW w:w="3087" w:type="dxa"/>
            <w:vAlign w:val="center"/>
          </w:tcPr>
          <w:p w14:paraId="5D8744DF" w14:textId="77777777" w:rsidR="00F41AD8" w:rsidRPr="00F84AA9" w:rsidRDefault="00F41AD8" w:rsidP="00F41AD8">
            <w:pPr>
              <w:pStyle w:val="af1"/>
              <w:widowControl w:val="0"/>
              <w:numPr>
                <w:ilvl w:val="0"/>
                <w:numId w:val="20"/>
              </w:numPr>
              <w:adjustRightInd w:val="0"/>
              <w:snapToGrid w:val="0"/>
              <w:spacing w:line="0" w:lineRule="atLeast"/>
              <w:ind w:firstLineChars="0"/>
              <w:jc w:val="both"/>
              <w:rPr>
                <w:rFonts w:ascii="Arial" w:eastAsia="华文细黑" w:hAnsi="Arial" w:cs="Arial"/>
                <w:color w:val="000000"/>
                <w:sz w:val="18"/>
                <w:szCs w:val="18"/>
              </w:rPr>
            </w:pPr>
            <w:r w:rsidRPr="00F84AA9">
              <w:rPr>
                <w:rFonts w:ascii="Arial" w:eastAsia="华文细黑" w:hAnsi="Arial" w:cs="Arial"/>
                <w:color w:val="000000"/>
                <w:sz w:val="18"/>
                <w:szCs w:val="18"/>
              </w:rPr>
              <w:t>《市政府关于进一步促进我市房地产市场健康发展的意见》</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宁政发〔</w:t>
            </w:r>
            <w:r w:rsidRPr="00F84AA9">
              <w:rPr>
                <w:rFonts w:ascii="Arial" w:eastAsia="华文细黑" w:hAnsi="Arial" w:cs="Arial"/>
                <w:color w:val="000000"/>
                <w:sz w:val="18"/>
                <w:szCs w:val="18"/>
              </w:rPr>
              <w:t>2016</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36</w:t>
            </w:r>
            <w:r w:rsidRPr="00F84AA9">
              <w:rPr>
                <w:rFonts w:ascii="Arial" w:eastAsia="华文细黑" w:hAnsi="Arial" w:cs="Arial"/>
                <w:color w:val="000000"/>
                <w:sz w:val="18"/>
                <w:szCs w:val="18"/>
              </w:rPr>
              <w:t>号</w:t>
            </w:r>
            <w:r w:rsidRPr="00F84AA9">
              <w:rPr>
                <w:rFonts w:ascii="Arial" w:eastAsia="华文细黑" w:hAnsi="Arial" w:cs="Arial"/>
                <w:color w:val="000000"/>
                <w:sz w:val="18"/>
                <w:szCs w:val="18"/>
              </w:rPr>
              <w:t>]</w:t>
            </w:r>
          </w:p>
          <w:p w14:paraId="2969FAF3" w14:textId="77777777" w:rsidR="00F41AD8" w:rsidRPr="00F84AA9" w:rsidRDefault="00F41AD8" w:rsidP="00F41AD8">
            <w:pPr>
              <w:pStyle w:val="af1"/>
              <w:widowControl w:val="0"/>
              <w:numPr>
                <w:ilvl w:val="0"/>
                <w:numId w:val="20"/>
              </w:numPr>
              <w:adjustRightInd w:val="0"/>
              <w:snapToGrid w:val="0"/>
              <w:spacing w:line="0" w:lineRule="atLeast"/>
              <w:ind w:firstLineChars="0"/>
              <w:jc w:val="both"/>
              <w:rPr>
                <w:rFonts w:ascii="Arial" w:eastAsia="华文细黑" w:hAnsi="Arial" w:cs="Arial"/>
                <w:color w:val="000000"/>
                <w:sz w:val="18"/>
                <w:szCs w:val="18"/>
              </w:rPr>
            </w:pPr>
            <w:r w:rsidRPr="00F84AA9">
              <w:rPr>
                <w:rFonts w:ascii="Arial" w:eastAsia="华文细黑" w:hAnsi="Arial" w:cs="Arial"/>
                <w:color w:val="000000"/>
                <w:sz w:val="18"/>
                <w:szCs w:val="18"/>
              </w:rPr>
              <w:t>《市政府关于推进供给侧结构性改革促进房地产市场平稳健康发展的实施意见》</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宁政发〔</w:t>
            </w:r>
            <w:r w:rsidRPr="00F84AA9">
              <w:rPr>
                <w:rFonts w:ascii="Arial" w:eastAsia="华文细黑" w:hAnsi="Arial" w:cs="Arial"/>
                <w:color w:val="000000"/>
                <w:sz w:val="18"/>
                <w:szCs w:val="18"/>
              </w:rPr>
              <w:t>2016</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75</w:t>
            </w:r>
            <w:r w:rsidRPr="00F84AA9">
              <w:rPr>
                <w:rFonts w:ascii="Arial" w:eastAsia="华文细黑" w:hAnsi="Arial" w:cs="Arial"/>
                <w:color w:val="000000"/>
                <w:sz w:val="18"/>
                <w:szCs w:val="18"/>
              </w:rPr>
              <w:t>号</w:t>
            </w:r>
            <w:r w:rsidRPr="00F84AA9">
              <w:rPr>
                <w:rFonts w:ascii="Arial" w:eastAsia="华文细黑" w:hAnsi="Arial" w:cs="Arial"/>
                <w:color w:val="000000"/>
                <w:sz w:val="18"/>
                <w:szCs w:val="18"/>
              </w:rPr>
              <w:t>]</w:t>
            </w:r>
          </w:p>
        </w:tc>
        <w:tc>
          <w:tcPr>
            <w:tcW w:w="5314" w:type="dxa"/>
            <w:vAlign w:val="center"/>
          </w:tcPr>
          <w:p w14:paraId="61CD113F"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1</w:t>
            </w:r>
            <w:r w:rsidRPr="00F84AA9">
              <w:rPr>
                <w:rFonts w:ascii="Arial" w:eastAsia="华文细黑" w:hAnsi="Arial" w:cs="Arial"/>
                <w:color w:val="000000"/>
                <w:sz w:val="18"/>
                <w:szCs w:val="18"/>
              </w:rPr>
              <w:t>、对六城区、江宁区、浦口区的商品住宅项目（不含户型</w:t>
            </w:r>
            <w:r w:rsidRPr="00F84AA9">
              <w:rPr>
                <w:rFonts w:ascii="Arial" w:eastAsia="华文细黑" w:hAnsi="Arial" w:cs="Arial"/>
                <w:color w:val="000000"/>
                <w:sz w:val="18"/>
                <w:szCs w:val="18"/>
              </w:rPr>
              <w:t>180</w:t>
            </w:r>
            <w:r w:rsidRPr="00F84AA9">
              <w:rPr>
                <w:rFonts w:ascii="Arial" w:eastAsia="华文细黑" w:hAnsi="Arial" w:cs="Arial"/>
                <w:color w:val="000000"/>
                <w:sz w:val="18"/>
                <w:szCs w:val="18"/>
              </w:rPr>
              <w:t>平方米以上及低密度住宅），以年初批次成交均价为基准，按照价格区间分类指导。申报均价</w:t>
            </w:r>
            <w:r w:rsidRPr="00F84AA9">
              <w:rPr>
                <w:rFonts w:ascii="Arial" w:eastAsia="华文细黑" w:hAnsi="Arial" w:cs="Arial"/>
                <w:color w:val="000000"/>
                <w:sz w:val="18"/>
                <w:szCs w:val="18"/>
              </w:rPr>
              <w:t>2</w:t>
            </w:r>
            <w:r w:rsidRPr="00F84AA9">
              <w:rPr>
                <w:rFonts w:ascii="Arial" w:eastAsia="华文细黑" w:hAnsi="Arial" w:cs="Arial"/>
                <w:color w:val="000000"/>
                <w:sz w:val="18"/>
                <w:szCs w:val="18"/>
              </w:rPr>
              <w:t>万元</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平方米以下的，</w:t>
            </w:r>
            <w:proofErr w:type="gramStart"/>
            <w:r w:rsidRPr="00F84AA9">
              <w:rPr>
                <w:rFonts w:ascii="Arial" w:eastAsia="华文细黑" w:hAnsi="Arial" w:cs="Arial"/>
                <w:color w:val="000000"/>
                <w:sz w:val="18"/>
                <w:szCs w:val="18"/>
              </w:rPr>
              <w:t>年化涨幅</w:t>
            </w:r>
            <w:proofErr w:type="gramEnd"/>
            <w:r w:rsidRPr="00F84AA9">
              <w:rPr>
                <w:rFonts w:ascii="Arial" w:eastAsia="华文细黑" w:hAnsi="Arial" w:cs="Arial"/>
                <w:color w:val="000000"/>
                <w:sz w:val="18"/>
                <w:szCs w:val="18"/>
              </w:rPr>
              <w:t>不宜高于</w:t>
            </w:r>
            <w:r w:rsidRPr="00F84AA9">
              <w:rPr>
                <w:rFonts w:ascii="Arial" w:eastAsia="华文细黑" w:hAnsi="Arial" w:cs="Arial"/>
                <w:color w:val="000000"/>
                <w:sz w:val="18"/>
                <w:szCs w:val="18"/>
              </w:rPr>
              <w:t>12%</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2—3</w:t>
            </w:r>
            <w:r w:rsidRPr="00F84AA9">
              <w:rPr>
                <w:rFonts w:ascii="Arial" w:eastAsia="华文细黑" w:hAnsi="Arial" w:cs="Arial"/>
                <w:color w:val="000000"/>
                <w:sz w:val="18"/>
                <w:szCs w:val="18"/>
              </w:rPr>
              <w:t>万元</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平方米的，</w:t>
            </w:r>
            <w:proofErr w:type="gramStart"/>
            <w:r w:rsidRPr="00F84AA9">
              <w:rPr>
                <w:rFonts w:ascii="Arial" w:eastAsia="华文细黑" w:hAnsi="Arial" w:cs="Arial"/>
                <w:color w:val="000000"/>
                <w:sz w:val="18"/>
                <w:szCs w:val="18"/>
              </w:rPr>
              <w:t>年化涨幅</w:t>
            </w:r>
            <w:proofErr w:type="gramEnd"/>
            <w:r w:rsidRPr="00F84AA9">
              <w:rPr>
                <w:rFonts w:ascii="Arial" w:eastAsia="华文细黑" w:hAnsi="Arial" w:cs="Arial"/>
                <w:color w:val="000000"/>
                <w:sz w:val="18"/>
                <w:szCs w:val="18"/>
              </w:rPr>
              <w:t>不宜高于</w:t>
            </w:r>
            <w:r w:rsidRPr="00F84AA9">
              <w:rPr>
                <w:rFonts w:ascii="Arial" w:eastAsia="华文细黑" w:hAnsi="Arial" w:cs="Arial"/>
                <w:color w:val="000000"/>
                <w:sz w:val="18"/>
                <w:szCs w:val="18"/>
              </w:rPr>
              <w:t>10%;3</w:t>
            </w:r>
            <w:r w:rsidRPr="00F84AA9">
              <w:rPr>
                <w:rFonts w:ascii="Arial" w:eastAsia="华文细黑" w:hAnsi="Arial" w:cs="Arial"/>
                <w:color w:val="000000"/>
                <w:sz w:val="18"/>
                <w:szCs w:val="18"/>
              </w:rPr>
              <w:t>万元</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平方米以上的，</w:t>
            </w:r>
            <w:proofErr w:type="gramStart"/>
            <w:r w:rsidRPr="00F84AA9">
              <w:rPr>
                <w:rFonts w:ascii="Arial" w:eastAsia="华文细黑" w:hAnsi="Arial" w:cs="Arial"/>
                <w:color w:val="000000"/>
                <w:sz w:val="18"/>
                <w:szCs w:val="18"/>
              </w:rPr>
              <w:t>年化涨幅</w:t>
            </w:r>
            <w:proofErr w:type="gramEnd"/>
            <w:r w:rsidRPr="00F84AA9">
              <w:rPr>
                <w:rFonts w:ascii="Arial" w:eastAsia="华文细黑" w:hAnsi="Arial" w:cs="Arial"/>
                <w:color w:val="000000"/>
                <w:sz w:val="18"/>
                <w:szCs w:val="18"/>
              </w:rPr>
              <w:t>不宜高于</w:t>
            </w:r>
            <w:r w:rsidRPr="00F84AA9">
              <w:rPr>
                <w:rFonts w:ascii="Arial" w:eastAsia="华文细黑" w:hAnsi="Arial" w:cs="Arial"/>
                <w:color w:val="000000"/>
                <w:sz w:val="18"/>
                <w:szCs w:val="18"/>
              </w:rPr>
              <w:t>8%</w:t>
            </w:r>
            <w:r w:rsidRPr="00F84AA9">
              <w:rPr>
                <w:rFonts w:ascii="Arial" w:eastAsia="华文细黑" w:hAnsi="Arial" w:cs="Arial"/>
                <w:color w:val="000000"/>
                <w:sz w:val="18"/>
                <w:szCs w:val="18"/>
              </w:rPr>
              <w:t>；首次销售的项目，申报均价参照周边同类型、同品质楼盘。</w:t>
            </w:r>
          </w:p>
          <w:p w14:paraId="131B76FB"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2</w:t>
            </w:r>
            <w:r w:rsidRPr="00F84AA9">
              <w:rPr>
                <w:rFonts w:ascii="Arial" w:eastAsia="华文细黑" w:hAnsi="Arial" w:cs="Arial"/>
                <w:color w:val="000000"/>
                <w:sz w:val="18"/>
                <w:szCs w:val="18"/>
              </w:rPr>
              <w:t>、对竞拍取得的土地，溢价</w:t>
            </w:r>
            <w:r w:rsidRPr="00F84AA9">
              <w:rPr>
                <w:rFonts w:ascii="Arial" w:eastAsia="华文细黑" w:hAnsi="Arial" w:cs="Arial"/>
                <w:color w:val="000000"/>
                <w:sz w:val="18"/>
                <w:szCs w:val="18"/>
              </w:rPr>
              <w:t>45%</w:t>
            </w:r>
            <w:r w:rsidRPr="00F84AA9">
              <w:rPr>
                <w:rFonts w:ascii="Arial" w:eastAsia="华文细黑" w:hAnsi="Arial" w:cs="Arial"/>
                <w:color w:val="000000"/>
                <w:sz w:val="18"/>
                <w:szCs w:val="18"/>
              </w:rPr>
              <w:t>以上部分不作为准许成本调查内容，督促项目利润率较高的开发企业适当下调价格涨幅。</w:t>
            </w:r>
          </w:p>
        </w:tc>
      </w:tr>
      <w:tr w:rsidR="00F41AD8" w:rsidRPr="00F84AA9" w14:paraId="35A9042B" w14:textId="77777777" w:rsidTr="00C446B5">
        <w:trPr>
          <w:cantSplit/>
          <w:jc w:val="center"/>
        </w:trPr>
        <w:tc>
          <w:tcPr>
            <w:tcW w:w="898" w:type="dxa"/>
            <w:vAlign w:val="center"/>
          </w:tcPr>
          <w:p w14:paraId="44CFBD02" w14:textId="77777777" w:rsidR="00F41AD8" w:rsidRPr="00F84AA9" w:rsidRDefault="00F41AD8" w:rsidP="00C446B5">
            <w:pPr>
              <w:widowControl w:val="0"/>
              <w:adjustRightInd w:val="0"/>
              <w:snapToGrid w:val="0"/>
              <w:spacing w:line="0" w:lineRule="atLeast"/>
              <w:jc w:val="both"/>
              <w:rPr>
                <w:rFonts w:ascii="Arial" w:eastAsia="华文细黑" w:hAnsi="Arial" w:cs="Arial"/>
                <w:color w:val="000000"/>
                <w:sz w:val="18"/>
                <w:szCs w:val="18"/>
              </w:rPr>
            </w:pPr>
            <w:r w:rsidRPr="00F84AA9">
              <w:rPr>
                <w:rFonts w:ascii="Arial" w:eastAsia="华文细黑" w:hAnsi="Arial" w:cs="Arial"/>
                <w:color w:val="000000"/>
                <w:sz w:val="18"/>
                <w:szCs w:val="18"/>
              </w:rPr>
              <w:t>摇号政策</w:t>
            </w:r>
          </w:p>
        </w:tc>
        <w:tc>
          <w:tcPr>
            <w:tcW w:w="3087" w:type="dxa"/>
            <w:vAlign w:val="center"/>
          </w:tcPr>
          <w:p w14:paraId="7092C034" w14:textId="77777777" w:rsidR="00F41AD8" w:rsidRPr="00F84AA9" w:rsidRDefault="00F41AD8" w:rsidP="00F41AD8">
            <w:pPr>
              <w:pStyle w:val="af1"/>
              <w:widowControl w:val="0"/>
              <w:numPr>
                <w:ilvl w:val="0"/>
                <w:numId w:val="20"/>
              </w:numPr>
              <w:adjustRightInd w:val="0"/>
              <w:snapToGrid w:val="0"/>
              <w:spacing w:line="0" w:lineRule="atLeast"/>
              <w:ind w:firstLineChars="0"/>
              <w:jc w:val="both"/>
              <w:rPr>
                <w:rFonts w:ascii="Arial" w:eastAsia="华文细黑" w:hAnsi="Arial" w:cs="Arial"/>
                <w:color w:val="000000"/>
                <w:sz w:val="18"/>
                <w:szCs w:val="18"/>
              </w:rPr>
            </w:pPr>
            <w:r w:rsidRPr="00F84AA9">
              <w:rPr>
                <w:rFonts w:ascii="Arial" w:eastAsia="华文细黑" w:hAnsi="Arial" w:cs="Arial"/>
                <w:color w:val="000000"/>
                <w:sz w:val="18"/>
                <w:szCs w:val="18"/>
              </w:rPr>
              <w:t>《南京市人民政府办公厅关于进一步加强房地产市场调控的通知》</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宁政办发〔</w:t>
            </w:r>
            <w:r w:rsidRPr="00F84AA9">
              <w:rPr>
                <w:rFonts w:ascii="Arial" w:eastAsia="华文细黑" w:hAnsi="Arial" w:cs="Arial"/>
                <w:color w:val="000000"/>
                <w:sz w:val="18"/>
                <w:szCs w:val="18"/>
              </w:rPr>
              <w:t>2017</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103</w:t>
            </w:r>
            <w:r w:rsidRPr="00F84AA9">
              <w:rPr>
                <w:rFonts w:ascii="Arial" w:eastAsia="华文细黑" w:hAnsi="Arial" w:cs="Arial"/>
                <w:color w:val="000000"/>
                <w:sz w:val="18"/>
                <w:szCs w:val="18"/>
              </w:rPr>
              <w:t>号</w:t>
            </w:r>
            <w:r w:rsidRPr="00F84AA9">
              <w:rPr>
                <w:rFonts w:ascii="Arial" w:eastAsia="华文细黑" w:hAnsi="Arial" w:cs="Arial"/>
                <w:color w:val="000000"/>
                <w:sz w:val="18"/>
                <w:szCs w:val="18"/>
              </w:rPr>
              <w:t>]</w:t>
            </w:r>
          </w:p>
          <w:p w14:paraId="48E479DC" w14:textId="77777777" w:rsidR="00F41AD8" w:rsidRPr="00F84AA9" w:rsidRDefault="00F41AD8" w:rsidP="00F41AD8">
            <w:pPr>
              <w:pStyle w:val="af1"/>
              <w:widowControl w:val="0"/>
              <w:numPr>
                <w:ilvl w:val="0"/>
                <w:numId w:val="20"/>
              </w:numPr>
              <w:adjustRightInd w:val="0"/>
              <w:snapToGrid w:val="0"/>
              <w:spacing w:line="0" w:lineRule="atLeast"/>
              <w:ind w:firstLineChars="0"/>
              <w:jc w:val="both"/>
              <w:rPr>
                <w:rFonts w:ascii="Arial" w:eastAsia="华文细黑" w:hAnsi="Arial" w:cs="Arial"/>
                <w:color w:val="000000"/>
                <w:sz w:val="18"/>
                <w:szCs w:val="18"/>
              </w:rPr>
            </w:pPr>
            <w:r w:rsidRPr="00F84AA9">
              <w:rPr>
                <w:rFonts w:ascii="Arial" w:eastAsia="华文细黑" w:hAnsi="Arial" w:cs="Arial"/>
                <w:color w:val="000000"/>
                <w:sz w:val="18"/>
                <w:szCs w:val="18"/>
              </w:rPr>
              <w:t>《关于做好人才优先选房及支持刚性购房需求工作的通知》</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宁司</w:t>
            </w:r>
            <w:r w:rsidRPr="00F84AA9">
              <w:rPr>
                <w:rFonts w:ascii="Arial" w:eastAsia="华文细黑" w:hAnsi="Arial" w:cs="Arial"/>
                <w:color w:val="000000"/>
                <w:sz w:val="18"/>
                <w:szCs w:val="18"/>
              </w:rPr>
              <w:t>[2020]49</w:t>
            </w:r>
            <w:r w:rsidRPr="00F84AA9">
              <w:rPr>
                <w:rFonts w:ascii="Arial" w:eastAsia="华文细黑" w:hAnsi="Arial" w:cs="Arial"/>
                <w:color w:val="000000"/>
                <w:sz w:val="18"/>
                <w:szCs w:val="18"/>
              </w:rPr>
              <w:t>号</w:t>
            </w:r>
            <w:r w:rsidRPr="00F84AA9">
              <w:rPr>
                <w:rFonts w:ascii="Arial" w:eastAsia="华文细黑" w:hAnsi="Arial" w:cs="Arial"/>
                <w:color w:val="000000"/>
                <w:sz w:val="18"/>
                <w:szCs w:val="18"/>
              </w:rPr>
              <w:t>]</w:t>
            </w:r>
          </w:p>
        </w:tc>
        <w:tc>
          <w:tcPr>
            <w:tcW w:w="5314" w:type="dxa"/>
            <w:vAlign w:val="center"/>
          </w:tcPr>
          <w:p w14:paraId="0023C737"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1</w:t>
            </w:r>
            <w:r w:rsidRPr="00F84AA9">
              <w:rPr>
                <w:rFonts w:ascii="Arial" w:eastAsia="华文细黑" w:hAnsi="Arial" w:cs="Arial"/>
                <w:color w:val="000000"/>
                <w:sz w:val="18"/>
                <w:szCs w:val="18"/>
              </w:rPr>
              <w:t>、客户积累大于可供房源的商品住房项目，房地产开发企业及其委托的代理销售机构应采用由公证机构主持的公开摇号方式公开销售商品住房，摇号排序，按序购房，摇号排序名单现场公示。</w:t>
            </w:r>
          </w:p>
          <w:p w14:paraId="779E37BC"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2</w:t>
            </w:r>
            <w:r w:rsidRPr="00F84AA9">
              <w:rPr>
                <w:rFonts w:ascii="Arial" w:eastAsia="华文细黑" w:hAnsi="Arial" w:cs="Arial"/>
                <w:color w:val="000000"/>
                <w:sz w:val="18"/>
                <w:szCs w:val="18"/>
              </w:rPr>
              <w:t>、摇号流程</w:t>
            </w:r>
          </w:p>
          <w:p w14:paraId="0BCD0E54"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第一轮</w:t>
            </w:r>
          </w:p>
          <w:p w14:paraId="54AB64F0"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确定优先选房的人才</w:t>
            </w:r>
            <w:proofErr w:type="gramStart"/>
            <w:r w:rsidRPr="00F84AA9">
              <w:rPr>
                <w:rFonts w:ascii="Arial" w:eastAsia="华文细黑" w:hAnsi="Arial" w:cs="Arial"/>
                <w:color w:val="000000"/>
                <w:sz w:val="18"/>
                <w:szCs w:val="18"/>
              </w:rPr>
              <w:t>名单及选房</w:t>
            </w:r>
            <w:proofErr w:type="gramEnd"/>
            <w:r w:rsidRPr="00F84AA9">
              <w:rPr>
                <w:rFonts w:ascii="Arial" w:eastAsia="华文细黑" w:hAnsi="Arial" w:cs="Arial"/>
                <w:color w:val="000000"/>
                <w:sz w:val="18"/>
                <w:szCs w:val="18"/>
              </w:rPr>
              <w:t>顺序。有效报名的人才数量大于等于人才</w:t>
            </w:r>
            <w:proofErr w:type="gramStart"/>
            <w:r w:rsidRPr="00F84AA9">
              <w:rPr>
                <w:rFonts w:ascii="Arial" w:eastAsia="华文细黑" w:hAnsi="Arial" w:cs="Arial"/>
                <w:color w:val="000000"/>
                <w:sz w:val="18"/>
                <w:szCs w:val="18"/>
              </w:rPr>
              <w:t>房源数</w:t>
            </w:r>
            <w:proofErr w:type="gramEnd"/>
            <w:r w:rsidRPr="00F84AA9">
              <w:rPr>
                <w:rFonts w:ascii="Arial" w:eastAsia="华文细黑" w:hAnsi="Arial" w:cs="Arial"/>
                <w:color w:val="000000"/>
                <w:sz w:val="18"/>
                <w:szCs w:val="18"/>
              </w:rPr>
              <w:t>或者大于等于</w:t>
            </w:r>
            <w:r w:rsidRPr="00F84AA9">
              <w:rPr>
                <w:rFonts w:ascii="Arial" w:eastAsia="华文细黑" w:hAnsi="Arial" w:cs="Arial"/>
                <w:color w:val="000000"/>
                <w:sz w:val="18"/>
                <w:szCs w:val="18"/>
              </w:rPr>
              <w:t>20</w:t>
            </w:r>
            <w:r w:rsidRPr="00F84AA9">
              <w:rPr>
                <w:rFonts w:ascii="Arial" w:eastAsia="华文细黑" w:hAnsi="Arial" w:cs="Arial"/>
                <w:color w:val="000000"/>
                <w:sz w:val="18"/>
                <w:szCs w:val="18"/>
              </w:rPr>
              <w:t>人的，应通过公证机构主持摇号的方式确定入围人才</w:t>
            </w:r>
            <w:proofErr w:type="gramStart"/>
            <w:r w:rsidRPr="00F84AA9">
              <w:rPr>
                <w:rFonts w:ascii="Arial" w:eastAsia="华文细黑" w:hAnsi="Arial" w:cs="Arial"/>
                <w:color w:val="000000"/>
                <w:sz w:val="18"/>
                <w:szCs w:val="18"/>
              </w:rPr>
              <w:t>名单及选房</w:t>
            </w:r>
            <w:proofErr w:type="gramEnd"/>
            <w:r w:rsidRPr="00F84AA9">
              <w:rPr>
                <w:rFonts w:ascii="Arial" w:eastAsia="华文细黑" w:hAnsi="Arial" w:cs="Arial"/>
                <w:color w:val="000000"/>
                <w:sz w:val="18"/>
                <w:szCs w:val="18"/>
              </w:rPr>
              <w:t>顺序。</w:t>
            </w:r>
          </w:p>
          <w:p w14:paraId="4E4C1C69"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第二轮</w:t>
            </w:r>
          </w:p>
          <w:p w14:paraId="58EABE16"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确定享有优先保障资格的无住房家庭名单，进入第四轮一般选房顺序摇号。有效报名的无住房家庭数量大于无住房家庭保障</w:t>
            </w:r>
            <w:proofErr w:type="gramStart"/>
            <w:r w:rsidRPr="00F84AA9">
              <w:rPr>
                <w:rFonts w:ascii="Arial" w:eastAsia="华文细黑" w:hAnsi="Arial" w:cs="Arial"/>
                <w:color w:val="000000"/>
                <w:sz w:val="18"/>
                <w:szCs w:val="18"/>
              </w:rPr>
              <w:t>房源数</w:t>
            </w:r>
            <w:proofErr w:type="gramEnd"/>
            <w:r w:rsidRPr="00F84AA9">
              <w:rPr>
                <w:rFonts w:ascii="Arial" w:eastAsia="华文细黑" w:hAnsi="Arial" w:cs="Arial"/>
                <w:color w:val="000000"/>
                <w:sz w:val="18"/>
                <w:szCs w:val="18"/>
              </w:rPr>
              <w:t>的，应通过公证机构主持摇号的方式，确定入围第四轮摇号的无住房家庭名单。</w:t>
            </w:r>
          </w:p>
          <w:p w14:paraId="408B38F2"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第三轮</w:t>
            </w:r>
          </w:p>
          <w:p w14:paraId="3814656B"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由公证机构将</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第一轮未入围人才、第二轮未入围无住房家庭和普通购房人＂摇出顺序号，确定入围第四轮摇号的人员名单。</w:t>
            </w:r>
          </w:p>
          <w:p w14:paraId="01839AFB"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第四轮</w:t>
            </w:r>
          </w:p>
          <w:p w14:paraId="30DD523F"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由公证机构将</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第二轮确定的入围无住房家庭、第三轮确定的入围摇号人员</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摇出一般选房顺序。</w:t>
            </w:r>
          </w:p>
        </w:tc>
      </w:tr>
      <w:tr w:rsidR="00F41AD8" w:rsidRPr="00F84AA9" w14:paraId="05857A8A" w14:textId="77777777" w:rsidTr="00C446B5">
        <w:trPr>
          <w:cantSplit/>
          <w:jc w:val="center"/>
        </w:trPr>
        <w:tc>
          <w:tcPr>
            <w:tcW w:w="898" w:type="dxa"/>
            <w:vAlign w:val="center"/>
          </w:tcPr>
          <w:p w14:paraId="3011BD53" w14:textId="77777777" w:rsidR="00F41AD8" w:rsidRPr="00F84AA9" w:rsidRDefault="00F41AD8" w:rsidP="00C446B5">
            <w:pPr>
              <w:widowControl w:val="0"/>
              <w:adjustRightInd w:val="0"/>
              <w:snapToGrid w:val="0"/>
              <w:spacing w:line="0" w:lineRule="atLeast"/>
              <w:jc w:val="both"/>
              <w:rPr>
                <w:rFonts w:ascii="Arial" w:eastAsia="华文细黑" w:hAnsi="Arial" w:cs="Arial"/>
                <w:color w:val="000000"/>
                <w:sz w:val="18"/>
                <w:szCs w:val="18"/>
              </w:rPr>
            </w:pPr>
            <w:r w:rsidRPr="00F84AA9">
              <w:rPr>
                <w:rFonts w:ascii="Arial" w:eastAsia="华文细黑" w:hAnsi="Arial" w:cs="Arial"/>
                <w:color w:val="000000"/>
                <w:sz w:val="18"/>
                <w:szCs w:val="18"/>
              </w:rPr>
              <w:lastRenderedPageBreak/>
              <w:t>落户政策</w:t>
            </w:r>
          </w:p>
        </w:tc>
        <w:tc>
          <w:tcPr>
            <w:tcW w:w="3087" w:type="dxa"/>
            <w:vAlign w:val="center"/>
          </w:tcPr>
          <w:p w14:paraId="3398F743" w14:textId="77777777" w:rsidR="00F41AD8" w:rsidRPr="00F84AA9" w:rsidRDefault="00F41AD8" w:rsidP="00F41AD8">
            <w:pPr>
              <w:pStyle w:val="af1"/>
              <w:widowControl w:val="0"/>
              <w:numPr>
                <w:ilvl w:val="0"/>
                <w:numId w:val="20"/>
              </w:numPr>
              <w:adjustRightInd w:val="0"/>
              <w:snapToGrid w:val="0"/>
              <w:spacing w:line="0" w:lineRule="atLeast"/>
              <w:ind w:firstLineChars="0"/>
              <w:jc w:val="both"/>
              <w:rPr>
                <w:rFonts w:ascii="Arial" w:eastAsia="华文细黑" w:hAnsi="Arial" w:cs="Arial"/>
                <w:color w:val="000000"/>
                <w:sz w:val="18"/>
                <w:szCs w:val="18"/>
              </w:rPr>
            </w:pPr>
            <w:proofErr w:type="gramStart"/>
            <w:r w:rsidRPr="00F84AA9">
              <w:rPr>
                <w:rFonts w:ascii="Arial" w:eastAsia="华文细黑" w:hAnsi="Arial" w:cs="Arial"/>
                <w:color w:val="000000"/>
                <w:sz w:val="18"/>
                <w:szCs w:val="18"/>
              </w:rPr>
              <w:t>《</w:t>
            </w:r>
            <w:proofErr w:type="gramEnd"/>
            <w:r w:rsidRPr="00F84AA9">
              <w:rPr>
                <w:rFonts w:ascii="Arial" w:eastAsia="华文细黑" w:hAnsi="Arial" w:cs="Arial"/>
                <w:color w:val="000000"/>
                <w:sz w:val="18"/>
                <w:szCs w:val="18"/>
              </w:rPr>
              <w:t>市政府关于印发</w:t>
            </w:r>
            <w:proofErr w:type="gramStart"/>
            <w:r w:rsidRPr="00F84AA9">
              <w:rPr>
                <w:rFonts w:ascii="Arial" w:eastAsia="华文细黑" w:hAnsi="Arial" w:cs="Arial"/>
                <w:color w:val="000000"/>
                <w:sz w:val="18"/>
                <w:szCs w:val="18"/>
              </w:rPr>
              <w:t>《</w:t>
            </w:r>
            <w:proofErr w:type="gramEnd"/>
            <w:r w:rsidRPr="00F84AA9">
              <w:rPr>
                <w:rFonts w:ascii="Arial" w:eastAsia="华文细黑" w:hAnsi="Arial" w:cs="Arial"/>
                <w:color w:val="000000"/>
                <w:sz w:val="18"/>
                <w:szCs w:val="18"/>
              </w:rPr>
              <w:t>南京市户籍准入管理办法</w:t>
            </w:r>
            <w:proofErr w:type="gramStart"/>
            <w:r w:rsidRPr="00F84AA9">
              <w:rPr>
                <w:rFonts w:ascii="Arial" w:eastAsia="华文细黑" w:hAnsi="Arial" w:cs="Arial"/>
                <w:color w:val="000000"/>
                <w:sz w:val="18"/>
                <w:szCs w:val="18"/>
              </w:rPr>
              <w:t>》</w:t>
            </w:r>
            <w:proofErr w:type="gramEnd"/>
            <w:r w:rsidRPr="00F84AA9">
              <w:rPr>
                <w:rFonts w:ascii="Arial" w:eastAsia="华文细黑" w:hAnsi="Arial" w:cs="Arial"/>
                <w:color w:val="000000"/>
                <w:sz w:val="18"/>
                <w:szCs w:val="18"/>
              </w:rPr>
              <w:t>的通知</w:t>
            </w:r>
            <w:proofErr w:type="gramStart"/>
            <w:r w:rsidRPr="00F84AA9">
              <w:rPr>
                <w:rFonts w:ascii="Arial" w:eastAsia="华文细黑" w:hAnsi="Arial" w:cs="Arial"/>
                <w:color w:val="000000"/>
                <w:sz w:val="18"/>
                <w:szCs w:val="18"/>
              </w:rPr>
              <w:t>》</w:t>
            </w:r>
            <w:proofErr w:type="gramEnd"/>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发布时间</w:t>
            </w:r>
            <w:r w:rsidRPr="00F84AA9">
              <w:rPr>
                <w:rFonts w:ascii="Arial" w:eastAsia="华文细黑" w:hAnsi="Arial" w:cs="Arial"/>
                <w:color w:val="000000"/>
                <w:sz w:val="18"/>
                <w:szCs w:val="18"/>
              </w:rPr>
              <w:t>2016</w:t>
            </w:r>
            <w:r w:rsidRPr="00F84AA9">
              <w:rPr>
                <w:rFonts w:ascii="Arial" w:eastAsia="华文细黑" w:hAnsi="Arial" w:cs="Arial"/>
                <w:color w:val="000000"/>
                <w:sz w:val="18"/>
                <w:szCs w:val="18"/>
              </w:rPr>
              <w:t>年</w:t>
            </w:r>
            <w:r w:rsidRPr="00F84AA9">
              <w:rPr>
                <w:rFonts w:ascii="Arial" w:eastAsia="华文细黑" w:hAnsi="Arial" w:cs="Arial"/>
                <w:color w:val="000000"/>
                <w:sz w:val="18"/>
                <w:szCs w:val="18"/>
              </w:rPr>
              <w:t>12</w:t>
            </w:r>
            <w:r w:rsidRPr="00F84AA9">
              <w:rPr>
                <w:rFonts w:ascii="Arial" w:eastAsia="华文细黑" w:hAnsi="Arial" w:cs="Arial"/>
                <w:color w:val="000000"/>
                <w:sz w:val="18"/>
                <w:szCs w:val="18"/>
              </w:rPr>
              <w:t>月</w:t>
            </w:r>
            <w:r w:rsidRPr="00F84AA9">
              <w:rPr>
                <w:rFonts w:ascii="Arial" w:eastAsia="华文细黑" w:hAnsi="Arial" w:cs="Arial"/>
                <w:color w:val="000000"/>
                <w:sz w:val="18"/>
                <w:szCs w:val="18"/>
              </w:rPr>
              <w:t>22</w:t>
            </w:r>
            <w:r w:rsidRPr="00F84AA9">
              <w:rPr>
                <w:rFonts w:ascii="Arial" w:eastAsia="华文细黑" w:hAnsi="Arial" w:cs="Arial"/>
                <w:color w:val="000000"/>
                <w:sz w:val="18"/>
                <w:szCs w:val="18"/>
              </w:rPr>
              <w:t>日</w:t>
            </w:r>
            <w:r w:rsidRPr="00F84AA9">
              <w:rPr>
                <w:rFonts w:ascii="Arial" w:eastAsia="华文细黑" w:hAnsi="Arial" w:cs="Arial"/>
                <w:color w:val="000000"/>
                <w:sz w:val="18"/>
                <w:szCs w:val="18"/>
              </w:rPr>
              <w:t>]</w:t>
            </w:r>
          </w:p>
          <w:p w14:paraId="0E52A494" w14:textId="77777777" w:rsidR="00F41AD8" w:rsidRPr="00F84AA9" w:rsidRDefault="00F41AD8" w:rsidP="00F41AD8">
            <w:pPr>
              <w:pStyle w:val="af1"/>
              <w:widowControl w:val="0"/>
              <w:numPr>
                <w:ilvl w:val="0"/>
                <w:numId w:val="20"/>
              </w:numPr>
              <w:adjustRightInd w:val="0"/>
              <w:snapToGrid w:val="0"/>
              <w:spacing w:line="0" w:lineRule="atLeast"/>
              <w:ind w:firstLineChars="0"/>
              <w:jc w:val="both"/>
              <w:rPr>
                <w:rFonts w:ascii="Arial" w:eastAsia="华文细黑" w:hAnsi="Arial" w:cs="Arial"/>
                <w:color w:val="000000"/>
                <w:sz w:val="18"/>
                <w:szCs w:val="18"/>
              </w:rPr>
            </w:pPr>
            <w:proofErr w:type="gramStart"/>
            <w:r w:rsidRPr="00F84AA9">
              <w:rPr>
                <w:rFonts w:ascii="Arial" w:eastAsia="华文细黑" w:hAnsi="Arial" w:cs="Arial"/>
                <w:color w:val="000000"/>
                <w:sz w:val="18"/>
                <w:szCs w:val="18"/>
              </w:rPr>
              <w:t>《</w:t>
            </w:r>
            <w:proofErr w:type="gramEnd"/>
            <w:r w:rsidRPr="00F84AA9">
              <w:rPr>
                <w:rFonts w:ascii="Arial" w:eastAsia="华文细黑" w:hAnsi="Arial" w:cs="Arial"/>
                <w:color w:val="000000"/>
                <w:sz w:val="18"/>
                <w:szCs w:val="18"/>
              </w:rPr>
              <w:t>市政府关于修订印发</w:t>
            </w:r>
            <w:proofErr w:type="gramStart"/>
            <w:r w:rsidRPr="00F84AA9">
              <w:rPr>
                <w:rFonts w:ascii="Arial" w:eastAsia="华文细黑" w:hAnsi="Arial" w:cs="Arial"/>
                <w:color w:val="000000"/>
                <w:sz w:val="18"/>
                <w:szCs w:val="18"/>
              </w:rPr>
              <w:t>《</w:t>
            </w:r>
            <w:proofErr w:type="gramEnd"/>
            <w:r w:rsidRPr="00F84AA9">
              <w:rPr>
                <w:rFonts w:ascii="Arial" w:eastAsia="华文细黑" w:hAnsi="Arial" w:cs="Arial"/>
                <w:color w:val="000000"/>
                <w:sz w:val="18"/>
                <w:szCs w:val="18"/>
              </w:rPr>
              <w:t>南京市积分落户实施办法</w:t>
            </w:r>
            <w:proofErr w:type="gramStart"/>
            <w:r w:rsidRPr="00F84AA9">
              <w:rPr>
                <w:rFonts w:ascii="Arial" w:eastAsia="华文细黑" w:hAnsi="Arial" w:cs="Arial"/>
                <w:color w:val="000000"/>
                <w:sz w:val="18"/>
                <w:szCs w:val="18"/>
              </w:rPr>
              <w:t>》</w:t>
            </w:r>
            <w:proofErr w:type="gramEnd"/>
            <w:r w:rsidRPr="00F84AA9">
              <w:rPr>
                <w:rFonts w:ascii="Arial" w:eastAsia="华文细黑" w:hAnsi="Arial" w:cs="Arial"/>
                <w:color w:val="000000"/>
                <w:sz w:val="18"/>
                <w:szCs w:val="18"/>
              </w:rPr>
              <w:t>的通知</w:t>
            </w:r>
            <w:proofErr w:type="gramStart"/>
            <w:r w:rsidRPr="00F84AA9">
              <w:rPr>
                <w:rFonts w:ascii="Arial" w:eastAsia="华文细黑" w:hAnsi="Arial" w:cs="Arial"/>
                <w:color w:val="000000"/>
                <w:sz w:val="18"/>
                <w:szCs w:val="18"/>
              </w:rPr>
              <w:t>》</w:t>
            </w:r>
            <w:proofErr w:type="gramEnd"/>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宁政</w:t>
            </w:r>
            <w:proofErr w:type="gramStart"/>
            <w:r w:rsidRPr="00F84AA9">
              <w:rPr>
                <w:rFonts w:ascii="Arial" w:eastAsia="华文细黑" w:hAnsi="Arial" w:cs="Arial"/>
                <w:color w:val="000000"/>
                <w:sz w:val="18"/>
                <w:szCs w:val="18"/>
              </w:rPr>
              <w:t>规</w:t>
            </w:r>
            <w:proofErr w:type="gramEnd"/>
            <w:r w:rsidRPr="00F84AA9">
              <w:rPr>
                <w:rFonts w:ascii="Arial" w:eastAsia="华文细黑" w:hAnsi="Arial" w:cs="Arial"/>
                <w:color w:val="000000"/>
                <w:sz w:val="18"/>
                <w:szCs w:val="18"/>
              </w:rPr>
              <w:t>字〔</w:t>
            </w:r>
            <w:r w:rsidRPr="00F84AA9">
              <w:rPr>
                <w:rFonts w:ascii="Arial" w:eastAsia="华文细黑" w:hAnsi="Arial" w:cs="Arial"/>
                <w:color w:val="000000"/>
                <w:sz w:val="18"/>
                <w:szCs w:val="18"/>
              </w:rPr>
              <w:t>2019</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2</w:t>
            </w:r>
            <w:r w:rsidRPr="00F84AA9">
              <w:rPr>
                <w:rFonts w:ascii="Arial" w:eastAsia="华文细黑" w:hAnsi="Arial" w:cs="Arial"/>
                <w:color w:val="000000"/>
                <w:sz w:val="18"/>
                <w:szCs w:val="18"/>
              </w:rPr>
              <w:t>号</w:t>
            </w:r>
            <w:r w:rsidRPr="00F84AA9">
              <w:rPr>
                <w:rFonts w:ascii="Arial" w:eastAsia="华文细黑" w:hAnsi="Arial" w:cs="Arial"/>
                <w:color w:val="000000"/>
                <w:sz w:val="18"/>
                <w:szCs w:val="18"/>
              </w:rPr>
              <w:t>]</w:t>
            </w:r>
          </w:p>
          <w:p w14:paraId="13807013" w14:textId="77777777" w:rsidR="00F41AD8" w:rsidRPr="00F84AA9" w:rsidRDefault="00F41AD8" w:rsidP="00F41AD8">
            <w:pPr>
              <w:pStyle w:val="af1"/>
              <w:widowControl w:val="0"/>
              <w:numPr>
                <w:ilvl w:val="0"/>
                <w:numId w:val="20"/>
              </w:numPr>
              <w:adjustRightInd w:val="0"/>
              <w:snapToGrid w:val="0"/>
              <w:spacing w:line="0" w:lineRule="atLeast"/>
              <w:ind w:firstLineChars="0"/>
              <w:jc w:val="both"/>
              <w:rPr>
                <w:rFonts w:ascii="Arial" w:eastAsia="华文细黑" w:hAnsi="Arial" w:cs="Arial"/>
                <w:color w:val="000000"/>
                <w:sz w:val="18"/>
                <w:szCs w:val="18"/>
              </w:rPr>
            </w:pPr>
            <w:proofErr w:type="gramStart"/>
            <w:r w:rsidRPr="00F84AA9">
              <w:rPr>
                <w:rFonts w:ascii="Arial" w:eastAsia="华文细黑" w:hAnsi="Arial" w:cs="Arial"/>
                <w:color w:val="000000"/>
                <w:sz w:val="18"/>
                <w:szCs w:val="18"/>
              </w:rPr>
              <w:t>《</w:t>
            </w:r>
            <w:proofErr w:type="gramEnd"/>
            <w:r w:rsidRPr="00F84AA9">
              <w:rPr>
                <w:rFonts w:ascii="Arial" w:eastAsia="华文细黑" w:hAnsi="Arial" w:cs="Arial"/>
                <w:color w:val="000000"/>
                <w:sz w:val="18"/>
                <w:szCs w:val="18"/>
              </w:rPr>
              <w:t>关于继续实施</w:t>
            </w:r>
            <w:proofErr w:type="gramStart"/>
            <w:r w:rsidRPr="00F84AA9">
              <w:rPr>
                <w:rFonts w:ascii="Arial" w:eastAsia="华文细黑" w:hAnsi="Arial" w:cs="Arial"/>
                <w:color w:val="000000"/>
                <w:sz w:val="18"/>
                <w:szCs w:val="18"/>
              </w:rPr>
              <w:t>《</w:t>
            </w:r>
            <w:proofErr w:type="gramEnd"/>
            <w:r w:rsidRPr="00F84AA9">
              <w:rPr>
                <w:rFonts w:ascii="Arial" w:eastAsia="华文细黑" w:hAnsi="Arial" w:cs="Arial"/>
                <w:color w:val="000000"/>
                <w:sz w:val="18"/>
                <w:szCs w:val="18"/>
              </w:rPr>
              <w:t>南京市关于大学本科及以上学历人才和技术技能人才来宁落户的实施办法</w:t>
            </w:r>
            <w:proofErr w:type="gramStart"/>
            <w:r w:rsidRPr="00F84AA9">
              <w:rPr>
                <w:rFonts w:ascii="Arial" w:eastAsia="华文细黑" w:hAnsi="Arial" w:cs="Arial"/>
                <w:color w:val="000000"/>
                <w:sz w:val="18"/>
                <w:szCs w:val="18"/>
              </w:rPr>
              <w:t>》</w:t>
            </w:r>
            <w:proofErr w:type="gramEnd"/>
            <w:r w:rsidRPr="00F84AA9">
              <w:rPr>
                <w:rFonts w:ascii="Arial" w:eastAsia="华文细黑" w:hAnsi="Arial" w:cs="Arial"/>
                <w:color w:val="000000"/>
                <w:sz w:val="18"/>
                <w:szCs w:val="18"/>
              </w:rPr>
              <w:t>的通知</w:t>
            </w:r>
            <w:proofErr w:type="gramStart"/>
            <w:r w:rsidRPr="00F84AA9">
              <w:rPr>
                <w:rFonts w:ascii="Arial" w:eastAsia="华文细黑" w:hAnsi="Arial" w:cs="Arial"/>
                <w:color w:val="000000"/>
                <w:sz w:val="18"/>
                <w:szCs w:val="18"/>
              </w:rPr>
              <w:t>》</w:t>
            </w:r>
            <w:proofErr w:type="gramEnd"/>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宁公</w:t>
            </w:r>
            <w:proofErr w:type="gramStart"/>
            <w:r w:rsidRPr="00F84AA9">
              <w:rPr>
                <w:rFonts w:ascii="Arial" w:eastAsia="华文细黑" w:hAnsi="Arial" w:cs="Arial"/>
                <w:color w:val="000000"/>
                <w:sz w:val="18"/>
                <w:szCs w:val="18"/>
              </w:rPr>
              <w:t>规</w:t>
            </w:r>
            <w:proofErr w:type="gramEnd"/>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2020</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1</w:t>
            </w:r>
            <w:r w:rsidRPr="00F84AA9">
              <w:rPr>
                <w:rFonts w:ascii="Arial" w:eastAsia="华文细黑" w:hAnsi="Arial" w:cs="Arial"/>
                <w:color w:val="000000"/>
                <w:sz w:val="18"/>
                <w:szCs w:val="18"/>
              </w:rPr>
              <w:t>号</w:t>
            </w:r>
            <w:r w:rsidRPr="00F84AA9">
              <w:rPr>
                <w:rFonts w:ascii="Arial" w:eastAsia="华文细黑" w:hAnsi="Arial" w:cs="Arial"/>
                <w:color w:val="000000"/>
                <w:sz w:val="18"/>
                <w:szCs w:val="18"/>
              </w:rPr>
              <w:t>]</w:t>
            </w:r>
          </w:p>
          <w:p w14:paraId="4158461E" w14:textId="77777777" w:rsidR="00F41AD8" w:rsidRPr="00F84AA9" w:rsidRDefault="00F41AD8" w:rsidP="00F41AD8">
            <w:pPr>
              <w:pStyle w:val="af1"/>
              <w:widowControl w:val="0"/>
              <w:numPr>
                <w:ilvl w:val="0"/>
                <w:numId w:val="20"/>
              </w:numPr>
              <w:adjustRightInd w:val="0"/>
              <w:snapToGrid w:val="0"/>
              <w:spacing w:line="0" w:lineRule="atLeast"/>
              <w:ind w:firstLineChars="0"/>
              <w:jc w:val="both"/>
              <w:rPr>
                <w:rFonts w:ascii="Arial" w:eastAsia="华文细黑" w:hAnsi="Arial" w:cs="Arial"/>
                <w:color w:val="000000"/>
                <w:sz w:val="18"/>
                <w:szCs w:val="18"/>
              </w:rPr>
            </w:pPr>
            <w:r w:rsidRPr="00F84AA9">
              <w:rPr>
                <w:rFonts w:ascii="Arial" w:eastAsia="华文细黑" w:hAnsi="Arial" w:cs="Arial"/>
                <w:color w:val="000000"/>
                <w:sz w:val="18"/>
                <w:szCs w:val="18"/>
              </w:rPr>
              <w:t>《关于调整人才落户相关政策的通知》</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宁公</w:t>
            </w:r>
            <w:proofErr w:type="gramStart"/>
            <w:r w:rsidRPr="00F84AA9">
              <w:rPr>
                <w:rFonts w:ascii="Arial" w:eastAsia="华文细黑" w:hAnsi="Arial" w:cs="Arial"/>
                <w:color w:val="000000"/>
                <w:sz w:val="18"/>
                <w:szCs w:val="18"/>
              </w:rPr>
              <w:t>规</w:t>
            </w:r>
            <w:proofErr w:type="gramEnd"/>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2020</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2</w:t>
            </w:r>
            <w:r w:rsidRPr="00F84AA9">
              <w:rPr>
                <w:rFonts w:ascii="Arial" w:eastAsia="华文细黑" w:hAnsi="Arial" w:cs="Arial"/>
                <w:color w:val="000000"/>
                <w:sz w:val="18"/>
                <w:szCs w:val="18"/>
              </w:rPr>
              <w:t>号</w:t>
            </w:r>
            <w:r w:rsidRPr="00F84AA9">
              <w:rPr>
                <w:rFonts w:ascii="Arial" w:eastAsia="华文细黑" w:hAnsi="Arial" w:cs="Arial"/>
                <w:color w:val="000000"/>
                <w:sz w:val="18"/>
                <w:szCs w:val="18"/>
              </w:rPr>
              <w:t>]</w:t>
            </w:r>
          </w:p>
        </w:tc>
        <w:tc>
          <w:tcPr>
            <w:tcW w:w="5314" w:type="dxa"/>
            <w:vAlign w:val="center"/>
          </w:tcPr>
          <w:p w14:paraId="7286D618"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1</w:t>
            </w:r>
            <w:r w:rsidRPr="00F84AA9">
              <w:rPr>
                <w:rFonts w:ascii="Arial" w:eastAsia="华文细黑" w:hAnsi="Arial" w:cs="Arial"/>
                <w:color w:val="000000"/>
                <w:sz w:val="18"/>
                <w:szCs w:val="18"/>
              </w:rPr>
              <w:t>、南京实行的是</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户籍准入办法</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和</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积分办法</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双轨的户口迁移政策。此外，还有试行的</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人才落户</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办法。</w:t>
            </w:r>
          </w:p>
          <w:p w14:paraId="39D057D2"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2</w:t>
            </w:r>
            <w:r w:rsidRPr="00F84AA9">
              <w:rPr>
                <w:rFonts w:ascii="Arial" w:eastAsia="华文细黑" w:hAnsi="Arial" w:cs="Arial"/>
                <w:color w:val="000000"/>
                <w:sz w:val="18"/>
                <w:szCs w:val="18"/>
              </w:rPr>
              <w:t>、积分落户对于不符合户籍准入条件的人员，可对照积分办法条件，满足申请条件的可以申请积分落户。积分落户指标由基础指标、加分指标和减分指标组成。</w:t>
            </w:r>
          </w:p>
          <w:p w14:paraId="08C5EBEF"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3</w:t>
            </w:r>
            <w:r w:rsidRPr="00F84AA9">
              <w:rPr>
                <w:rFonts w:ascii="Arial" w:eastAsia="华文细黑" w:hAnsi="Arial" w:cs="Arial"/>
                <w:color w:val="000000"/>
                <w:sz w:val="18"/>
                <w:szCs w:val="18"/>
              </w:rPr>
              <w:t>、进一步放宽本科学历人才落户门槛。本科学历人才年龄上限从</w:t>
            </w:r>
            <w:r w:rsidRPr="00F84AA9">
              <w:rPr>
                <w:rFonts w:ascii="Arial" w:eastAsia="华文细黑" w:hAnsi="Arial" w:cs="Arial"/>
                <w:color w:val="000000"/>
                <w:sz w:val="18"/>
                <w:szCs w:val="18"/>
              </w:rPr>
              <w:t>40</w:t>
            </w:r>
            <w:r w:rsidRPr="00F84AA9">
              <w:rPr>
                <w:rFonts w:ascii="Arial" w:eastAsia="华文细黑" w:hAnsi="Arial" w:cs="Arial"/>
                <w:color w:val="000000"/>
                <w:sz w:val="18"/>
                <w:szCs w:val="18"/>
              </w:rPr>
              <w:t>周岁放宽至</w:t>
            </w:r>
            <w:r w:rsidRPr="00F84AA9">
              <w:rPr>
                <w:rFonts w:ascii="Arial" w:eastAsia="华文细黑" w:hAnsi="Arial" w:cs="Arial"/>
                <w:color w:val="000000"/>
                <w:sz w:val="18"/>
                <w:szCs w:val="18"/>
              </w:rPr>
              <w:t>45</w:t>
            </w:r>
            <w:r w:rsidRPr="00F84AA9">
              <w:rPr>
                <w:rFonts w:ascii="Arial" w:eastAsia="华文细黑" w:hAnsi="Arial" w:cs="Arial"/>
                <w:color w:val="000000"/>
                <w:sz w:val="18"/>
                <w:szCs w:val="18"/>
              </w:rPr>
              <w:t>周岁，研究生及以上学历人才落户政策不变（以上均含非全日制学历及留学回国人员）。</w:t>
            </w:r>
          </w:p>
          <w:p w14:paraId="2BF8DEBB"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4</w:t>
            </w:r>
            <w:r w:rsidRPr="00F84AA9">
              <w:rPr>
                <w:rFonts w:ascii="Arial" w:eastAsia="华文细黑" w:hAnsi="Arial" w:cs="Arial"/>
                <w:color w:val="000000"/>
                <w:sz w:val="18"/>
                <w:szCs w:val="18"/>
              </w:rPr>
              <w:t>、放宽大专学历人员落户我市条件。</w:t>
            </w:r>
            <w:r w:rsidRPr="00F84AA9">
              <w:rPr>
                <w:rFonts w:ascii="Arial" w:eastAsia="华文细黑" w:hAnsi="Arial" w:cs="Arial"/>
                <w:color w:val="000000"/>
                <w:sz w:val="18"/>
                <w:szCs w:val="18"/>
              </w:rPr>
              <w:t>40</w:t>
            </w:r>
            <w:r w:rsidRPr="00F84AA9">
              <w:rPr>
                <w:rFonts w:ascii="Arial" w:eastAsia="华文细黑" w:hAnsi="Arial" w:cs="Arial"/>
                <w:color w:val="000000"/>
                <w:sz w:val="18"/>
                <w:szCs w:val="18"/>
              </w:rPr>
              <w:t>周岁以下大专学历人员，在我市就业参保半年即可落户。</w:t>
            </w:r>
          </w:p>
        </w:tc>
      </w:tr>
      <w:tr w:rsidR="00F41AD8" w:rsidRPr="00F84AA9" w14:paraId="24ADDDDF" w14:textId="77777777" w:rsidTr="00C446B5">
        <w:trPr>
          <w:cantSplit/>
          <w:jc w:val="center"/>
        </w:trPr>
        <w:tc>
          <w:tcPr>
            <w:tcW w:w="898" w:type="dxa"/>
            <w:vAlign w:val="center"/>
          </w:tcPr>
          <w:p w14:paraId="6CBAA1FF" w14:textId="77777777" w:rsidR="00F41AD8" w:rsidRPr="00F84AA9" w:rsidRDefault="00F41AD8" w:rsidP="00C446B5">
            <w:pPr>
              <w:widowControl w:val="0"/>
              <w:adjustRightInd w:val="0"/>
              <w:snapToGrid w:val="0"/>
              <w:spacing w:line="0" w:lineRule="atLeast"/>
              <w:jc w:val="both"/>
              <w:rPr>
                <w:rFonts w:ascii="Arial" w:eastAsia="华文细黑" w:hAnsi="Arial" w:cs="Arial"/>
                <w:color w:val="000000"/>
                <w:sz w:val="18"/>
                <w:szCs w:val="18"/>
              </w:rPr>
            </w:pPr>
            <w:r w:rsidRPr="00F84AA9">
              <w:rPr>
                <w:rFonts w:ascii="Arial" w:eastAsia="华文细黑" w:hAnsi="Arial" w:cs="Arial"/>
                <w:color w:val="000000"/>
                <w:sz w:val="18"/>
                <w:szCs w:val="18"/>
              </w:rPr>
              <w:t>人才政策</w:t>
            </w:r>
          </w:p>
        </w:tc>
        <w:tc>
          <w:tcPr>
            <w:tcW w:w="3087" w:type="dxa"/>
            <w:vAlign w:val="center"/>
          </w:tcPr>
          <w:p w14:paraId="4EE5B7BC" w14:textId="77777777" w:rsidR="00F41AD8" w:rsidRPr="00F84AA9" w:rsidRDefault="00F41AD8" w:rsidP="00F41AD8">
            <w:pPr>
              <w:pStyle w:val="af1"/>
              <w:widowControl w:val="0"/>
              <w:numPr>
                <w:ilvl w:val="0"/>
                <w:numId w:val="20"/>
              </w:numPr>
              <w:adjustRightInd w:val="0"/>
              <w:snapToGrid w:val="0"/>
              <w:spacing w:line="0" w:lineRule="atLeast"/>
              <w:ind w:firstLineChars="0"/>
              <w:jc w:val="both"/>
              <w:rPr>
                <w:rFonts w:ascii="Arial" w:eastAsia="华文细黑" w:hAnsi="Arial" w:cs="Arial"/>
                <w:color w:val="000000"/>
                <w:sz w:val="18"/>
                <w:szCs w:val="18"/>
              </w:rPr>
            </w:pPr>
            <w:r w:rsidRPr="00F84AA9">
              <w:rPr>
                <w:rFonts w:ascii="Arial" w:eastAsia="华文细黑" w:hAnsi="Arial" w:cs="Arial"/>
                <w:color w:val="000000"/>
                <w:sz w:val="18"/>
                <w:szCs w:val="18"/>
              </w:rPr>
              <w:t>《中共南京市委办公厅南京市人民政府办公厅关于印发</w:t>
            </w:r>
            <w:r w:rsidRPr="00F84AA9">
              <w:rPr>
                <w:rFonts w:ascii="Arial" w:eastAsia="华文细黑" w:hAnsi="Arial" w:cs="Arial"/>
                <w:color w:val="000000"/>
                <w:sz w:val="18"/>
                <w:szCs w:val="18"/>
              </w:rPr>
              <w:t>&lt;2020</w:t>
            </w:r>
            <w:r w:rsidRPr="00F84AA9">
              <w:rPr>
                <w:rFonts w:ascii="Arial" w:eastAsia="华文细黑" w:hAnsi="Arial" w:cs="Arial"/>
                <w:color w:val="000000"/>
                <w:sz w:val="18"/>
                <w:szCs w:val="18"/>
              </w:rPr>
              <w:t>年南京市人才购买商品住房办法（试行）</w:t>
            </w:r>
            <w:r w:rsidRPr="00F84AA9">
              <w:rPr>
                <w:rFonts w:ascii="Arial" w:eastAsia="华文细黑" w:hAnsi="Arial" w:cs="Arial"/>
                <w:color w:val="000000"/>
                <w:sz w:val="18"/>
                <w:szCs w:val="18"/>
              </w:rPr>
              <w:t>&gt;</w:t>
            </w:r>
            <w:r w:rsidRPr="00F84AA9">
              <w:rPr>
                <w:rFonts w:ascii="Arial" w:eastAsia="华文细黑" w:hAnsi="Arial" w:cs="Arial"/>
                <w:color w:val="000000"/>
                <w:sz w:val="18"/>
                <w:szCs w:val="18"/>
              </w:rPr>
              <w:t>的通知》</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宁委办发</w:t>
            </w:r>
            <w:r w:rsidRPr="00F84AA9">
              <w:rPr>
                <w:rFonts w:ascii="Arial" w:eastAsia="华文细黑" w:hAnsi="Arial" w:cs="Arial"/>
                <w:color w:val="000000"/>
                <w:sz w:val="18"/>
                <w:szCs w:val="18"/>
              </w:rPr>
              <w:t>[2019]89</w:t>
            </w:r>
            <w:r w:rsidRPr="00F84AA9">
              <w:rPr>
                <w:rFonts w:ascii="Arial" w:eastAsia="华文细黑" w:hAnsi="Arial" w:cs="Arial"/>
                <w:color w:val="000000"/>
                <w:sz w:val="18"/>
                <w:szCs w:val="18"/>
              </w:rPr>
              <w:t>号</w:t>
            </w:r>
            <w:r w:rsidRPr="00F84AA9">
              <w:rPr>
                <w:rFonts w:ascii="Arial" w:eastAsia="华文细黑" w:hAnsi="Arial" w:cs="Arial"/>
                <w:color w:val="000000"/>
                <w:sz w:val="18"/>
                <w:szCs w:val="18"/>
              </w:rPr>
              <w:t>]</w:t>
            </w:r>
          </w:p>
        </w:tc>
        <w:tc>
          <w:tcPr>
            <w:tcW w:w="5314" w:type="dxa"/>
            <w:vAlign w:val="center"/>
          </w:tcPr>
          <w:p w14:paraId="5DC68A20"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1</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2020</w:t>
            </w:r>
            <w:r w:rsidRPr="00F84AA9">
              <w:rPr>
                <w:rFonts w:ascii="Arial" w:eastAsia="华文细黑" w:hAnsi="Arial" w:cs="Arial"/>
                <w:color w:val="000000"/>
                <w:sz w:val="18"/>
                <w:szCs w:val="18"/>
              </w:rPr>
              <w:t>年</w:t>
            </w:r>
            <w:r w:rsidRPr="00F84AA9">
              <w:rPr>
                <w:rFonts w:ascii="Arial" w:eastAsia="华文细黑" w:hAnsi="Arial" w:cs="Arial"/>
                <w:color w:val="000000"/>
                <w:sz w:val="18"/>
                <w:szCs w:val="18"/>
              </w:rPr>
              <w:t>1</w:t>
            </w:r>
            <w:r w:rsidRPr="00F84AA9">
              <w:rPr>
                <w:rFonts w:ascii="Arial" w:eastAsia="华文细黑" w:hAnsi="Arial" w:cs="Arial"/>
                <w:color w:val="000000"/>
                <w:sz w:val="18"/>
                <w:szCs w:val="18"/>
              </w:rPr>
              <w:t>月</w:t>
            </w:r>
            <w:r w:rsidRPr="00F84AA9">
              <w:rPr>
                <w:rFonts w:ascii="Arial" w:eastAsia="华文细黑" w:hAnsi="Arial" w:cs="Arial"/>
                <w:color w:val="000000"/>
                <w:sz w:val="18"/>
                <w:szCs w:val="18"/>
              </w:rPr>
              <w:t>1</w:t>
            </w:r>
            <w:r w:rsidRPr="00F84AA9">
              <w:rPr>
                <w:rFonts w:ascii="Arial" w:eastAsia="华文细黑" w:hAnsi="Arial" w:cs="Arial"/>
                <w:color w:val="000000"/>
                <w:sz w:val="18"/>
                <w:szCs w:val="18"/>
              </w:rPr>
              <w:t>日开始，全市商品住房均对人才优先供应。根据《办法》规定，每个商品住房项目每批次优先供应人才的房源为上市销售量的</w:t>
            </w:r>
            <w:r w:rsidRPr="00F84AA9">
              <w:rPr>
                <w:rFonts w:ascii="Arial" w:eastAsia="华文细黑" w:hAnsi="Arial" w:cs="Arial"/>
                <w:color w:val="000000"/>
                <w:sz w:val="18"/>
                <w:szCs w:val="18"/>
              </w:rPr>
              <w:t>20%—30%</w:t>
            </w:r>
            <w:r w:rsidRPr="00F84AA9">
              <w:rPr>
                <w:rFonts w:ascii="Arial" w:eastAsia="华文细黑" w:hAnsi="Arial" w:cs="Arial"/>
                <w:color w:val="000000"/>
                <w:sz w:val="18"/>
                <w:szCs w:val="18"/>
              </w:rPr>
              <w:t>。原则上，每批次上市量不足</w:t>
            </w:r>
            <w:r w:rsidRPr="00F84AA9">
              <w:rPr>
                <w:rFonts w:ascii="Arial" w:eastAsia="华文细黑" w:hAnsi="Arial" w:cs="Arial"/>
                <w:color w:val="000000"/>
                <w:sz w:val="18"/>
                <w:szCs w:val="18"/>
              </w:rPr>
              <w:t>100</w:t>
            </w:r>
            <w:r w:rsidRPr="00F84AA9">
              <w:rPr>
                <w:rFonts w:ascii="Arial" w:eastAsia="华文细黑" w:hAnsi="Arial" w:cs="Arial"/>
                <w:color w:val="000000"/>
                <w:sz w:val="18"/>
                <w:szCs w:val="18"/>
              </w:rPr>
              <w:t>套的项目，人才优先供应比例按</w:t>
            </w:r>
            <w:r w:rsidRPr="00F84AA9">
              <w:rPr>
                <w:rFonts w:ascii="Arial" w:eastAsia="华文细黑" w:hAnsi="Arial" w:cs="Arial"/>
                <w:color w:val="000000"/>
                <w:sz w:val="18"/>
                <w:szCs w:val="18"/>
              </w:rPr>
              <w:t>20%</w:t>
            </w:r>
            <w:r w:rsidRPr="00F84AA9">
              <w:rPr>
                <w:rFonts w:ascii="Arial" w:eastAsia="华文细黑" w:hAnsi="Arial" w:cs="Arial"/>
                <w:color w:val="000000"/>
                <w:sz w:val="18"/>
                <w:szCs w:val="18"/>
              </w:rPr>
              <w:t>计；</w:t>
            </w:r>
            <w:r w:rsidRPr="00F84AA9">
              <w:rPr>
                <w:rFonts w:ascii="Arial" w:eastAsia="华文细黑" w:hAnsi="Arial" w:cs="Arial"/>
                <w:color w:val="000000"/>
                <w:sz w:val="18"/>
                <w:szCs w:val="18"/>
              </w:rPr>
              <w:t>100</w:t>
            </w:r>
            <w:r w:rsidRPr="00F84AA9">
              <w:rPr>
                <w:rFonts w:ascii="Arial" w:eastAsia="华文细黑" w:hAnsi="Arial" w:cs="Arial"/>
                <w:color w:val="000000"/>
                <w:sz w:val="18"/>
                <w:szCs w:val="18"/>
              </w:rPr>
              <w:t>套以上的项目，人才优先供应比例按</w:t>
            </w:r>
            <w:r w:rsidRPr="00F84AA9">
              <w:rPr>
                <w:rFonts w:ascii="Arial" w:eastAsia="华文细黑" w:hAnsi="Arial" w:cs="Arial"/>
                <w:color w:val="000000"/>
                <w:sz w:val="18"/>
                <w:szCs w:val="18"/>
              </w:rPr>
              <w:t>30%</w:t>
            </w:r>
            <w:r w:rsidRPr="00F84AA9">
              <w:rPr>
                <w:rFonts w:ascii="Arial" w:eastAsia="华文细黑" w:hAnsi="Arial" w:cs="Arial"/>
                <w:color w:val="000000"/>
                <w:sz w:val="18"/>
                <w:szCs w:val="18"/>
              </w:rPr>
              <w:t>计。</w:t>
            </w:r>
          </w:p>
        </w:tc>
      </w:tr>
      <w:tr w:rsidR="00F41AD8" w:rsidRPr="00F84AA9" w14:paraId="558103D0" w14:textId="77777777" w:rsidTr="00C446B5">
        <w:trPr>
          <w:cantSplit/>
          <w:jc w:val="center"/>
        </w:trPr>
        <w:tc>
          <w:tcPr>
            <w:tcW w:w="898" w:type="dxa"/>
            <w:vAlign w:val="center"/>
          </w:tcPr>
          <w:p w14:paraId="3D256B3C" w14:textId="77777777" w:rsidR="00F41AD8" w:rsidRPr="00F84AA9" w:rsidRDefault="00F41AD8" w:rsidP="00C446B5">
            <w:pPr>
              <w:widowControl w:val="0"/>
              <w:adjustRightInd w:val="0"/>
              <w:snapToGrid w:val="0"/>
              <w:spacing w:line="0" w:lineRule="atLeast"/>
              <w:jc w:val="both"/>
              <w:rPr>
                <w:rFonts w:ascii="Arial" w:eastAsia="华文细黑" w:hAnsi="Arial" w:cs="Arial"/>
                <w:color w:val="000000"/>
                <w:sz w:val="18"/>
                <w:szCs w:val="18"/>
              </w:rPr>
            </w:pPr>
            <w:proofErr w:type="gramStart"/>
            <w:r w:rsidRPr="00F84AA9">
              <w:rPr>
                <w:rFonts w:ascii="Arial" w:eastAsia="华文细黑" w:hAnsi="Arial" w:cs="Arial"/>
                <w:color w:val="000000"/>
                <w:sz w:val="18"/>
                <w:szCs w:val="18"/>
              </w:rPr>
              <w:t>土拍政策</w:t>
            </w:r>
            <w:proofErr w:type="gramEnd"/>
          </w:p>
        </w:tc>
        <w:tc>
          <w:tcPr>
            <w:tcW w:w="3087" w:type="dxa"/>
            <w:vAlign w:val="center"/>
          </w:tcPr>
          <w:p w14:paraId="5F8FB19D" w14:textId="77777777" w:rsidR="00F41AD8" w:rsidRPr="00F84AA9" w:rsidRDefault="00F41AD8" w:rsidP="00F41AD8">
            <w:pPr>
              <w:pStyle w:val="af1"/>
              <w:widowControl w:val="0"/>
              <w:numPr>
                <w:ilvl w:val="0"/>
                <w:numId w:val="20"/>
              </w:numPr>
              <w:adjustRightInd w:val="0"/>
              <w:snapToGrid w:val="0"/>
              <w:spacing w:line="0" w:lineRule="atLeast"/>
              <w:ind w:firstLineChars="0"/>
              <w:jc w:val="both"/>
              <w:rPr>
                <w:rFonts w:ascii="Arial" w:eastAsia="华文细黑" w:hAnsi="Arial" w:cs="Arial"/>
                <w:color w:val="000000"/>
                <w:sz w:val="18"/>
                <w:szCs w:val="18"/>
              </w:rPr>
            </w:pPr>
            <w:r w:rsidRPr="00F84AA9">
              <w:rPr>
                <w:rFonts w:ascii="Arial" w:eastAsia="华文细黑" w:hAnsi="Arial" w:cs="Arial"/>
                <w:color w:val="000000"/>
                <w:sz w:val="18"/>
                <w:szCs w:val="18"/>
              </w:rPr>
              <w:t>《关于土地出让模式调整的说明》（发布时间</w:t>
            </w:r>
            <w:r w:rsidRPr="00F84AA9">
              <w:rPr>
                <w:rFonts w:ascii="Arial" w:eastAsia="华文细黑" w:hAnsi="Arial" w:cs="Arial"/>
                <w:color w:val="000000"/>
                <w:sz w:val="18"/>
                <w:szCs w:val="18"/>
              </w:rPr>
              <w:t>2014</w:t>
            </w:r>
            <w:r w:rsidRPr="00F84AA9">
              <w:rPr>
                <w:rFonts w:ascii="Arial" w:eastAsia="华文细黑" w:hAnsi="Arial" w:cs="Arial"/>
                <w:color w:val="000000"/>
                <w:sz w:val="18"/>
                <w:szCs w:val="18"/>
              </w:rPr>
              <w:t>年</w:t>
            </w:r>
            <w:r w:rsidRPr="00F84AA9">
              <w:rPr>
                <w:rFonts w:ascii="Arial" w:eastAsia="华文细黑" w:hAnsi="Arial" w:cs="Arial"/>
                <w:color w:val="000000"/>
                <w:sz w:val="18"/>
                <w:szCs w:val="18"/>
              </w:rPr>
              <w:t>2</w:t>
            </w:r>
            <w:r w:rsidRPr="00F84AA9">
              <w:rPr>
                <w:rFonts w:ascii="Arial" w:eastAsia="华文细黑" w:hAnsi="Arial" w:cs="Arial"/>
                <w:color w:val="000000"/>
                <w:sz w:val="18"/>
                <w:szCs w:val="18"/>
              </w:rPr>
              <w:t>月</w:t>
            </w:r>
            <w:r w:rsidRPr="00F84AA9">
              <w:rPr>
                <w:rFonts w:ascii="Arial" w:eastAsia="华文细黑" w:hAnsi="Arial" w:cs="Arial"/>
                <w:color w:val="000000"/>
                <w:sz w:val="18"/>
                <w:szCs w:val="18"/>
              </w:rPr>
              <w:t>21</w:t>
            </w:r>
            <w:r w:rsidRPr="00F84AA9">
              <w:rPr>
                <w:rFonts w:ascii="Arial" w:eastAsia="华文细黑" w:hAnsi="Arial" w:cs="Arial"/>
                <w:color w:val="000000"/>
                <w:sz w:val="18"/>
                <w:szCs w:val="18"/>
              </w:rPr>
              <w:t>日）</w:t>
            </w:r>
          </w:p>
          <w:p w14:paraId="269DC58E" w14:textId="77777777" w:rsidR="00F41AD8" w:rsidRPr="00F84AA9" w:rsidRDefault="00F41AD8" w:rsidP="00F41AD8">
            <w:pPr>
              <w:pStyle w:val="af1"/>
              <w:widowControl w:val="0"/>
              <w:numPr>
                <w:ilvl w:val="0"/>
                <w:numId w:val="20"/>
              </w:numPr>
              <w:adjustRightInd w:val="0"/>
              <w:snapToGrid w:val="0"/>
              <w:spacing w:line="0" w:lineRule="atLeast"/>
              <w:ind w:firstLineChars="0"/>
              <w:jc w:val="both"/>
              <w:rPr>
                <w:rFonts w:ascii="Arial" w:eastAsia="华文细黑" w:hAnsi="Arial" w:cs="Arial"/>
                <w:color w:val="000000"/>
                <w:sz w:val="18"/>
                <w:szCs w:val="18"/>
              </w:rPr>
            </w:pPr>
            <w:r w:rsidRPr="00F84AA9">
              <w:rPr>
                <w:rFonts w:ascii="Arial" w:eastAsia="华文细黑" w:hAnsi="Arial" w:cs="Arial"/>
                <w:color w:val="000000"/>
                <w:sz w:val="18"/>
                <w:szCs w:val="18"/>
              </w:rPr>
              <w:t>《市政府关于进一步促进我市房地产市场健康发展的意见》</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宁政发〔</w:t>
            </w:r>
            <w:r w:rsidRPr="00F84AA9">
              <w:rPr>
                <w:rFonts w:ascii="Arial" w:eastAsia="华文细黑" w:hAnsi="Arial" w:cs="Arial"/>
                <w:color w:val="000000"/>
                <w:sz w:val="18"/>
                <w:szCs w:val="18"/>
              </w:rPr>
              <w:t>2016</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36</w:t>
            </w:r>
            <w:r w:rsidRPr="00F84AA9">
              <w:rPr>
                <w:rFonts w:ascii="Arial" w:eastAsia="华文细黑" w:hAnsi="Arial" w:cs="Arial"/>
                <w:color w:val="000000"/>
                <w:sz w:val="18"/>
                <w:szCs w:val="18"/>
              </w:rPr>
              <w:t>号</w:t>
            </w:r>
            <w:r w:rsidRPr="00F84AA9">
              <w:rPr>
                <w:rFonts w:ascii="Arial" w:eastAsia="华文细黑" w:hAnsi="Arial" w:cs="Arial"/>
                <w:color w:val="000000"/>
                <w:sz w:val="18"/>
                <w:szCs w:val="18"/>
              </w:rPr>
              <w:t>]</w:t>
            </w:r>
          </w:p>
          <w:p w14:paraId="0DB0932F" w14:textId="77777777" w:rsidR="00F41AD8" w:rsidRPr="00F84AA9" w:rsidRDefault="00F41AD8" w:rsidP="00F41AD8">
            <w:pPr>
              <w:pStyle w:val="af1"/>
              <w:widowControl w:val="0"/>
              <w:numPr>
                <w:ilvl w:val="0"/>
                <w:numId w:val="20"/>
              </w:numPr>
              <w:adjustRightInd w:val="0"/>
              <w:snapToGrid w:val="0"/>
              <w:spacing w:line="0" w:lineRule="atLeast"/>
              <w:ind w:firstLineChars="0"/>
              <w:jc w:val="both"/>
              <w:rPr>
                <w:rFonts w:ascii="Arial" w:eastAsia="华文细黑" w:hAnsi="Arial" w:cs="Arial"/>
                <w:color w:val="000000"/>
                <w:sz w:val="18"/>
                <w:szCs w:val="18"/>
              </w:rPr>
            </w:pPr>
            <w:r w:rsidRPr="00F84AA9">
              <w:rPr>
                <w:rFonts w:ascii="Arial" w:eastAsia="华文细黑" w:hAnsi="Arial" w:cs="Arial"/>
                <w:color w:val="000000"/>
                <w:sz w:val="18"/>
                <w:szCs w:val="18"/>
              </w:rPr>
              <w:t>《市政府关于推进供给侧结构性改革促进房地产市场平稳健康发展的实施意见》</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宁政发〔</w:t>
            </w:r>
            <w:r w:rsidRPr="00F84AA9">
              <w:rPr>
                <w:rFonts w:ascii="Arial" w:eastAsia="华文细黑" w:hAnsi="Arial" w:cs="Arial"/>
                <w:color w:val="000000"/>
                <w:sz w:val="18"/>
                <w:szCs w:val="18"/>
              </w:rPr>
              <w:t>2016</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75</w:t>
            </w:r>
            <w:r w:rsidRPr="00F84AA9">
              <w:rPr>
                <w:rFonts w:ascii="Arial" w:eastAsia="华文细黑" w:hAnsi="Arial" w:cs="Arial"/>
                <w:color w:val="000000"/>
                <w:sz w:val="18"/>
                <w:szCs w:val="18"/>
              </w:rPr>
              <w:t>号</w:t>
            </w:r>
            <w:r w:rsidRPr="00F84AA9">
              <w:rPr>
                <w:rFonts w:ascii="Arial" w:eastAsia="华文细黑" w:hAnsi="Arial" w:cs="Arial"/>
                <w:color w:val="000000"/>
                <w:sz w:val="18"/>
                <w:szCs w:val="18"/>
              </w:rPr>
              <w:t>]</w:t>
            </w:r>
          </w:p>
        </w:tc>
        <w:tc>
          <w:tcPr>
            <w:tcW w:w="5314" w:type="dxa"/>
            <w:vAlign w:val="center"/>
          </w:tcPr>
          <w:p w14:paraId="4A0B2733"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1</w:t>
            </w:r>
            <w:r w:rsidRPr="00F84AA9">
              <w:rPr>
                <w:rFonts w:ascii="Arial" w:eastAsia="华文细黑" w:hAnsi="Arial" w:cs="Arial"/>
                <w:color w:val="000000"/>
                <w:sz w:val="18"/>
                <w:szCs w:val="18"/>
              </w:rPr>
              <w:t>、执行</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限地价、竞保障房资金或面积</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的竞价方式，在公布出让起始价的同时公布最高限价，最高限价原则上控制在起始价上浮</w:t>
            </w:r>
            <w:r w:rsidRPr="00F84AA9">
              <w:rPr>
                <w:rFonts w:ascii="Arial" w:eastAsia="华文细黑" w:hAnsi="Arial" w:cs="Arial"/>
                <w:color w:val="000000"/>
                <w:sz w:val="18"/>
                <w:szCs w:val="18"/>
              </w:rPr>
              <w:t>45%</w:t>
            </w:r>
            <w:r w:rsidRPr="00F84AA9">
              <w:rPr>
                <w:rFonts w:ascii="Arial" w:eastAsia="华文细黑" w:hAnsi="Arial" w:cs="Arial"/>
                <w:color w:val="000000"/>
                <w:sz w:val="18"/>
                <w:szCs w:val="18"/>
              </w:rPr>
              <w:t>左右。在达到最高限价时仍有竞争的，则停止竞争地价，改为竞争保障房建设面积或资金，出资最高者或面积最大者为竞得人，保障房建设资金应与土地出让金首付款一并支付。</w:t>
            </w:r>
          </w:p>
          <w:p w14:paraId="28EBA10D"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2</w:t>
            </w:r>
            <w:r w:rsidRPr="00F84AA9">
              <w:rPr>
                <w:rFonts w:ascii="Arial" w:eastAsia="华文细黑" w:hAnsi="Arial" w:cs="Arial"/>
                <w:color w:val="000000"/>
                <w:sz w:val="18"/>
                <w:szCs w:val="18"/>
              </w:rPr>
              <w:t>、全市范围内的商品住房用地，在出让时原则上均需明确</w:t>
            </w:r>
            <w:r w:rsidRPr="00F84AA9">
              <w:rPr>
                <w:rFonts w:ascii="Arial" w:eastAsia="华文细黑" w:hAnsi="Arial" w:cs="Arial"/>
                <w:color w:val="000000"/>
                <w:sz w:val="18"/>
                <w:szCs w:val="18"/>
              </w:rPr>
              <w:t>90</w:t>
            </w:r>
            <w:r w:rsidRPr="00F84AA9">
              <w:rPr>
                <w:rFonts w:ascii="Arial" w:eastAsia="华文细黑" w:hAnsi="Arial" w:cs="Arial"/>
                <w:color w:val="000000"/>
                <w:sz w:val="18"/>
                <w:szCs w:val="18"/>
              </w:rPr>
              <w:t>平方米以下房屋建筑面积比例，全市</w:t>
            </w:r>
            <w:r w:rsidRPr="00F84AA9">
              <w:rPr>
                <w:rFonts w:ascii="Arial" w:eastAsia="华文细黑" w:hAnsi="Arial" w:cs="Arial"/>
                <w:color w:val="000000"/>
                <w:sz w:val="18"/>
                <w:szCs w:val="18"/>
              </w:rPr>
              <w:t>90</w:t>
            </w:r>
            <w:r w:rsidRPr="00F84AA9">
              <w:rPr>
                <w:rFonts w:ascii="Arial" w:eastAsia="华文细黑" w:hAnsi="Arial" w:cs="Arial"/>
                <w:color w:val="000000"/>
                <w:sz w:val="18"/>
                <w:szCs w:val="18"/>
              </w:rPr>
              <w:t>平方米以下商品住房占全部商品住房比例不得小于</w:t>
            </w:r>
            <w:r w:rsidRPr="00F84AA9">
              <w:rPr>
                <w:rFonts w:ascii="Arial" w:eastAsia="华文细黑" w:hAnsi="Arial" w:cs="Arial"/>
                <w:color w:val="000000"/>
                <w:sz w:val="18"/>
                <w:szCs w:val="18"/>
              </w:rPr>
              <w:t>50%</w:t>
            </w:r>
            <w:r w:rsidRPr="00F84AA9">
              <w:rPr>
                <w:rFonts w:ascii="Arial" w:eastAsia="华文细黑" w:hAnsi="Arial" w:cs="Arial"/>
                <w:color w:val="000000"/>
                <w:sz w:val="18"/>
                <w:szCs w:val="18"/>
              </w:rPr>
              <w:t>。</w:t>
            </w:r>
          </w:p>
          <w:p w14:paraId="728E3B2C"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3</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2020</w:t>
            </w:r>
            <w:r w:rsidRPr="00F84AA9">
              <w:rPr>
                <w:rFonts w:ascii="Arial" w:eastAsia="华文细黑" w:hAnsi="Arial" w:cs="Arial"/>
                <w:color w:val="000000"/>
                <w:sz w:val="18"/>
                <w:szCs w:val="18"/>
              </w:rPr>
              <w:t>年</w:t>
            </w:r>
            <w:r w:rsidRPr="00F84AA9">
              <w:rPr>
                <w:rFonts w:ascii="Arial" w:eastAsia="华文细黑" w:hAnsi="Arial" w:cs="Arial"/>
                <w:color w:val="000000"/>
                <w:sz w:val="18"/>
                <w:szCs w:val="18"/>
              </w:rPr>
              <w:t>6</w:t>
            </w:r>
            <w:r w:rsidRPr="00F84AA9">
              <w:rPr>
                <w:rFonts w:ascii="Arial" w:eastAsia="华文细黑" w:hAnsi="Arial" w:cs="Arial"/>
                <w:color w:val="000000"/>
                <w:sz w:val="18"/>
                <w:szCs w:val="18"/>
              </w:rPr>
              <w:t>月起采取</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限房价、竟地价</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出让方式</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即对住宅、商住等涉及住宅用地的地块</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在土地</w:t>
            </w:r>
            <w:proofErr w:type="gramStart"/>
            <w:r w:rsidRPr="00F84AA9">
              <w:rPr>
                <w:rFonts w:ascii="Arial" w:eastAsia="华文细黑" w:hAnsi="Arial" w:cs="Arial"/>
                <w:color w:val="000000"/>
                <w:sz w:val="18"/>
                <w:szCs w:val="18"/>
              </w:rPr>
              <w:t>岀</w:t>
            </w:r>
            <w:proofErr w:type="gramEnd"/>
            <w:r w:rsidRPr="00F84AA9">
              <w:rPr>
                <w:rFonts w:ascii="Arial" w:eastAsia="华文细黑" w:hAnsi="Arial" w:cs="Arial"/>
                <w:color w:val="000000"/>
                <w:sz w:val="18"/>
                <w:szCs w:val="18"/>
              </w:rPr>
              <w:t>让公告中同时公布土地</w:t>
            </w:r>
            <w:proofErr w:type="gramStart"/>
            <w:r w:rsidRPr="00F84AA9">
              <w:rPr>
                <w:rFonts w:ascii="Arial" w:eastAsia="华文细黑" w:hAnsi="Arial" w:cs="Arial"/>
                <w:color w:val="000000"/>
                <w:sz w:val="18"/>
                <w:szCs w:val="18"/>
              </w:rPr>
              <w:t>岀让最高</w:t>
            </w:r>
            <w:proofErr w:type="gramEnd"/>
            <w:r w:rsidRPr="00F84AA9">
              <w:rPr>
                <w:rFonts w:ascii="Arial" w:eastAsia="华文细黑" w:hAnsi="Arial" w:cs="Arial"/>
                <w:color w:val="000000"/>
                <w:sz w:val="18"/>
                <w:szCs w:val="18"/>
              </w:rPr>
              <w:t>限价和地块所建商品住宅</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毛坯</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销售价格</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当地块竞价达到最高限价时</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采取竞争</w:t>
            </w:r>
            <w:proofErr w:type="gramStart"/>
            <w:r w:rsidRPr="00F84AA9">
              <w:rPr>
                <w:rFonts w:ascii="Arial" w:eastAsia="华文细黑" w:hAnsi="Arial" w:cs="Arial"/>
                <w:color w:val="000000"/>
                <w:sz w:val="18"/>
                <w:szCs w:val="18"/>
              </w:rPr>
              <w:t>人才房</w:t>
            </w:r>
            <w:proofErr w:type="gramEnd"/>
            <w:r w:rsidRPr="00F84AA9">
              <w:rPr>
                <w:rFonts w:ascii="Arial" w:eastAsia="华文细黑" w:hAnsi="Arial" w:cs="Arial"/>
                <w:color w:val="000000"/>
                <w:sz w:val="18"/>
                <w:szCs w:val="18"/>
              </w:rPr>
              <w:t>建筑面积</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竞争的</w:t>
            </w:r>
            <w:proofErr w:type="gramStart"/>
            <w:r w:rsidRPr="00F84AA9">
              <w:rPr>
                <w:rFonts w:ascii="Arial" w:eastAsia="华文细黑" w:hAnsi="Arial" w:cs="Arial"/>
                <w:color w:val="000000"/>
                <w:sz w:val="18"/>
                <w:szCs w:val="18"/>
              </w:rPr>
              <w:t>人才房</w:t>
            </w:r>
            <w:proofErr w:type="gramEnd"/>
            <w:r w:rsidRPr="00F84AA9">
              <w:rPr>
                <w:rFonts w:ascii="Arial" w:eastAsia="华文细黑" w:hAnsi="Arial" w:cs="Arial"/>
                <w:color w:val="000000"/>
                <w:sz w:val="18"/>
                <w:szCs w:val="18"/>
              </w:rPr>
              <w:t>无偿移交政府。另外</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对土地出让最高限价进行了适当调整</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最高限价不高于出让起始价的</w:t>
            </w:r>
            <w:r w:rsidRPr="00F84AA9">
              <w:rPr>
                <w:rFonts w:ascii="Arial" w:eastAsia="华文细黑" w:hAnsi="Arial" w:cs="Arial"/>
                <w:color w:val="000000"/>
                <w:sz w:val="18"/>
                <w:szCs w:val="18"/>
              </w:rPr>
              <w:t>120%</w:t>
            </w:r>
            <w:r w:rsidRPr="00F84AA9">
              <w:rPr>
                <w:rFonts w:ascii="Arial" w:eastAsia="华文细黑" w:hAnsi="Arial" w:cs="Arial"/>
                <w:color w:val="000000"/>
                <w:sz w:val="18"/>
                <w:szCs w:val="18"/>
              </w:rPr>
              <w:t>。</w:t>
            </w:r>
          </w:p>
        </w:tc>
      </w:tr>
      <w:tr w:rsidR="002C2FB0" w:rsidRPr="00F84AA9" w14:paraId="07F4A67A" w14:textId="77777777" w:rsidTr="00C446B5">
        <w:trPr>
          <w:cantSplit/>
          <w:jc w:val="center"/>
        </w:trPr>
        <w:tc>
          <w:tcPr>
            <w:tcW w:w="898" w:type="dxa"/>
            <w:vAlign w:val="center"/>
          </w:tcPr>
          <w:p w14:paraId="1E254120" w14:textId="47445DEB" w:rsidR="002C2FB0" w:rsidRPr="00F84AA9" w:rsidRDefault="002C2FB0" w:rsidP="00C446B5">
            <w:pPr>
              <w:widowControl w:val="0"/>
              <w:adjustRightInd w:val="0"/>
              <w:snapToGrid w:val="0"/>
              <w:spacing w:line="0" w:lineRule="atLeast"/>
              <w:jc w:val="both"/>
              <w:rPr>
                <w:rFonts w:ascii="Arial" w:eastAsia="华文细黑" w:hAnsi="Arial" w:cs="Arial"/>
                <w:color w:val="000000"/>
                <w:sz w:val="18"/>
                <w:szCs w:val="18"/>
              </w:rPr>
            </w:pPr>
            <w:r>
              <w:rPr>
                <w:rFonts w:ascii="Arial" w:eastAsia="华文细黑" w:hAnsi="Arial" w:cs="Arial" w:hint="eastAsia"/>
                <w:color w:val="000000"/>
                <w:sz w:val="18"/>
                <w:szCs w:val="18"/>
              </w:rPr>
              <w:t>预售政策</w:t>
            </w:r>
          </w:p>
        </w:tc>
        <w:tc>
          <w:tcPr>
            <w:tcW w:w="3087" w:type="dxa"/>
            <w:vAlign w:val="center"/>
          </w:tcPr>
          <w:p w14:paraId="164036B4" w14:textId="366A03A0" w:rsidR="002C2FB0" w:rsidRPr="00F84AA9" w:rsidRDefault="002C6E5D" w:rsidP="00F41AD8">
            <w:pPr>
              <w:pStyle w:val="af1"/>
              <w:widowControl w:val="0"/>
              <w:numPr>
                <w:ilvl w:val="0"/>
                <w:numId w:val="20"/>
              </w:numPr>
              <w:adjustRightInd w:val="0"/>
              <w:snapToGrid w:val="0"/>
              <w:spacing w:line="0" w:lineRule="atLeast"/>
              <w:ind w:firstLineChars="0"/>
              <w:jc w:val="both"/>
              <w:rPr>
                <w:rFonts w:ascii="Arial" w:eastAsia="华文细黑" w:hAnsi="Arial" w:cs="Arial"/>
                <w:color w:val="000000"/>
                <w:sz w:val="18"/>
                <w:szCs w:val="18"/>
              </w:rPr>
            </w:pPr>
            <w:r>
              <w:rPr>
                <w:rFonts w:ascii="Arial" w:eastAsia="华文细黑" w:hAnsi="Arial" w:cs="Arial" w:hint="eastAsia"/>
                <w:color w:val="000000"/>
                <w:sz w:val="18"/>
                <w:szCs w:val="18"/>
              </w:rPr>
              <w:t>——</w:t>
            </w:r>
          </w:p>
        </w:tc>
        <w:tc>
          <w:tcPr>
            <w:tcW w:w="5314" w:type="dxa"/>
            <w:vAlign w:val="center"/>
          </w:tcPr>
          <w:p w14:paraId="387F5535" w14:textId="2962EFF7" w:rsidR="002C2FB0" w:rsidRPr="00F84AA9" w:rsidRDefault="002C2FB0" w:rsidP="00C25066">
            <w:pPr>
              <w:widowControl w:val="0"/>
              <w:adjustRightInd w:val="0"/>
              <w:snapToGrid w:val="0"/>
              <w:spacing w:line="0" w:lineRule="atLeast"/>
              <w:jc w:val="both"/>
              <w:rPr>
                <w:rFonts w:ascii="Arial" w:eastAsia="华文细黑" w:hAnsi="Arial" w:cs="Arial"/>
                <w:color w:val="000000"/>
                <w:sz w:val="18"/>
                <w:szCs w:val="18"/>
              </w:rPr>
            </w:pPr>
            <w:r w:rsidRPr="002C2FB0">
              <w:rPr>
                <w:rFonts w:ascii="Arial" w:eastAsia="华文细黑" w:hAnsi="Arial" w:cs="Arial" w:hint="eastAsia"/>
                <w:color w:val="000000"/>
                <w:sz w:val="18"/>
                <w:szCs w:val="18"/>
              </w:rPr>
              <w:t>预售政策较为宽松，不要求形象进度，投资</w:t>
            </w:r>
            <w:r w:rsidRPr="002C2FB0">
              <w:rPr>
                <w:rFonts w:ascii="Arial" w:eastAsia="华文细黑" w:hAnsi="Arial" w:cs="Arial"/>
                <w:color w:val="000000"/>
                <w:sz w:val="18"/>
                <w:szCs w:val="18"/>
              </w:rPr>
              <w:t>50%</w:t>
            </w:r>
            <w:r w:rsidRPr="002C2FB0">
              <w:rPr>
                <w:rFonts w:ascii="Arial" w:eastAsia="华文细黑" w:hAnsi="Arial" w:cs="Arial"/>
                <w:color w:val="000000"/>
                <w:sz w:val="18"/>
                <w:szCs w:val="18"/>
              </w:rPr>
              <w:t>可取预售证。</w:t>
            </w:r>
          </w:p>
        </w:tc>
      </w:tr>
    </w:tbl>
    <w:p w14:paraId="7BE7B0A6" w14:textId="179D1138" w:rsidR="00711254" w:rsidRPr="00F41AD8" w:rsidRDefault="00711254" w:rsidP="00C01AA7">
      <w:pPr>
        <w:snapToGrid w:val="0"/>
        <w:spacing w:line="480" w:lineRule="auto"/>
        <w:ind w:firstLineChars="200" w:firstLine="420"/>
        <w:jc w:val="both"/>
        <w:rPr>
          <w:rFonts w:ascii="Arial" w:hAnsi="Arial"/>
          <w:sz w:val="21"/>
          <w:szCs w:val="28"/>
        </w:rPr>
      </w:pPr>
    </w:p>
    <w:p w14:paraId="407F2597" w14:textId="77777777" w:rsidR="00E03EB1" w:rsidRPr="00E05368" w:rsidRDefault="00E03EB1" w:rsidP="00E03EB1">
      <w:pPr>
        <w:pStyle w:val="2"/>
        <w:spacing w:before="0" w:after="0" w:line="480" w:lineRule="auto"/>
        <w:jc w:val="both"/>
        <w:rPr>
          <w:rFonts w:eastAsia="宋体" w:cs="Arial"/>
          <w:b w:val="0"/>
          <w:sz w:val="21"/>
          <w:szCs w:val="21"/>
        </w:rPr>
      </w:pPr>
      <w:bookmarkStart w:id="134" w:name="_Toc74250074"/>
      <w:bookmarkStart w:id="135" w:name="_Toc74662904"/>
      <w:r w:rsidRPr="00E05368">
        <w:rPr>
          <w:rFonts w:eastAsia="宋体" w:cs="Arial"/>
          <w:sz w:val="21"/>
          <w:szCs w:val="21"/>
        </w:rPr>
        <w:t>（</w:t>
      </w:r>
      <w:r w:rsidRPr="00E05368">
        <w:rPr>
          <w:rFonts w:eastAsia="宋体" w:cs="Arial" w:hint="eastAsia"/>
          <w:sz w:val="21"/>
          <w:szCs w:val="21"/>
        </w:rPr>
        <w:t>七</w:t>
      </w:r>
      <w:r w:rsidRPr="00E05368">
        <w:rPr>
          <w:rFonts w:eastAsia="宋体" w:cs="Arial"/>
          <w:sz w:val="21"/>
          <w:szCs w:val="21"/>
        </w:rPr>
        <w:t>）区域市场分析</w:t>
      </w:r>
      <w:bookmarkEnd w:id="134"/>
      <w:bookmarkEnd w:id="135"/>
    </w:p>
    <w:p w14:paraId="72C140E9" w14:textId="77777777" w:rsidR="00C01AA7"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hint="eastAsia"/>
          <w:color w:val="000000"/>
          <w:sz w:val="21"/>
          <w:szCs w:val="21"/>
        </w:rPr>
        <w:t>1</w:t>
      </w:r>
      <w:r w:rsidRPr="00E05368">
        <w:rPr>
          <w:rFonts w:ascii="Arial" w:hAnsi="Arial" w:cs="Arial"/>
          <w:color w:val="000000"/>
          <w:sz w:val="21"/>
          <w:szCs w:val="21"/>
        </w:rPr>
        <w:t>、</w:t>
      </w:r>
      <w:r w:rsidRPr="00E05368">
        <w:rPr>
          <w:rFonts w:ascii="Arial" w:hAnsi="Arial" w:cs="Arial" w:hint="eastAsia"/>
          <w:color w:val="000000"/>
          <w:sz w:val="21"/>
          <w:szCs w:val="21"/>
        </w:rPr>
        <w:t>区域概况</w:t>
      </w:r>
    </w:p>
    <w:p w14:paraId="0F4D1ABC" w14:textId="73C2D0C5" w:rsidR="0052061F" w:rsidRDefault="0052061F" w:rsidP="00C01AA7">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Pr>
          <w:rFonts w:ascii="Arial" w:hAnsi="Arial" w:cs="Arial" w:hint="eastAsia"/>
          <w:color w:val="000000"/>
          <w:sz w:val="21"/>
          <w:szCs w:val="21"/>
        </w:rPr>
        <w:t>1</w:t>
      </w:r>
      <w:r>
        <w:rPr>
          <w:rFonts w:ascii="Arial" w:hAnsi="Arial" w:cs="Arial" w:hint="eastAsia"/>
          <w:color w:val="000000"/>
          <w:sz w:val="21"/>
          <w:szCs w:val="21"/>
        </w:rPr>
        <w:t>）雨花台区区域概括</w:t>
      </w:r>
    </w:p>
    <w:p w14:paraId="5C58E64B" w14:textId="44D7C306" w:rsidR="00307CE1" w:rsidRPr="00307CE1" w:rsidRDefault="00307CE1" w:rsidP="00307CE1">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hint="eastAsia"/>
          <w:color w:val="000000"/>
          <w:sz w:val="21"/>
          <w:szCs w:val="21"/>
        </w:rPr>
        <w:t>雨花台区位于南京市主城南部，是中国软件名城的核心区，国家重要的软件产业和信息产业中心，中国第一软件产业基地，中国最大的通讯软件产业研发基地。已成功创建国家火炬计划现代通信软件产业基地、国家数字出版基地、国家级科技企业孵化器、中国服务外包基地城市示范区、国家级服务业标准化试点区，并荣获“国家科技进步先进区”等称号。雨花台区是南京主城东进南延的重要发展区域，是国家重要交通枢纽、重要创新基地和现代服务中心，国家重要的软件产业中心、软件企业总</w:t>
      </w:r>
      <w:r w:rsidRPr="009C6F6B">
        <w:rPr>
          <w:rFonts w:ascii="Arial" w:hAnsi="Arial" w:cs="Arial" w:hint="eastAsia"/>
          <w:color w:val="000000"/>
          <w:sz w:val="21"/>
          <w:szCs w:val="21"/>
        </w:rPr>
        <w:lastRenderedPageBreak/>
        <w:t>部基地和先进制造业、新兴产业基地，中国软件产业建设示范区、新兴产业研发基地，国际著名高等院校、科研机构产学研基地。雨花台区地貌类型多样，境内水、山、圩、洲齐全，境内有将军山、牛首山、韩府山等山麓，有秦淮新河、大石湖、</w:t>
      </w:r>
      <w:proofErr w:type="gramStart"/>
      <w:r w:rsidRPr="009C6F6B">
        <w:rPr>
          <w:rFonts w:ascii="Arial" w:hAnsi="Arial" w:cs="Arial" w:hint="eastAsia"/>
          <w:color w:val="000000"/>
          <w:sz w:val="21"/>
          <w:szCs w:val="21"/>
        </w:rPr>
        <w:t>石闸湖</w:t>
      </w:r>
      <w:proofErr w:type="gramEnd"/>
      <w:r w:rsidRPr="009C6F6B">
        <w:rPr>
          <w:rFonts w:ascii="Arial" w:hAnsi="Arial" w:cs="Arial" w:hint="eastAsia"/>
          <w:color w:val="000000"/>
          <w:sz w:val="21"/>
          <w:szCs w:val="21"/>
        </w:rPr>
        <w:t>等河流湖泊，有雨花台风景区、将军山风景区、</w:t>
      </w:r>
      <w:proofErr w:type="gramStart"/>
      <w:r w:rsidRPr="009C6F6B">
        <w:rPr>
          <w:rFonts w:ascii="Arial" w:hAnsi="Arial" w:cs="Arial" w:hint="eastAsia"/>
          <w:color w:val="000000"/>
          <w:sz w:val="21"/>
          <w:szCs w:val="21"/>
        </w:rPr>
        <w:t>浡</w:t>
      </w:r>
      <w:proofErr w:type="gramEnd"/>
      <w:r w:rsidRPr="009C6F6B">
        <w:rPr>
          <w:rFonts w:ascii="Arial" w:hAnsi="Arial" w:cs="Arial" w:hint="eastAsia"/>
          <w:color w:val="000000"/>
          <w:sz w:val="21"/>
          <w:szCs w:val="21"/>
        </w:rPr>
        <w:t>泥国王墓等著名景区，城市化率达</w:t>
      </w:r>
      <w:r w:rsidRPr="009C6F6B">
        <w:rPr>
          <w:rFonts w:ascii="Arial" w:hAnsi="Arial" w:cs="Arial"/>
          <w:color w:val="000000"/>
          <w:sz w:val="21"/>
          <w:szCs w:val="21"/>
        </w:rPr>
        <w:t>93%</w:t>
      </w:r>
      <w:r w:rsidRPr="009C6F6B">
        <w:rPr>
          <w:rFonts w:ascii="Arial" w:hAnsi="Arial" w:cs="Arial"/>
          <w:color w:val="000000"/>
          <w:sz w:val="21"/>
          <w:szCs w:val="21"/>
        </w:rPr>
        <w:t>，森林覆盖率</w:t>
      </w:r>
      <w:r w:rsidRPr="009C6F6B">
        <w:rPr>
          <w:rFonts w:ascii="Arial" w:hAnsi="Arial" w:cs="Arial"/>
          <w:color w:val="000000"/>
          <w:sz w:val="21"/>
          <w:szCs w:val="21"/>
        </w:rPr>
        <w:t>26%</w:t>
      </w:r>
      <w:r w:rsidRPr="009C6F6B">
        <w:rPr>
          <w:rFonts w:ascii="Arial" w:hAnsi="Arial" w:cs="Arial"/>
          <w:color w:val="000000"/>
          <w:sz w:val="21"/>
          <w:szCs w:val="21"/>
        </w:rPr>
        <w:t>，绿化覆盖率</w:t>
      </w:r>
      <w:r w:rsidRPr="009C6F6B">
        <w:rPr>
          <w:rFonts w:ascii="Arial" w:hAnsi="Arial" w:cs="Arial"/>
          <w:color w:val="000000"/>
          <w:sz w:val="21"/>
          <w:szCs w:val="21"/>
        </w:rPr>
        <w:t>48.3%</w:t>
      </w:r>
      <w:r w:rsidRPr="009C6F6B">
        <w:rPr>
          <w:rFonts w:ascii="Arial" w:hAnsi="Arial" w:cs="Arial"/>
          <w:color w:val="000000"/>
          <w:sz w:val="21"/>
          <w:szCs w:val="21"/>
        </w:rPr>
        <w:t>，是南京的</w:t>
      </w:r>
      <w:r w:rsidRPr="009C6F6B">
        <w:rPr>
          <w:rFonts w:ascii="Arial" w:hAnsi="Arial" w:cs="Arial"/>
          <w:color w:val="000000"/>
          <w:sz w:val="21"/>
          <w:szCs w:val="21"/>
        </w:rPr>
        <w:t>“</w:t>
      </w:r>
      <w:r w:rsidRPr="009C6F6B">
        <w:rPr>
          <w:rFonts w:ascii="Arial" w:hAnsi="Arial" w:cs="Arial"/>
          <w:color w:val="000000"/>
          <w:sz w:val="21"/>
          <w:szCs w:val="21"/>
        </w:rPr>
        <w:t>绿色生态走廊</w:t>
      </w:r>
      <w:r w:rsidRPr="009C6F6B">
        <w:rPr>
          <w:rFonts w:ascii="Arial" w:hAnsi="Arial" w:cs="Arial"/>
          <w:color w:val="000000"/>
          <w:sz w:val="21"/>
          <w:szCs w:val="21"/>
        </w:rPr>
        <w:t>”</w:t>
      </w:r>
      <w:r w:rsidRPr="009C6F6B">
        <w:rPr>
          <w:rFonts w:ascii="Arial" w:hAnsi="Arial" w:cs="Arial"/>
          <w:color w:val="000000"/>
          <w:sz w:val="21"/>
          <w:szCs w:val="21"/>
        </w:rPr>
        <w:t>。</w:t>
      </w:r>
    </w:p>
    <w:p w14:paraId="163B80BE" w14:textId="13D007D6" w:rsidR="00307CE1" w:rsidRDefault="00307CE1" w:rsidP="00307CE1">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1</w:t>
      </w:r>
      <w:r>
        <w:rPr>
          <w:rFonts w:ascii="Arial" w:hAnsi="Arial" w:cs="Arial" w:hint="eastAsia"/>
          <w:color w:val="000000"/>
          <w:sz w:val="21"/>
          <w:szCs w:val="21"/>
        </w:rPr>
        <w:t>）自然地理</w:t>
      </w:r>
    </w:p>
    <w:p w14:paraId="03C6B50C" w14:textId="77777777" w:rsidR="00307CE1" w:rsidRPr="009C6F6B" w:rsidRDefault="00307CE1" w:rsidP="00307CE1">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hint="eastAsia"/>
          <w:color w:val="000000"/>
          <w:sz w:val="21"/>
          <w:szCs w:val="21"/>
        </w:rPr>
        <w:t>雨花台区位于南京市主城南部，地处长江下游，东、南与江宁区接壤，西隔长江与浦口区相望，北与秦淮区、建</w:t>
      </w:r>
      <w:proofErr w:type="gramStart"/>
      <w:r w:rsidRPr="009C6F6B">
        <w:rPr>
          <w:rFonts w:ascii="Arial" w:hAnsi="Arial" w:cs="Arial" w:hint="eastAsia"/>
          <w:color w:val="000000"/>
          <w:sz w:val="21"/>
          <w:szCs w:val="21"/>
        </w:rPr>
        <w:t>邺</w:t>
      </w:r>
      <w:proofErr w:type="gramEnd"/>
      <w:r w:rsidRPr="009C6F6B">
        <w:rPr>
          <w:rFonts w:ascii="Arial" w:hAnsi="Arial" w:cs="Arial" w:hint="eastAsia"/>
          <w:color w:val="000000"/>
          <w:sz w:val="21"/>
          <w:szCs w:val="21"/>
        </w:rPr>
        <w:t>区接壤，面积</w:t>
      </w:r>
      <w:r w:rsidRPr="009C6F6B">
        <w:rPr>
          <w:rFonts w:ascii="Arial" w:hAnsi="Arial" w:cs="Arial"/>
          <w:color w:val="000000"/>
          <w:sz w:val="21"/>
          <w:szCs w:val="21"/>
        </w:rPr>
        <w:t>132.39</w:t>
      </w:r>
      <w:r w:rsidRPr="009C6F6B">
        <w:rPr>
          <w:rFonts w:ascii="Arial" w:hAnsi="Arial" w:cs="Arial"/>
          <w:color w:val="000000"/>
          <w:sz w:val="21"/>
          <w:szCs w:val="21"/>
        </w:rPr>
        <w:t>平方千米（不含江域面积）。</w:t>
      </w:r>
    </w:p>
    <w:p w14:paraId="4907A4E9" w14:textId="433EDDD1" w:rsidR="00307CE1" w:rsidRPr="009C6F6B" w:rsidRDefault="00307CE1" w:rsidP="00307CE1">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hint="eastAsia"/>
          <w:color w:val="000000"/>
          <w:sz w:val="21"/>
          <w:szCs w:val="21"/>
        </w:rPr>
        <w:t>雨花台区地势东南高、西北低，属丘陵、平原区。低山丘陵以韩府山、将军山、牛首山等为主体，面积占总面积的</w:t>
      </w:r>
      <w:r w:rsidRPr="009C6F6B">
        <w:rPr>
          <w:rFonts w:ascii="Arial" w:hAnsi="Arial" w:cs="Arial"/>
          <w:color w:val="000000"/>
          <w:sz w:val="21"/>
          <w:szCs w:val="21"/>
        </w:rPr>
        <w:t>6.7%</w:t>
      </w:r>
      <w:r w:rsidRPr="009C6F6B">
        <w:rPr>
          <w:rFonts w:ascii="Arial" w:hAnsi="Arial" w:cs="Arial"/>
          <w:color w:val="000000"/>
          <w:sz w:val="21"/>
          <w:szCs w:val="21"/>
        </w:rPr>
        <w:t>，诸山被成片林木覆盖。境内有将军山、牛首山、韩府山等山麓，自然植被保存完好，森林覆盖率</w:t>
      </w:r>
      <w:r w:rsidRPr="009C6F6B">
        <w:rPr>
          <w:rFonts w:ascii="Arial" w:hAnsi="Arial" w:cs="Arial"/>
          <w:color w:val="000000"/>
          <w:sz w:val="21"/>
          <w:szCs w:val="21"/>
        </w:rPr>
        <w:t>26%</w:t>
      </w:r>
      <w:r w:rsidRPr="009C6F6B">
        <w:rPr>
          <w:rFonts w:ascii="Arial" w:hAnsi="Arial" w:cs="Arial"/>
          <w:color w:val="000000"/>
          <w:sz w:val="21"/>
          <w:szCs w:val="21"/>
        </w:rPr>
        <w:t>，绿化覆盖率</w:t>
      </w:r>
      <w:r w:rsidRPr="009C6F6B">
        <w:rPr>
          <w:rFonts w:ascii="Arial" w:hAnsi="Arial" w:cs="Arial"/>
          <w:color w:val="000000"/>
          <w:sz w:val="21"/>
          <w:szCs w:val="21"/>
        </w:rPr>
        <w:t>48.3%</w:t>
      </w:r>
      <w:r w:rsidRPr="009C6F6B">
        <w:rPr>
          <w:rFonts w:ascii="Arial" w:hAnsi="Arial" w:cs="Arial"/>
          <w:color w:val="000000"/>
          <w:sz w:val="21"/>
          <w:szCs w:val="21"/>
        </w:rPr>
        <w:t>，是南京的</w:t>
      </w:r>
      <w:r w:rsidRPr="009C6F6B">
        <w:rPr>
          <w:rFonts w:ascii="Arial" w:hAnsi="Arial" w:cs="Arial"/>
          <w:color w:val="000000"/>
          <w:sz w:val="21"/>
          <w:szCs w:val="21"/>
        </w:rPr>
        <w:t>“</w:t>
      </w:r>
      <w:r w:rsidRPr="009C6F6B">
        <w:rPr>
          <w:rFonts w:ascii="Arial" w:hAnsi="Arial" w:cs="Arial"/>
          <w:color w:val="000000"/>
          <w:sz w:val="21"/>
          <w:szCs w:val="21"/>
        </w:rPr>
        <w:t>绿色生态走廊</w:t>
      </w:r>
      <w:r w:rsidRPr="009C6F6B">
        <w:rPr>
          <w:rFonts w:ascii="Arial" w:hAnsi="Arial" w:cs="Arial"/>
          <w:color w:val="000000"/>
          <w:sz w:val="21"/>
          <w:szCs w:val="21"/>
        </w:rPr>
        <w:t>”</w:t>
      </w:r>
      <w:r w:rsidRPr="009C6F6B">
        <w:rPr>
          <w:rFonts w:ascii="Arial" w:hAnsi="Arial" w:cs="Arial"/>
          <w:color w:val="000000"/>
          <w:sz w:val="21"/>
          <w:szCs w:val="21"/>
        </w:rPr>
        <w:t>，素有</w:t>
      </w:r>
      <w:r w:rsidRPr="009C6F6B">
        <w:rPr>
          <w:rFonts w:ascii="Arial" w:hAnsi="Arial" w:cs="Arial"/>
          <w:color w:val="000000"/>
          <w:sz w:val="21"/>
          <w:szCs w:val="21"/>
        </w:rPr>
        <w:t>“</w:t>
      </w:r>
      <w:r w:rsidRPr="009C6F6B">
        <w:rPr>
          <w:rFonts w:ascii="Arial" w:hAnsi="Arial" w:cs="Arial"/>
          <w:color w:val="000000"/>
          <w:sz w:val="21"/>
          <w:szCs w:val="21"/>
        </w:rPr>
        <w:t>春游登牛首</w:t>
      </w:r>
      <w:r w:rsidRPr="009C6F6B">
        <w:rPr>
          <w:rFonts w:ascii="Arial" w:hAnsi="Arial" w:cs="Arial"/>
          <w:color w:val="000000"/>
          <w:sz w:val="21"/>
          <w:szCs w:val="21"/>
        </w:rPr>
        <w:t>”</w:t>
      </w:r>
      <w:r w:rsidRPr="009C6F6B">
        <w:rPr>
          <w:rFonts w:ascii="Arial" w:hAnsi="Arial" w:cs="Arial"/>
          <w:color w:val="000000"/>
          <w:sz w:val="21"/>
          <w:szCs w:val="21"/>
        </w:rPr>
        <w:t>之誉。</w:t>
      </w:r>
    </w:p>
    <w:p w14:paraId="68916B22" w14:textId="5DD07B95" w:rsidR="00307CE1" w:rsidRPr="009C6F6B" w:rsidRDefault="00307CE1" w:rsidP="00307CE1">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hint="eastAsia"/>
          <w:color w:val="000000"/>
          <w:sz w:val="21"/>
          <w:szCs w:val="21"/>
        </w:rPr>
        <w:t>雨花台区境以西是广阔的平原，地面海拔仅为</w:t>
      </w:r>
      <w:r w:rsidRPr="009C6F6B">
        <w:rPr>
          <w:rFonts w:ascii="Arial" w:hAnsi="Arial" w:cs="Arial"/>
          <w:color w:val="000000"/>
          <w:sz w:val="21"/>
          <w:szCs w:val="21"/>
        </w:rPr>
        <w:t>5—8</w:t>
      </w:r>
      <w:r w:rsidRPr="009C6F6B">
        <w:rPr>
          <w:rFonts w:ascii="Arial" w:hAnsi="Arial" w:cs="Arial"/>
          <w:color w:val="000000"/>
          <w:sz w:val="21"/>
          <w:szCs w:val="21"/>
        </w:rPr>
        <w:t>米，面积占总面积的</w:t>
      </w:r>
      <w:r w:rsidRPr="009C6F6B">
        <w:rPr>
          <w:rFonts w:ascii="Arial" w:hAnsi="Arial" w:cs="Arial"/>
          <w:color w:val="000000"/>
          <w:sz w:val="21"/>
          <w:szCs w:val="21"/>
        </w:rPr>
        <w:t>72.4%</w:t>
      </w:r>
      <w:r w:rsidRPr="009C6F6B">
        <w:rPr>
          <w:rFonts w:ascii="Arial" w:hAnsi="Arial" w:cs="Arial"/>
          <w:color w:val="000000"/>
          <w:sz w:val="21"/>
          <w:szCs w:val="21"/>
        </w:rPr>
        <w:t>，是蔬菜、花卉、粮食生产基地。</w:t>
      </w:r>
    </w:p>
    <w:p w14:paraId="676BC28E" w14:textId="2221E91C" w:rsidR="00307CE1" w:rsidRPr="009C6F6B" w:rsidRDefault="00307CE1" w:rsidP="00307CE1">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hint="eastAsia"/>
          <w:color w:val="000000"/>
          <w:sz w:val="21"/>
          <w:szCs w:val="21"/>
        </w:rPr>
        <w:t>雨花台区内大小河流共</w:t>
      </w:r>
      <w:r w:rsidRPr="009C6F6B">
        <w:rPr>
          <w:rFonts w:ascii="Arial" w:hAnsi="Arial" w:cs="Arial"/>
          <w:color w:val="000000"/>
          <w:sz w:val="21"/>
          <w:szCs w:val="21"/>
        </w:rPr>
        <w:t>26</w:t>
      </w:r>
      <w:r w:rsidRPr="009C6F6B">
        <w:rPr>
          <w:rFonts w:ascii="Arial" w:hAnsi="Arial" w:cs="Arial"/>
          <w:color w:val="000000"/>
          <w:sz w:val="21"/>
          <w:szCs w:val="21"/>
        </w:rPr>
        <w:t>条，有秦淮河、秦淮新河、大石湖、南河、板桥河、</w:t>
      </w:r>
      <w:proofErr w:type="gramStart"/>
      <w:r w:rsidRPr="009C6F6B">
        <w:rPr>
          <w:rFonts w:ascii="Arial" w:hAnsi="Arial" w:cs="Arial"/>
          <w:color w:val="000000"/>
          <w:sz w:val="21"/>
          <w:szCs w:val="21"/>
        </w:rPr>
        <w:t>石闸湖</w:t>
      </w:r>
      <w:proofErr w:type="gramEnd"/>
      <w:r w:rsidRPr="009C6F6B">
        <w:rPr>
          <w:rFonts w:ascii="Arial" w:hAnsi="Arial" w:cs="Arial"/>
          <w:color w:val="000000"/>
          <w:sz w:val="21"/>
          <w:szCs w:val="21"/>
        </w:rPr>
        <w:t>等河流湖泊，山区有水库数座，圩区池塘密布，水系畅通，交织成网。大石湖生态环境绝佳，秦淮新河两岸风光怡人，是繁华大都市中最难得的一片</w:t>
      </w:r>
      <w:r w:rsidRPr="009C6F6B">
        <w:rPr>
          <w:rFonts w:ascii="Arial" w:hAnsi="Arial" w:cs="Arial"/>
          <w:color w:val="000000"/>
          <w:sz w:val="21"/>
          <w:szCs w:val="21"/>
        </w:rPr>
        <w:t>“</w:t>
      </w:r>
      <w:r w:rsidRPr="009C6F6B">
        <w:rPr>
          <w:rFonts w:ascii="Arial" w:hAnsi="Arial" w:cs="Arial"/>
          <w:color w:val="000000"/>
          <w:sz w:val="21"/>
          <w:szCs w:val="21"/>
        </w:rPr>
        <w:t>世外桃源</w:t>
      </w:r>
      <w:r w:rsidRPr="009C6F6B">
        <w:rPr>
          <w:rFonts w:ascii="Arial" w:hAnsi="Arial" w:cs="Arial"/>
          <w:color w:val="000000"/>
          <w:sz w:val="21"/>
          <w:szCs w:val="21"/>
        </w:rPr>
        <w:t>”</w:t>
      </w:r>
      <w:r w:rsidRPr="009C6F6B">
        <w:rPr>
          <w:rFonts w:ascii="Arial" w:hAnsi="Arial" w:cs="Arial"/>
          <w:color w:val="000000"/>
          <w:sz w:val="21"/>
          <w:szCs w:val="21"/>
        </w:rPr>
        <w:t>。</w:t>
      </w:r>
    </w:p>
    <w:p w14:paraId="09CDD8C9" w14:textId="09F892D2" w:rsidR="00307CE1" w:rsidRDefault="00307CE1" w:rsidP="00307CE1">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hint="eastAsia"/>
          <w:color w:val="000000"/>
          <w:sz w:val="21"/>
          <w:szCs w:val="21"/>
        </w:rPr>
        <w:t>雨花台区</w:t>
      </w:r>
      <w:proofErr w:type="gramStart"/>
      <w:r w:rsidRPr="009C6F6B">
        <w:rPr>
          <w:rFonts w:ascii="Arial" w:hAnsi="Arial" w:cs="Arial" w:hint="eastAsia"/>
          <w:color w:val="000000"/>
          <w:sz w:val="21"/>
          <w:szCs w:val="21"/>
        </w:rPr>
        <w:t>气候属北亚热带</w:t>
      </w:r>
      <w:proofErr w:type="gramEnd"/>
      <w:r w:rsidRPr="009C6F6B">
        <w:rPr>
          <w:rFonts w:ascii="Arial" w:hAnsi="Arial" w:cs="Arial" w:hint="eastAsia"/>
          <w:color w:val="000000"/>
          <w:sz w:val="21"/>
          <w:szCs w:val="21"/>
        </w:rPr>
        <w:t>湿润气候，其特点是季风显著，四季分明，日照充足，冬冷夏热，雨量充沛，无霜期</w:t>
      </w:r>
      <w:r w:rsidRPr="009C6F6B">
        <w:rPr>
          <w:rFonts w:ascii="Arial" w:hAnsi="Arial" w:cs="Arial"/>
          <w:color w:val="000000"/>
          <w:sz w:val="21"/>
          <w:szCs w:val="21"/>
        </w:rPr>
        <w:t>230</w:t>
      </w:r>
      <w:r w:rsidRPr="009C6F6B">
        <w:rPr>
          <w:rFonts w:ascii="Arial" w:hAnsi="Arial" w:cs="Arial"/>
          <w:color w:val="000000"/>
          <w:sz w:val="21"/>
          <w:szCs w:val="21"/>
        </w:rPr>
        <w:t>天，年平均气温</w:t>
      </w:r>
      <w:r w:rsidRPr="009C6F6B">
        <w:rPr>
          <w:rFonts w:ascii="Arial" w:hAnsi="Arial" w:cs="Arial"/>
          <w:color w:val="000000"/>
          <w:sz w:val="21"/>
          <w:szCs w:val="21"/>
        </w:rPr>
        <w:t>15.3</w:t>
      </w:r>
      <w:r w:rsidRPr="009C6F6B">
        <w:rPr>
          <w:rFonts w:hint="eastAsia"/>
          <w:color w:val="000000"/>
          <w:sz w:val="21"/>
          <w:szCs w:val="21"/>
        </w:rPr>
        <w:t>℃</w:t>
      </w:r>
      <w:r w:rsidRPr="009C6F6B">
        <w:rPr>
          <w:rFonts w:ascii="Arial" w:hAnsi="Arial" w:cs="Arial"/>
          <w:color w:val="000000"/>
          <w:sz w:val="21"/>
          <w:szCs w:val="21"/>
        </w:rPr>
        <w:t>，年平均降水量</w:t>
      </w:r>
      <w:r w:rsidRPr="009C6F6B">
        <w:rPr>
          <w:rFonts w:ascii="Arial" w:hAnsi="Arial" w:cs="Arial"/>
          <w:color w:val="000000"/>
          <w:sz w:val="21"/>
          <w:szCs w:val="21"/>
        </w:rPr>
        <w:t>1033</w:t>
      </w:r>
      <w:r w:rsidRPr="009C6F6B">
        <w:rPr>
          <w:rFonts w:ascii="Arial" w:hAnsi="Arial" w:cs="Arial"/>
          <w:color w:val="000000"/>
          <w:sz w:val="21"/>
          <w:szCs w:val="21"/>
        </w:rPr>
        <w:t>毫米，优越的气候条件有利于植物生长，发展林业，美化环境，维护区域生态平衡。</w:t>
      </w:r>
    </w:p>
    <w:p w14:paraId="5E379BC8" w14:textId="2EC9505F" w:rsidR="00307CE1" w:rsidRDefault="00307CE1" w:rsidP="00307CE1">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2</w:t>
      </w:r>
      <w:r>
        <w:rPr>
          <w:rFonts w:ascii="Arial" w:hAnsi="Arial" w:cs="Arial" w:hint="eastAsia"/>
          <w:color w:val="000000"/>
          <w:sz w:val="21"/>
          <w:szCs w:val="21"/>
        </w:rPr>
        <w:t>）行政区划</w:t>
      </w:r>
    </w:p>
    <w:p w14:paraId="166035F4" w14:textId="77777777" w:rsidR="00307CE1" w:rsidRPr="009C6F6B" w:rsidRDefault="00307CE1" w:rsidP="00307CE1">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hint="eastAsia"/>
          <w:color w:val="000000"/>
          <w:sz w:val="21"/>
          <w:szCs w:val="21"/>
        </w:rPr>
        <w:t>截至</w:t>
      </w:r>
      <w:r w:rsidRPr="009C6F6B">
        <w:rPr>
          <w:rFonts w:ascii="Arial" w:hAnsi="Arial" w:cs="Arial"/>
          <w:color w:val="000000"/>
          <w:sz w:val="21"/>
          <w:szCs w:val="21"/>
        </w:rPr>
        <w:t>2021</w:t>
      </w:r>
      <w:r w:rsidRPr="009C6F6B">
        <w:rPr>
          <w:rFonts w:ascii="Arial" w:hAnsi="Arial" w:cs="Arial"/>
          <w:color w:val="000000"/>
          <w:sz w:val="21"/>
          <w:szCs w:val="21"/>
        </w:rPr>
        <w:t>年</w:t>
      </w:r>
      <w:r w:rsidRPr="009C6F6B">
        <w:rPr>
          <w:rFonts w:ascii="Arial" w:hAnsi="Arial" w:cs="Arial"/>
          <w:color w:val="000000"/>
          <w:sz w:val="21"/>
          <w:szCs w:val="21"/>
        </w:rPr>
        <w:t>2</w:t>
      </w:r>
      <w:r w:rsidRPr="009C6F6B">
        <w:rPr>
          <w:rFonts w:ascii="Arial" w:hAnsi="Arial" w:cs="Arial"/>
          <w:color w:val="000000"/>
          <w:sz w:val="21"/>
          <w:szCs w:val="21"/>
        </w:rPr>
        <w:t>月，雨花台区下辖</w:t>
      </w:r>
      <w:r w:rsidRPr="009C6F6B">
        <w:rPr>
          <w:rFonts w:ascii="Arial" w:hAnsi="Arial" w:cs="Arial"/>
          <w:color w:val="000000"/>
          <w:sz w:val="21"/>
          <w:szCs w:val="21"/>
        </w:rPr>
        <w:t>7</w:t>
      </w:r>
      <w:r w:rsidRPr="009C6F6B">
        <w:rPr>
          <w:rFonts w:ascii="Arial" w:hAnsi="Arial" w:cs="Arial"/>
          <w:color w:val="000000"/>
          <w:sz w:val="21"/>
          <w:szCs w:val="21"/>
        </w:rPr>
        <w:t>个街道和</w:t>
      </w:r>
      <w:r w:rsidRPr="009C6F6B">
        <w:rPr>
          <w:rFonts w:ascii="Arial" w:hAnsi="Arial" w:cs="Arial"/>
          <w:color w:val="000000"/>
          <w:sz w:val="21"/>
          <w:szCs w:val="21"/>
        </w:rPr>
        <w:t>1</w:t>
      </w:r>
      <w:r w:rsidRPr="009C6F6B">
        <w:rPr>
          <w:rFonts w:ascii="Arial" w:hAnsi="Arial" w:cs="Arial"/>
          <w:color w:val="000000"/>
          <w:sz w:val="21"/>
          <w:szCs w:val="21"/>
        </w:rPr>
        <w:t>个雨</w:t>
      </w:r>
      <w:proofErr w:type="gramStart"/>
      <w:r w:rsidRPr="009C6F6B">
        <w:rPr>
          <w:rFonts w:ascii="Arial" w:hAnsi="Arial" w:cs="Arial"/>
          <w:color w:val="000000"/>
          <w:sz w:val="21"/>
          <w:szCs w:val="21"/>
        </w:rPr>
        <w:t>花经济</w:t>
      </w:r>
      <w:proofErr w:type="gramEnd"/>
      <w:r w:rsidRPr="009C6F6B">
        <w:rPr>
          <w:rFonts w:ascii="Arial" w:hAnsi="Arial" w:cs="Arial"/>
          <w:color w:val="000000"/>
          <w:sz w:val="21"/>
          <w:szCs w:val="21"/>
        </w:rPr>
        <w:t>开发区，共计</w:t>
      </w:r>
      <w:r w:rsidRPr="009C6F6B">
        <w:rPr>
          <w:rFonts w:ascii="Arial" w:hAnsi="Arial" w:cs="Arial"/>
          <w:color w:val="000000"/>
          <w:sz w:val="21"/>
          <w:szCs w:val="21"/>
        </w:rPr>
        <w:t>64</w:t>
      </w:r>
      <w:r w:rsidRPr="009C6F6B">
        <w:rPr>
          <w:rFonts w:ascii="Arial" w:hAnsi="Arial" w:cs="Arial"/>
          <w:color w:val="000000"/>
          <w:sz w:val="21"/>
          <w:szCs w:val="21"/>
        </w:rPr>
        <w:t>个社区和</w:t>
      </w:r>
      <w:r w:rsidRPr="009C6F6B">
        <w:rPr>
          <w:rFonts w:ascii="Arial" w:hAnsi="Arial" w:cs="Arial"/>
          <w:color w:val="000000"/>
          <w:sz w:val="21"/>
          <w:szCs w:val="21"/>
        </w:rPr>
        <w:t>2</w:t>
      </w:r>
      <w:r w:rsidRPr="009C6F6B">
        <w:rPr>
          <w:rFonts w:ascii="Arial" w:hAnsi="Arial" w:cs="Arial"/>
          <w:color w:val="000000"/>
          <w:sz w:val="21"/>
          <w:szCs w:val="21"/>
        </w:rPr>
        <w:t>个社区筹备办。区</w:t>
      </w:r>
      <w:proofErr w:type="gramStart"/>
      <w:r w:rsidRPr="009C6F6B">
        <w:rPr>
          <w:rFonts w:ascii="Arial" w:hAnsi="Arial" w:cs="Arial"/>
          <w:color w:val="000000"/>
          <w:sz w:val="21"/>
          <w:szCs w:val="21"/>
        </w:rPr>
        <w:t>政府驻雨花</w:t>
      </w:r>
      <w:proofErr w:type="gramEnd"/>
      <w:r w:rsidRPr="009C6F6B">
        <w:rPr>
          <w:rFonts w:ascii="Arial" w:hAnsi="Arial" w:cs="Arial"/>
          <w:color w:val="000000"/>
          <w:sz w:val="21"/>
          <w:szCs w:val="21"/>
        </w:rPr>
        <w:t>街道雨花南路</w:t>
      </w:r>
      <w:r w:rsidRPr="009C6F6B">
        <w:rPr>
          <w:rFonts w:ascii="Arial" w:hAnsi="Arial" w:cs="Arial"/>
          <w:color w:val="000000"/>
          <w:sz w:val="21"/>
          <w:szCs w:val="21"/>
        </w:rPr>
        <w:t>2</w:t>
      </w:r>
      <w:r w:rsidRPr="009C6F6B">
        <w:rPr>
          <w:rFonts w:ascii="Arial" w:hAnsi="Arial" w:cs="Arial"/>
          <w:color w:val="000000"/>
          <w:sz w:val="21"/>
          <w:szCs w:val="21"/>
        </w:rPr>
        <w:t>号。</w:t>
      </w:r>
    </w:p>
    <w:p w14:paraId="71E188BD" w14:textId="0072B4A1" w:rsidR="00307CE1" w:rsidRPr="009C6F6B" w:rsidRDefault="00307CE1" w:rsidP="00307CE1">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color w:val="000000"/>
          <w:sz w:val="21"/>
          <w:szCs w:val="21"/>
        </w:rPr>
        <w:t>雨花街道：雨花社区、</w:t>
      </w:r>
      <w:proofErr w:type="gramStart"/>
      <w:r w:rsidRPr="009C6F6B">
        <w:rPr>
          <w:rFonts w:ascii="Arial" w:hAnsi="Arial" w:cs="Arial"/>
          <w:color w:val="000000"/>
          <w:sz w:val="21"/>
          <w:szCs w:val="21"/>
        </w:rPr>
        <w:t>丁墙社区</w:t>
      </w:r>
      <w:proofErr w:type="gramEnd"/>
      <w:r w:rsidRPr="009C6F6B">
        <w:rPr>
          <w:rFonts w:ascii="Arial" w:hAnsi="Arial" w:cs="Arial"/>
          <w:color w:val="000000"/>
          <w:sz w:val="21"/>
          <w:szCs w:val="21"/>
        </w:rPr>
        <w:t>、花神庙社区、农花社区、南站社区、康盛花园社区、能仁里社区、</w:t>
      </w:r>
      <w:proofErr w:type="gramStart"/>
      <w:r w:rsidRPr="009C6F6B">
        <w:rPr>
          <w:rFonts w:ascii="Arial" w:hAnsi="Arial" w:cs="Arial"/>
          <w:color w:val="000000"/>
          <w:sz w:val="21"/>
          <w:szCs w:val="21"/>
        </w:rPr>
        <w:t>翠岛花城</w:t>
      </w:r>
      <w:proofErr w:type="gramEnd"/>
      <w:r w:rsidRPr="009C6F6B">
        <w:rPr>
          <w:rFonts w:ascii="Arial" w:hAnsi="Arial" w:cs="Arial"/>
          <w:color w:val="000000"/>
          <w:sz w:val="21"/>
          <w:szCs w:val="21"/>
        </w:rPr>
        <w:t>社区、普德村社区、翠竹园社区、共青团路社区、雨花台社区、吉山社区、凤凰山社区、云台山社区、青龙山社区，共</w:t>
      </w:r>
      <w:r w:rsidRPr="009C6F6B">
        <w:rPr>
          <w:rFonts w:ascii="Arial" w:hAnsi="Arial" w:cs="Arial"/>
          <w:color w:val="000000"/>
          <w:sz w:val="21"/>
          <w:szCs w:val="21"/>
        </w:rPr>
        <w:t>16</w:t>
      </w:r>
      <w:r w:rsidRPr="009C6F6B">
        <w:rPr>
          <w:rFonts w:ascii="Arial" w:hAnsi="Arial" w:cs="Arial"/>
          <w:color w:val="000000"/>
          <w:sz w:val="21"/>
          <w:szCs w:val="21"/>
        </w:rPr>
        <w:t>个社区。</w:t>
      </w:r>
    </w:p>
    <w:p w14:paraId="7B2F6C30" w14:textId="4B882D2D" w:rsidR="00307CE1" w:rsidRPr="009C6F6B" w:rsidRDefault="00307CE1" w:rsidP="00307CE1">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color w:val="000000"/>
          <w:sz w:val="21"/>
          <w:szCs w:val="21"/>
        </w:rPr>
        <w:lastRenderedPageBreak/>
        <w:t>赛虹桥街道：赛虹桥社区、安德门社区、小行社区、</w:t>
      </w:r>
      <w:proofErr w:type="gramStart"/>
      <w:r w:rsidRPr="009C6F6B">
        <w:rPr>
          <w:rFonts w:ascii="Arial" w:hAnsi="Arial" w:cs="Arial"/>
          <w:color w:val="000000"/>
          <w:sz w:val="21"/>
          <w:szCs w:val="21"/>
        </w:rPr>
        <w:t>长虹路社区</w:t>
      </w:r>
      <w:proofErr w:type="gramEnd"/>
      <w:r w:rsidRPr="009C6F6B">
        <w:rPr>
          <w:rFonts w:ascii="Arial" w:hAnsi="Arial" w:cs="Arial"/>
          <w:color w:val="000000"/>
          <w:sz w:val="21"/>
          <w:szCs w:val="21"/>
        </w:rPr>
        <w:t>、龙福社区、邓府山社区、菊花里社区、玻纤院社区，共</w:t>
      </w:r>
      <w:r w:rsidRPr="009C6F6B">
        <w:rPr>
          <w:rFonts w:ascii="Arial" w:hAnsi="Arial" w:cs="Arial"/>
          <w:color w:val="000000"/>
          <w:sz w:val="21"/>
          <w:szCs w:val="21"/>
        </w:rPr>
        <w:t>8</w:t>
      </w:r>
      <w:r w:rsidRPr="009C6F6B">
        <w:rPr>
          <w:rFonts w:ascii="Arial" w:hAnsi="Arial" w:cs="Arial"/>
          <w:color w:val="000000"/>
          <w:sz w:val="21"/>
          <w:szCs w:val="21"/>
        </w:rPr>
        <w:t>个社区。</w:t>
      </w:r>
    </w:p>
    <w:p w14:paraId="40D2B1A7" w14:textId="4239E307" w:rsidR="00307CE1" w:rsidRPr="009C6F6B" w:rsidRDefault="00307CE1" w:rsidP="00307CE1">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color w:val="000000"/>
          <w:sz w:val="21"/>
          <w:szCs w:val="21"/>
        </w:rPr>
        <w:t>铁心桥街道：铁心社区、尹西社区、</w:t>
      </w:r>
      <w:proofErr w:type="gramStart"/>
      <w:r w:rsidRPr="009C6F6B">
        <w:rPr>
          <w:rFonts w:ascii="Arial" w:hAnsi="Arial" w:cs="Arial"/>
          <w:color w:val="000000"/>
          <w:sz w:val="21"/>
          <w:szCs w:val="21"/>
        </w:rPr>
        <w:t>定坊社区</w:t>
      </w:r>
      <w:proofErr w:type="gramEnd"/>
      <w:r w:rsidRPr="009C6F6B">
        <w:rPr>
          <w:rFonts w:ascii="Arial" w:hAnsi="Arial" w:cs="Arial"/>
          <w:color w:val="000000"/>
          <w:sz w:val="21"/>
          <w:szCs w:val="21"/>
        </w:rPr>
        <w:t>、高家库社区、马家店社区、春江社区、新河社区、景明佳园社区、翠岭银河社区，共</w:t>
      </w:r>
      <w:r w:rsidRPr="009C6F6B">
        <w:rPr>
          <w:rFonts w:ascii="Arial" w:hAnsi="Arial" w:cs="Arial"/>
          <w:color w:val="000000"/>
          <w:sz w:val="21"/>
          <w:szCs w:val="21"/>
        </w:rPr>
        <w:t>9</w:t>
      </w:r>
      <w:r w:rsidRPr="009C6F6B">
        <w:rPr>
          <w:rFonts w:ascii="Arial" w:hAnsi="Arial" w:cs="Arial"/>
          <w:color w:val="000000"/>
          <w:sz w:val="21"/>
          <w:szCs w:val="21"/>
        </w:rPr>
        <w:t>个社区。</w:t>
      </w:r>
    </w:p>
    <w:p w14:paraId="162E9D91" w14:textId="41C75404" w:rsidR="00307CE1" w:rsidRPr="009C6F6B" w:rsidRDefault="00307CE1" w:rsidP="00307CE1">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color w:val="000000"/>
          <w:sz w:val="21"/>
          <w:szCs w:val="21"/>
        </w:rPr>
        <w:t>板桥街道：板桥社区、三山社区、新建社区、孙家社区、永安社区、殷富社区、绿洲社区，共</w:t>
      </w:r>
      <w:r w:rsidRPr="009C6F6B">
        <w:rPr>
          <w:rFonts w:ascii="Arial" w:hAnsi="Arial" w:cs="Arial"/>
          <w:color w:val="000000"/>
          <w:sz w:val="21"/>
          <w:szCs w:val="21"/>
        </w:rPr>
        <w:t>7</w:t>
      </w:r>
      <w:r w:rsidRPr="009C6F6B">
        <w:rPr>
          <w:rFonts w:ascii="Arial" w:hAnsi="Arial" w:cs="Arial"/>
          <w:color w:val="000000"/>
          <w:sz w:val="21"/>
          <w:szCs w:val="21"/>
        </w:rPr>
        <w:t>个社区。</w:t>
      </w:r>
    </w:p>
    <w:p w14:paraId="0E2539E8" w14:textId="16EEFA71" w:rsidR="00307CE1" w:rsidRPr="009C6F6B" w:rsidRDefault="00307CE1" w:rsidP="00307CE1">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color w:val="000000"/>
          <w:sz w:val="21"/>
          <w:szCs w:val="21"/>
        </w:rPr>
        <w:t>西善桥街道：油坊社区，</w:t>
      </w:r>
      <w:proofErr w:type="gramStart"/>
      <w:r w:rsidRPr="009C6F6B">
        <w:rPr>
          <w:rFonts w:ascii="Arial" w:hAnsi="Arial" w:cs="Arial"/>
          <w:color w:val="000000"/>
          <w:sz w:val="21"/>
          <w:szCs w:val="21"/>
        </w:rPr>
        <w:t>福润社区</w:t>
      </w:r>
      <w:proofErr w:type="gramEnd"/>
      <w:r w:rsidRPr="009C6F6B">
        <w:rPr>
          <w:rFonts w:ascii="Arial" w:hAnsi="Arial" w:cs="Arial"/>
          <w:color w:val="000000"/>
          <w:sz w:val="21"/>
          <w:szCs w:val="21"/>
        </w:rPr>
        <w:t>，</w:t>
      </w:r>
      <w:proofErr w:type="gramStart"/>
      <w:r w:rsidRPr="009C6F6B">
        <w:rPr>
          <w:rFonts w:ascii="Arial" w:hAnsi="Arial" w:cs="Arial"/>
          <w:color w:val="000000"/>
          <w:sz w:val="21"/>
          <w:szCs w:val="21"/>
        </w:rPr>
        <w:t>古遗井社区</w:t>
      </w:r>
      <w:proofErr w:type="gramEnd"/>
      <w:r w:rsidRPr="009C6F6B">
        <w:rPr>
          <w:rFonts w:ascii="Arial" w:hAnsi="Arial" w:cs="Arial"/>
          <w:color w:val="000000"/>
          <w:sz w:val="21"/>
          <w:szCs w:val="21"/>
        </w:rPr>
        <w:t>，</w:t>
      </w:r>
      <w:proofErr w:type="gramStart"/>
      <w:r w:rsidRPr="009C6F6B">
        <w:rPr>
          <w:rFonts w:ascii="Arial" w:hAnsi="Arial" w:cs="Arial"/>
          <w:color w:val="000000"/>
          <w:sz w:val="21"/>
          <w:szCs w:val="21"/>
        </w:rPr>
        <w:t>西善花苑</w:t>
      </w:r>
      <w:proofErr w:type="gramEnd"/>
      <w:r w:rsidRPr="009C6F6B">
        <w:rPr>
          <w:rFonts w:ascii="Arial" w:hAnsi="Arial" w:cs="Arial"/>
          <w:color w:val="000000"/>
          <w:sz w:val="21"/>
          <w:szCs w:val="21"/>
        </w:rPr>
        <w:t>社区，西善桥社区，嘉业社区，齐修社区，平治社区，明义社区，永盛社区，共</w:t>
      </w:r>
      <w:r w:rsidRPr="009C6F6B">
        <w:rPr>
          <w:rFonts w:ascii="Arial" w:hAnsi="Arial" w:cs="Arial"/>
          <w:color w:val="000000"/>
          <w:sz w:val="21"/>
          <w:szCs w:val="21"/>
        </w:rPr>
        <w:t>10</w:t>
      </w:r>
      <w:r w:rsidRPr="009C6F6B">
        <w:rPr>
          <w:rFonts w:ascii="Arial" w:hAnsi="Arial" w:cs="Arial"/>
          <w:color w:val="000000"/>
          <w:sz w:val="21"/>
          <w:szCs w:val="21"/>
        </w:rPr>
        <w:t>个社区。</w:t>
      </w:r>
    </w:p>
    <w:p w14:paraId="263E0AAF" w14:textId="690A847C" w:rsidR="00307CE1" w:rsidRPr="009C6F6B" w:rsidRDefault="00307CE1" w:rsidP="00307CE1">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color w:val="000000"/>
          <w:sz w:val="21"/>
          <w:szCs w:val="21"/>
        </w:rPr>
        <w:t>梅山街道：梅清苑社区、上</w:t>
      </w:r>
      <w:proofErr w:type="gramStart"/>
      <w:r w:rsidRPr="009C6F6B">
        <w:rPr>
          <w:rFonts w:ascii="Arial" w:hAnsi="Arial" w:cs="Arial"/>
          <w:color w:val="000000"/>
          <w:sz w:val="21"/>
          <w:szCs w:val="21"/>
        </w:rPr>
        <w:t>怡</w:t>
      </w:r>
      <w:proofErr w:type="gramEnd"/>
      <w:r w:rsidRPr="009C6F6B">
        <w:rPr>
          <w:rFonts w:ascii="Arial" w:hAnsi="Arial" w:cs="Arial"/>
          <w:color w:val="000000"/>
          <w:sz w:val="21"/>
          <w:szCs w:val="21"/>
        </w:rPr>
        <w:t>新村社区、中兴路社区、梅岭社区、梅欣社区，共</w:t>
      </w:r>
      <w:r w:rsidRPr="009C6F6B">
        <w:rPr>
          <w:rFonts w:ascii="Arial" w:hAnsi="Arial" w:cs="Arial"/>
          <w:color w:val="000000"/>
          <w:sz w:val="21"/>
          <w:szCs w:val="21"/>
        </w:rPr>
        <w:t>5</w:t>
      </w:r>
      <w:r w:rsidRPr="009C6F6B">
        <w:rPr>
          <w:rFonts w:ascii="Arial" w:hAnsi="Arial" w:cs="Arial"/>
          <w:color w:val="000000"/>
          <w:sz w:val="21"/>
          <w:szCs w:val="21"/>
        </w:rPr>
        <w:t>个社区。</w:t>
      </w:r>
    </w:p>
    <w:p w14:paraId="0A5EAD0D" w14:textId="5389752B" w:rsidR="00307CE1" w:rsidRPr="009C6F6B" w:rsidRDefault="00307CE1" w:rsidP="00307CE1">
      <w:pPr>
        <w:widowControl w:val="0"/>
        <w:adjustRightInd w:val="0"/>
        <w:snapToGrid w:val="0"/>
        <w:spacing w:line="480" w:lineRule="auto"/>
        <w:ind w:firstLineChars="200" w:firstLine="420"/>
        <w:jc w:val="both"/>
        <w:rPr>
          <w:rFonts w:ascii="Arial" w:hAnsi="Arial" w:cs="Arial"/>
          <w:color w:val="000000"/>
          <w:sz w:val="21"/>
          <w:szCs w:val="21"/>
        </w:rPr>
      </w:pPr>
      <w:proofErr w:type="gramStart"/>
      <w:r w:rsidRPr="009C6F6B">
        <w:rPr>
          <w:rFonts w:ascii="Arial" w:hAnsi="Arial" w:cs="Arial"/>
          <w:color w:val="000000"/>
          <w:sz w:val="21"/>
          <w:szCs w:val="21"/>
        </w:rPr>
        <w:t>古雄街道</w:t>
      </w:r>
      <w:proofErr w:type="gramEnd"/>
      <w:r w:rsidRPr="009C6F6B">
        <w:rPr>
          <w:rFonts w:ascii="Arial" w:hAnsi="Arial" w:cs="Arial"/>
          <w:color w:val="000000"/>
          <w:sz w:val="21"/>
          <w:szCs w:val="21"/>
        </w:rPr>
        <w:t>：大方社区，新林社区，柿子树社区，</w:t>
      </w:r>
      <w:proofErr w:type="gramStart"/>
      <w:r w:rsidRPr="009C6F6B">
        <w:rPr>
          <w:rFonts w:ascii="Arial" w:hAnsi="Arial" w:cs="Arial"/>
          <w:color w:val="000000"/>
          <w:sz w:val="21"/>
          <w:szCs w:val="21"/>
        </w:rPr>
        <w:t>古雄社区</w:t>
      </w:r>
      <w:proofErr w:type="gramEnd"/>
      <w:r w:rsidRPr="009C6F6B">
        <w:rPr>
          <w:rFonts w:ascii="Arial" w:hAnsi="Arial" w:cs="Arial"/>
          <w:color w:val="000000"/>
          <w:sz w:val="21"/>
          <w:szCs w:val="21"/>
        </w:rPr>
        <w:t>，共</w:t>
      </w:r>
      <w:r w:rsidRPr="009C6F6B">
        <w:rPr>
          <w:rFonts w:ascii="Arial" w:hAnsi="Arial" w:cs="Arial"/>
          <w:color w:val="000000"/>
          <w:sz w:val="21"/>
          <w:szCs w:val="21"/>
        </w:rPr>
        <w:t>4</w:t>
      </w:r>
      <w:r w:rsidRPr="009C6F6B">
        <w:rPr>
          <w:rFonts w:ascii="Arial" w:hAnsi="Arial" w:cs="Arial"/>
          <w:color w:val="000000"/>
          <w:sz w:val="21"/>
          <w:szCs w:val="21"/>
        </w:rPr>
        <w:t>个社区。</w:t>
      </w:r>
    </w:p>
    <w:p w14:paraId="3B5E3F13" w14:textId="5B60D094" w:rsidR="00307CE1" w:rsidRDefault="00307CE1" w:rsidP="00307CE1">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color w:val="000000"/>
          <w:sz w:val="21"/>
          <w:szCs w:val="21"/>
        </w:rPr>
        <w:t>开发区：</w:t>
      </w:r>
      <w:proofErr w:type="gramStart"/>
      <w:r w:rsidRPr="009C6F6B">
        <w:rPr>
          <w:rFonts w:ascii="Arial" w:hAnsi="Arial" w:cs="Arial"/>
          <w:color w:val="000000"/>
          <w:sz w:val="21"/>
          <w:szCs w:val="21"/>
        </w:rPr>
        <w:t>近华社区</w:t>
      </w:r>
      <w:proofErr w:type="gramEnd"/>
      <w:r w:rsidRPr="009C6F6B">
        <w:rPr>
          <w:rFonts w:ascii="Arial" w:hAnsi="Arial" w:cs="Arial"/>
          <w:color w:val="000000"/>
          <w:sz w:val="21"/>
          <w:szCs w:val="21"/>
        </w:rPr>
        <w:t>、天后社区、天保社区、</w:t>
      </w:r>
      <w:proofErr w:type="gramStart"/>
      <w:r w:rsidRPr="009C6F6B">
        <w:rPr>
          <w:rFonts w:ascii="Arial" w:hAnsi="Arial" w:cs="Arial"/>
          <w:color w:val="000000"/>
          <w:sz w:val="21"/>
          <w:szCs w:val="21"/>
        </w:rPr>
        <w:t>西寇社区</w:t>
      </w:r>
      <w:proofErr w:type="gramEnd"/>
      <w:r w:rsidRPr="009C6F6B">
        <w:rPr>
          <w:rFonts w:ascii="Arial" w:hAnsi="Arial" w:cs="Arial"/>
          <w:color w:val="000000"/>
          <w:sz w:val="21"/>
          <w:szCs w:val="21"/>
        </w:rPr>
        <w:t>、锦华新城社区、金叶花园筹备办、</w:t>
      </w:r>
      <w:proofErr w:type="gramStart"/>
      <w:r w:rsidRPr="009C6F6B">
        <w:rPr>
          <w:rFonts w:ascii="Arial" w:hAnsi="Arial" w:cs="Arial"/>
          <w:color w:val="000000"/>
          <w:sz w:val="21"/>
          <w:szCs w:val="21"/>
        </w:rPr>
        <w:t>南奥</w:t>
      </w:r>
      <w:proofErr w:type="gramEnd"/>
      <w:r w:rsidRPr="009C6F6B">
        <w:rPr>
          <w:rFonts w:ascii="Arial" w:hAnsi="Arial" w:cs="Arial"/>
          <w:color w:val="000000"/>
          <w:sz w:val="21"/>
          <w:szCs w:val="21"/>
        </w:rPr>
        <w:t>新居筹备办，共</w:t>
      </w:r>
      <w:r w:rsidRPr="009C6F6B">
        <w:rPr>
          <w:rFonts w:ascii="Arial" w:hAnsi="Arial" w:cs="Arial"/>
          <w:color w:val="000000"/>
          <w:sz w:val="21"/>
          <w:szCs w:val="21"/>
        </w:rPr>
        <w:t>5</w:t>
      </w:r>
      <w:r w:rsidRPr="009C6F6B">
        <w:rPr>
          <w:rFonts w:ascii="Arial" w:hAnsi="Arial" w:cs="Arial"/>
          <w:color w:val="000000"/>
          <w:sz w:val="21"/>
          <w:szCs w:val="21"/>
        </w:rPr>
        <w:t>个社区，</w:t>
      </w:r>
      <w:r w:rsidRPr="009C6F6B">
        <w:rPr>
          <w:rFonts w:ascii="Arial" w:hAnsi="Arial" w:cs="Arial"/>
          <w:color w:val="000000"/>
          <w:sz w:val="21"/>
          <w:szCs w:val="21"/>
        </w:rPr>
        <w:t>2</w:t>
      </w:r>
      <w:r w:rsidRPr="009C6F6B">
        <w:rPr>
          <w:rFonts w:ascii="Arial" w:hAnsi="Arial" w:cs="Arial"/>
          <w:color w:val="000000"/>
          <w:sz w:val="21"/>
          <w:szCs w:val="21"/>
        </w:rPr>
        <w:t>个社区筹备办。</w:t>
      </w:r>
    </w:p>
    <w:p w14:paraId="15E43B46" w14:textId="0174A510" w:rsidR="009C6F6B" w:rsidRDefault="0052061F" w:rsidP="00307CE1">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3</w:t>
      </w:r>
      <w:r w:rsidR="00307CE1">
        <w:rPr>
          <w:rFonts w:ascii="Arial" w:hAnsi="Arial" w:cs="Arial" w:hint="eastAsia"/>
          <w:color w:val="000000"/>
          <w:sz w:val="21"/>
          <w:szCs w:val="21"/>
        </w:rPr>
        <w:t>）</w:t>
      </w:r>
      <w:r w:rsidR="009C6F6B">
        <w:rPr>
          <w:rFonts w:ascii="Arial" w:hAnsi="Arial" w:cs="Arial" w:hint="eastAsia"/>
          <w:color w:val="000000"/>
          <w:sz w:val="21"/>
          <w:szCs w:val="21"/>
        </w:rPr>
        <w:t>区位交通</w:t>
      </w:r>
    </w:p>
    <w:p w14:paraId="090AF275" w14:textId="77777777" w:rsidR="009C6F6B" w:rsidRPr="009C6F6B" w:rsidRDefault="009C6F6B" w:rsidP="009C6F6B">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hint="eastAsia"/>
          <w:color w:val="000000"/>
          <w:sz w:val="21"/>
          <w:szCs w:val="21"/>
        </w:rPr>
        <w:t>雨花台区联接皖南、皖北和苏南、苏北，处于上海、浙江、安徽三省市环抱之中，是连接华东、华中、华南、华北的重要交通枢纽。</w:t>
      </w:r>
    </w:p>
    <w:p w14:paraId="326B0087" w14:textId="1C1377F4" w:rsidR="009C6F6B" w:rsidRPr="009C6F6B" w:rsidRDefault="009C6F6B" w:rsidP="009C6F6B">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hint="eastAsia"/>
          <w:color w:val="000000"/>
          <w:sz w:val="21"/>
          <w:szCs w:val="21"/>
        </w:rPr>
        <w:t>雨花台区政府距市中心仅</w:t>
      </w:r>
      <w:r w:rsidRPr="009C6F6B">
        <w:rPr>
          <w:rFonts w:ascii="Arial" w:hAnsi="Arial" w:cs="Arial"/>
          <w:color w:val="000000"/>
          <w:sz w:val="21"/>
          <w:szCs w:val="21"/>
        </w:rPr>
        <w:t>3</w:t>
      </w:r>
      <w:r w:rsidRPr="009C6F6B">
        <w:rPr>
          <w:rFonts w:ascii="Arial" w:hAnsi="Arial" w:cs="Arial"/>
          <w:color w:val="000000"/>
          <w:sz w:val="21"/>
          <w:szCs w:val="21"/>
        </w:rPr>
        <w:t>公里，距长江最大的</w:t>
      </w:r>
      <w:proofErr w:type="gramStart"/>
      <w:r w:rsidRPr="009C6F6B">
        <w:rPr>
          <w:rFonts w:ascii="Arial" w:hAnsi="Arial" w:cs="Arial"/>
          <w:color w:val="000000"/>
          <w:sz w:val="21"/>
          <w:szCs w:val="21"/>
        </w:rPr>
        <w:t>内河外贸港</w:t>
      </w:r>
      <w:proofErr w:type="gramEnd"/>
      <w:r w:rsidRPr="009C6F6B">
        <w:rPr>
          <w:rFonts w:ascii="Arial" w:hAnsi="Arial" w:cs="Arial"/>
          <w:color w:val="000000"/>
          <w:sz w:val="21"/>
          <w:szCs w:val="21"/>
        </w:rPr>
        <w:t>——</w:t>
      </w:r>
      <w:r w:rsidRPr="009C6F6B">
        <w:rPr>
          <w:rFonts w:ascii="Arial" w:hAnsi="Arial" w:cs="Arial"/>
          <w:color w:val="000000"/>
          <w:sz w:val="21"/>
          <w:szCs w:val="21"/>
        </w:rPr>
        <w:t>新生圩港</w:t>
      </w:r>
      <w:r w:rsidRPr="009C6F6B">
        <w:rPr>
          <w:rFonts w:ascii="Arial" w:hAnsi="Arial" w:cs="Arial"/>
          <w:color w:val="000000"/>
          <w:sz w:val="21"/>
          <w:szCs w:val="21"/>
        </w:rPr>
        <w:t>8</w:t>
      </w:r>
      <w:r w:rsidRPr="009C6F6B">
        <w:rPr>
          <w:rFonts w:ascii="Arial" w:hAnsi="Arial" w:cs="Arial"/>
          <w:color w:val="000000"/>
          <w:sz w:val="21"/>
          <w:szCs w:val="21"/>
        </w:rPr>
        <w:t>公里，距南京禄口国际机场</w:t>
      </w:r>
      <w:r w:rsidRPr="009C6F6B">
        <w:rPr>
          <w:rFonts w:ascii="Arial" w:hAnsi="Arial" w:cs="Arial"/>
          <w:color w:val="000000"/>
          <w:sz w:val="21"/>
          <w:szCs w:val="21"/>
        </w:rPr>
        <w:t>10</w:t>
      </w:r>
      <w:r w:rsidRPr="009C6F6B">
        <w:rPr>
          <w:rFonts w:ascii="Arial" w:hAnsi="Arial" w:cs="Arial"/>
          <w:color w:val="000000"/>
          <w:sz w:val="21"/>
          <w:szCs w:val="21"/>
        </w:rPr>
        <w:t>公里。北依浩荡长江，南有秦淮新河，有</w:t>
      </w:r>
      <w:r w:rsidRPr="009C6F6B">
        <w:rPr>
          <w:rFonts w:ascii="Arial" w:hAnsi="Arial" w:cs="Arial"/>
          <w:color w:val="000000"/>
          <w:sz w:val="21"/>
          <w:szCs w:val="21"/>
        </w:rPr>
        <w:t>“</w:t>
      </w:r>
      <w:r w:rsidRPr="009C6F6B">
        <w:rPr>
          <w:rFonts w:ascii="Arial" w:hAnsi="Arial" w:cs="Arial"/>
          <w:color w:val="000000"/>
          <w:sz w:val="21"/>
          <w:szCs w:val="21"/>
        </w:rPr>
        <w:t>黄金水道</w:t>
      </w:r>
      <w:r w:rsidRPr="009C6F6B">
        <w:rPr>
          <w:rFonts w:ascii="Arial" w:hAnsi="Arial" w:cs="Arial"/>
          <w:color w:val="000000"/>
          <w:sz w:val="21"/>
          <w:szCs w:val="21"/>
        </w:rPr>
        <w:t>”</w:t>
      </w:r>
      <w:r w:rsidRPr="009C6F6B">
        <w:rPr>
          <w:rFonts w:ascii="Arial" w:hAnsi="Arial" w:cs="Arial"/>
          <w:color w:val="000000"/>
          <w:sz w:val="21"/>
          <w:szCs w:val="21"/>
        </w:rPr>
        <w:t>长江和五条通江河道，境内有</w:t>
      </w:r>
      <w:r w:rsidRPr="009C6F6B">
        <w:rPr>
          <w:rFonts w:ascii="Arial" w:hAnsi="Arial" w:cs="Arial"/>
          <w:color w:val="000000"/>
          <w:sz w:val="21"/>
          <w:szCs w:val="21"/>
        </w:rPr>
        <w:t>“</w:t>
      </w:r>
      <w:r w:rsidRPr="009C6F6B">
        <w:rPr>
          <w:rFonts w:ascii="Arial" w:hAnsi="Arial" w:cs="Arial"/>
          <w:color w:val="000000"/>
          <w:sz w:val="21"/>
          <w:szCs w:val="21"/>
        </w:rPr>
        <w:t>黄金水道</w:t>
      </w:r>
      <w:r w:rsidRPr="009C6F6B">
        <w:rPr>
          <w:rFonts w:ascii="Arial" w:hAnsi="Arial" w:cs="Arial"/>
          <w:color w:val="000000"/>
          <w:sz w:val="21"/>
          <w:szCs w:val="21"/>
        </w:rPr>
        <w:t>”</w:t>
      </w:r>
      <w:r w:rsidRPr="009C6F6B">
        <w:rPr>
          <w:rFonts w:ascii="Arial" w:hAnsi="Arial" w:cs="Arial"/>
          <w:color w:val="000000"/>
          <w:sz w:val="21"/>
          <w:szCs w:val="21"/>
        </w:rPr>
        <w:t>长江和五条通江河道。</w:t>
      </w:r>
    </w:p>
    <w:p w14:paraId="02DE193C" w14:textId="31ED954C" w:rsidR="009C6F6B" w:rsidRPr="009C6F6B" w:rsidRDefault="009C6F6B" w:rsidP="009C6F6B">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hint="eastAsia"/>
          <w:color w:val="000000"/>
          <w:sz w:val="21"/>
          <w:szCs w:val="21"/>
        </w:rPr>
        <w:t>中山南路、纬八路、宁</w:t>
      </w:r>
      <w:proofErr w:type="gramStart"/>
      <w:r w:rsidRPr="009C6F6B">
        <w:rPr>
          <w:rFonts w:ascii="Arial" w:hAnsi="Arial" w:cs="Arial" w:hint="eastAsia"/>
          <w:color w:val="000000"/>
          <w:sz w:val="21"/>
          <w:szCs w:val="21"/>
        </w:rPr>
        <w:t>芜</w:t>
      </w:r>
      <w:proofErr w:type="gramEnd"/>
      <w:r w:rsidRPr="009C6F6B">
        <w:rPr>
          <w:rFonts w:ascii="Arial" w:hAnsi="Arial" w:cs="Arial" w:hint="eastAsia"/>
          <w:color w:val="000000"/>
          <w:sz w:val="21"/>
          <w:szCs w:val="21"/>
        </w:rPr>
        <w:t>、宁丹、宁</w:t>
      </w:r>
      <w:proofErr w:type="gramStart"/>
      <w:r w:rsidRPr="009C6F6B">
        <w:rPr>
          <w:rFonts w:ascii="Arial" w:hAnsi="Arial" w:cs="Arial" w:hint="eastAsia"/>
          <w:color w:val="000000"/>
          <w:sz w:val="21"/>
          <w:szCs w:val="21"/>
        </w:rPr>
        <w:t>溧</w:t>
      </w:r>
      <w:proofErr w:type="gramEnd"/>
      <w:r w:rsidRPr="009C6F6B">
        <w:rPr>
          <w:rFonts w:ascii="Arial" w:hAnsi="Arial" w:cs="Arial" w:hint="eastAsia"/>
          <w:color w:val="000000"/>
          <w:sz w:val="21"/>
          <w:szCs w:val="21"/>
        </w:rPr>
        <w:t>、宁马、绕城、绕越公路、机场高速、</w:t>
      </w:r>
      <w:r w:rsidRPr="009C6F6B">
        <w:rPr>
          <w:rFonts w:ascii="Arial" w:hAnsi="Arial" w:cs="Arial"/>
          <w:color w:val="000000"/>
          <w:sz w:val="21"/>
          <w:szCs w:val="21"/>
        </w:rPr>
        <w:t>205</w:t>
      </w:r>
      <w:r w:rsidRPr="009C6F6B">
        <w:rPr>
          <w:rFonts w:ascii="Arial" w:hAnsi="Arial" w:cs="Arial"/>
          <w:color w:val="000000"/>
          <w:sz w:val="21"/>
          <w:szCs w:val="21"/>
        </w:rPr>
        <w:t>国道等</w:t>
      </w:r>
      <w:r w:rsidRPr="009C6F6B">
        <w:rPr>
          <w:rFonts w:ascii="Arial" w:hAnsi="Arial" w:cs="Arial"/>
          <w:color w:val="000000"/>
          <w:sz w:val="21"/>
          <w:szCs w:val="21"/>
        </w:rPr>
        <w:t>20</w:t>
      </w:r>
      <w:r w:rsidRPr="009C6F6B">
        <w:rPr>
          <w:rFonts w:ascii="Arial" w:hAnsi="Arial" w:cs="Arial"/>
          <w:color w:val="000000"/>
          <w:sz w:val="21"/>
          <w:szCs w:val="21"/>
        </w:rPr>
        <w:t>多条干道贯穿全境；坐</w:t>
      </w:r>
      <w:proofErr w:type="gramStart"/>
      <w:r w:rsidRPr="009C6F6B">
        <w:rPr>
          <w:rFonts w:ascii="Arial" w:hAnsi="Arial" w:cs="Arial"/>
          <w:color w:val="000000"/>
          <w:sz w:val="21"/>
          <w:szCs w:val="21"/>
        </w:rPr>
        <w:t>拥中国</w:t>
      </w:r>
      <w:proofErr w:type="gramEnd"/>
      <w:r w:rsidRPr="009C6F6B">
        <w:rPr>
          <w:rFonts w:ascii="Arial" w:hAnsi="Arial" w:cs="Arial"/>
          <w:color w:val="000000"/>
          <w:sz w:val="21"/>
          <w:szCs w:val="21"/>
        </w:rPr>
        <w:t>最大的市内立交桥</w:t>
      </w:r>
      <w:r w:rsidRPr="009C6F6B">
        <w:rPr>
          <w:rFonts w:ascii="Arial" w:hAnsi="Arial" w:cs="Arial"/>
          <w:color w:val="000000"/>
          <w:sz w:val="21"/>
          <w:szCs w:val="21"/>
        </w:rPr>
        <w:t>——</w:t>
      </w:r>
      <w:r w:rsidRPr="009C6F6B">
        <w:rPr>
          <w:rFonts w:ascii="Arial" w:hAnsi="Arial" w:cs="Arial"/>
          <w:color w:val="000000"/>
          <w:sz w:val="21"/>
          <w:szCs w:val="21"/>
        </w:rPr>
        <w:t>赛虹桥立交。</w:t>
      </w:r>
    </w:p>
    <w:p w14:paraId="0EEA9378" w14:textId="02854D4B" w:rsidR="009C6F6B" w:rsidRPr="009C6F6B" w:rsidRDefault="009C6F6B" w:rsidP="009C6F6B">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hint="eastAsia"/>
          <w:color w:val="000000"/>
          <w:sz w:val="21"/>
          <w:szCs w:val="21"/>
        </w:rPr>
        <w:t>运营中：南京地铁</w:t>
      </w:r>
      <w:r w:rsidRPr="009C6F6B">
        <w:rPr>
          <w:rFonts w:ascii="Arial" w:hAnsi="Arial" w:cs="Arial"/>
          <w:color w:val="000000"/>
          <w:sz w:val="21"/>
          <w:szCs w:val="21"/>
        </w:rPr>
        <w:t>1</w:t>
      </w:r>
      <w:r w:rsidRPr="009C6F6B">
        <w:rPr>
          <w:rFonts w:ascii="Arial" w:hAnsi="Arial" w:cs="Arial"/>
          <w:color w:val="000000"/>
          <w:sz w:val="21"/>
          <w:szCs w:val="21"/>
        </w:rPr>
        <w:t>号线、南京地铁</w:t>
      </w:r>
      <w:r w:rsidRPr="009C6F6B">
        <w:rPr>
          <w:rFonts w:ascii="Arial" w:hAnsi="Arial" w:cs="Arial"/>
          <w:color w:val="000000"/>
          <w:sz w:val="21"/>
          <w:szCs w:val="21"/>
        </w:rPr>
        <w:t>3</w:t>
      </w:r>
      <w:r w:rsidRPr="009C6F6B">
        <w:rPr>
          <w:rFonts w:ascii="Arial" w:hAnsi="Arial" w:cs="Arial"/>
          <w:color w:val="000000"/>
          <w:sz w:val="21"/>
          <w:szCs w:val="21"/>
        </w:rPr>
        <w:t>号线、南京地铁</w:t>
      </w:r>
      <w:r w:rsidRPr="009C6F6B">
        <w:rPr>
          <w:rFonts w:ascii="Arial" w:hAnsi="Arial" w:cs="Arial"/>
          <w:color w:val="000000"/>
          <w:sz w:val="21"/>
          <w:szCs w:val="21"/>
        </w:rPr>
        <w:t>10</w:t>
      </w:r>
      <w:r w:rsidRPr="009C6F6B">
        <w:rPr>
          <w:rFonts w:ascii="Arial" w:hAnsi="Arial" w:cs="Arial"/>
          <w:color w:val="000000"/>
          <w:sz w:val="21"/>
          <w:szCs w:val="21"/>
        </w:rPr>
        <w:t>号线、南京地铁</w:t>
      </w:r>
      <w:r w:rsidRPr="009C6F6B">
        <w:rPr>
          <w:rFonts w:ascii="Arial" w:hAnsi="Arial" w:cs="Arial"/>
          <w:color w:val="000000"/>
          <w:sz w:val="21"/>
          <w:szCs w:val="21"/>
        </w:rPr>
        <w:t>S1</w:t>
      </w:r>
      <w:r w:rsidRPr="009C6F6B">
        <w:rPr>
          <w:rFonts w:ascii="Arial" w:hAnsi="Arial" w:cs="Arial"/>
          <w:color w:val="000000"/>
          <w:sz w:val="21"/>
          <w:szCs w:val="21"/>
        </w:rPr>
        <w:t>号线、南京地铁</w:t>
      </w:r>
      <w:r w:rsidRPr="009C6F6B">
        <w:rPr>
          <w:rFonts w:ascii="Arial" w:hAnsi="Arial" w:cs="Arial"/>
          <w:color w:val="000000"/>
          <w:sz w:val="21"/>
          <w:szCs w:val="21"/>
        </w:rPr>
        <w:t>S3</w:t>
      </w:r>
      <w:r w:rsidRPr="009C6F6B">
        <w:rPr>
          <w:rFonts w:ascii="Arial" w:hAnsi="Arial" w:cs="Arial"/>
          <w:color w:val="000000"/>
          <w:sz w:val="21"/>
          <w:szCs w:val="21"/>
        </w:rPr>
        <w:t>号线。</w:t>
      </w:r>
    </w:p>
    <w:p w14:paraId="181F5CF8" w14:textId="4EF2F110" w:rsidR="009C6F6B" w:rsidRPr="009C6F6B" w:rsidRDefault="009C6F6B" w:rsidP="009C6F6B">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hint="eastAsia"/>
          <w:color w:val="000000"/>
          <w:sz w:val="21"/>
          <w:szCs w:val="21"/>
        </w:rPr>
        <w:t>建设中：南京地铁</w:t>
      </w:r>
      <w:r w:rsidRPr="009C6F6B">
        <w:rPr>
          <w:rFonts w:ascii="Arial" w:hAnsi="Arial" w:cs="Arial"/>
          <w:color w:val="000000"/>
          <w:sz w:val="21"/>
          <w:szCs w:val="21"/>
        </w:rPr>
        <w:t>7</w:t>
      </w:r>
      <w:r w:rsidRPr="009C6F6B">
        <w:rPr>
          <w:rFonts w:ascii="Arial" w:hAnsi="Arial" w:cs="Arial"/>
          <w:color w:val="000000"/>
          <w:sz w:val="21"/>
          <w:szCs w:val="21"/>
        </w:rPr>
        <w:t>号线。</w:t>
      </w:r>
    </w:p>
    <w:p w14:paraId="1EE3F45A" w14:textId="5916E335" w:rsidR="009C6F6B" w:rsidRPr="009C6F6B" w:rsidRDefault="009C6F6B" w:rsidP="009C6F6B">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hint="eastAsia"/>
          <w:color w:val="000000"/>
          <w:sz w:val="21"/>
          <w:szCs w:val="21"/>
        </w:rPr>
        <w:t>规划中：南京地铁</w:t>
      </w:r>
      <w:r w:rsidRPr="009C6F6B">
        <w:rPr>
          <w:rFonts w:ascii="Arial" w:hAnsi="Arial" w:cs="Arial"/>
          <w:color w:val="000000"/>
          <w:sz w:val="21"/>
          <w:szCs w:val="21"/>
        </w:rPr>
        <w:t>6</w:t>
      </w:r>
      <w:r w:rsidRPr="009C6F6B">
        <w:rPr>
          <w:rFonts w:ascii="Arial" w:hAnsi="Arial" w:cs="Arial"/>
          <w:color w:val="000000"/>
          <w:sz w:val="21"/>
          <w:szCs w:val="21"/>
        </w:rPr>
        <w:t>号线、南京地铁</w:t>
      </w:r>
      <w:r w:rsidRPr="009C6F6B">
        <w:rPr>
          <w:rFonts w:ascii="Arial" w:hAnsi="Arial" w:cs="Arial"/>
          <w:color w:val="000000"/>
          <w:sz w:val="21"/>
          <w:szCs w:val="21"/>
        </w:rPr>
        <w:t>8</w:t>
      </w:r>
      <w:r w:rsidRPr="009C6F6B">
        <w:rPr>
          <w:rFonts w:ascii="Arial" w:hAnsi="Arial" w:cs="Arial"/>
          <w:color w:val="000000"/>
          <w:sz w:val="21"/>
          <w:szCs w:val="21"/>
        </w:rPr>
        <w:t>号线、南京地铁</w:t>
      </w:r>
      <w:r w:rsidRPr="009C6F6B">
        <w:rPr>
          <w:rFonts w:ascii="Arial" w:hAnsi="Arial" w:cs="Arial"/>
          <w:color w:val="000000"/>
          <w:sz w:val="21"/>
          <w:szCs w:val="21"/>
        </w:rPr>
        <w:t>9</w:t>
      </w:r>
      <w:r w:rsidRPr="009C6F6B">
        <w:rPr>
          <w:rFonts w:ascii="Arial" w:hAnsi="Arial" w:cs="Arial"/>
          <w:color w:val="000000"/>
          <w:sz w:val="21"/>
          <w:szCs w:val="21"/>
        </w:rPr>
        <w:t>号线。</w:t>
      </w:r>
    </w:p>
    <w:p w14:paraId="50AC14CF" w14:textId="5E17446A" w:rsidR="009C6F6B" w:rsidRPr="009C6F6B" w:rsidRDefault="009C6F6B" w:rsidP="009C6F6B">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hint="eastAsia"/>
          <w:color w:val="000000"/>
          <w:sz w:val="21"/>
          <w:szCs w:val="21"/>
        </w:rPr>
        <w:t>雨花台区拥有亚洲最大的铁路枢纽南京南站，铁路干线有京沪高速铁路、</w:t>
      </w:r>
      <w:proofErr w:type="gramStart"/>
      <w:r w:rsidRPr="009C6F6B">
        <w:rPr>
          <w:rFonts w:ascii="Arial" w:hAnsi="Arial" w:cs="Arial" w:hint="eastAsia"/>
          <w:color w:val="000000"/>
          <w:sz w:val="21"/>
          <w:szCs w:val="21"/>
        </w:rPr>
        <w:t>沪汉蓉高速铁路</w:t>
      </w:r>
      <w:proofErr w:type="gramEnd"/>
      <w:r w:rsidRPr="009C6F6B">
        <w:rPr>
          <w:rFonts w:ascii="Arial" w:hAnsi="Arial" w:cs="Arial" w:hint="eastAsia"/>
          <w:color w:val="000000"/>
          <w:sz w:val="21"/>
          <w:szCs w:val="21"/>
        </w:rPr>
        <w:t>、宁杭</w:t>
      </w:r>
      <w:r w:rsidRPr="009C6F6B">
        <w:rPr>
          <w:rFonts w:ascii="Arial" w:hAnsi="Arial" w:cs="Arial" w:hint="eastAsia"/>
          <w:color w:val="000000"/>
          <w:sz w:val="21"/>
          <w:szCs w:val="21"/>
        </w:rPr>
        <w:lastRenderedPageBreak/>
        <w:t>铁路客运专线、宁安城际铁路、沪宁城际高速铁路、宁安铁路货线。</w:t>
      </w:r>
    </w:p>
    <w:p w14:paraId="7E6B4A43" w14:textId="3DA88062" w:rsidR="009C6F6B" w:rsidRDefault="009C6F6B" w:rsidP="009C6F6B">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hint="eastAsia"/>
          <w:color w:val="000000"/>
          <w:sz w:val="21"/>
          <w:szCs w:val="21"/>
        </w:rPr>
        <w:t>大胜关长江大桥、南京长江三桥、南京地铁</w:t>
      </w:r>
      <w:r w:rsidRPr="009C6F6B">
        <w:rPr>
          <w:rFonts w:ascii="Arial" w:hAnsi="Arial" w:cs="Arial"/>
          <w:color w:val="000000"/>
          <w:sz w:val="21"/>
          <w:szCs w:val="21"/>
        </w:rPr>
        <w:t>S3</w:t>
      </w:r>
      <w:r w:rsidRPr="009C6F6B">
        <w:rPr>
          <w:rFonts w:ascii="Arial" w:hAnsi="Arial" w:cs="Arial"/>
          <w:color w:val="000000"/>
          <w:sz w:val="21"/>
          <w:szCs w:val="21"/>
        </w:rPr>
        <w:t>号线。</w:t>
      </w:r>
    </w:p>
    <w:p w14:paraId="72ECFA53" w14:textId="5BA6DFE6" w:rsidR="0052061F" w:rsidRDefault="0052061F" w:rsidP="009C6F6B">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Pr>
          <w:rFonts w:ascii="Arial" w:hAnsi="Arial" w:cs="Arial" w:hint="eastAsia"/>
          <w:color w:val="000000"/>
          <w:sz w:val="21"/>
          <w:szCs w:val="21"/>
        </w:rPr>
        <w:t>2</w:t>
      </w:r>
      <w:r>
        <w:rPr>
          <w:rFonts w:ascii="Arial" w:hAnsi="Arial" w:cs="Arial" w:hint="eastAsia"/>
          <w:color w:val="000000"/>
          <w:sz w:val="21"/>
          <w:szCs w:val="21"/>
        </w:rPr>
        <w:t>）板桥新城区域概括</w:t>
      </w:r>
    </w:p>
    <w:p w14:paraId="71FD4B74" w14:textId="77777777" w:rsidR="002F3F30" w:rsidRDefault="002F3F30" w:rsidP="002F3F30">
      <w:pPr>
        <w:spacing w:line="480" w:lineRule="auto"/>
        <w:ind w:firstLineChars="200" w:firstLine="420"/>
        <w:jc w:val="center"/>
        <w:rPr>
          <w:rFonts w:cs="Arial"/>
          <w:color w:val="000000"/>
          <w:sz w:val="21"/>
          <w:szCs w:val="21"/>
        </w:rPr>
      </w:pPr>
      <w:r>
        <w:rPr>
          <w:rFonts w:cs="Arial" w:hint="eastAsia"/>
          <w:noProof/>
          <w:color w:val="000000"/>
          <w:sz w:val="21"/>
          <w:szCs w:val="21"/>
        </w:rPr>
        <w:drawing>
          <wp:inline distT="0" distB="0" distL="0" distR="0" wp14:anchorId="0D71CC23" wp14:editId="61B1057F">
            <wp:extent cx="4940251" cy="5175096"/>
            <wp:effectExtent l="0" t="0" r="0" b="698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png"/>
                    <pic:cNvPicPr/>
                  </pic:nvPicPr>
                  <pic:blipFill>
                    <a:blip r:embed="rId49">
                      <a:extLst>
                        <a:ext uri="{28A0092B-C50C-407E-A947-70E740481C1C}">
                          <a14:useLocalDpi xmlns:a14="http://schemas.microsoft.com/office/drawing/2010/main" val="0"/>
                        </a:ext>
                      </a:extLst>
                    </a:blip>
                    <a:stretch>
                      <a:fillRect/>
                    </a:stretch>
                  </pic:blipFill>
                  <pic:spPr>
                    <a:xfrm>
                      <a:off x="0" y="0"/>
                      <a:ext cx="4946155" cy="5181281"/>
                    </a:xfrm>
                    <a:prstGeom prst="rect">
                      <a:avLst/>
                    </a:prstGeom>
                  </pic:spPr>
                </pic:pic>
              </a:graphicData>
            </a:graphic>
          </wp:inline>
        </w:drawing>
      </w:r>
    </w:p>
    <w:p w14:paraId="1D44A278"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1</w:t>
      </w:r>
      <w:r w:rsidRPr="000525F8">
        <w:rPr>
          <w:rFonts w:ascii="Arial" w:hAnsi="Arial" w:cs="Arial" w:hint="eastAsia"/>
          <w:color w:val="000000"/>
          <w:sz w:val="21"/>
          <w:szCs w:val="21"/>
        </w:rPr>
        <w:t>）规划结构</w:t>
      </w:r>
      <w:r w:rsidRPr="000525F8">
        <w:rPr>
          <w:rFonts w:ascii="Arial" w:hAnsi="Arial" w:cs="Arial"/>
          <w:color w:val="000000"/>
          <w:sz w:val="21"/>
          <w:szCs w:val="21"/>
        </w:rPr>
        <w:t xml:space="preserve"> “</w:t>
      </w:r>
      <w:r w:rsidRPr="000525F8">
        <w:rPr>
          <w:rFonts w:ascii="Arial" w:hAnsi="Arial" w:cs="Arial"/>
          <w:color w:val="000000"/>
          <w:sz w:val="21"/>
          <w:szCs w:val="21"/>
        </w:rPr>
        <w:t>一心、三轴、两隔、</w:t>
      </w:r>
      <w:r w:rsidRPr="000525F8">
        <w:rPr>
          <w:rFonts w:ascii="Arial" w:hAnsi="Arial" w:cs="Arial" w:hint="eastAsia"/>
          <w:color w:val="000000"/>
          <w:sz w:val="21"/>
          <w:szCs w:val="21"/>
        </w:rPr>
        <w:t>七</w:t>
      </w:r>
      <w:r w:rsidRPr="000525F8">
        <w:rPr>
          <w:rFonts w:ascii="Arial" w:hAnsi="Arial" w:cs="Arial"/>
          <w:color w:val="000000"/>
          <w:sz w:val="21"/>
          <w:szCs w:val="21"/>
        </w:rPr>
        <w:t>片区</w:t>
      </w:r>
      <w:r w:rsidRPr="000525F8">
        <w:rPr>
          <w:rFonts w:ascii="Arial" w:hAnsi="Arial" w:cs="Arial"/>
          <w:color w:val="000000"/>
          <w:sz w:val="21"/>
          <w:szCs w:val="21"/>
        </w:rPr>
        <w:t>”</w:t>
      </w:r>
    </w:p>
    <w:p w14:paraId="6D199CB3" w14:textId="77777777" w:rsidR="002F3F30" w:rsidRDefault="002F3F30" w:rsidP="002F3F30">
      <w:pPr>
        <w:spacing w:line="480" w:lineRule="auto"/>
        <w:ind w:firstLineChars="200" w:firstLine="420"/>
        <w:rPr>
          <w:rFonts w:cs="Arial"/>
          <w:color w:val="000000"/>
          <w:sz w:val="21"/>
          <w:szCs w:val="21"/>
        </w:rPr>
      </w:pPr>
      <w:r w:rsidRPr="000525F8">
        <w:rPr>
          <w:rFonts w:ascii="Arial" w:hAnsi="Arial" w:cs="Arial"/>
          <w:color w:val="000000"/>
          <w:sz w:val="21"/>
          <w:szCs w:val="21"/>
        </w:rPr>
        <w:t>一心</w:t>
      </w:r>
      <w:r w:rsidRPr="000525F8">
        <w:rPr>
          <w:rFonts w:ascii="Arial" w:hAnsi="Arial" w:cs="Arial" w:hint="eastAsia"/>
          <w:color w:val="000000"/>
          <w:sz w:val="21"/>
          <w:szCs w:val="21"/>
        </w:rPr>
        <w:t>为</w:t>
      </w:r>
      <w:r w:rsidRPr="000525F8">
        <w:rPr>
          <w:rFonts w:ascii="Arial" w:hAnsi="Arial" w:cs="Arial"/>
          <w:color w:val="000000"/>
          <w:sz w:val="21"/>
          <w:szCs w:val="21"/>
        </w:rPr>
        <w:t>板桥新城地区中心</w:t>
      </w:r>
      <w:r w:rsidRPr="000525F8">
        <w:rPr>
          <w:rFonts w:ascii="Arial" w:hAnsi="Arial" w:cs="Arial" w:hint="eastAsia"/>
          <w:color w:val="000000"/>
          <w:sz w:val="21"/>
          <w:szCs w:val="21"/>
        </w:rPr>
        <w:t>；</w:t>
      </w:r>
      <w:r w:rsidRPr="000525F8">
        <w:rPr>
          <w:rFonts w:ascii="Arial" w:hAnsi="Arial" w:cs="Arial"/>
          <w:color w:val="000000"/>
          <w:sz w:val="21"/>
          <w:szCs w:val="21"/>
        </w:rPr>
        <w:t>三轴</w:t>
      </w:r>
      <w:r w:rsidRPr="000525F8">
        <w:rPr>
          <w:rFonts w:ascii="Arial" w:hAnsi="Arial" w:cs="Arial" w:hint="eastAsia"/>
          <w:color w:val="000000"/>
          <w:sz w:val="21"/>
          <w:szCs w:val="21"/>
        </w:rPr>
        <w:t>为</w:t>
      </w:r>
      <w:r w:rsidRPr="000525F8">
        <w:rPr>
          <w:rFonts w:ascii="Arial" w:hAnsi="Arial" w:cs="Arial"/>
          <w:color w:val="000000"/>
          <w:sz w:val="21"/>
          <w:szCs w:val="21"/>
        </w:rPr>
        <w:t>沿绿洲东路发展轴</w:t>
      </w:r>
      <w:r w:rsidRPr="000525F8">
        <w:rPr>
          <w:rFonts w:ascii="Arial" w:hAnsi="Arial" w:cs="Arial" w:hint="eastAsia"/>
          <w:color w:val="000000"/>
          <w:sz w:val="21"/>
          <w:szCs w:val="21"/>
        </w:rPr>
        <w:t>、</w:t>
      </w:r>
      <w:r w:rsidRPr="000525F8">
        <w:rPr>
          <w:rFonts w:ascii="Arial" w:hAnsi="Arial" w:cs="Arial"/>
          <w:color w:val="000000"/>
          <w:sz w:val="21"/>
          <w:szCs w:val="21"/>
        </w:rPr>
        <w:t>沿工农河路发展轴</w:t>
      </w:r>
      <w:r w:rsidRPr="000525F8">
        <w:rPr>
          <w:rFonts w:ascii="Arial" w:hAnsi="Arial" w:cs="Arial" w:hint="eastAsia"/>
          <w:color w:val="000000"/>
          <w:sz w:val="21"/>
          <w:szCs w:val="21"/>
        </w:rPr>
        <w:t>、</w:t>
      </w:r>
      <w:r w:rsidRPr="000525F8">
        <w:rPr>
          <w:rFonts w:ascii="Arial" w:hAnsi="Arial" w:cs="Arial"/>
          <w:color w:val="000000"/>
          <w:sz w:val="21"/>
          <w:szCs w:val="21"/>
        </w:rPr>
        <w:t>沿六号路发展轴</w:t>
      </w:r>
      <w:r w:rsidRPr="000525F8">
        <w:rPr>
          <w:rFonts w:ascii="Arial" w:hAnsi="Arial" w:cs="Arial" w:hint="eastAsia"/>
          <w:color w:val="000000"/>
          <w:sz w:val="21"/>
          <w:szCs w:val="21"/>
        </w:rPr>
        <w:t>；</w:t>
      </w:r>
      <w:r w:rsidRPr="000525F8">
        <w:rPr>
          <w:rFonts w:ascii="Arial" w:hAnsi="Arial" w:cs="Arial"/>
          <w:color w:val="000000"/>
          <w:sz w:val="21"/>
          <w:szCs w:val="21"/>
        </w:rPr>
        <w:t>两</w:t>
      </w:r>
      <w:r w:rsidRPr="00A80A92">
        <w:rPr>
          <w:rFonts w:cs="Arial"/>
          <w:color w:val="000000"/>
          <w:sz w:val="21"/>
          <w:szCs w:val="21"/>
        </w:rPr>
        <w:t>隔</w:t>
      </w:r>
      <w:r>
        <w:rPr>
          <w:rFonts w:cs="Arial" w:hint="eastAsia"/>
          <w:color w:val="000000"/>
          <w:sz w:val="21"/>
          <w:szCs w:val="21"/>
        </w:rPr>
        <w:t>为</w:t>
      </w:r>
      <w:r>
        <w:rPr>
          <w:rFonts w:cs="Arial"/>
          <w:color w:val="000000"/>
          <w:sz w:val="21"/>
          <w:szCs w:val="21"/>
        </w:rPr>
        <w:t>板桥新城与主城、板桥新城与江宁滨江开发区的隔离绿地</w:t>
      </w:r>
      <w:r>
        <w:rPr>
          <w:rFonts w:cs="Arial" w:hint="eastAsia"/>
          <w:color w:val="000000"/>
          <w:sz w:val="21"/>
          <w:szCs w:val="21"/>
        </w:rPr>
        <w:t>；</w:t>
      </w:r>
      <w:r w:rsidRPr="00A80A92">
        <w:rPr>
          <w:rFonts w:cs="Arial"/>
          <w:color w:val="000000"/>
          <w:sz w:val="21"/>
          <w:szCs w:val="21"/>
        </w:rPr>
        <w:t>七片区</w:t>
      </w:r>
      <w:r>
        <w:rPr>
          <w:rFonts w:cs="Arial" w:hint="eastAsia"/>
          <w:color w:val="000000"/>
          <w:sz w:val="21"/>
          <w:szCs w:val="21"/>
        </w:rPr>
        <w:t>为</w:t>
      </w:r>
      <w:r w:rsidRPr="00A80A92">
        <w:rPr>
          <w:rFonts w:cs="Arial"/>
          <w:color w:val="000000"/>
          <w:sz w:val="21"/>
          <w:szCs w:val="21"/>
        </w:rPr>
        <w:t>三个产业片区、四个生活片区。</w:t>
      </w:r>
    </w:p>
    <w:p w14:paraId="0A9D6755"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2</w:t>
      </w:r>
      <w:r w:rsidRPr="000525F8">
        <w:rPr>
          <w:rFonts w:ascii="Arial" w:hAnsi="Arial" w:cs="Arial" w:hint="eastAsia"/>
          <w:color w:val="000000"/>
          <w:sz w:val="21"/>
          <w:szCs w:val="21"/>
        </w:rPr>
        <w:t>）产业布局规划</w:t>
      </w:r>
    </w:p>
    <w:p w14:paraId="5391D55C"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产业发展目标</w:t>
      </w:r>
      <w:r w:rsidRPr="000525F8">
        <w:rPr>
          <w:rFonts w:ascii="Arial" w:hAnsi="Arial" w:cs="Arial" w:hint="eastAsia"/>
          <w:color w:val="000000"/>
          <w:sz w:val="21"/>
          <w:szCs w:val="21"/>
        </w:rPr>
        <w:t>为</w:t>
      </w:r>
      <w:r w:rsidRPr="000525F8">
        <w:rPr>
          <w:rFonts w:ascii="Arial" w:hAnsi="Arial" w:cs="Arial"/>
          <w:color w:val="000000"/>
          <w:sz w:val="21"/>
          <w:szCs w:val="21"/>
        </w:rPr>
        <w:t>南京重要的软件产业基地和现代服务业基地</w:t>
      </w:r>
      <w:r w:rsidRPr="000525F8">
        <w:rPr>
          <w:rFonts w:ascii="Arial" w:hAnsi="Arial" w:cs="Arial" w:hint="eastAsia"/>
          <w:color w:val="000000"/>
          <w:sz w:val="21"/>
          <w:szCs w:val="21"/>
        </w:rPr>
        <w:t>，</w:t>
      </w:r>
      <w:r w:rsidRPr="000525F8">
        <w:rPr>
          <w:rFonts w:ascii="Arial" w:hAnsi="Arial" w:cs="Arial"/>
          <w:color w:val="000000"/>
          <w:sz w:val="21"/>
          <w:szCs w:val="21"/>
        </w:rPr>
        <w:t>先进制造业和钢铁产业集中区</w:t>
      </w:r>
      <w:r w:rsidRPr="000525F8">
        <w:rPr>
          <w:rFonts w:ascii="Arial" w:hAnsi="Arial" w:cs="Arial" w:hint="eastAsia"/>
          <w:color w:val="000000"/>
          <w:sz w:val="21"/>
          <w:szCs w:val="21"/>
        </w:rPr>
        <w:t>；</w:t>
      </w:r>
      <w:r w:rsidRPr="000525F8">
        <w:rPr>
          <w:rFonts w:ascii="Arial" w:hAnsi="Arial" w:cs="Arial"/>
          <w:color w:val="000000"/>
          <w:sz w:val="21"/>
          <w:szCs w:val="21"/>
        </w:rPr>
        <w:t>重点发展产业</w:t>
      </w:r>
      <w:r w:rsidRPr="000525F8">
        <w:rPr>
          <w:rFonts w:ascii="Arial" w:hAnsi="Arial" w:cs="Arial" w:hint="eastAsia"/>
          <w:color w:val="000000"/>
          <w:sz w:val="21"/>
          <w:szCs w:val="21"/>
        </w:rPr>
        <w:t>为</w:t>
      </w:r>
      <w:r w:rsidRPr="000525F8">
        <w:rPr>
          <w:rFonts w:ascii="Arial" w:hAnsi="Arial" w:cs="Arial"/>
          <w:color w:val="000000"/>
          <w:sz w:val="21"/>
          <w:szCs w:val="21"/>
        </w:rPr>
        <w:t>软件产业</w:t>
      </w:r>
      <w:r w:rsidRPr="000525F8">
        <w:rPr>
          <w:rFonts w:ascii="Arial" w:hAnsi="Arial" w:cs="Arial" w:hint="eastAsia"/>
          <w:color w:val="000000"/>
          <w:sz w:val="21"/>
          <w:szCs w:val="21"/>
        </w:rPr>
        <w:t>、</w:t>
      </w:r>
      <w:r w:rsidRPr="000525F8">
        <w:rPr>
          <w:rFonts w:ascii="Arial" w:hAnsi="Arial" w:cs="Arial"/>
          <w:color w:val="000000"/>
          <w:sz w:val="21"/>
          <w:szCs w:val="21"/>
        </w:rPr>
        <w:t>商贸商务业</w:t>
      </w:r>
      <w:r w:rsidRPr="000525F8">
        <w:rPr>
          <w:rFonts w:ascii="Arial" w:hAnsi="Arial" w:cs="Arial" w:hint="eastAsia"/>
          <w:color w:val="000000"/>
          <w:sz w:val="21"/>
          <w:szCs w:val="21"/>
        </w:rPr>
        <w:t>；</w:t>
      </w:r>
      <w:r w:rsidRPr="000525F8">
        <w:rPr>
          <w:rFonts w:ascii="Arial" w:hAnsi="Arial" w:cs="Arial"/>
          <w:color w:val="000000"/>
          <w:sz w:val="21"/>
          <w:szCs w:val="21"/>
        </w:rPr>
        <w:t>产业空间布局以中国软件谷升级跨越区为主体的软件业集聚区</w:t>
      </w:r>
      <w:r w:rsidRPr="000525F8">
        <w:rPr>
          <w:rFonts w:ascii="Arial" w:hAnsi="Arial" w:cs="Arial" w:hint="eastAsia"/>
          <w:color w:val="000000"/>
          <w:sz w:val="21"/>
          <w:szCs w:val="21"/>
        </w:rPr>
        <w:t>、</w:t>
      </w:r>
      <w:r w:rsidRPr="000525F8">
        <w:rPr>
          <w:rFonts w:ascii="Arial" w:hAnsi="Arial" w:cs="Arial"/>
          <w:color w:val="000000"/>
          <w:sz w:val="21"/>
          <w:szCs w:val="21"/>
        </w:rPr>
        <w:t xml:space="preserve"> </w:t>
      </w:r>
      <w:r w:rsidRPr="000525F8">
        <w:rPr>
          <w:rFonts w:ascii="Arial" w:hAnsi="Arial" w:cs="Arial"/>
          <w:color w:val="000000"/>
          <w:sz w:val="21"/>
          <w:szCs w:val="21"/>
        </w:rPr>
        <w:lastRenderedPageBreak/>
        <w:t>以梅山钢铁为中心的钢铁产业集聚区</w:t>
      </w:r>
      <w:r w:rsidRPr="000525F8">
        <w:rPr>
          <w:rFonts w:ascii="Arial" w:hAnsi="Arial" w:cs="Arial" w:hint="eastAsia"/>
          <w:color w:val="000000"/>
          <w:sz w:val="21"/>
          <w:szCs w:val="21"/>
        </w:rPr>
        <w:t>、</w:t>
      </w:r>
      <w:r w:rsidRPr="000525F8">
        <w:rPr>
          <w:rFonts w:ascii="Arial" w:hAnsi="Arial" w:cs="Arial"/>
          <w:color w:val="000000"/>
          <w:sz w:val="21"/>
          <w:szCs w:val="21"/>
        </w:rPr>
        <w:t>以莲花湖地区为中心的商务商贸业集聚区</w:t>
      </w:r>
      <w:r w:rsidRPr="000525F8">
        <w:rPr>
          <w:rFonts w:ascii="Arial" w:hAnsi="Arial" w:cs="Arial" w:hint="eastAsia"/>
          <w:color w:val="000000"/>
          <w:sz w:val="21"/>
          <w:szCs w:val="21"/>
        </w:rPr>
        <w:t>、</w:t>
      </w:r>
      <w:r w:rsidRPr="000525F8">
        <w:rPr>
          <w:rFonts w:ascii="Arial" w:hAnsi="Arial" w:cs="Arial"/>
          <w:color w:val="000000"/>
          <w:sz w:val="21"/>
          <w:szCs w:val="21"/>
        </w:rPr>
        <w:t>以板桥南部工业园为载体的先进制造业集聚区。</w:t>
      </w:r>
    </w:p>
    <w:p w14:paraId="1CB30E14" w14:textId="77777777" w:rsidR="002F3F30" w:rsidRDefault="002F3F30" w:rsidP="002F3F30">
      <w:pPr>
        <w:spacing w:line="480" w:lineRule="auto"/>
        <w:ind w:firstLineChars="200" w:firstLine="420"/>
        <w:rPr>
          <w:rFonts w:cs="Arial"/>
          <w:color w:val="000000"/>
          <w:sz w:val="21"/>
          <w:szCs w:val="21"/>
        </w:rPr>
      </w:pPr>
      <w:r w:rsidRPr="000525F8">
        <w:rPr>
          <w:rFonts w:ascii="Arial" w:hAnsi="Arial" w:cs="Arial"/>
          <w:color w:val="000000"/>
          <w:sz w:val="21"/>
          <w:szCs w:val="21"/>
        </w:rPr>
        <w:t>3</w:t>
      </w:r>
      <w:r w:rsidRPr="000525F8">
        <w:rPr>
          <w:rFonts w:ascii="Arial" w:hAnsi="Arial" w:cs="Arial" w:hint="eastAsia"/>
          <w:color w:val="000000"/>
          <w:sz w:val="21"/>
          <w:szCs w:val="21"/>
        </w:rPr>
        <w:t>）城市综合交通体</w:t>
      </w:r>
      <w:r w:rsidRPr="00A80A92">
        <w:rPr>
          <w:rFonts w:cs="Arial" w:hint="eastAsia"/>
          <w:color w:val="000000"/>
          <w:sz w:val="21"/>
          <w:szCs w:val="21"/>
        </w:rPr>
        <w:t>系规划</w:t>
      </w:r>
    </w:p>
    <w:p w14:paraId="1C2FDF13"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铁路</w:t>
      </w:r>
      <w:r w:rsidRPr="000525F8">
        <w:rPr>
          <w:rFonts w:ascii="Arial" w:hAnsi="Arial" w:cs="Arial"/>
          <w:color w:val="000000"/>
          <w:sz w:val="21"/>
          <w:szCs w:val="21"/>
        </w:rPr>
        <w:t>:</w:t>
      </w:r>
      <w:r w:rsidRPr="000525F8">
        <w:rPr>
          <w:rFonts w:ascii="Arial" w:hAnsi="Arial" w:cs="Arial"/>
          <w:color w:val="000000"/>
          <w:sz w:val="21"/>
          <w:szCs w:val="21"/>
        </w:rPr>
        <w:t>规划形成</w:t>
      </w:r>
      <w:r w:rsidRPr="000525F8">
        <w:rPr>
          <w:rFonts w:ascii="Arial" w:hAnsi="Arial" w:cs="Arial"/>
          <w:color w:val="000000"/>
          <w:sz w:val="21"/>
          <w:szCs w:val="21"/>
        </w:rPr>
        <w:t>3</w:t>
      </w:r>
      <w:r w:rsidRPr="000525F8">
        <w:rPr>
          <w:rFonts w:ascii="Arial" w:hAnsi="Arial" w:cs="Arial"/>
          <w:color w:val="000000"/>
          <w:sz w:val="21"/>
          <w:szCs w:val="21"/>
        </w:rPr>
        <w:t>条客运专线铁路</w:t>
      </w:r>
      <w:r w:rsidRPr="000525F8">
        <w:rPr>
          <w:rFonts w:ascii="Arial" w:hAnsi="Arial" w:cs="Arial"/>
          <w:color w:val="000000"/>
          <w:sz w:val="21"/>
          <w:szCs w:val="21"/>
        </w:rPr>
        <w:t>(</w:t>
      </w:r>
      <w:r w:rsidRPr="000525F8">
        <w:rPr>
          <w:rFonts w:ascii="Arial" w:hAnsi="Arial" w:cs="Arial"/>
          <w:color w:val="000000"/>
          <w:sz w:val="21"/>
          <w:szCs w:val="21"/>
        </w:rPr>
        <w:t>京沪、沪汉蓉、宁安</w:t>
      </w:r>
      <w:r w:rsidRPr="000525F8">
        <w:rPr>
          <w:rFonts w:ascii="Arial" w:hAnsi="Arial" w:cs="Arial"/>
          <w:color w:val="000000"/>
          <w:sz w:val="21"/>
          <w:szCs w:val="21"/>
        </w:rPr>
        <w:t>)</w:t>
      </w:r>
      <w:r w:rsidRPr="000525F8">
        <w:rPr>
          <w:rFonts w:ascii="Arial" w:hAnsi="Arial" w:cs="Arial"/>
          <w:color w:val="000000"/>
          <w:sz w:val="21"/>
          <w:szCs w:val="21"/>
        </w:rPr>
        <w:t>，</w:t>
      </w:r>
      <w:r w:rsidRPr="000525F8">
        <w:rPr>
          <w:rFonts w:ascii="Arial" w:hAnsi="Arial" w:cs="Arial"/>
          <w:color w:val="000000"/>
          <w:sz w:val="21"/>
          <w:szCs w:val="21"/>
        </w:rPr>
        <w:t>1</w:t>
      </w:r>
      <w:r w:rsidRPr="000525F8">
        <w:rPr>
          <w:rFonts w:ascii="Arial" w:hAnsi="Arial" w:cs="Arial"/>
          <w:color w:val="000000"/>
          <w:sz w:val="21"/>
          <w:szCs w:val="21"/>
        </w:rPr>
        <w:t>条普</w:t>
      </w:r>
      <w:proofErr w:type="gramStart"/>
      <w:r w:rsidRPr="000525F8">
        <w:rPr>
          <w:rFonts w:ascii="Arial" w:hAnsi="Arial" w:cs="Arial"/>
          <w:color w:val="000000"/>
          <w:sz w:val="21"/>
          <w:szCs w:val="21"/>
        </w:rPr>
        <w:t>速铁路</w:t>
      </w:r>
      <w:proofErr w:type="gramEnd"/>
      <w:r w:rsidRPr="000525F8">
        <w:rPr>
          <w:rFonts w:ascii="Arial" w:hAnsi="Arial" w:cs="Arial"/>
          <w:color w:val="000000"/>
          <w:sz w:val="21"/>
          <w:szCs w:val="21"/>
        </w:rPr>
        <w:t xml:space="preserve"> (</w:t>
      </w:r>
      <w:r w:rsidRPr="000525F8">
        <w:rPr>
          <w:rFonts w:ascii="Arial" w:hAnsi="Arial" w:cs="Arial"/>
          <w:color w:val="000000"/>
          <w:sz w:val="21"/>
          <w:szCs w:val="21"/>
        </w:rPr>
        <w:t>宁</w:t>
      </w:r>
      <w:proofErr w:type="gramStart"/>
      <w:r w:rsidRPr="000525F8">
        <w:rPr>
          <w:rFonts w:ascii="Arial" w:hAnsi="Arial" w:cs="Arial"/>
          <w:color w:val="000000"/>
          <w:sz w:val="21"/>
          <w:szCs w:val="21"/>
        </w:rPr>
        <w:t>芜</w:t>
      </w:r>
      <w:proofErr w:type="gramEnd"/>
      <w:r w:rsidRPr="000525F8">
        <w:rPr>
          <w:rFonts w:ascii="Arial" w:hAnsi="Arial" w:cs="Arial"/>
          <w:color w:val="000000"/>
          <w:sz w:val="21"/>
          <w:szCs w:val="21"/>
        </w:rPr>
        <w:t>)</w:t>
      </w:r>
      <w:r w:rsidRPr="000525F8">
        <w:rPr>
          <w:rFonts w:ascii="Arial" w:hAnsi="Arial" w:cs="Arial"/>
          <w:color w:val="000000"/>
          <w:sz w:val="21"/>
          <w:szCs w:val="21"/>
        </w:rPr>
        <w:t>，</w:t>
      </w:r>
      <w:r w:rsidRPr="000525F8">
        <w:rPr>
          <w:rFonts w:ascii="Arial" w:hAnsi="Arial" w:cs="Arial"/>
          <w:color w:val="000000"/>
          <w:sz w:val="21"/>
          <w:szCs w:val="21"/>
        </w:rPr>
        <w:t>1</w:t>
      </w:r>
      <w:r w:rsidRPr="000525F8">
        <w:rPr>
          <w:rFonts w:ascii="Arial" w:hAnsi="Arial" w:cs="Arial"/>
          <w:color w:val="000000"/>
          <w:sz w:val="21"/>
          <w:szCs w:val="21"/>
        </w:rPr>
        <w:t>条铁路专用线。规划</w:t>
      </w:r>
      <w:r w:rsidRPr="000525F8">
        <w:rPr>
          <w:rFonts w:ascii="Arial" w:hAnsi="Arial" w:cs="Arial"/>
          <w:color w:val="000000"/>
          <w:sz w:val="21"/>
          <w:szCs w:val="21"/>
        </w:rPr>
        <w:t>1</w:t>
      </w:r>
      <w:r w:rsidRPr="000525F8">
        <w:rPr>
          <w:rFonts w:ascii="Arial" w:hAnsi="Arial" w:cs="Arial"/>
          <w:color w:val="000000"/>
          <w:sz w:val="21"/>
          <w:szCs w:val="21"/>
        </w:rPr>
        <w:t>处一般铁路客运枢纽</w:t>
      </w:r>
      <w:r w:rsidRPr="000525F8">
        <w:rPr>
          <w:rFonts w:ascii="Arial" w:hAnsi="Arial" w:cs="Arial"/>
          <w:color w:val="000000"/>
          <w:sz w:val="21"/>
          <w:szCs w:val="21"/>
        </w:rPr>
        <w:t>(</w:t>
      </w:r>
      <w:r w:rsidRPr="000525F8">
        <w:rPr>
          <w:rFonts w:ascii="Arial" w:hAnsi="Arial" w:cs="Arial"/>
          <w:color w:val="000000"/>
          <w:sz w:val="21"/>
          <w:szCs w:val="21"/>
        </w:rPr>
        <w:t>板桥城际站</w:t>
      </w:r>
      <w:r w:rsidRPr="000525F8">
        <w:rPr>
          <w:rFonts w:ascii="Arial" w:hAnsi="Arial" w:cs="Arial"/>
          <w:color w:val="000000"/>
          <w:sz w:val="21"/>
          <w:szCs w:val="21"/>
        </w:rPr>
        <w:t>)</w:t>
      </w:r>
      <w:r w:rsidRPr="000525F8">
        <w:rPr>
          <w:rFonts w:ascii="Arial" w:hAnsi="Arial" w:cs="Arial"/>
          <w:color w:val="000000"/>
          <w:sz w:val="21"/>
          <w:szCs w:val="21"/>
        </w:rPr>
        <w:t>。航运</w:t>
      </w:r>
      <w:r w:rsidRPr="000525F8">
        <w:rPr>
          <w:rFonts w:ascii="Arial" w:hAnsi="Arial" w:cs="Arial"/>
          <w:color w:val="000000"/>
          <w:sz w:val="21"/>
          <w:szCs w:val="21"/>
        </w:rPr>
        <w:t>:</w:t>
      </w:r>
      <w:r w:rsidRPr="000525F8">
        <w:rPr>
          <w:rFonts w:ascii="Arial" w:hAnsi="Arial" w:cs="Arial"/>
          <w:color w:val="000000"/>
          <w:sz w:val="21"/>
          <w:szCs w:val="21"/>
        </w:rPr>
        <w:t>长江</w:t>
      </w:r>
      <w:r w:rsidRPr="000525F8">
        <w:rPr>
          <w:rFonts w:ascii="Arial" w:hAnsi="Arial" w:cs="Arial"/>
          <w:color w:val="000000"/>
          <w:sz w:val="21"/>
          <w:szCs w:val="21"/>
        </w:rPr>
        <w:t>(</w:t>
      </w:r>
      <w:r w:rsidRPr="000525F8">
        <w:rPr>
          <w:rFonts w:ascii="Arial" w:hAnsi="Arial" w:cs="Arial"/>
          <w:color w:val="000000"/>
          <w:sz w:val="21"/>
          <w:szCs w:val="21"/>
        </w:rPr>
        <w:t>一级通航标准</w:t>
      </w:r>
      <w:r w:rsidRPr="000525F8">
        <w:rPr>
          <w:rFonts w:ascii="Arial" w:hAnsi="Arial" w:cs="Arial"/>
          <w:color w:val="000000"/>
          <w:sz w:val="21"/>
          <w:szCs w:val="21"/>
        </w:rPr>
        <w:t>)</w:t>
      </w:r>
      <w:r w:rsidRPr="000525F8">
        <w:rPr>
          <w:rFonts w:ascii="Arial" w:hAnsi="Arial" w:cs="Arial"/>
          <w:color w:val="000000"/>
          <w:sz w:val="21"/>
          <w:szCs w:val="21"/>
        </w:rPr>
        <w:t>，秦淮新河</w:t>
      </w:r>
      <w:r w:rsidRPr="000525F8">
        <w:rPr>
          <w:rFonts w:ascii="Arial" w:hAnsi="Arial" w:cs="Arial"/>
          <w:color w:val="000000"/>
          <w:sz w:val="21"/>
          <w:szCs w:val="21"/>
        </w:rPr>
        <w:t>(</w:t>
      </w:r>
      <w:r w:rsidRPr="000525F8">
        <w:rPr>
          <w:rFonts w:ascii="Arial" w:hAnsi="Arial" w:cs="Arial"/>
          <w:color w:val="000000"/>
          <w:sz w:val="21"/>
          <w:szCs w:val="21"/>
        </w:rPr>
        <w:t>四级通航标准</w:t>
      </w:r>
      <w:r w:rsidRPr="000525F8">
        <w:rPr>
          <w:rFonts w:ascii="Arial" w:hAnsi="Arial" w:cs="Arial"/>
          <w:color w:val="000000"/>
          <w:sz w:val="21"/>
          <w:szCs w:val="21"/>
        </w:rPr>
        <w:t>)</w:t>
      </w:r>
      <w:r w:rsidRPr="000525F8">
        <w:rPr>
          <w:rFonts w:ascii="Arial" w:hAnsi="Arial" w:cs="Arial"/>
          <w:color w:val="000000"/>
          <w:sz w:val="21"/>
          <w:szCs w:val="21"/>
        </w:rPr>
        <w:t>。建设板桥产业服务港区。公路</w:t>
      </w:r>
      <w:r w:rsidRPr="000525F8">
        <w:rPr>
          <w:rFonts w:ascii="Arial" w:hAnsi="Arial" w:cs="Arial"/>
          <w:color w:val="000000"/>
          <w:sz w:val="21"/>
          <w:szCs w:val="21"/>
        </w:rPr>
        <w:t>:2</w:t>
      </w:r>
      <w:r w:rsidRPr="000525F8">
        <w:rPr>
          <w:rFonts w:ascii="Arial" w:hAnsi="Arial" w:cs="Arial"/>
          <w:color w:val="000000"/>
          <w:sz w:val="21"/>
          <w:szCs w:val="21"/>
        </w:rPr>
        <w:t>条高速公路</w:t>
      </w:r>
      <w:r w:rsidRPr="000525F8">
        <w:rPr>
          <w:rFonts w:ascii="Arial" w:hAnsi="Arial" w:cs="Arial"/>
          <w:color w:val="000000"/>
          <w:sz w:val="21"/>
          <w:szCs w:val="21"/>
        </w:rPr>
        <w:t>(</w:t>
      </w:r>
      <w:r w:rsidRPr="000525F8">
        <w:rPr>
          <w:rFonts w:ascii="Arial" w:hAnsi="Arial" w:cs="Arial"/>
          <w:color w:val="000000"/>
          <w:sz w:val="21"/>
          <w:szCs w:val="21"/>
        </w:rPr>
        <w:t>绕越公路、宁马高速公路</w:t>
      </w:r>
      <w:r w:rsidRPr="000525F8">
        <w:rPr>
          <w:rFonts w:ascii="Arial" w:hAnsi="Arial" w:cs="Arial"/>
          <w:color w:val="000000"/>
          <w:sz w:val="21"/>
          <w:szCs w:val="21"/>
        </w:rPr>
        <w:t>)</w:t>
      </w:r>
      <w:r w:rsidRPr="000525F8">
        <w:rPr>
          <w:rFonts w:ascii="Arial" w:hAnsi="Arial" w:cs="Arial"/>
          <w:color w:val="000000"/>
          <w:sz w:val="21"/>
          <w:szCs w:val="21"/>
        </w:rPr>
        <w:t>，</w:t>
      </w:r>
      <w:r w:rsidRPr="000525F8">
        <w:rPr>
          <w:rFonts w:ascii="Arial" w:hAnsi="Arial" w:cs="Arial"/>
          <w:color w:val="000000"/>
          <w:sz w:val="21"/>
          <w:szCs w:val="21"/>
        </w:rPr>
        <w:t>1</w:t>
      </w:r>
      <w:r w:rsidRPr="000525F8">
        <w:rPr>
          <w:rFonts w:ascii="Arial" w:hAnsi="Arial" w:cs="Arial"/>
          <w:color w:val="000000"/>
          <w:sz w:val="21"/>
          <w:szCs w:val="21"/>
        </w:rPr>
        <w:t>条干线公路</w:t>
      </w:r>
      <w:r w:rsidRPr="000525F8">
        <w:rPr>
          <w:rFonts w:ascii="Arial" w:hAnsi="Arial" w:cs="Arial"/>
          <w:color w:val="000000"/>
          <w:sz w:val="21"/>
          <w:szCs w:val="21"/>
        </w:rPr>
        <w:t>(205</w:t>
      </w:r>
      <w:r w:rsidRPr="000525F8">
        <w:rPr>
          <w:rFonts w:ascii="Arial" w:hAnsi="Arial" w:cs="Arial"/>
          <w:color w:val="000000"/>
          <w:sz w:val="21"/>
          <w:szCs w:val="21"/>
        </w:rPr>
        <w:t>国道</w:t>
      </w:r>
      <w:r w:rsidRPr="000525F8">
        <w:rPr>
          <w:rFonts w:ascii="Arial" w:hAnsi="Arial" w:cs="Arial"/>
          <w:color w:val="000000"/>
          <w:sz w:val="21"/>
          <w:szCs w:val="21"/>
        </w:rPr>
        <w:t>)</w:t>
      </w:r>
      <w:r w:rsidRPr="000525F8">
        <w:rPr>
          <w:rFonts w:ascii="Arial" w:hAnsi="Arial" w:cs="Arial"/>
          <w:color w:val="000000"/>
          <w:sz w:val="21"/>
          <w:szCs w:val="21"/>
        </w:rPr>
        <w:t>。过江通道</w:t>
      </w:r>
      <w:r w:rsidRPr="000525F8">
        <w:rPr>
          <w:rFonts w:ascii="Arial" w:hAnsi="Arial" w:cs="Arial"/>
          <w:color w:val="000000"/>
          <w:sz w:val="21"/>
          <w:szCs w:val="21"/>
        </w:rPr>
        <w:t>:</w:t>
      </w:r>
      <w:r w:rsidRPr="000525F8">
        <w:rPr>
          <w:rFonts w:ascii="Arial" w:hAnsi="Arial" w:cs="Arial"/>
          <w:color w:val="000000"/>
          <w:sz w:val="21"/>
          <w:szCs w:val="21"/>
        </w:rPr>
        <w:t>南京长江三桥、大胜关大桥。</w:t>
      </w:r>
    </w:p>
    <w:p w14:paraId="738D8C27"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4</w:t>
      </w:r>
      <w:r w:rsidRPr="000525F8">
        <w:rPr>
          <w:rFonts w:ascii="Arial" w:hAnsi="Arial" w:cs="Arial" w:hint="eastAsia"/>
          <w:color w:val="000000"/>
          <w:sz w:val="21"/>
          <w:szCs w:val="21"/>
        </w:rPr>
        <w:t>）绿地系统规划</w:t>
      </w:r>
      <w:r w:rsidRPr="000525F8">
        <w:rPr>
          <w:rFonts w:ascii="Arial" w:hAnsi="Arial" w:cs="Arial"/>
          <w:color w:val="000000"/>
          <w:sz w:val="21"/>
          <w:szCs w:val="21"/>
        </w:rPr>
        <w:t>“</w:t>
      </w:r>
      <w:r w:rsidRPr="000525F8">
        <w:rPr>
          <w:rFonts w:ascii="Arial" w:hAnsi="Arial" w:cs="Arial"/>
          <w:color w:val="000000"/>
          <w:sz w:val="21"/>
          <w:szCs w:val="21"/>
        </w:rPr>
        <w:t>一带、两廊、两横两纵、两隔、两块</w:t>
      </w:r>
      <w:r w:rsidRPr="000525F8">
        <w:rPr>
          <w:rFonts w:ascii="Arial" w:hAnsi="Arial" w:cs="Arial"/>
          <w:color w:val="000000"/>
          <w:sz w:val="21"/>
          <w:szCs w:val="21"/>
        </w:rPr>
        <w:t xml:space="preserve">” </w:t>
      </w:r>
    </w:p>
    <w:p w14:paraId="1846B379"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一带</w:t>
      </w:r>
      <w:r w:rsidRPr="000525F8">
        <w:rPr>
          <w:rFonts w:ascii="Arial" w:hAnsi="Arial" w:cs="Arial"/>
          <w:color w:val="000000"/>
          <w:sz w:val="21"/>
          <w:szCs w:val="21"/>
        </w:rPr>
        <w:t>:</w:t>
      </w:r>
      <w:r w:rsidRPr="000525F8">
        <w:rPr>
          <w:rFonts w:ascii="Arial" w:hAnsi="Arial" w:cs="Arial"/>
          <w:color w:val="000000"/>
          <w:sz w:val="21"/>
          <w:szCs w:val="21"/>
        </w:rPr>
        <w:t>长江及江心洲、湿地和两侧带状绿地。</w:t>
      </w:r>
    </w:p>
    <w:p w14:paraId="6B5FF3CF"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两廊</w:t>
      </w:r>
      <w:r w:rsidRPr="000525F8">
        <w:rPr>
          <w:rFonts w:ascii="Arial" w:hAnsi="Arial" w:cs="Arial"/>
          <w:color w:val="000000"/>
          <w:sz w:val="21"/>
          <w:szCs w:val="21"/>
        </w:rPr>
        <w:t>:</w:t>
      </w:r>
      <w:r w:rsidRPr="000525F8">
        <w:rPr>
          <w:rFonts w:ascii="Arial" w:hAnsi="Arial" w:cs="Arial"/>
          <w:color w:val="000000"/>
          <w:sz w:val="21"/>
          <w:szCs w:val="21"/>
        </w:rPr>
        <w:t>以秦淮新河、</w:t>
      </w:r>
      <w:proofErr w:type="gramStart"/>
      <w:r w:rsidRPr="000525F8">
        <w:rPr>
          <w:rFonts w:ascii="Arial" w:hAnsi="Arial" w:cs="Arial"/>
          <w:color w:val="000000"/>
          <w:sz w:val="21"/>
          <w:szCs w:val="21"/>
        </w:rPr>
        <w:t>板桥河</w:t>
      </w:r>
      <w:proofErr w:type="gramEnd"/>
      <w:r w:rsidRPr="000525F8">
        <w:rPr>
          <w:rFonts w:ascii="Arial" w:hAnsi="Arial" w:cs="Arial"/>
          <w:color w:val="000000"/>
          <w:sz w:val="21"/>
          <w:szCs w:val="21"/>
        </w:rPr>
        <w:t>两边的景观带。</w:t>
      </w:r>
    </w:p>
    <w:p w14:paraId="5B1937A5"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两横两纵</w:t>
      </w:r>
      <w:r w:rsidRPr="000525F8">
        <w:rPr>
          <w:rFonts w:ascii="Arial" w:hAnsi="Arial" w:cs="Arial"/>
          <w:color w:val="000000"/>
          <w:sz w:val="21"/>
          <w:szCs w:val="21"/>
        </w:rPr>
        <w:t>:</w:t>
      </w:r>
      <w:r w:rsidRPr="000525F8">
        <w:rPr>
          <w:rFonts w:ascii="Arial" w:hAnsi="Arial" w:cs="Arial"/>
          <w:color w:val="000000"/>
          <w:sz w:val="21"/>
          <w:szCs w:val="21"/>
        </w:rPr>
        <w:t>沿宁</w:t>
      </w:r>
      <w:proofErr w:type="gramStart"/>
      <w:r w:rsidRPr="000525F8">
        <w:rPr>
          <w:rFonts w:ascii="Arial" w:hAnsi="Arial" w:cs="Arial"/>
          <w:color w:val="000000"/>
          <w:sz w:val="21"/>
          <w:szCs w:val="21"/>
        </w:rPr>
        <w:t>芜</w:t>
      </w:r>
      <w:proofErr w:type="gramEnd"/>
      <w:r w:rsidRPr="000525F8">
        <w:rPr>
          <w:rFonts w:ascii="Arial" w:hAnsi="Arial" w:cs="Arial"/>
          <w:color w:val="000000"/>
          <w:sz w:val="21"/>
          <w:szCs w:val="21"/>
        </w:rPr>
        <w:t>公路、宁马高速绿化隔离带</w:t>
      </w:r>
      <w:r w:rsidRPr="000525F8">
        <w:rPr>
          <w:rFonts w:ascii="Arial" w:hAnsi="Arial" w:cs="Arial" w:hint="eastAsia"/>
          <w:color w:val="000000"/>
          <w:sz w:val="21"/>
          <w:szCs w:val="21"/>
        </w:rPr>
        <w:t>、</w:t>
      </w:r>
      <w:r w:rsidRPr="000525F8">
        <w:rPr>
          <w:rFonts w:ascii="Arial" w:hAnsi="Arial" w:cs="Arial"/>
          <w:color w:val="000000"/>
          <w:sz w:val="21"/>
          <w:szCs w:val="21"/>
        </w:rPr>
        <w:t>沿梅钢隔离带东延绿化带</w:t>
      </w:r>
      <w:r w:rsidRPr="000525F8">
        <w:rPr>
          <w:rFonts w:ascii="Arial" w:hAnsi="Arial" w:cs="Arial" w:hint="eastAsia"/>
          <w:color w:val="000000"/>
          <w:sz w:val="21"/>
          <w:szCs w:val="21"/>
        </w:rPr>
        <w:t>、</w:t>
      </w:r>
      <w:r w:rsidRPr="000525F8">
        <w:rPr>
          <w:rFonts w:ascii="Arial" w:hAnsi="Arial" w:cs="Arial"/>
          <w:color w:val="000000"/>
          <w:sz w:val="21"/>
          <w:szCs w:val="21"/>
        </w:rPr>
        <w:t>沿小河北路绿化带。</w:t>
      </w:r>
      <w:r w:rsidRPr="000525F8">
        <w:rPr>
          <w:rFonts w:ascii="Arial" w:hAnsi="Arial" w:cs="Arial"/>
          <w:color w:val="000000"/>
          <w:sz w:val="21"/>
          <w:szCs w:val="21"/>
        </w:rPr>
        <w:t xml:space="preserve"> </w:t>
      </w:r>
    </w:p>
    <w:p w14:paraId="7178A0E9"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两隔</w:t>
      </w:r>
      <w:r w:rsidRPr="000525F8">
        <w:rPr>
          <w:rFonts w:ascii="Arial" w:hAnsi="Arial" w:cs="Arial"/>
          <w:color w:val="000000"/>
          <w:sz w:val="21"/>
          <w:szCs w:val="21"/>
        </w:rPr>
        <w:t>:</w:t>
      </w:r>
      <w:r w:rsidRPr="000525F8">
        <w:rPr>
          <w:rFonts w:ascii="Arial" w:hAnsi="Arial" w:cs="Arial"/>
          <w:color w:val="000000"/>
          <w:sz w:val="21"/>
          <w:szCs w:val="21"/>
        </w:rPr>
        <w:t>板桥新城与主城、板桥新城与江宁滨江开发区的隔离绿地。</w:t>
      </w:r>
      <w:r w:rsidRPr="000525F8">
        <w:rPr>
          <w:rFonts w:ascii="Arial" w:hAnsi="Arial" w:cs="Arial"/>
          <w:color w:val="000000"/>
          <w:sz w:val="21"/>
          <w:szCs w:val="21"/>
        </w:rPr>
        <w:t xml:space="preserve"> </w:t>
      </w:r>
    </w:p>
    <w:p w14:paraId="3BC20108"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两块</w:t>
      </w:r>
      <w:r w:rsidRPr="000525F8">
        <w:rPr>
          <w:rFonts w:ascii="Arial" w:hAnsi="Arial" w:cs="Arial"/>
          <w:color w:val="000000"/>
          <w:sz w:val="21"/>
          <w:szCs w:val="21"/>
        </w:rPr>
        <w:t>:</w:t>
      </w:r>
      <w:r w:rsidRPr="000525F8">
        <w:rPr>
          <w:rFonts w:ascii="Arial" w:hAnsi="Arial" w:cs="Arial"/>
          <w:color w:val="000000"/>
          <w:sz w:val="21"/>
          <w:szCs w:val="21"/>
        </w:rPr>
        <w:t>莲花湖中心、工农河公园中心</w:t>
      </w:r>
      <w:r w:rsidRPr="000525F8">
        <w:rPr>
          <w:rFonts w:ascii="Arial" w:hAnsi="Arial" w:cs="Arial" w:hint="eastAsia"/>
          <w:color w:val="000000"/>
          <w:sz w:val="21"/>
          <w:szCs w:val="21"/>
        </w:rPr>
        <w:t>。</w:t>
      </w:r>
    </w:p>
    <w:p w14:paraId="1CAE6973"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5</w:t>
      </w:r>
      <w:r w:rsidRPr="000525F8">
        <w:rPr>
          <w:rFonts w:ascii="Arial" w:hAnsi="Arial" w:cs="Arial" w:hint="eastAsia"/>
          <w:color w:val="000000"/>
          <w:sz w:val="21"/>
          <w:szCs w:val="21"/>
        </w:rPr>
        <w:t>）景观体系规划</w:t>
      </w:r>
      <w:r w:rsidRPr="000525F8">
        <w:rPr>
          <w:rFonts w:ascii="Arial" w:hAnsi="Arial" w:cs="Arial"/>
          <w:color w:val="000000"/>
          <w:sz w:val="21"/>
          <w:szCs w:val="21"/>
        </w:rPr>
        <w:t xml:space="preserve"> </w:t>
      </w:r>
    </w:p>
    <w:p w14:paraId="6A101693"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城镇景观轴线：绿洲东路发展轴、工农河路发展轴、六号路发展轴。</w:t>
      </w:r>
      <w:r w:rsidRPr="000525F8">
        <w:rPr>
          <w:rFonts w:ascii="Arial" w:hAnsi="Arial" w:cs="Arial"/>
          <w:color w:val="000000"/>
          <w:sz w:val="21"/>
          <w:szCs w:val="21"/>
        </w:rPr>
        <w:t xml:space="preserve"> </w:t>
      </w:r>
    </w:p>
    <w:p w14:paraId="063EEF48"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绿化景观轴线：秦淮新城百里长廊景观轴线、滨江景观轴、</w:t>
      </w:r>
      <w:proofErr w:type="gramStart"/>
      <w:r w:rsidRPr="000525F8">
        <w:rPr>
          <w:rFonts w:ascii="Arial" w:hAnsi="Arial" w:cs="Arial"/>
          <w:color w:val="000000"/>
          <w:sz w:val="21"/>
          <w:szCs w:val="21"/>
        </w:rPr>
        <w:t>板桥河景观</w:t>
      </w:r>
      <w:proofErr w:type="gramEnd"/>
      <w:r w:rsidRPr="000525F8">
        <w:rPr>
          <w:rFonts w:ascii="Arial" w:hAnsi="Arial" w:cs="Arial"/>
          <w:color w:val="000000"/>
          <w:sz w:val="21"/>
          <w:szCs w:val="21"/>
        </w:rPr>
        <w:t>轴线。</w:t>
      </w:r>
      <w:r w:rsidRPr="000525F8">
        <w:rPr>
          <w:rFonts w:ascii="Arial" w:hAnsi="Arial" w:cs="Arial"/>
          <w:color w:val="000000"/>
          <w:sz w:val="21"/>
          <w:szCs w:val="21"/>
        </w:rPr>
        <w:t xml:space="preserve"> </w:t>
      </w:r>
    </w:p>
    <w:p w14:paraId="376E4385"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城市景观节点：莲花湖节点、三山矶公园节点、</w:t>
      </w:r>
      <w:proofErr w:type="gramStart"/>
      <w:r w:rsidRPr="000525F8">
        <w:rPr>
          <w:rFonts w:ascii="Arial" w:hAnsi="Arial" w:cs="Arial"/>
          <w:color w:val="000000"/>
          <w:sz w:val="21"/>
          <w:szCs w:val="21"/>
        </w:rPr>
        <w:t>工农河公地</w:t>
      </w:r>
      <w:proofErr w:type="gramEnd"/>
      <w:r w:rsidRPr="000525F8">
        <w:rPr>
          <w:rFonts w:ascii="Arial" w:hAnsi="Arial" w:cs="Arial"/>
          <w:color w:val="000000"/>
          <w:sz w:val="21"/>
          <w:szCs w:val="21"/>
        </w:rPr>
        <w:t>公园。</w:t>
      </w:r>
    </w:p>
    <w:p w14:paraId="1C211F28"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6</w:t>
      </w:r>
      <w:r w:rsidRPr="000525F8">
        <w:rPr>
          <w:rFonts w:ascii="Arial" w:hAnsi="Arial" w:cs="Arial" w:hint="eastAsia"/>
          <w:color w:val="000000"/>
          <w:sz w:val="21"/>
          <w:szCs w:val="21"/>
        </w:rPr>
        <w:t>）社会事业与公共设施规划</w:t>
      </w:r>
      <w:r w:rsidRPr="000525F8">
        <w:rPr>
          <w:rFonts w:ascii="Arial" w:hAnsi="Arial" w:cs="Arial"/>
          <w:color w:val="000000"/>
          <w:sz w:val="21"/>
          <w:szCs w:val="21"/>
        </w:rPr>
        <w:t xml:space="preserve"> </w:t>
      </w:r>
    </w:p>
    <w:p w14:paraId="3DB51334"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中小学用地</w:t>
      </w:r>
      <w:r w:rsidRPr="000525F8">
        <w:rPr>
          <w:rFonts w:ascii="Arial" w:hAnsi="Arial" w:cs="Arial"/>
          <w:color w:val="000000"/>
          <w:sz w:val="21"/>
          <w:szCs w:val="21"/>
        </w:rPr>
        <w:t>:</w:t>
      </w:r>
      <w:r w:rsidRPr="000525F8">
        <w:rPr>
          <w:rFonts w:ascii="Arial" w:hAnsi="Arial" w:cs="Arial"/>
          <w:color w:val="000000"/>
          <w:sz w:val="21"/>
          <w:szCs w:val="21"/>
        </w:rPr>
        <w:t>规划共安排小学</w:t>
      </w:r>
      <w:r w:rsidRPr="000525F8">
        <w:rPr>
          <w:rFonts w:ascii="Arial" w:hAnsi="Arial" w:cs="Arial"/>
          <w:color w:val="000000"/>
          <w:sz w:val="21"/>
          <w:szCs w:val="21"/>
        </w:rPr>
        <w:t>15</w:t>
      </w:r>
      <w:r w:rsidRPr="000525F8">
        <w:rPr>
          <w:rFonts w:ascii="Arial" w:hAnsi="Arial" w:cs="Arial"/>
          <w:color w:val="000000"/>
          <w:sz w:val="21"/>
          <w:szCs w:val="21"/>
        </w:rPr>
        <w:t>所，其中新建</w:t>
      </w:r>
      <w:r w:rsidRPr="000525F8">
        <w:rPr>
          <w:rFonts w:ascii="Arial" w:hAnsi="Arial" w:cs="Arial"/>
          <w:color w:val="000000"/>
          <w:sz w:val="21"/>
          <w:szCs w:val="21"/>
        </w:rPr>
        <w:t>11</w:t>
      </w:r>
      <w:r w:rsidRPr="000525F8">
        <w:rPr>
          <w:rFonts w:ascii="Arial" w:hAnsi="Arial" w:cs="Arial"/>
          <w:color w:val="000000"/>
          <w:sz w:val="21"/>
          <w:szCs w:val="21"/>
        </w:rPr>
        <w:t>所</w:t>
      </w:r>
      <w:r w:rsidRPr="000525F8">
        <w:rPr>
          <w:rFonts w:ascii="Arial" w:hAnsi="Arial" w:cs="Arial"/>
          <w:color w:val="000000"/>
          <w:sz w:val="21"/>
          <w:szCs w:val="21"/>
        </w:rPr>
        <w:t>;</w:t>
      </w:r>
      <w:r w:rsidRPr="000525F8">
        <w:rPr>
          <w:rFonts w:ascii="Arial" w:hAnsi="Arial" w:cs="Arial"/>
          <w:color w:val="000000"/>
          <w:sz w:val="21"/>
          <w:szCs w:val="21"/>
        </w:rPr>
        <w:t>安排中学</w:t>
      </w:r>
      <w:r w:rsidRPr="000525F8">
        <w:rPr>
          <w:rFonts w:ascii="Arial" w:hAnsi="Arial" w:cs="Arial"/>
          <w:color w:val="000000"/>
          <w:sz w:val="21"/>
          <w:szCs w:val="21"/>
        </w:rPr>
        <w:t>13</w:t>
      </w:r>
      <w:r w:rsidRPr="000525F8">
        <w:rPr>
          <w:rFonts w:ascii="Arial" w:hAnsi="Arial" w:cs="Arial"/>
          <w:color w:val="000000"/>
          <w:sz w:val="21"/>
          <w:szCs w:val="21"/>
        </w:rPr>
        <w:t>所，其中新建</w:t>
      </w:r>
      <w:r w:rsidRPr="000525F8">
        <w:rPr>
          <w:rFonts w:ascii="Arial" w:hAnsi="Arial" w:cs="Arial"/>
          <w:color w:val="000000"/>
          <w:sz w:val="21"/>
          <w:szCs w:val="21"/>
        </w:rPr>
        <w:t>10</w:t>
      </w:r>
      <w:r w:rsidRPr="000525F8">
        <w:rPr>
          <w:rFonts w:ascii="Arial" w:hAnsi="Arial" w:cs="Arial"/>
          <w:color w:val="000000"/>
          <w:sz w:val="21"/>
          <w:szCs w:val="21"/>
        </w:rPr>
        <w:t>所。</w:t>
      </w:r>
      <w:r w:rsidRPr="000525F8">
        <w:rPr>
          <w:rFonts w:ascii="Arial" w:hAnsi="Arial" w:cs="Arial"/>
          <w:color w:val="000000"/>
          <w:sz w:val="21"/>
          <w:szCs w:val="21"/>
        </w:rPr>
        <w:t xml:space="preserve"> </w:t>
      </w:r>
    </w:p>
    <w:p w14:paraId="66AE8B47"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行政办公用地</w:t>
      </w:r>
      <w:r w:rsidRPr="000525F8">
        <w:rPr>
          <w:rFonts w:ascii="Arial" w:hAnsi="Arial" w:cs="Arial"/>
          <w:color w:val="000000"/>
          <w:sz w:val="21"/>
          <w:szCs w:val="21"/>
        </w:rPr>
        <w:t>:</w:t>
      </w:r>
      <w:r w:rsidRPr="000525F8">
        <w:rPr>
          <w:rFonts w:ascii="Arial" w:hAnsi="Arial" w:cs="Arial"/>
          <w:color w:val="000000"/>
          <w:sz w:val="21"/>
          <w:szCs w:val="21"/>
        </w:rPr>
        <w:t>板桥新城地区级行政办公用地集中分布于国际关系学院周边。</w:t>
      </w:r>
      <w:r w:rsidRPr="000525F8">
        <w:rPr>
          <w:rFonts w:ascii="Arial" w:hAnsi="Arial" w:cs="Arial"/>
          <w:color w:val="000000"/>
          <w:sz w:val="21"/>
          <w:szCs w:val="21"/>
        </w:rPr>
        <w:t xml:space="preserve"> </w:t>
      </w:r>
    </w:p>
    <w:p w14:paraId="51221761"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商业金融用地</w:t>
      </w:r>
      <w:r w:rsidRPr="000525F8">
        <w:rPr>
          <w:rFonts w:ascii="Arial" w:hAnsi="Arial" w:cs="Arial"/>
          <w:color w:val="000000"/>
          <w:sz w:val="21"/>
          <w:szCs w:val="21"/>
        </w:rPr>
        <w:t>:</w:t>
      </w:r>
      <w:r w:rsidRPr="000525F8">
        <w:rPr>
          <w:rFonts w:ascii="Arial" w:hAnsi="Arial" w:cs="Arial"/>
          <w:color w:val="000000"/>
          <w:sz w:val="21"/>
          <w:szCs w:val="21"/>
        </w:rPr>
        <w:t>在莲花湖北</w:t>
      </w:r>
      <w:proofErr w:type="gramStart"/>
      <w:r w:rsidRPr="000525F8">
        <w:rPr>
          <w:rFonts w:ascii="Arial" w:hAnsi="Arial" w:cs="Arial"/>
          <w:color w:val="000000"/>
          <w:sz w:val="21"/>
          <w:szCs w:val="21"/>
        </w:rPr>
        <w:t>侧建立</w:t>
      </w:r>
      <w:proofErr w:type="gramEnd"/>
      <w:r w:rsidRPr="000525F8">
        <w:rPr>
          <w:rFonts w:ascii="Arial" w:hAnsi="Arial" w:cs="Arial"/>
          <w:color w:val="000000"/>
          <w:sz w:val="21"/>
          <w:szCs w:val="21"/>
        </w:rPr>
        <w:t>新城商业中心。</w:t>
      </w:r>
      <w:r w:rsidRPr="000525F8">
        <w:rPr>
          <w:rFonts w:ascii="Arial" w:hAnsi="Arial" w:cs="Arial"/>
          <w:color w:val="000000"/>
          <w:sz w:val="21"/>
          <w:szCs w:val="21"/>
        </w:rPr>
        <w:t xml:space="preserve"> </w:t>
      </w:r>
    </w:p>
    <w:p w14:paraId="23E7D65B"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文化娱乐用地</w:t>
      </w:r>
      <w:r w:rsidRPr="000525F8">
        <w:rPr>
          <w:rFonts w:ascii="Arial" w:hAnsi="Arial" w:cs="Arial"/>
          <w:color w:val="000000"/>
          <w:sz w:val="21"/>
          <w:szCs w:val="21"/>
        </w:rPr>
        <w:t>:</w:t>
      </w:r>
      <w:r w:rsidRPr="000525F8">
        <w:rPr>
          <w:rFonts w:ascii="Arial" w:hAnsi="Arial" w:cs="Arial"/>
          <w:color w:val="000000"/>
          <w:sz w:val="21"/>
          <w:szCs w:val="21"/>
        </w:rPr>
        <w:t>在莲花湖东侧结合莲花</w:t>
      </w:r>
      <w:proofErr w:type="gramStart"/>
      <w:r w:rsidRPr="000525F8">
        <w:rPr>
          <w:rFonts w:ascii="Arial" w:hAnsi="Arial" w:cs="Arial"/>
          <w:color w:val="000000"/>
          <w:sz w:val="21"/>
          <w:szCs w:val="21"/>
        </w:rPr>
        <w:t>湖设置</w:t>
      </w:r>
      <w:proofErr w:type="gramEnd"/>
      <w:r w:rsidRPr="000525F8">
        <w:rPr>
          <w:rFonts w:ascii="Arial" w:hAnsi="Arial" w:cs="Arial"/>
          <w:color w:val="000000"/>
          <w:sz w:val="21"/>
          <w:szCs w:val="21"/>
        </w:rPr>
        <w:t>板桥地区级文化中心。</w:t>
      </w:r>
      <w:r w:rsidRPr="000525F8">
        <w:rPr>
          <w:rFonts w:ascii="Arial" w:hAnsi="Arial" w:cs="Arial"/>
          <w:color w:val="000000"/>
          <w:sz w:val="21"/>
          <w:szCs w:val="21"/>
        </w:rPr>
        <w:t xml:space="preserve"> </w:t>
      </w:r>
    </w:p>
    <w:p w14:paraId="10172D0A"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体育用地</w:t>
      </w:r>
      <w:r w:rsidRPr="000525F8">
        <w:rPr>
          <w:rFonts w:ascii="Arial" w:hAnsi="Arial" w:cs="Arial"/>
          <w:color w:val="000000"/>
          <w:sz w:val="21"/>
          <w:szCs w:val="21"/>
        </w:rPr>
        <w:t>:</w:t>
      </w:r>
      <w:r w:rsidRPr="000525F8">
        <w:rPr>
          <w:rFonts w:ascii="Arial" w:hAnsi="Arial" w:cs="Arial"/>
          <w:color w:val="000000"/>
          <w:sz w:val="21"/>
          <w:szCs w:val="21"/>
        </w:rPr>
        <w:t>结合莲花</w:t>
      </w:r>
      <w:proofErr w:type="gramStart"/>
      <w:r w:rsidRPr="000525F8">
        <w:rPr>
          <w:rFonts w:ascii="Arial" w:hAnsi="Arial" w:cs="Arial"/>
          <w:color w:val="000000"/>
          <w:sz w:val="21"/>
          <w:szCs w:val="21"/>
        </w:rPr>
        <w:t>湖设置</w:t>
      </w:r>
      <w:proofErr w:type="gramEnd"/>
      <w:r w:rsidRPr="000525F8">
        <w:rPr>
          <w:rFonts w:ascii="Arial" w:hAnsi="Arial" w:cs="Arial"/>
          <w:color w:val="000000"/>
          <w:sz w:val="21"/>
          <w:szCs w:val="21"/>
        </w:rPr>
        <w:t>地区级体育中心。</w:t>
      </w:r>
      <w:r w:rsidRPr="000525F8">
        <w:rPr>
          <w:rFonts w:ascii="Arial" w:hAnsi="Arial" w:cs="Arial"/>
          <w:color w:val="000000"/>
          <w:sz w:val="21"/>
          <w:szCs w:val="21"/>
        </w:rPr>
        <w:t xml:space="preserve"> </w:t>
      </w:r>
    </w:p>
    <w:p w14:paraId="64279326"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医疗卫生用地</w:t>
      </w:r>
      <w:r w:rsidRPr="000525F8">
        <w:rPr>
          <w:rFonts w:ascii="Arial" w:hAnsi="Arial" w:cs="Arial"/>
          <w:color w:val="000000"/>
          <w:sz w:val="21"/>
          <w:szCs w:val="21"/>
        </w:rPr>
        <w:t>:</w:t>
      </w:r>
      <w:r w:rsidRPr="000525F8">
        <w:rPr>
          <w:rFonts w:ascii="Arial" w:hAnsi="Arial" w:cs="Arial"/>
          <w:color w:val="000000"/>
          <w:sz w:val="21"/>
          <w:szCs w:val="21"/>
        </w:rPr>
        <w:t>保留原有梅山医院，结合新城中心规划建设一所二级综合医院。</w:t>
      </w:r>
      <w:r w:rsidRPr="000525F8">
        <w:rPr>
          <w:rFonts w:ascii="Arial" w:hAnsi="Arial" w:cs="Arial"/>
          <w:color w:val="000000"/>
          <w:sz w:val="21"/>
          <w:szCs w:val="21"/>
        </w:rPr>
        <w:t xml:space="preserve"> </w:t>
      </w:r>
    </w:p>
    <w:p w14:paraId="5D4513B0"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教育科研用地</w:t>
      </w:r>
      <w:r w:rsidRPr="000525F8">
        <w:rPr>
          <w:rFonts w:ascii="Arial" w:hAnsi="Arial" w:cs="Arial"/>
          <w:color w:val="000000"/>
          <w:sz w:val="21"/>
          <w:szCs w:val="21"/>
        </w:rPr>
        <w:t>:</w:t>
      </w:r>
      <w:r w:rsidRPr="000525F8">
        <w:rPr>
          <w:rFonts w:ascii="Arial" w:hAnsi="Arial" w:cs="Arial"/>
          <w:color w:val="000000"/>
          <w:sz w:val="21"/>
          <w:szCs w:val="21"/>
        </w:rPr>
        <w:t>保留现状国际关系学院。新建软件大学。</w:t>
      </w:r>
      <w:r w:rsidRPr="000525F8">
        <w:rPr>
          <w:rFonts w:ascii="Arial" w:hAnsi="Arial" w:cs="Arial"/>
          <w:color w:val="000000"/>
          <w:sz w:val="21"/>
          <w:szCs w:val="21"/>
        </w:rPr>
        <w:t xml:space="preserve"> </w:t>
      </w:r>
    </w:p>
    <w:p w14:paraId="3E111C95"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lastRenderedPageBreak/>
        <w:t>社会福利设施用地</w:t>
      </w:r>
      <w:r w:rsidRPr="000525F8">
        <w:rPr>
          <w:rFonts w:ascii="Arial" w:hAnsi="Arial" w:cs="Arial"/>
          <w:color w:val="000000"/>
          <w:sz w:val="21"/>
          <w:szCs w:val="21"/>
        </w:rPr>
        <w:t>:</w:t>
      </w:r>
      <w:r w:rsidRPr="000525F8">
        <w:rPr>
          <w:rFonts w:ascii="Arial" w:hAnsi="Arial" w:cs="Arial"/>
          <w:color w:val="000000"/>
          <w:sz w:val="21"/>
          <w:szCs w:val="21"/>
        </w:rPr>
        <w:t>结合莲花湖南社区中心规划新建</w:t>
      </w:r>
      <w:proofErr w:type="gramStart"/>
      <w:r w:rsidRPr="000525F8">
        <w:rPr>
          <w:rFonts w:ascii="Arial" w:hAnsi="Arial" w:cs="Arial"/>
          <w:color w:val="000000"/>
          <w:sz w:val="21"/>
          <w:szCs w:val="21"/>
        </w:rPr>
        <w:t>一座地</w:t>
      </w:r>
      <w:proofErr w:type="gramEnd"/>
      <w:r w:rsidRPr="000525F8">
        <w:rPr>
          <w:rFonts w:ascii="Arial" w:hAnsi="Arial" w:cs="Arial"/>
          <w:color w:val="000000"/>
          <w:sz w:val="21"/>
          <w:szCs w:val="21"/>
        </w:rPr>
        <w:t>区级养老</w:t>
      </w:r>
      <w:r w:rsidRPr="000525F8">
        <w:rPr>
          <w:rFonts w:ascii="Arial" w:hAnsi="Arial" w:cs="Arial" w:hint="eastAsia"/>
          <w:color w:val="000000"/>
          <w:sz w:val="21"/>
          <w:szCs w:val="21"/>
        </w:rPr>
        <w:t>福利中心。</w:t>
      </w:r>
    </w:p>
    <w:p w14:paraId="31824B35"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7</w:t>
      </w:r>
      <w:r w:rsidRPr="000525F8">
        <w:rPr>
          <w:rFonts w:ascii="Arial" w:hAnsi="Arial" w:cs="Arial" w:hint="eastAsia"/>
          <w:color w:val="000000"/>
          <w:sz w:val="21"/>
          <w:szCs w:val="21"/>
        </w:rPr>
        <w:t>）未来</w:t>
      </w:r>
      <w:r w:rsidRPr="000525F8">
        <w:rPr>
          <w:rFonts w:ascii="Arial" w:hAnsi="Arial" w:cs="Arial"/>
          <w:color w:val="000000"/>
          <w:sz w:val="21"/>
          <w:szCs w:val="21"/>
        </w:rPr>
        <w:t>重点突破地区</w:t>
      </w:r>
    </w:p>
    <w:p w14:paraId="6460D5F7" w14:textId="2BE8616F" w:rsidR="002F3F30" w:rsidRPr="002F3F30" w:rsidRDefault="002F3F30" w:rsidP="0052061F">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莲花湖商贸商务区</w:t>
      </w:r>
      <w:r w:rsidRPr="000525F8">
        <w:rPr>
          <w:rFonts w:ascii="Arial" w:hAnsi="Arial" w:cs="Arial" w:hint="eastAsia"/>
          <w:color w:val="000000"/>
          <w:sz w:val="21"/>
          <w:szCs w:val="21"/>
        </w:rPr>
        <w:t>继续</w:t>
      </w:r>
      <w:r w:rsidRPr="000525F8">
        <w:rPr>
          <w:rFonts w:ascii="Arial" w:hAnsi="Arial" w:cs="Arial"/>
          <w:color w:val="000000"/>
          <w:sz w:val="21"/>
          <w:szCs w:val="21"/>
        </w:rPr>
        <w:t>完善基础设施建设，提升科技的培训、孵化与服务的能力，中心区建设初具雏形。板桥街道片区通过对板桥街道的整体提升，整治地区环境与旧区，完善设施，改善地区环境。中国软件谷升级跨越区推进</w:t>
      </w:r>
      <w:r w:rsidRPr="000525F8">
        <w:rPr>
          <w:rFonts w:ascii="Arial" w:hAnsi="Arial" w:cs="Arial"/>
          <w:color w:val="000000"/>
          <w:sz w:val="21"/>
          <w:szCs w:val="21"/>
        </w:rPr>
        <w:t>“</w:t>
      </w:r>
      <w:r w:rsidRPr="000525F8">
        <w:rPr>
          <w:rFonts w:ascii="Arial" w:hAnsi="Arial" w:cs="Arial"/>
          <w:color w:val="000000"/>
          <w:sz w:val="21"/>
          <w:szCs w:val="21"/>
        </w:rPr>
        <w:t>退二进三</w:t>
      </w:r>
      <w:r w:rsidRPr="000525F8">
        <w:rPr>
          <w:rFonts w:ascii="Arial" w:hAnsi="Arial" w:cs="Arial"/>
          <w:color w:val="000000"/>
          <w:sz w:val="21"/>
          <w:szCs w:val="21"/>
        </w:rPr>
        <w:t>”</w:t>
      </w:r>
      <w:r w:rsidRPr="000525F8">
        <w:rPr>
          <w:rFonts w:ascii="Arial" w:hAnsi="Arial" w:cs="Arial"/>
          <w:color w:val="000000"/>
          <w:sz w:val="21"/>
          <w:szCs w:val="21"/>
        </w:rPr>
        <w:t>，大力建设雨</w:t>
      </w:r>
      <w:proofErr w:type="gramStart"/>
      <w:r w:rsidRPr="000525F8">
        <w:rPr>
          <w:rFonts w:ascii="Arial" w:hAnsi="Arial" w:cs="Arial"/>
          <w:color w:val="000000"/>
          <w:sz w:val="21"/>
          <w:szCs w:val="21"/>
        </w:rPr>
        <w:t>花经济</w:t>
      </w:r>
      <w:proofErr w:type="gramEnd"/>
      <w:r w:rsidRPr="000525F8">
        <w:rPr>
          <w:rFonts w:ascii="Arial" w:hAnsi="Arial" w:cs="Arial"/>
          <w:color w:val="000000"/>
          <w:sz w:val="21"/>
          <w:szCs w:val="21"/>
        </w:rPr>
        <w:t>开发区科技创新特区，完善建设人才公寓。</w:t>
      </w:r>
    </w:p>
    <w:p w14:paraId="07F27AE0" w14:textId="77777777" w:rsidR="00C01AA7" w:rsidRPr="00E05368"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sidRPr="00307CE1">
        <w:rPr>
          <w:rFonts w:ascii="Arial" w:hAnsi="Arial" w:cs="Arial" w:hint="eastAsia"/>
          <w:color w:val="000000"/>
          <w:sz w:val="21"/>
          <w:szCs w:val="21"/>
        </w:rPr>
        <w:t>2</w:t>
      </w:r>
      <w:r w:rsidRPr="00307CE1">
        <w:rPr>
          <w:rFonts w:ascii="Arial" w:hAnsi="Arial" w:cs="Arial"/>
          <w:color w:val="000000"/>
          <w:sz w:val="21"/>
          <w:szCs w:val="21"/>
        </w:rPr>
        <w:t>、</w:t>
      </w:r>
      <w:r w:rsidRPr="00307CE1">
        <w:rPr>
          <w:rFonts w:ascii="Arial" w:hAnsi="Arial" w:cs="Arial" w:hint="eastAsia"/>
          <w:color w:val="000000"/>
          <w:sz w:val="21"/>
          <w:szCs w:val="21"/>
        </w:rPr>
        <w:t>区域房地产市场概况</w:t>
      </w:r>
    </w:p>
    <w:p w14:paraId="7C609546" w14:textId="77777777" w:rsidR="00C01AA7" w:rsidRPr="00E05368"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hint="eastAsia"/>
          <w:color w:val="000000"/>
          <w:sz w:val="21"/>
          <w:szCs w:val="21"/>
        </w:rPr>
        <w:t>（</w:t>
      </w:r>
      <w:r w:rsidRPr="00E05368">
        <w:rPr>
          <w:rFonts w:ascii="Arial" w:hAnsi="Arial" w:cs="Arial" w:hint="eastAsia"/>
          <w:color w:val="000000"/>
          <w:sz w:val="21"/>
          <w:szCs w:val="21"/>
        </w:rPr>
        <w:t>1</w:t>
      </w:r>
      <w:r w:rsidRPr="00E05368">
        <w:rPr>
          <w:rFonts w:ascii="Arial" w:hAnsi="Arial" w:cs="Arial" w:hint="eastAsia"/>
          <w:color w:val="000000"/>
          <w:sz w:val="21"/>
          <w:szCs w:val="21"/>
        </w:rPr>
        <w:t>）区域土地市场分析</w:t>
      </w:r>
    </w:p>
    <w:p w14:paraId="204B9D96" w14:textId="1DEA4F72" w:rsidR="00C01AA7" w:rsidRPr="00E05368"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hint="eastAsia"/>
          <w:color w:val="000000"/>
          <w:sz w:val="21"/>
          <w:szCs w:val="21"/>
        </w:rPr>
        <w:t>2</w:t>
      </w:r>
      <w:r w:rsidR="00903363">
        <w:rPr>
          <w:rFonts w:ascii="Arial" w:hAnsi="Arial" w:cs="Arial"/>
          <w:color w:val="000000"/>
          <w:sz w:val="21"/>
          <w:szCs w:val="21"/>
        </w:rPr>
        <w:t>01</w:t>
      </w:r>
      <w:r w:rsidR="00903363">
        <w:rPr>
          <w:rFonts w:ascii="Arial" w:hAnsi="Arial" w:cs="Arial" w:hint="eastAsia"/>
          <w:color w:val="000000"/>
          <w:sz w:val="21"/>
          <w:szCs w:val="21"/>
        </w:rPr>
        <w:t>7</w:t>
      </w:r>
      <w:r w:rsidRPr="00E05368">
        <w:rPr>
          <w:rFonts w:ascii="Arial" w:hAnsi="Arial" w:cs="Arial" w:hint="eastAsia"/>
          <w:color w:val="000000"/>
          <w:sz w:val="21"/>
          <w:szCs w:val="21"/>
        </w:rPr>
        <w:t>年至</w:t>
      </w:r>
      <w:r w:rsidR="00903363">
        <w:rPr>
          <w:rFonts w:ascii="Arial" w:hAnsi="Arial" w:cs="Arial"/>
          <w:color w:val="000000"/>
          <w:sz w:val="21"/>
          <w:szCs w:val="21"/>
        </w:rPr>
        <w:t>202</w:t>
      </w:r>
      <w:r w:rsidR="00903363">
        <w:rPr>
          <w:rFonts w:ascii="Arial" w:hAnsi="Arial" w:cs="Arial" w:hint="eastAsia"/>
          <w:color w:val="000000"/>
          <w:sz w:val="21"/>
          <w:szCs w:val="21"/>
        </w:rPr>
        <w:t>1</w:t>
      </w:r>
      <w:r w:rsidRPr="00E05368">
        <w:rPr>
          <w:rFonts w:ascii="Arial" w:hAnsi="Arial" w:cs="Arial" w:hint="eastAsia"/>
          <w:color w:val="000000"/>
          <w:sz w:val="21"/>
          <w:szCs w:val="21"/>
        </w:rPr>
        <w:t>年</w:t>
      </w:r>
      <w:r w:rsidR="00903363">
        <w:rPr>
          <w:rFonts w:ascii="Arial" w:hAnsi="Arial" w:cs="Arial" w:hint="eastAsia"/>
          <w:color w:val="000000"/>
          <w:sz w:val="21"/>
          <w:szCs w:val="21"/>
        </w:rPr>
        <w:t>1-5</w:t>
      </w:r>
      <w:r w:rsidR="00903363">
        <w:rPr>
          <w:rFonts w:ascii="Arial" w:hAnsi="Arial" w:cs="Arial" w:hint="eastAsia"/>
          <w:color w:val="000000"/>
          <w:sz w:val="21"/>
          <w:szCs w:val="21"/>
        </w:rPr>
        <w:t>月</w:t>
      </w:r>
      <w:r w:rsidRPr="00E05368">
        <w:rPr>
          <w:rFonts w:ascii="Arial" w:hAnsi="Arial" w:cs="Arial" w:hint="eastAsia"/>
          <w:color w:val="000000"/>
          <w:sz w:val="21"/>
          <w:szCs w:val="21"/>
        </w:rPr>
        <w:t>，</w:t>
      </w:r>
      <w:proofErr w:type="gramStart"/>
      <w:r w:rsidR="00903363">
        <w:rPr>
          <w:rFonts w:ascii="Arial" w:hAnsi="Arial" w:cs="Arial" w:hint="eastAsia"/>
          <w:color w:val="000000"/>
          <w:sz w:val="21"/>
          <w:szCs w:val="21"/>
        </w:rPr>
        <w:t>雨花台区</w:t>
      </w:r>
      <w:r w:rsidRPr="00E05368">
        <w:rPr>
          <w:rFonts w:ascii="Arial" w:hAnsi="Arial" w:cs="Arial" w:hint="eastAsia"/>
          <w:color w:val="000000"/>
          <w:sz w:val="21"/>
          <w:szCs w:val="21"/>
        </w:rPr>
        <w:t>涉宅用地</w:t>
      </w:r>
      <w:proofErr w:type="gramEnd"/>
      <w:r w:rsidRPr="00E05368">
        <w:rPr>
          <w:rFonts w:ascii="Arial" w:hAnsi="Arial" w:cs="Arial" w:hint="eastAsia"/>
          <w:color w:val="000000"/>
          <w:sz w:val="21"/>
          <w:szCs w:val="21"/>
        </w:rPr>
        <w:t>共成交</w:t>
      </w:r>
      <w:r w:rsidR="00903363">
        <w:rPr>
          <w:rFonts w:ascii="Arial" w:hAnsi="Arial" w:cs="Arial" w:hint="eastAsia"/>
          <w:color w:val="000000"/>
          <w:sz w:val="21"/>
          <w:szCs w:val="21"/>
        </w:rPr>
        <w:t>30</w:t>
      </w:r>
      <w:r w:rsidRPr="00E05368">
        <w:rPr>
          <w:rFonts w:ascii="Arial" w:hAnsi="Arial" w:cs="Arial" w:hint="eastAsia"/>
          <w:color w:val="000000"/>
          <w:sz w:val="21"/>
          <w:szCs w:val="21"/>
        </w:rPr>
        <w:t>宗，总成交土地面积</w:t>
      </w:r>
      <w:r w:rsidR="00903363">
        <w:rPr>
          <w:rFonts w:ascii="Arial" w:hAnsi="Arial" w:cs="Arial" w:hint="eastAsia"/>
          <w:color w:val="000000"/>
          <w:sz w:val="21"/>
          <w:szCs w:val="21"/>
        </w:rPr>
        <w:t>190.42</w:t>
      </w:r>
      <w:r w:rsidRPr="00E05368">
        <w:rPr>
          <w:rFonts w:ascii="Arial" w:hAnsi="Arial" w:cs="Arial" w:hint="eastAsia"/>
          <w:color w:val="000000"/>
          <w:sz w:val="21"/>
          <w:szCs w:val="21"/>
        </w:rPr>
        <w:t>万平方米，总成交建筑面积</w:t>
      </w:r>
      <w:r>
        <w:rPr>
          <w:rFonts w:ascii="Arial" w:hAnsi="Arial" w:cs="Arial" w:hint="eastAsia"/>
          <w:color w:val="000000"/>
          <w:sz w:val="21"/>
          <w:szCs w:val="21"/>
        </w:rPr>
        <w:t>为</w:t>
      </w:r>
      <w:r w:rsidR="00903363">
        <w:rPr>
          <w:rFonts w:ascii="Arial" w:hAnsi="Arial" w:cs="Arial" w:hint="eastAsia"/>
          <w:color w:val="000000"/>
          <w:sz w:val="21"/>
          <w:szCs w:val="21"/>
        </w:rPr>
        <w:t>527.74</w:t>
      </w:r>
      <w:r w:rsidRPr="00E05368">
        <w:rPr>
          <w:rFonts w:ascii="Arial" w:hAnsi="Arial" w:cs="Arial" w:hint="eastAsia"/>
          <w:color w:val="000000"/>
          <w:sz w:val="21"/>
          <w:szCs w:val="21"/>
        </w:rPr>
        <w:t>万平方米，总成交金额约为</w:t>
      </w:r>
      <w:r w:rsidR="00903363">
        <w:rPr>
          <w:rFonts w:ascii="Arial" w:hAnsi="Arial" w:cs="Arial" w:hint="eastAsia"/>
          <w:color w:val="000000"/>
          <w:sz w:val="21"/>
          <w:szCs w:val="21"/>
        </w:rPr>
        <w:t>820.3</w:t>
      </w:r>
      <w:r w:rsidRPr="00E05368">
        <w:rPr>
          <w:rFonts w:ascii="Arial" w:hAnsi="Arial" w:cs="Arial" w:hint="eastAsia"/>
          <w:color w:val="000000"/>
          <w:sz w:val="21"/>
          <w:szCs w:val="21"/>
        </w:rPr>
        <w:t>亿元。</w:t>
      </w:r>
    </w:p>
    <w:p w14:paraId="0FE9406A" w14:textId="506E6906" w:rsidR="00C01AA7" w:rsidRPr="00E05368" w:rsidRDefault="00135FA9" w:rsidP="00C01AA7">
      <w:pPr>
        <w:widowControl w:val="0"/>
        <w:adjustRightInd w:val="0"/>
        <w:snapToGrid w:val="0"/>
        <w:spacing w:line="480" w:lineRule="auto"/>
        <w:jc w:val="center"/>
        <w:rPr>
          <w:rFonts w:ascii="Arial" w:hAnsi="Arial" w:cs="Arial"/>
          <w:color w:val="000000"/>
          <w:sz w:val="21"/>
          <w:szCs w:val="21"/>
        </w:rPr>
      </w:pPr>
      <w:r>
        <w:rPr>
          <w:noProof/>
        </w:rPr>
        <w:drawing>
          <wp:inline distT="0" distB="0" distL="0" distR="0" wp14:anchorId="36BFE4A5" wp14:editId="604DE6B7">
            <wp:extent cx="5486400" cy="2072640"/>
            <wp:effectExtent l="0" t="0" r="0" b="3810"/>
            <wp:docPr id="1" name="图表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0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0258C97A" w14:textId="77777777" w:rsidR="00C01AA7" w:rsidRPr="00E05368" w:rsidRDefault="00C01AA7" w:rsidP="00C01AA7">
      <w:pPr>
        <w:widowControl w:val="0"/>
        <w:adjustRightInd w:val="0"/>
        <w:snapToGrid w:val="0"/>
        <w:spacing w:line="480" w:lineRule="auto"/>
        <w:jc w:val="both"/>
        <w:rPr>
          <w:rFonts w:ascii="华文细黑" w:eastAsia="华文细黑" w:hAnsi="华文细黑" w:cs="Arial"/>
          <w:color w:val="000000"/>
          <w:sz w:val="15"/>
          <w:szCs w:val="15"/>
        </w:rPr>
      </w:pPr>
      <w:r w:rsidRPr="00E05368">
        <w:rPr>
          <w:rFonts w:ascii="华文细黑" w:eastAsia="华文细黑" w:hAnsi="华文细黑" w:cs="Arial" w:hint="eastAsia"/>
          <w:color w:val="000000"/>
          <w:sz w:val="15"/>
          <w:szCs w:val="15"/>
        </w:rPr>
        <w:t>资料来源：</w:t>
      </w:r>
      <w:r w:rsidRPr="00E05368">
        <w:rPr>
          <w:rFonts w:ascii="Arial" w:eastAsia="华文细黑" w:hAnsi="Arial" w:cs="Arial"/>
          <w:color w:val="000000"/>
          <w:sz w:val="15"/>
          <w:szCs w:val="15"/>
        </w:rPr>
        <w:t>CREIS</w:t>
      </w:r>
      <w:r w:rsidRPr="00E05368">
        <w:rPr>
          <w:rFonts w:ascii="华文细黑" w:eastAsia="华文细黑" w:hAnsi="华文细黑" w:cs="Arial" w:hint="eastAsia"/>
          <w:color w:val="000000"/>
          <w:sz w:val="15"/>
          <w:szCs w:val="15"/>
        </w:rPr>
        <w:t>中指数据</w:t>
      </w:r>
    </w:p>
    <w:p w14:paraId="2335EBD1" w14:textId="48B04AA1" w:rsidR="00C01AA7"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hint="eastAsia"/>
          <w:color w:val="000000"/>
          <w:sz w:val="21"/>
          <w:szCs w:val="21"/>
        </w:rPr>
        <w:t>从各年度成交走势来看，</w:t>
      </w:r>
      <w:r w:rsidR="00903363">
        <w:rPr>
          <w:rFonts w:ascii="Arial" w:hAnsi="Arial" w:cs="Arial" w:hint="eastAsia"/>
          <w:color w:val="000000"/>
          <w:sz w:val="21"/>
          <w:szCs w:val="21"/>
        </w:rPr>
        <w:t>2017</w:t>
      </w:r>
      <w:r w:rsidR="00903363">
        <w:rPr>
          <w:rFonts w:ascii="Arial" w:hAnsi="Arial" w:cs="Arial" w:hint="eastAsia"/>
          <w:color w:val="000000"/>
          <w:sz w:val="21"/>
          <w:szCs w:val="21"/>
        </w:rPr>
        <w:t>年</w:t>
      </w:r>
      <w:r w:rsidR="00903363">
        <w:rPr>
          <w:rFonts w:ascii="Arial" w:hAnsi="Arial" w:cs="Arial" w:hint="eastAsia"/>
          <w:color w:val="000000"/>
          <w:sz w:val="21"/>
          <w:szCs w:val="21"/>
        </w:rPr>
        <w:t>-2020</w:t>
      </w:r>
      <w:r w:rsidR="00903363">
        <w:rPr>
          <w:rFonts w:ascii="Arial" w:hAnsi="Arial" w:cs="Arial" w:hint="eastAsia"/>
          <w:color w:val="000000"/>
          <w:sz w:val="21"/>
          <w:szCs w:val="21"/>
        </w:rPr>
        <w:t>年</w:t>
      </w:r>
      <w:r>
        <w:rPr>
          <w:rFonts w:ascii="Arial" w:hAnsi="Arial" w:cs="Arial" w:hint="eastAsia"/>
          <w:color w:val="000000"/>
          <w:sz w:val="21"/>
          <w:szCs w:val="21"/>
        </w:rPr>
        <w:t>整体呈波动态势，</w:t>
      </w:r>
      <w:r w:rsidR="00903363">
        <w:rPr>
          <w:rFonts w:ascii="Arial" w:hAnsi="Arial" w:cs="Arial" w:hint="eastAsia"/>
          <w:color w:val="000000"/>
          <w:sz w:val="21"/>
          <w:szCs w:val="21"/>
        </w:rPr>
        <w:t>2021</w:t>
      </w:r>
      <w:r>
        <w:rPr>
          <w:rFonts w:ascii="Arial" w:hAnsi="Arial" w:cs="Arial" w:hint="eastAsia"/>
          <w:color w:val="000000"/>
          <w:sz w:val="21"/>
          <w:szCs w:val="21"/>
        </w:rPr>
        <w:t>年涨幅较为明显。</w:t>
      </w:r>
      <w:r w:rsidR="00903363">
        <w:rPr>
          <w:rFonts w:ascii="Arial" w:hAnsi="Arial" w:cs="Arial" w:hint="eastAsia"/>
          <w:color w:val="000000"/>
          <w:sz w:val="21"/>
          <w:szCs w:val="21"/>
        </w:rPr>
        <w:t>2017-2020</w:t>
      </w:r>
      <w:r w:rsidR="00903363">
        <w:rPr>
          <w:rFonts w:ascii="Arial" w:hAnsi="Arial" w:cs="Arial" w:hint="eastAsia"/>
          <w:color w:val="000000"/>
          <w:sz w:val="21"/>
          <w:szCs w:val="21"/>
        </w:rPr>
        <w:t>年雨花台区</w:t>
      </w:r>
      <w:r>
        <w:rPr>
          <w:rFonts w:ascii="Arial" w:hAnsi="Arial" w:cs="Arial" w:hint="eastAsia"/>
          <w:color w:val="000000"/>
          <w:sz w:val="21"/>
          <w:szCs w:val="21"/>
        </w:rPr>
        <w:t>住宅用地成交量基本维持在</w:t>
      </w:r>
      <w:r w:rsidR="00903363">
        <w:rPr>
          <w:rFonts w:ascii="Arial" w:hAnsi="Arial" w:cs="Arial" w:hint="eastAsia"/>
          <w:color w:val="000000"/>
          <w:sz w:val="21"/>
          <w:szCs w:val="21"/>
        </w:rPr>
        <w:t>40</w:t>
      </w:r>
      <w:r>
        <w:rPr>
          <w:rFonts w:ascii="Arial" w:hAnsi="Arial" w:cs="Arial" w:hint="eastAsia"/>
          <w:color w:val="000000"/>
          <w:sz w:val="21"/>
          <w:szCs w:val="21"/>
        </w:rPr>
        <w:t>万平方米以下。</w:t>
      </w:r>
      <w:r w:rsidR="00903363">
        <w:rPr>
          <w:rFonts w:ascii="Arial" w:hAnsi="Arial" w:cs="Arial" w:hint="eastAsia"/>
          <w:color w:val="000000"/>
          <w:sz w:val="21"/>
          <w:szCs w:val="21"/>
        </w:rPr>
        <w:t>2021</w:t>
      </w:r>
      <w:r w:rsidR="00903363">
        <w:rPr>
          <w:rFonts w:ascii="Arial" w:hAnsi="Arial" w:cs="Arial" w:hint="eastAsia"/>
          <w:color w:val="000000"/>
          <w:sz w:val="21"/>
          <w:szCs w:val="21"/>
        </w:rPr>
        <w:t>年</w:t>
      </w:r>
      <w:r w:rsidR="00903363">
        <w:rPr>
          <w:rFonts w:ascii="Arial" w:hAnsi="Arial" w:cs="Arial" w:hint="eastAsia"/>
          <w:color w:val="000000"/>
          <w:sz w:val="21"/>
          <w:szCs w:val="21"/>
        </w:rPr>
        <w:t>1-5</w:t>
      </w:r>
      <w:r w:rsidR="00903363">
        <w:rPr>
          <w:rFonts w:ascii="Arial" w:hAnsi="Arial" w:cs="Arial" w:hint="eastAsia"/>
          <w:color w:val="000000"/>
          <w:sz w:val="21"/>
          <w:szCs w:val="21"/>
        </w:rPr>
        <w:t>月雨花台区</w:t>
      </w:r>
      <w:r>
        <w:rPr>
          <w:rFonts w:ascii="Arial" w:hAnsi="Arial" w:cs="Arial" w:hint="eastAsia"/>
          <w:color w:val="000000"/>
          <w:sz w:val="21"/>
          <w:szCs w:val="21"/>
        </w:rPr>
        <w:t>成交涉</w:t>
      </w:r>
      <w:proofErr w:type="gramStart"/>
      <w:r>
        <w:rPr>
          <w:rFonts w:ascii="Arial" w:hAnsi="Arial" w:cs="Arial" w:hint="eastAsia"/>
          <w:color w:val="000000"/>
          <w:sz w:val="21"/>
          <w:szCs w:val="21"/>
        </w:rPr>
        <w:t>宅</w:t>
      </w:r>
      <w:proofErr w:type="gramEnd"/>
      <w:r>
        <w:rPr>
          <w:rFonts w:ascii="Arial" w:hAnsi="Arial" w:cs="Arial" w:hint="eastAsia"/>
          <w:color w:val="000000"/>
          <w:sz w:val="21"/>
          <w:szCs w:val="21"/>
        </w:rPr>
        <w:t>用地</w:t>
      </w:r>
      <w:r w:rsidR="00903363">
        <w:rPr>
          <w:rFonts w:ascii="Arial" w:hAnsi="Arial" w:cs="Arial" w:hint="eastAsia"/>
          <w:color w:val="000000"/>
          <w:sz w:val="21"/>
          <w:szCs w:val="21"/>
        </w:rPr>
        <w:t>10</w:t>
      </w:r>
      <w:r>
        <w:rPr>
          <w:rFonts w:ascii="Arial" w:hAnsi="Arial" w:cs="Arial" w:hint="eastAsia"/>
          <w:color w:val="000000"/>
          <w:sz w:val="21"/>
          <w:szCs w:val="21"/>
        </w:rPr>
        <w:t>宗，环比增加</w:t>
      </w:r>
      <w:r w:rsidR="00903363">
        <w:rPr>
          <w:rFonts w:ascii="Arial" w:hAnsi="Arial" w:cs="Arial" w:hint="eastAsia"/>
          <w:color w:val="000000"/>
          <w:sz w:val="21"/>
          <w:szCs w:val="21"/>
        </w:rPr>
        <w:t>9</w:t>
      </w:r>
      <w:r>
        <w:rPr>
          <w:rFonts w:ascii="Arial" w:hAnsi="Arial" w:cs="Arial" w:hint="eastAsia"/>
          <w:color w:val="000000"/>
          <w:sz w:val="21"/>
          <w:szCs w:val="21"/>
        </w:rPr>
        <w:t>宗，成交土地面积</w:t>
      </w:r>
      <w:r w:rsidR="00903363" w:rsidRPr="00903363">
        <w:rPr>
          <w:rFonts w:ascii="Arial" w:hAnsi="Arial" w:cs="Arial"/>
          <w:color w:val="000000"/>
          <w:sz w:val="21"/>
          <w:szCs w:val="21"/>
        </w:rPr>
        <w:t>64.36</w:t>
      </w:r>
      <w:r>
        <w:rPr>
          <w:rFonts w:ascii="Arial" w:hAnsi="Arial" w:cs="Arial" w:hint="eastAsia"/>
          <w:color w:val="000000"/>
          <w:sz w:val="21"/>
          <w:szCs w:val="21"/>
        </w:rPr>
        <w:t>万平方米，环比增长</w:t>
      </w:r>
      <w:r w:rsidR="00903363">
        <w:rPr>
          <w:rFonts w:ascii="Arial" w:hAnsi="Arial" w:cs="Arial" w:hint="eastAsia"/>
          <w:color w:val="000000"/>
          <w:sz w:val="21"/>
          <w:szCs w:val="21"/>
        </w:rPr>
        <w:t>769</w:t>
      </w:r>
      <w:r>
        <w:rPr>
          <w:rFonts w:ascii="Arial" w:hAnsi="Arial" w:cs="Arial" w:hint="eastAsia"/>
          <w:color w:val="000000"/>
          <w:sz w:val="21"/>
          <w:szCs w:val="21"/>
        </w:rPr>
        <w:t>%</w:t>
      </w:r>
      <w:r>
        <w:rPr>
          <w:rFonts w:ascii="Arial" w:hAnsi="Arial" w:cs="Arial" w:hint="eastAsia"/>
          <w:color w:val="000000"/>
          <w:sz w:val="21"/>
          <w:szCs w:val="21"/>
        </w:rPr>
        <w:t>，新增规划建筑面积</w:t>
      </w:r>
      <w:r w:rsidR="00903363" w:rsidRPr="00903363">
        <w:rPr>
          <w:rFonts w:ascii="Arial" w:hAnsi="Arial" w:cs="Arial"/>
          <w:color w:val="000000"/>
          <w:sz w:val="21"/>
          <w:szCs w:val="21"/>
        </w:rPr>
        <w:t>199.52</w:t>
      </w:r>
      <w:r>
        <w:rPr>
          <w:rFonts w:ascii="Arial" w:hAnsi="Arial" w:cs="Arial" w:hint="eastAsia"/>
          <w:color w:val="000000"/>
          <w:sz w:val="21"/>
          <w:szCs w:val="21"/>
        </w:rPr>
        <w:t>万平方米，环比增长</w:t>
      </w:r>
      <w:r w:rsidR="00903363">
        <w:rPr>
          <w:rFonts w:ascii="Arial" w:hAnsi="Arial" w:cs="Arial" w:hint="eastAsia"/>
          <w:color w:val="000000"/>
          <w:sz w:val="21"/>
          <w:szCs w:val="21"/>
        </w:rPr>
        <w:t>1022</w:t>
      </w:r>
      <w:r>
        <w:rPr>
          <w:rFonts w:ascii="Arial" w:hAnsi="Arial" w:cs="Arial" w:hint="eastAsia"/>
          <w:color w:val="000000"/>
          <w:sz w:val="21"/>
          <w:szCs w:val="21"/>
        </w:rPr>
        <w:t>%</w:t>
      </w:r>
      <w:r>
        <w:rPr>
          <w:rFonts w:ascii="Arial" w:hAnsi="Arial" w:cs="Arial" w:hint="eastAsia"/>
          <w:color w:val="000000"/>
          <w:sz w:val="21"/>
          <w:szCs w:val="21"/>
        </w:rPr>
        <w:t>。年成交金额方面，</w:t>
      </w:r>
      <w:r w:rsidR="00903363">
        <w:rPr>
          <w:rFonts w:ascii="Arial" w:hAnsi="Arial" w:cs="Arial" w:hint="eastAsia"/>
          <w:color w:val="000000"/>
          <w:sz w:val="21"/>
          <w:szCs w:val="21"/>
        </w:rPr>
        <w:t>2017-2020</w:t>
      </w:r>
      <w:r w:rsidR="00903363">
        <w:rPr>
          <w:rFonts w:ascii="Arial" w:hAnsi="Arial" w:cs="Arial" w:hint="eastAsia"/>
          <w:color w:val="000000"/>
          <w:sz w:val="21"/>
          <w:szCs w:val="21"/>
        </w:rPr>
        <w:t>年土地收入波动增长，</w:t>
      </w:r>
      <w:r w:rsidR="00903363">
        <w:rPr>
          <w:rFonts w:ascii="Arial" w:hAnsi="Arial" w:cs="Arial" w:hint="eastAsia"/>
          <w:color w:val="000000"/>
          <w:sz w:val="21"/>
          <w:szCs w:val="21"/>
        </w:rPr>
        <w:t>2021</w:t>
      </w:r>
      <w:r>
        <w:rPr>
          <w:rFonts w:ascii="Arial" w:hAnsi="Arial" w:cs="Arial" w:hint="eastAsia"/>
          <w:color w:val="000000"/>
          <w:sz w:val="21"/>
          <w:szCs w:val="21"/>
        </w:rPr>
        <w:t>年</w:t>
      </w:r>
      <w:r w:rsidR="00903363">
        <w:rPr>
          <w:rFonts w:ascii="Arial" w:hAnsi="Arial" w:cs="Arial" w:hint="eastAsia"/>
          <w:color w:val="000000"/>
          <w:sz w:val="21"/>
          <w:szCs w:val="21"/>
        </w:rPr>
        <w:t>1-5</w:t>
      </w:r>
      <w:r w:rsidR="00903363">
        <w:rPr>
          <w:rFonts w:ascii="Arial" w:hAnsi="Arial" w:cs="Arial" w:hint="eastAsia"/>
          <w:color w:val="000000"/>
          <w:sz w:val="21"/>
          <w:szCs w:val="21"/>
        </w:rPr>
        <w:t>月</w:t>
      </w:r>
      <w:r>
        <w:rPr>
          <w:rFonts w:ascii="Arial" w:hAnsi="Arial" w:cs="Arial" w:hint="eastAsia"/>
          <w:color w:val="000000"/>
          <w:sz w:val="21"/>
          <w:szCs w:val="21"/>
        </w:rPr>
        <w:t>土地收入为近</w:t>
      </w:r>
      <w:r w:rsidR="00CB2A03">
        <w:rPr>
          <w:rFonts w:ascii="Arial" w:hAnsi="Arial" w:cs="Arial" w:hint="eastAsia"/>
          <w:color w:val="000000"/>
          <w:sz w:val="21"/>
          <w:szCs w:val="21"/>
        </w:rPr>
        <w:t>4</w:t>
      </w:r>
      <w:r>
        <w:rPr>
          <w:rFonts w:ascii="Arial" w:hAnsi="Arial" w:cs="Arial" w:hint="eastAsia"/>
          <w:color w:val="000000"/>
          <w:sz w:val="21"/>
          <w:szCs w:val="21"/>
        </w:rPr>
        <w:t>年最高，出让金总收入为</w:t>
      </w:r>
      <w:r w:rsidR="00CB2A03" w:rsidRPr="00CB2A03">
        <w:rPr>
          <w:rFonts w:ascii="Arial" w:hAnsi="Arial" w:cs="Arial"/>
          <w:color w:val="000000"/>
          <w:sz w:val="21"/>
          <w:szCs w:val="21"/>
        </w:rPr>
        <w:t>288.6</w:t>
      </w:r>
      <w:r>
        <w:rPr>
          <w:rFonts w:ascii="Arial" w:hAnsi="Arial" w:cs="Arial" w:hint="eastAsia"/>
          <w:color w:val="000000"/>
          <w:sz w:val="21"/>
          <w:szCs w:val="21"/>
        </w:rPr>
        <w:t>亿元，同比</w:t>
      </w:r>
      <w:r w:rsidR="00CB2A03">
        <w:rPr>
          <w:rFonts w:ascii="Arial" w:hAnsi="Arial" w:cs="Arial" w:hint="eastAsia"/>
          <w:color w:val="000000"/>
          <w:sz w:val="21"/>
          <w:szCs w:val="21"/>
        </w:rPr>
        <w:t>2020</w:t>
      </w:r>
      <w:r>
        <w:rPr>
          <w:rFonts w:ascii="Arial" w:hAnsi="Arial" w:cs="Arial" w:hint="eastAsia"/>
          <w:color w:val="000000"/>
          <w:sz w:val="21"/>
          <w:szCs w:val="21"/>
        </w:rPr>
        <w:t>年</w:t>
      </w:r>
      <w:r w:rsidR="00CB2A03">
        <w:rPr>
          <w:rFonts w:ascii="Arial" w:hAnsi="Arial" w:cs="Arial" w:hint="eastAsia"/>
          <w:color w:val="000000"/>
          <w:sz w:val="21"/>
          <w:szCs w:val="21"/>
        </w:rPr>
        <w:t>同期</w:t>
      </w:r>
      <w:r>
        <w:rPr>
          <w:rFonts w:ascii="Arial" w:hAnsi="Arial" w:cs="Arial" w:hint="eastAsia"/>
          <w:color w:val="000000"/>
          <w:sz w:val="21"/>
          <w:szCs w:val="21"/>
        </w:rPr>
        <w:t>上涨</w:t>
      </w:r>
      <w:r w:rsidR="00CB2A03">
        <w:rPr>
          <w:rFonts w:ascii="Arial" w:hAnsi="Arial" w:cs="Arial" w:hint="eastAsia"/>
          <w:color w:val="000000"/>
          <w:sz w:val="21"/>
          <w:szCs w:val="21"/>
        </w:rPr>
        <w:t>964</w:t>
      </w:r>
      <w:r>
        <w:rPr>
          <w:rFonts w:ascii="Arial" w:hAnsi="Arial" w:cs="Arial" w:hint="eastAsia"/>
          <w:color w:val="000000"/>
          <w:sz w:val="21"/>
          <w:szCs w:val="21"/>
        </w:rPr>
        <w:t>%</w:t>
      </w:r>
      <w:r>
        <w:rPr>
          <w:rFonts w:ascii="Arial" w:hAnsi="Arial" w:cs="Arial" w:hint="eastAsia"/>
          <w:color w:val="000000"/>
          <w:sz w:val="21"/>
          <w:szCs w:val="21"/>
        </w:rPr>
        <w:t>。</w:t>
      </w:r>
    </w:p>
    <w:p w14:paraId="66A487FE" w14:textId="120DA4F3" w:rsidR="00C01AA7" w:rsidRPr="00E05368" w:rsidRDefault="00340F9E" w:rsidP="00C01AA7">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sz w:val="21"/>
          <w:szCs w:val="21"/>
        </w:rPr>
        <w:t>近</w:t>
      </w:r>
      <w:r>
        <w:rPr>
          <w:rFonts w:ascii="Arial" w:hAnsi="Arial" w:cs="Arial" w:hint="eastAsia"/>
          <w:sz w:val="21"/>
          <w:szCs w:val="21"/>
        </w:rPr>
        <w:t>4</w:t>
      </w:r>
      <w:r w:rsidR="00C01AA7" w:rsidRPr="00446970">
        <w:rPr>
          <w:rFonts w:ascii="Arial" w:hAnsi="Arial" w:cs="Arial" w:hint="eastAsia"/>
          <w:sz w:val="21"/>
          <w:szCs w:val="21"/>
        </w:rPr>
        <w:t>年</w:t>
      </w:r>
      <w:r>
        <w:rPr>
          <w:rFonts w:ascii="Arial" w:hAnsi="Arial" w:cs="Arial" w:hint="eastAsia"/>
          <w:sz w:val="21"/>
          <w:szCs w:val="21"/>
        </w:rPr>
        <w:t>雨花台区</w:t>
      </w:r>
      <w:r w:rsidR="00C01AA7" w:rsidRPr="00446970">
        <w:rPr>
          <w:rFonts w:ascii="Arial" w:hAnsi="Arial" w:cs="Arial" w:hint="eastAsia"/>
          <w:sz w:val="21"/>
          <w:szCs w:val="21"/>
        </w:rPr>
        <w:t>成交的</w:t>
      </w:r>
      <w:r>
        <w:rPr>
          <w:rFonts w:ascii="Arial" w:hAnsi="Arial" w:cs="Arial" w:hint="eastAsia"/>
          <w:sz w:val="21"/>
          <w:szCs w:val="21"/>
        </w:rPr>
        <w:t>30</w:t>
      </w:r>
      <w:r w:rsidR="00C01AA7" w:rsidRPr="00446970">
        <w:rPr>
          <w:rFonts w:ascii="Arial" w:hAnsi="Arial" w:cs="Arial" w:hint="eastAsia"/>
          <w:sz w:val="21"/>
          <w:szCs w:val="21"/>
        </w:rPr>
        <w:t>宗住宅用地当中，</w:t>
      </w:r>
      <w:r w:rsidR="00C01AA7">
        <w:rPr>
          <w:rFonts w:ascii="Arial" w:hAnsi="Arial" w:cs="Arial" w:hint="eastAsia"/>
          <w:sz w:val="21"/>
          <w:szCs w:val="21"/>
        </w:rPr>
        <w:t>基本都是溢价出让</w:t>
      </w:r>
      <w:r w:rsidR="00C01AA7" w:rsidRPr="00446970">
        <w:rPr>
          <w:rFonts w:ascii="Arial" w:hAnsi="Arial" w:cs="Arial" w:hint="eastAsia"/>
          <w:sz w:val="21"/>
          <w:szCs w:val="21"/>
        </w:rPr>
        <w:t>，平均溢价率</w:t>
      </w:r>
      <w:r>
        <w:rPr>
          <w:rFonts w:ascii="Arial" w:hAnsi="Arial" w:cs="Arial" w:hint="eastAsia"/>
          <w:sz w:val="21"/>
          <w:szCs w:val="21"/>
        </w:rPr>
        <w:t>20.92</w:t>
      </w:r>
      <w:r w:rsidR="00C01AA7" w:rsidRPr="00446970">
        <w:rPr>
          <w:rFonts w:ascii="Arial" w:hAnsi="Arial" w:cs="Arial" w:hint="eastAsia"/>
          <w:sz w:val="21"/>
          <w:szCs w:val="21"/>
        </w:rPr>
        <w:t>%</w:t>
      </w:r>
      <w:r w:rsidR="00C01AA7" w:rsidRPr="00446970">
        <w:rPr>
          <w:rFonts w:ascii="Arial" w:hAnsi="Arial" w:cs="Arial" w:hint="eastAsia"/>
          <w:sz w:val="21"/>
          <w:szCs w:val="21"/>
        </w:rPr>
        <w:t>。</w:t>
      </w:r>
      <w:r w:rsidR="00C01AA7">
        <w:rPr>
          <w:rFonts w:ascii="Arial" w:hAnsi="Arial" w:cs="Arial" w:hint="eastAsia"/>
          <w:sz w:val="21"/>
          <w:szCs w:val="21"/>
        </w:rPr>
        <w:t>从</w:t>
      </w:r>
      <w:r w:rsidR="00C01AA7">
        <w:rPr>
          <w:rFonts w:ascii="Arial" w:hAnsi="Arial" w:cs="Arial" w:hint="eastAsia"/>
          <w:color w:val="000000"/>
          <w:sz w:val="21"/>
          <w:szCs w:val="21"/>
        </w:rPr>
        <w:t>溢价率上来看，</w:t>
      </w:r>
      <w:r w:rsidR="00C01AA7">
        <w:rPr>
          <w:rFonts w:ascii="Arial" w:hAnsi="Arial" w:cs="Arial" w:hint="eastAsia"/>
          <w:color w:val="000000"/>
          <w:sz w:val="21"/>
          <w:szCs w:val="21"/>
        </w:rPr>
        <w:t>2017</w:t>
      </w:r>
      <w:r w:rsidR="00C01AA7">
        <w:rPr>
          <w:rFonts w:ascii="Arial" w:hAnsi="Arial" w:cs="Arial" w:hint="eastAsia"/>
          <w:color w:val="000000"/>
          <w:sz w:val="21"/>
          <w:szCs w:val="21"/>
        </w:rPr>
        <w:t>年为历史峰值，全年</w:t>
      </w:r>
      <w:r w:rsidR="00C01AA7" w:rsidRPr="00E05368">
        <w:rPr>
          <w:rFonts w:ascii="Arial" w:hAnsi="Arial" w:cs="Arial" w:hint="eastAsia"/>
          <w:color w:val="000000"/>
          <w:sz w:val="21"/>
          <w:szCs w:val="21"/>
        </w:rPr>
        <w:t>平均溢价率为</w:t>
      </w:r>
      <w:r w:rsidRPr="00340F9E">
        <w:rPr>
          <w:rFonts w:ascii="Arial" w:hAnsi="Arial" w:cs="Arial"/>
          <w:color w:val="000000"/>
          <w:sz w:val="21"/>
          <w:szCs w:val="21"/>
        </w:rPr>
        <w:t>32.27%</w:t>
      </w:r>
      <w:r w:rsidR="00C01AA7" w:rsidRPr="00E05368">
        <w:rPr>
          <w:rFonts w:ascii="Arial" w:hAnsi="Arial" w:cs="Arial" w:hint="eastAsia"/>
          <w:color w:val="000000"/>
          <w:sz w:val="21"/>
          <w:szCs w:val="21"/>
        </w:rPr>
        <w:t>，平均楼面单价为</w:t>
      </w:r>
      <w:r w:rsidRPr="00340F9E">
        <w:rPr>
          <w:rFonts w:ascii="Arial" w:hAnsi="Arial" w:cs="Arial"/>
          <w:color w:val="000000"/>
          <w:sz w:val="21"/>
          <w:szCs w:val="21"/>
        </w:rPr>
        <w:t>15596.3</w:t>
      </w:r>
      <w:r w:rsidR="00C01AA7" w:rsidRPr="00E05368">
        <w:rPr>
          <w:rFonts w:ascii="Arial" w:hAnsi="Arial" w:cs="Arial" w:hint="eastAsia"/>
          <w:color w:val="000000"/>
          <w:sz w:val="21"/>
          <w:szCs w:val="21"/>
        </w:rPr>
        <w:t>元</w:t>
      </w:r>
      <w:r w:rsidR="00C01AA7" w:rsidRPr="00E05368">
        <w:rPr>
          <w:rFonts w:ascii="Arial" w:hAnsi="Arial" w:cs="Arial" w:hint="eastAsia"/>
          <w:color w:val="000000"/>
          <w:sz w:val="21"/>
          <w:szCs w:val="21"/>
        </w:rPr>
        <w:t>/</w:t>
      </w:r>
      <w:r w:rsidR="00C01AA7" w:rsidRPr="00E05368">
        <w:rPr>
          <w:rFonts w:ascii="Arial" w:hAnsi="Arial" w:cs="Arial" w:hint="eastAsia"/>
          <w:color w:val="000000"/>
          <w:sz w:val="21"/>
          <w:szCs w:val="21"/>
        </w:rPr>
        <w:t>平方米；</w:t>
      </w:r>
      <w:r w:rsidR="00C01AA7">
        <w:rPr>
          <w:rFonts w:ascii="Arial" w:hAnsi="Arial" w:cs="Arial" w:hint="eastAsia"/>
          <w:color w:val="000000"/>
          <w:sz w:val="21"/>
          <w:szCs w:val="21"/>
        </w:rPr>
        <w:t>2018</w:t>
      </w:r>
      <w:r w:rsidR="00C01AA7">
        <w:rPr>
          <w:rFonts w:ascii="Arial" w:hAnsi="Arial" w:cs="Arial" w:hint="eastAsia"/>
          <w:color w:val="000000"/>
          <w:sz w:val="21"/>
          <w:szCs w:val="21"/>
        </w:rPr>
        <w:t>年溢价率急剧下跌，全年平均溢价率为</w:t>
      </w:r>
      <w:r w:rsidRPr="00340F9E">
        <w:rPr>
          <w:rFonts w:ascii="Arial" w:hAnsi="Arial" w:cs="Arial"/>
          <w:color w:val="000000"/>
          <w:sz w:val="21"/>
          <w:szCs w:val="21"/>
        </w:rPr>
        <w:t>11.72%</w:t>
      </w:r>
      <w:r w:rsidR="00C01AA7">
        <w:rPr>
          <w:rFonts w:ascii="Arial" w:hAnsi="Arial" w:cs="Arial" w:hint="eastAsia"/>
          <w:color w:val="000000"/>
          <w:sz w:val="21"/>
          <w:szCs w:val="21"/>
        </w:rPr>
        <w:t>，</w:t>
      </w:r>
      <w:r w:rsidR="00C01AA7" w:rsidRPr="00E05368">
        <w:rPr>
          <w:rFonts w:ascii="Arial" w:hAnsi="Arial" w:cs="Arial" w:hint="eastAsia"/>
          <w:color w:val="000000"/>
          <w:sz w:val="21"/>
          <w:szCs w:val="21"/>
        </w:rPr>
        <w:t>平均楼面单价为</w:t>
      </w:r>
      <w:r w:rsidRPr="00340F9E">
        <w:rPr>
          <w:rFonts w:ascii="Arial" w:hAnsi="Arial" w:cs="Arial"/>
          <w:color w:val="000000"/>
          <w:sz w:val="21"/>
          <w:szCs w:val="21"/>
        </w:rPr>
        <w:t>15952.58</w:t>
      </w:r>
      <w:r w:rsidR="00C01AA7" w:rsidRPr="00E05368">
        <w:rPr>
          <w:rFonts w:ascii="Arial" w:hAnsi="Arial" w:cs="Arial" w:hint="eastAsia"/>
          <w:color w:val="000000"/>
          <w:sz w:val="21"/>
          <w:szCs w:val="21"/>
        </w:rPr>
        <w:t>元</w:t>
      </w:r>
      <w:r w:rsidR="00C01AA7" w:rsidRPr="00E05368">
        <w:rPr>
          <w:rFonts w:ascii="Arial" w:hAnsi="Arial" w:cs="Arial" w:hint="eastAsia"/>
          <w:color w:val="000000"/>
          <w:sz w:val="21"/>
          <w:szCs w:val="21"/>
        </w:rPr>
        <w:t>/</w:t>
      </w:r>
      <w:r w:rsidR="00C01AA7" w:rsidRPr="00E05368">
        <w:rPr>
          <w:rFonts w:ascii="Arial" w:hAnsi="Arial" w:cs="Arial" w:hint="eastAsia"/>
          <w:color w:val="000000"/>
          <w:sz w:val="21"/>
          <w:szCs w:val="21"/>
        </w:rPr>
        <w:t>平方米</w:t>
      </w:r>
      <w:r w:rsidR="00C01AA7">
        <w:rPr>
          <w:rFonts w:ascii="Arial" w:hAnsi="Arial" w:cs="Arial" w:hint="eastAsia"/>
          <w:color w:val="000000"/>
          <w:sz w:val="21"/>
          <w:szCs w:val="21"/>
        </w:rPr>
        <w:t>，较上一年度上涨</w:t>
      </w:r>
      <w:r>
        <w:rPr>
          <w:rFonts w:ascii="Arial" w:hAnsi="Arial" w:cs="Arial" w:hint="eastAsia"/>
          <w:color w:val="000000"/>
          <w:sz w:val="21"/>
          <w:szCs w:val="21"/>
        </w:rPr>
        <w:t>2.28</w:t>
      </w:r>
      <w:r w:rsidR="00C01AA7">
        <w:rPr>
          <w:rFonts w:ascii="Arial" w:hAnsi="Arial" w:cs="Arial" w:hint="eastAsia"/>
          <w:color w:val="000000"/>
          <w:sz w:val="21"/>
          <w:szCs w:val="21"/>
        </w:rPr>
        <w:t>%</w:t>
      </w:r>
      <w:r w:rsidR="00C01AA7" w:rsidRPr="00E05368">
        <w:rPr>
          <w:rFonts w:ascii="Arial" w:hAnsi="Arial" w:cs="Arial" w:hint="eastAsia"/>
          <w:color w:val="000000"/>
          <w:sz w:val="21"/>
          <w:szCs w:val="21"/>
        </w:rPr>
        <w:t>；</w:t>
      </w:r>
      <w:r w:rsidR="00C01AA7">
        <w:rPr>
          <w:rFonts w:ascii="Arial" w:hAnsi="Arial" w:cs="Arial" w:hint="eastAsia"/>
          <w:color w:val="000000"/>
          <w:sz w:val="21"/>
          <w:szCs w:val="21"/>
        </w:rPr>
        <w:t>自</w:t>
      </w:r>
      <w:r w:rsidR="00C01AA7">
        <w:rPr>
          <w:rFonts w:ascii="Arial" w:hAnsi="Arial" w:cs="Arial" w:hint="eastAsia"/>
          <w:color w:val="000000"/>
          <w:sz w:val="21"/>
          <w:szCs w:val="21"/>
        </w:rPr>
        <w:t>2019</w:t>
      </w:r>
      <w:r>
        <w:rPr>
          <w:rFonts w:ascii="Arial" w:hAnsi="Arial" w:cs="Arial" w:hint="eastAsia"/>
          <w:color w:val="000000"/>
          <w:sz w:val="21"/>
          <w:szCs w:val="21"/>
        </w:rPr>
        <w:t>年起，楼面单价及溢价率均</w:t>
      </w:r>
      <w:r w:rsidR="00EE5384">
        <w:rPr>
          <w:rFonts w:ascii="Arial" w:hAnsi="Arial" w:cs="Arial" w:hint="eastAsia"/>
          <w:color w:val="000000"/>
          <w:sz w:val="21"/>
          <w:szCs w:val="21"/>
        </w:rPr>
        <w:t>趋于平稳</w:t>
      </w:r>
      <w:r w:rsidR="00F572BF">
        <w:rPr>
          <w:rFonts w:ascii="Arial" w:hAnsi="Arial" w:cs="Arial" w:hint="eastAsia"/>
          <w:color w:val="000000"/>
          <w:sz w:val="21"/>
          <w:szCs w:val="21"/>
        </w:rPr>
        <w:t>，</w:t>
      </w:r>
      <w:r w:rsidR="00C01AA7">
        <w:rPr>
          <w:rFonts w:ascii="Arial" w:hAnsi="Arial" w:cs="Arial" w:hint="eastAsia"/>
          <w:color w:val="000000"/>
          <w:sz w:val="21"/>
          <w:szCs w:val="21"/>
        </w:rPr>
        <w:t>楼面地价水平在</w:t>
      </w:r>
      <w:r w:rsidR="00EE5384">
        <w:rPr>
          <w:rFonts w:ascii="Arial" w:hAnsi="Arial" w:cs="Arial" w:hint="eastAsia"/>
          <w:color w:val="000000"/>
          <w:sz w:val="21"/>
          <w:szCs w:val="21"/>
        </w:rPr>
        <w:t>201</w:t>
      </w:r>
      <w:r w:rsidR="00524058">
        <w:rPr>
          <w:rFonts w:ascii="Arial" w:hAnsi="Arial" w:cs="Arial" w:hint="eastAsia"/>
          <w:color w:val="000000"/>
          <w:sz w:val="21"/>
          <w:szCs w:val="21"/>
        </w:rPr>
        <w:t>9</w:t>
      </w:r>
      <w:r w:rsidR="00524058">
        <w:rPr>
          <w:rFonts w:ascii="Arial" w:hAnsi="Arial" w:cs="Arial" w:hint="eastAsia"/>
          <w:color w:val="000000"/>
          <w:sz w:val="21"/>
          <w:szCs w:val="21"/>
        </w:rPr>
        <w:t>达到峰值</w:t>
      </w:r>
      <w:r w:rsidR="00F572BF">
        <w:rPr>
          <w:rFonts w:ascii="Arial" w:hAnsi="Arial" w:cs="Arial" w:hint="eastAsia"/>
          <w:color w:val="000000"/>
          <w:sz w:val="21"/>
          <w:szCs w:val="21"/>
        </w:rPr>
        <w:t>。</w:t>
      </w:r>
      <w:r w:rsidR="00C01AA7">
        <w:rPr>
          <w:rFonts w:ascii="Arial" w:hAnsi="Arial" w:cs="Arial" w:hint="eastAsia"/>
          <w:color w:val="000000"/>
          <w:sz w:val="21"/>
          <w:szCs w:val="21"/>
        </w:rPr>
        <w:t>近</w:t>
      </w:r>
      <w:r w:rsidR="00C01AA7">
        <w:rPr>
          <w:rFonts w:ascii="Arial" w:hAnsi="Arial" w:cs="Arial" w:hint="eastAsia"/>
          <w:color w:val="000000"/>
          <w:sz w:val="21"/>
          <w:szCs w:val="21"/>
        </w:rPr>
        <w:t>2</w:t>
      </w:r>
      <w:r w:rsidR="00C01AA7">
        <w:rPr>
          <w:rFonts w:ascii="Arial" w:hAnsi="Arial" w:cs="Arial" w:hint="eastAsia"/>
          <w:color w:val="000000"/>
          <w:sz w:val="21"/>
          <w:szCs w:val="21"/>
        </w:rPr>
        <w:t>年地</w:t>
      </w:r>
      <w:r w:rsidR="00C01AA7">
        <w:rPr>
          <w:rFonts w:ascii="Arial" w:hAnsi="Arial" w:cs="Arial" w:hint="eastAsia"/>
          <w:color w:val="000000"/>
          <w:sz w:val="21"/>
          <w:szCs w:val="21"/>
        </w:rPr>
        <w:lastRenderedPageBreak/>
        <w:t>价水平下滑明显，溢价率除</w:t>
      </w:r>
      <w:r w:rsidR="00C01AA7">
        <w:rPr>
          <w:rFonts w:ascii="Arial" w:hAnsi="Arial" w:cs="Arial" w:hint="eastAsia"/>
          <w:color w:val="000000"/>
          <w:sz w:val="21"/>
          <w:szCs w:val="21"/>
        </w:rPr>
        <w:t>2017</w:t>
      </w:r>
      <w:r w:rsidR="00C01AA7">
        <w:rPr>
          <w:rFonts w:ascii="Arial" w:hAnsi="Arial" w:cs="Arial" w:hint="eastAsia"/>
          <w:color w:val="000000"/>
          <w:sz w:val="21"/>
          <w:szCs w:val="21"/>
        </w:rPr>
        <w:t>年明显突出以外，近</w:t>
      </w:r>
      <w:r w:rsidR="00C01AA7">
        <w:rPr>
          <w:rFonts w:ascii="Arial" w:hAnsi="Arial" w:cs="Arial" w:hint="eastAsia"/>
          <w:color w:val="000000"/>
          <w:sz w:val="21"/>
          <w:szCs w:val="21"/>
        </w:rPr>
        <w:t>3</w:t>
      </w:r>
      <w:r w:rsidR="00C01AA7">
        <w:rPr>
          <w:rFonts w:ascii="Arial" w:hAnsi="Arial" w:cs="Arial" w:hint="eastAsia"/>
          <w:color w:val="000000"/>
          <w:sz w:val="21"/>
          <w:szCs w:val="21"/>
        </w:rPr>
        <w:t>年整体市场竞争激烈程度不强。</w:t>
      </w:r>
    </w:p>
    <w:p w14:paraId="51020EAA" w14:textId="4E5A25EE" w:rsidR="00C01AA7" w:rsidRPr="00E05368" w:rsidRDefault="00340F9E" w:rsidP="00C01AA7">
      <w:pPr>
        <w:widowControl w:val="0"/>
        <w:adjustRightInd w:val="0"/>
        <w:snapToGrid w:val="0"/>
        <w:spacing w:line="480" w:lineRule="auto"/>
        <w:jc w:val="center"/>
        <w:rPr>
          <w:rFonts w:ascii="华文细黑" w:eastAsia="华文细黑" w:hAnsi="华文细黑" w:cs="Arial"/>
          <w:color w:val="000000"/>
          <w:sz w:val="15"/>
          <w:szCs w:val="15"/>
        </w:rPr>
      </w:pPr>
      <w:r>
        <w:rPr>
          <w:noProof/>
        </w:rPr>
        <w:drawing>
          <wp:inline distT="0" distB="0" distL="0" distR="0" wp14:anchorId="736DFFC9" wp14:editId="5DFACA8A">
            <wp:extent cx="5486400" cy="2072640"/>
            <wp:effectExtent l="0" t="0" r="19050" b="22860"/>
            <wp:docPr id="5156" name="图表 515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56F95F1B" w14:textId="77777777" w:rsidR="00C01AA7" w:rsidRPr="00E05368" w:rsidRDefault="00C01AA7" w:rsidP="00C01AA7">
      <w:pPr>
        <w:widowControl w:val="0"/>
        <w:adjustRightInd w:val="0"/>
        <w:snapToGrid w:val="0"/>
        <w:spacing w:line="480" w:lineRule="auto"/>
        <w:jc w:val="both"/>
        <w:rPr>
          <w:rFonts w:ascii="华文细黑" w:eastAsia="华文细黑" w:hAnsi="华文细黑" w:cs="Arial"/>
          <w:color w:val="000000"/>
          <w:sz w:val="15"/>
          <w:szCs w:val="15"/>
        </w:rPr>
      </w:pPr>
      <w:r w:rsidRPr="00E05368">
        <w:rPr>
          <w:rFonts w:ascii="华文细黑" w:eastAsia="华文细黑" w:hAnsi="华文细黑" w:cs="Arial" w:hint="eastAsia"/>
          <w:color w:val="000000"/>
          <w:sz w:val="15"/>
          <w:szCs w:val="15"/>
        </w:rPr>
        <w:t>资料来源：</w:t>
      </w:r>
      <w:r w:rsidRPr="00E05368">
        <w:rPr>
          <w:rFonts w:ascii="Arial" w:eastAsia="华文细黑" w:hAnsi="Arial" w:cs="Arial"/>
          <w:color w:val="000000"/>
          <w:sz w:val="15"/>
          <w:szCs w:val="15"/>
        </w:rPr>
        <w:t>CREIS</w:t>
      </w:r>
      <w:r w:rsidRPr="00E05368">
        <w:rPr>
          <w:rFonts w:ascii="华文细黑" w:eastAsia="华文细黑" w:hAnsi="华文细黑" w:cs="Arial" w:hint="eastAsia"/>
          <w:color w:val="000000"/>
          <w:sz w:val="15"/>
          <w:szCs w:val="15"/>
        </w:rPr>
        <w:t>中指数据</w:t>
      </w:r>
    </w:p>
    <w:p w14:paraId="3A438250" w14:textId="77777777" w:rsidR="00C01AA7" w:rsidRPr="00685721"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p>
    <w:p w14:paraId="4AEAF733" w14:textId="77777777" w:rsidR="00C01AA7" w:rsidRPr="00FF55AC" w:rsidRDefault="00C01AA7" w:rsidP="00C01AA7">
      <w:pPr>
        <w:widowControl w:val="0"/>
        <w:adjustRightInd w:val="0"/>
        <w:snapToGrid w:val="0"/>
        <w:spacing w:line="480" w:lineRule="auto"/>
        <w:ind w:firstLineChars="202" w:firstLine="424"/>
        <w:jc w:val="both"/>
        <w:rPr>
          <w:rFonts w:ascii="华文细黑" w:eastAsia="华文细黑" w:hAnsi="华文细黑" w:cs="Arial"/>
          <w:color w:val="000000"/>
          <w:sz w:val="15"/>
          <w:szCs w:val="15"/>
        </w:rPr>
      </w:pPr>
      <w:r>
        <w:rPr>
          <w:rFonts w:ascii="Arial" w:hAnsi="Arial" w:cs="Arial" w:hint="eastAsia"/>
          <w:color w:val="000000"/>
          <w:sz w:val="21"/>
          <w:szCs w:val="21"/>
        </w:rPr>
        <w:t>调研对象地块</w:t>
      </w:r>
      <w:r w:rsidRPr="00831F2C">
        <w:rPr>
          <w:rFonts w:ascii="Arial" w:hAnsi="Arial" w:cs="Arial" w:hint="eastAsia"/>
          <w:color w:val="000000"/>
          <w:sz w:val="21"/>
          <w:szCs w:val="21"/>
        </w:rPr>
        <w:t>周边</w:t>
      </w:r>
      <w:proofErr w:type="gramStart"/>
      <w:r w:rsidRPr="00831F2C">
        <w:rPr>
          <w:rFonts w:ascii="Arial" w:hAnsi="Arial" w:cs="Arial" w:hint="eastAsia"/>
          <w:color w:val="000000"/>
          <w:sz w:val="21"/>
          <w:szCs w:val="21"/>
        </w:rPr>
        <w:t>区域</w:t>
      </w:r>
      <w:r>
        <w:rPr>
          <w:rFonts w:ascii="Arial" w:hAnsi="Arial" w:cs="Arial" w:hint="eastAsia"/>
          <w:color w:val="000000"/>
          <w:sz w:val="21"/>
          <w:szCs w:val="21"/>
        </w:rPr>
        <w:t>涉</w:t>
      </w:r>
      <w:r w:rsidRPr="00831F2C">
        <w:rPr>
          <w:rFonts w:ascii="Arial" w:hAnsi="Arial" w:cs="Arial" w:hint="eastAsia"/>
          <w:color w:val="000000"/>
          <w:sz w:val="21"/>
          <w:szCs w:val="21"/>
        </w:rPr>
        <w:t>宅用地</w:t>
      </w:r>
      <w:proofErr w:type="gramEnd"/>
      <w:r w:rsidRPr="00831F2C">
        <w:rPr>
          <w:rFonts w:ascii="Arial" w:hAnsi="Arial" w:cs="Arial" w:hint="eastAsia"/>
          <w:color w:val="000000"/>
          <w:sz w:val="21"/>
          <w:szCs w:val="21"/>
        </w:rPr>
        <w:t>成交详细情况以及宗地位置如下表及附图：</w:t>
      </w:r>
    </w:p>
    <w:p w14:paraId="331A4BF3" w14:textId="77777777" w:rsidR="00C01AA7" w:rsidRPr="00F4502A"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p>
    <w:p w14:paraId="12E07CC0" w14:textId="77777777" w:rsidR="00C01AA7" w:rsidRPr="00E05368"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sectPr w:rsidR="00C01AA7" w:rsidRPr="00E05368" w:rsidSect="009B0B0F">
          <w:headerReference w:type="even" r:id="rId52"/>
          <w:headerReference w:type="first" r:id="rId53"/>
          <w:pgSz w:w="11906" w:h="16838" w:code="9"/>
          <w:pgMar w:top="1843" w:right="1304" w:bottom="1134" w:left="1304" w:header="1134" w:footer="907" w:gutter="0"/>
          <w:cols w:space="425"/>
          <w:titlePg/>
          <w:docGrid w:linePitch="312"/>
        </w:sectPr>
      </w:pPr>
    </w:p>
    <w:p w14:paraId="491E9290" w14:textId="77777777" w:rsidR="00C01AA7" w:rsidRPr="00E05368" w:rsidRDefault="00C01AA7" w:rsidP="0045588C">
      <w:pPr>
        <w:widowControl w:val="0"/>
        <w:jc w:val="center"/>
        <w:rPr>
          <w:rFonts w:ascii="黑体" w:eastAsia="黑体" w:hAnsi="黑体"/>
          <w:color w:val="292929"/>
          <w:sz w:val="28"/>
          <w:szCs w:val="28"/>
        </w:rPr>
      </w:pPr>
      <w:r w:rsidRPr="00F4502A">
        <w:rPr>
          <w:rFonts w:ascii="Arial" w:eastAsia="黑体" w:hAnsi="Arial" w:hint="eastAsia"/>
          <w:color w:val="292929"/>
          <w:sz w:val="28"/>
          <w:szCs w:val="28"/>
        </w:rPr>
        <w:lastRenderedPageBreak/>
        <w:t>调研对象地块周边</w:t>
      </w:r>
      <w:proofErr w:type="gramStart"/>
      <w:r w:rsidRPr="00F4502A">
        <w:rPr>
          <w:rFonts w:ascii="Arial" w:eastAsia="黑体" w:hAnsi="Arial" w:hint="eastAsia"/>
          <w:color w:val="292929"/>
          <w:sz w:val="28"/>
          <w:szCs w:val="28"/>
        </w:rPr>
        <w:t>区域</w:t>
      </w:r>
      <w:r w:rsidRPr="00E05368">
        <w:rPr>
          <w:rFonts w:ascii="黑体" w:eastAsia="黑体" w:hAnsi="黑体" w:hint="eastAsia"/>
          <w:color w:val="292929"/>
          <w:sz w:val="28"/>
          <w:szCs w:val="28"/>
        </w:rPr>
        <w:t>涉宅用地</w:t>
      </w:r>
      <w:proofErr w:type="gramEnd"/>
      <w:r w:rsidRPr="00E05368">
        <w:rPr>
          <w:rFonts w:ascii="黑体" w:eastAsia="黑体" w:hAnsi="黑体" w:hint="eastAsia"/>
          <w:color w:val="292929"/>
          <w:sz w:val="28"/>
          <w:szCs w:val="28"/>
        </w:rPr>
        <w:t>出让情况一览表</w:t>
      </w:r>
    </w:p>
    <w:tbl>
      <w:tblPr>
        <w:tblW w:w="14978" w:type="dxa"/>
        <w:tblInd w:w="93" w:type="dxa"/>
        <w:tblLayout w:type="fixed"/>
        <w:tblLook w:val="04A0" w:firstRow="1" w:lastRow="0" w:firstColumn="1" w:lastColumn="0" w:noHBand="0" w:noVBand="1"/>
      </w:tblPr>
      <w:tblGrid>
        <w:gridCol w:w="441"/>
        <w:gridCol w:w="2551"/>
        <w:gridCol w:w="851"/>
        <w:gridCol w:w="1559"/>
        <w:gridCol w:w="992"/>
        <w:gridCol w:w="1134"/>
        <w:gridCol w:w="945"/>
        <w:gridCol w:w="1134"/>
        <w:gridCol w:w="1559"/>
        <w:gridCol w:w="851"/>
        <w:gridCol w:w="1134"/>
        <w:gridCol w:w="1134"/>
        <w:gridCol w:w="693"/>
      </w:tblGrid>
      <w:tr w:rsidR="00C01AA7" w:rsidRPr="0045588C" w14:paraId="2B75373E" w14:textId="77777777" w:rsidTr="0045588C">
        <w:trPr>
          <w:trHeight w:val="255"/>
          <w:tblHeader/>
        </w:trPr>
        <w:tc>
          <w:tcPr>
            <w:tcW w:w="4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E97CB9" w14:textId="77777777" w:rsidR="00C01AA7" w:rsidRPr="0045588C" w:rsidRDefault="00C01AA7" w:rsidP="00912702">
            <w:pPr>
              <w:jc w:val="both"/>
              <w:rPr>
                <w:rFonts w:ascii="Arial" w:eastAsia="华文细黑" w:hAnsi="Arial" w:cs="Arial"/>
                <w:sz w:val="18"/>
                <w:szCs w:val="18"/>
              </w:rPr>
            </w:pPr>
            <w:r w:rsidRPr="0045588C">
              <w:rPr>
                <w:rFonts w:ascii="Arial" w:eastAsia="华文细黑" w:hAnsi="Arial" w:cs="Arial"/>
                <w:sz w:val="18"/>
                <w:szCs w:val="18"/>
              </w:rPr>
              <w:t>序号</w:t>
            </w:r>
          </w:p>
        </w:tc>
        <w:tc>
          <w:tcPr>
            <w:tcW w:w="2551" w:type="dxa"/>
            <w:tcBorders>
              <w:top w:val="single" w:sz="4" w:space="0" w:color="auto"/>
              <w:left w:val="nil"/>
              <w:bottom w:val="single" w:sz="4" w:space="0" w:color="auto"/>
              <w:right w:val="single" w:sz="4" w:space="0" w:color="auto"/>
            </w:tcBorders>
            <w:shd w:val="clear" w:color="auto" w:fill="auto"/>
            <w:noWrap/>
            <w:vAlign w:val="center"/>
            <w:hideMark/>
          </w:tcPr>
          <w:p w14:paraId="7C6299F3" w14:textId="77777777" w:rsidR="00C01AA7" w:rsidRPr="0045588C" w:rsidRDefault="00C01AA7" w:rsidP="00912702">
            <w:pPr>
              <w:jc w:val="both"/>
              <w:rPr>
                <w:rFonts w:ascii="Arial" w:eastAsia="华文细黑" w:hAnsi="Arial" w:cs="Arial"/>
                <w:sz w:val="18"/>
                <w:szCs w:val="18"/>
              </w:rPr>
            </w:pPr>
            <w:r w:rsidRPr="0045588C">
              <w:rPr>
                <w:rFonts w:ascii="Arial" w:eastAsia="华文细黑" w:hAnsi="Arial" w:cs="Arial"/>
                <w:sz w:val="18"/>
                <w:szCs w:val="18"/>
              </w:rPr>
              <w:t>地块名称</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DB8E9D3" w14:textId="77777777" w:rsidR="00C01AA7" w:rsidRPr="0045588C" w:rsidRDefault="00C01AA7" w:rsidP="00912702">
            <w:pPr>
              <w:jc w:val="both"/>
              <w:rPr>
                <w:rFonts w:ascii="Arial" w:eastAsia="华文细黑" w:hAnsi="Arial" w:cs="Arial"/>
                <w:sz w:val="18"/>
                <w:szCs w:val="18"/>
              </w:rPr>
            </w:pPr>
            <w:r w:rsidRPr="0045588C">
              <w:rPr>
                <w:rFonts w:ascii="Arial" w:eastAsia="华文细黑" w:hAnsi="Arial" w:cs="Arial"/>
                <w:sz w:val="18"/>
                <w:szCs w:val="18"/>
              </w:rPr>
              <w:t>地块编号</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69EF28BA" w14:textId="77777777" w:rsidR="00C01AA7" w:rsidRPr="0045588C" w:rsidRDefault="00C01AA7" w:rsidP="00912702">
            <w:pPr>
              <w:jc w:val="both"/>
              <w:rPr>
                <w:rFonts w:ascii="Arial" w:eastAsia="华文细黑" w:hAnsi="Arial" w:cs="Arial"/>
                <w:sz w:val="18"/>
                <w:szCs w:val="18"/>
              </w:rPr>
            </w:pPr>
            <w:r w:rsidRPr="0045588C">
              <w:rPr>
                <w:rFonts w:ascii="Arial" w:eastAsia="华文细黑" w:hAnsi="Arial" w:cs="Arial"/>
                <w:sz w:val="18"/>
                <w:szCs w:val="18"/>
              </w:rPr>
              <w:t>详细规划</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16FA6920" w14:textId="77777777" w:rsidR="00C01AA7" w:rsidRPr="0045588C" w:rsidRDefault="00C01AA7" w:rsidP="00912702">
            <w:pPr>
              <w:jc w:val="both"/>
              <w:rPr>
                <w:rFonts w:ascii="Arial" w:eastAsia="华文细黑" w:hAnsi="Arial" w:cs="Arial"/>
                <w:sz w:val="18"/>
                <w:szCs w:val="18"/>
              </w:rPr>
            </w:pPr>
            <w:r w:rsidRPr="0045588C">
              <w:rPr>
                <w:rFonts w:ascii="Arial" w:eastAsia="华文细黑" w:hAnsi="Arial" w:cs="Arial"/>
                <w:sz w:val="18"/>
                <w:szCs w:val="18"/>
              </w:rPr>
              <w:t>建设用地</w:t>
            </w:r>
          </w:p>
          <w:p w14:paraId="1F9FA647" w14:textId="77777777" w:rsidR="00C01AA7" w:rsidRPr="0045588C" w:rsidRDefault="00C01AA7" w:rsidP="00912702">
            <w:pPr>
              <w:jc w:val="both"/>
              <w:rPr>
                <w:rFonts w:ascii="Arial" w:eastAsia="华文细黑" w:hAnsi="Arial" w:cs="Arial"/>
                <w:sz w:val="18"/>
                <w:szCs w:val="18"/>
              </w:rPr>
            </w:pPr>
            <w:r w:rsidRPr="0045588C">
              <w:rPr>
                <w:rFonts w:ascii="Arial" w:eastAsia="华文细黑" w:hAnsi="Arial" w:cs="Arial"/>
                <w:sz w:val="18"/>
                <w:szCs w:val="18"/>
              </w:rPr>
              <w:t>面积</w:t>
            </w:r>
            <w:r w:rsidRPr="0045588C">
              <w:rPr>
                <w:rFonts w:ascii="Arial" w:eastAsia="华文细黑" w:hAnsi="Arial" w:cs="Arial"/>
                <w:sz w:val="18"/>
                <w:szCs w:val="18"/>
              </w:rPr>
              <w:t>(</w:t>
            </w:r>
            <w:r w:rsidRPr="0045588C">
              <w:rPr>
                <w:rFonts w:ascii="Arial" w:eastAsia="华文细黑" w:hAnsi="Arial" w:cs="Arial"/>
                <w:sz w:val="18"/>
                <w:szCs w:val="18"/>
              </w:rPr>
              <w:t>㎡</w:t>
            </w:r>
            <w:r w:rsidRPr="0045588C">
              <w:rPr>
                <w:rFonts w:ascii="Arial" w:eastAsia="华文细黑" w:hAnsi="Arial" w:cs="Arial"/>
                <w:sz w:val="18"/>
                <w:szCs w:val="18"/>
              </w:rPr>
              <w:t>)</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4ABAA75E" w14:textId="77777777" w:rsidR="00C01AA7" w:rsidRPr="0045588C" w:rsidRDefault="00C01AA7" w:rsidP="00912702">
            <w:pPr>
              <w:jc w:val="both"/>
              <w:rPr>
                <w:rFonts w:ascii="Arial" w:eastAsia="华文细黑" w:hAnsi="Arial" w:cs="Arial"/>
                <w:sz w:val="18"/>
                <w:szCs w:val="18"/>
              </w:rPr>
            </w:pPr>
            <w:r w:rsidRPr="0045588C">
              <w:rPr>
                <w:rFonts w:ascii="Arial" w:eastAsia="华文细黑" w:hAnsi="Arial" w:cs="Arial"/>
                <w:sz w:val="18"/>
                <w:szCs w:val="18"/>
              </w:rPr>
              <w:t>规划建筑</w:t>
            </w:r>
          </w:p>
          <w:p w14:paraId="75B3961D" w14:textId="77777777" w:rsidR="00C01AA7" w:rsidRPr="0045588C" w:rsidRDefault="00C01AA7" w:rsidP="00912702">
            <w:pPr>
              <w:jc w:val="both"/>
              <w:rPr>
                <w:rFonts w:ascii="Arial" w:eastAsia="华文细黑" w:hAnsi="Arial" w:cs="Arial"/>
                <w:sz w:val="18"/>
                <w:szCs w:val="18"/>
              </w:rPr>
            </w:pPr>
            <w:r w:rsidRPr="0045588C">
              <w:rPr>
                <w:rFonts w:ascii="Arial" w:eastAsia="华文细黑" w:hAnsi="Arial" w:cs="Arial"/>
                <w:sz w:val="18"/>
                <w:szCs w:val="18"/>
              </w:rPr>
              <w:t>面积</w:t>
            </w:r>
            <w:r w:rsidRPr="0045588C">
              <w:rPr>
                <w:rFonts w:ascii="Arial" w:eastAsia="华文细黑" w:hAnsi="Arial" w:cs="Arial"/>
                <w:sz w:val="18"/>
                <w:szCs w:val="18"/>
              </w:rPr>
              <w:t>(</w:t>
            </w:r>
            <w:r w:rsidRPr="0045588C">
              <w:rPr>
                <w:rFonts w:ascii="Arial" w:eastAsia="华文细黑" w:hAnsi="Arial" w:cs="Arial"/>
                <w:sz w:val="18"/>
                <w:szCs w:val="18"/>
              </w:rPr>
              <w:t>㎡</w:t>
            </w:r>
            <w:r w:rsidRPr="0045588C">
              <w:rPr>
                <w:rFonts w:ascii="Arial" w:eastAsia="华文细黑" w:hAnsi="Arial" w:cs="Arial"/>
                <w:sz w:val="18"/>
                <w:szCs w:val="18"/>
              </w:rPr>
              <w:t>)</w:t>
            </w:r>
          </w:p>
        </w:tc>
        <w:tc>
          <w:tcPr>
            <w:tcW w:w="945" w:type="dxa"/>
            <w:tcBorders>
              <w:top w:val="single" w:sz="4" w:space="0" w:color="auto"/>
              <w:left w:val="nil"/>
              <w:bottom w:val="single" w:sz="4" w:space="0" w:color="auto"/>
              <w:right w:val="single" w:sz="4" w:space="0" w:color="auto"/>
            </w:tcBorders>
            <w:shd w:val="clear" w:color="auto" w:fill="auto"/>
            <w:noWrap/>
            <w:vAlign w:val="center"/>
            <w:hideMark/>
          </w:tcPr>
          <w:p w14:paraId="0592D5FE" w14:textId="77777777" w:rsidR="00C01AA7" w:rsidRPr="0045588C" w:rsidRDefault="00C01AA7" w:rsidP="00912702">
            <w:pPr>
              <w:jc w:val="both"/>
              <w:rPr>
                <w:rFonts w:ascii="Arial" w:eastAsia="华文细黑" w:hAnsi="Arial" w:cs="Arial"/>
                <w:sz w:val="18"/>
                <w:szCs w:val="18"/>
              </w:rPr>
            </w:pPr>
            <w:r w:rsidRPr="0045588C">
              <w:rPr>
                <w:rFonts w:ascii="Arial" w:eastAsia="华文细黑" w:hAnsi="Arial" w:cs="Arial"/>
                <w:sz w:val="18"/>
                <w:szCs w:val="18"/>
              </w:rPr>
              <w:t>容积率</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6D2823B3" w14:textId="77777777" w:rsidR="00C01AA7" w:rsidRPr="0045588C" w:rsidRDefault="00C01AA7" w:rsidP="00912702">
            <w:pPr>
              <w:jc w:val="both"/>
              <w:rPr>
                <w:rFonts w:ascii="Arial" w:eastAsia="华文细黑" w:hAnsi="Arial" w:cs="Arial"/>
                <w:sz w:val="18"/>
                <w:szCs w:val="18"/>
              </w:rPr>
            </w:pPr>
            <w:r w:rsidRPr="0045588C">
              <w:rPr>
                <w:rFonts w:ascii="Arial" w:eastAsia="华文细黑" w:hAnsi="Arial" w:cs="Arial"/>
                <w:sz w:val="18"/>
                <w:szCs w:val="18"/>
              </w:rPr>
              <w:t>成交日期</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37EE6D3C" w14:textId="77777777" w:rsidR="00C01AA7" w:rsidRPr="0045588C" w:rsidRDefault="00C01AA7" w:rsidP="00912702">
            <w:pPr>
              <w:jc w:val="both"/>
              <w:rPr>
                <w:rFonts w:ascii="Arial" w:eastAsia="华文细黑" w:hAnsi="Arial" w:cs="Arial"/>
                <w:sz w:val="18"/>
                <w:szCs w:val="18"/>
              </w:rPr>
            </w:pPr>
            <w:r w:rsidRPr="0045588C">
              <w:rPr>
                <w:rFonts w:ascii="Arial" w:eastAsia="华文细黑" w:hAnsi="Arial" w:cs="Arial"/>
                <w:sz w:val="18"/>
                <w:szCs w:val="18"/>
              </w:rPr>
              <w:t>受让单位</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0E15D27" w14:textId="77777777" w:rsidR="00C01AA7" w:rsidRPr="0045588C" w:rsidRDefault="00C01AA7" w:rsidP="00912702">
            <w:pPr>
              <w:jc w:val="both"/>
              <w:rPr>
                <w:rFonts w:ascii="Arial" w:eastAsia="华文细黑" w:hAnsi="Arial" w:cs="Arial"/>
                <w:sz w:val="18"/>
                <w:szCs w:val="18"/>
              </w:rPr>
            </w:pPr>
            <w:r w:rsidRPr="0045588C">
              <w:rPr>
                <w:rFonts w:ascii="Arial" w:eastAsia="华文细黑" w:hAnsi="Arial" w:cs="Arial"/>
                <w:sz w:val="18"/>
                <w:szCs w:val="18"/>
              </w:rPr>
              <w:t>成交价</w:t>
            </w:r>
          </w:p>
          <w:p w14:paraId="70BF9082" w14:textId="77777777" w:rsidR="00C01AA7" w:rsidRPr="0045588C" w:rsidRDefault="00C01AA7" w:rsidP="00912702">
            <w:pPr>
              <w:jc w:val="both"/>
              <w:rPr>
                <w:rFonts w:ascii="Arial" w:eastAsia="华文细黑" w:hAnsi="Arial" w:cs="Arial"/>
                <w:sz w:val="18"/>
                <w:szCs w:val="18"/>
              </w:rPr>
            </w:pPr>
            <w:r w:rsidRPr="0045588C">
              <w:rPr>
                <w:rFonts w:ascii="Arial" w:eastAsia="华文细黑" w:hAnsi="Arial" w:cs="Arial"/>
                <w:sz w:val="18"/>
                <w:szCs w:val="18"/>
              </w:rPr>
              <w:t>(</w:t>
            </w:r>
            <w:r w:rsidRPr="0045588C">
              <w:rPr>
                <w:rFonts w:ascii="Arial" w:eastAsia="华文细黑" w:hAnsi="Arial" w:cs="Arial"/>
                <w:sz w:val="18"/>
                <w:szCs w:val="18"/>
              </w:rPr>
              <w:t>万元</w:t>
            </w:r>
            <w:r w:rsidRPr="0045588C">
              <w:rPr>
                <w:rFonts w:ascii="Arial" w:eastAsia="华文细黑" w:hAnsi="Arial" w:cs="Arial"/>
                <w:sz w:val="18"/>
                <w:szCs w:val="18"/>
              </w:rPr>
              <w:t>)</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0017C849" w14:textId="77777777" w:rsidR="00C01AA7" w:rsidRPr="0045588C" w:rsidRDefault="00C01AA7" w:rsidP="00912702">
            <w:pPr>
              <w:jc w:val="both"/>
              <w:rPr>
                <w:rFonts w:ascii="Arial" w:eastAsia="华文细黑" w:hAnsi="Arial" w:cs="Arial"/>
                <w:sz w:val="18"/>
                <w:szCs w:val="18"/>
              </w:rPr>
            </w:pPr>
            <w:r w:rsidRPr="0045588C">
              <w:rPr>
                <w:rFonts w:ascii="Arial" w:eastAsia="华文细黑" w:hAnsi="Arial" w:cs="Arial"/>
                <w:sz w:val="18"/>
                <w:szCs w:val="18"/>
              </w:rPr>
              <w:t>成交每亩价</w:t>
            </w:r>
          </w:p>
          <w:p w14:paraId="2B6B5224" w14:textId="77777777" w:rsidR="00C01AA7" w:rsidRPr="0045588C" w:rsidRDefault="00C01AA7" w:rsidP="00912702">
            <w:pPr>
              <w:jc w:val="both"/>
              <w:rPr>
                <w:rFonts w:ascii="Arial" w:eastAsia="华文细黑" w:hAnsi="Arial" w:cs="Arial"/>
                <w:sz w:val="18"/>
                <w:szCs w:val="18"/>
              </w:rPr>
            </w:pPr>
            <w:r w:rsidRPr="0045588C">
              <w:rPr>
                <w:rFonts w:ascii="Arial" w:eastAsia="华文细黑" w:hAnsi="Arial" w:cs="Arial"/>
                <w:sz w:val="18"/>
                <w:szCs w:val="18"/>
              </w:rPr>
              <w:t>(</w:t>
            </w:r>
            <w:r w:rsidRPr="0045588C">
              <w:rPr>
                <w:rFonts w:ascii="Arial" w:eastAsia="华文细黑" w:hAnsi="Arial" w:cs="Arial"/>
                <w:sz w:val="18"/>
                <w:szCs w:val="18"/>
              </w:rPr>
              <w:t>万元</w:t>
            </w:r>
            <w:r w:rsidRPr="0045588C">
              <w:rPr>
                <w:rFonts w:ascii="Arial" w:eastAsia="华文细黑" w:hAnsi="Arial" w:cs="Arial"/>
                <w:sz w:val="18"/>
                <w:szCs w:val="18"/>
              </w:rPr>
              <w:t>/</w:t>
            </w:r>
            <w:r w:rsidRPr="0045588C">
              <w:rPr>
                <w:rFonts w:ascii="Arial" w:eastAsia="华文细黑" w:hAnsi="Arial" w:cs="Arial"/>
                <w:sz w:val="18"/>
                <w:szCs w:val="18"/>
              </w:rPr>
              <w:t>亩</w:t>
            </w:r>
            <w:r w:rsidRPr="0045588C">
              <w:rPr>
                <w:rFonts w:ascii="Arial" w:eastAsia="华文细黑" w:hAnsi="Arial" w:cs="Arial"/>
                <w:sz w:val="18"/>
                <w:szCs w:val="18"/>
              </w:rPr>
              <w:t>)</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4F3AFCB4" w14:textId="77777777" w:rsidR="00C01AA7" w:rsidRPr="0045588C" w:rsidRDefault="00C01AA7" w:rsidP="00912702">
            <w:pPr>
              <w:jc w:val="both"/>
              <w:rPr>
                <w:rFonts w:ascii="Arial" w:eastAsia="华文细黑" w:hAnsi="Arial" w:cs="Arial"/>
                <w:sz w:val="18"/>
                <w:szCs w:val="18"/>
              </w:rPr>
            </w:pPr>
            <w:r w:rsidRPr="0045588C">
              <w:rPr>
                <w:rFonts w:ascii="Arial" w:eastAsia="华文细黑" w:hAnsi="Arial" w:cs="Arial"/>
                <w:sz w:val="18"/>
                <w:szCs w:val="18"/>
              </w:rPr>
              <w:t>成交楼面价</w:t>
            </w:r>
          </w:p>
          <w:p w14:paraId="24FD73C3" w14:textId="77777777" w:rsidR="00C01AA7" w:rsidRPr="0045588C" w:rsidRDefault="00C01AA7" w:rsidP="00912702">
            <w:pPr>
              <w:jc w:val="both"/>
              <w:rPr>
                <w:rFonts w:ascii="Arial" w:eastAsia="华文细黑" w:hAnsi="Arial" w:cs="Arial"/>
                <w:sz w:val="18"/>
                <w:szCs w:val="18"/>
              </w:rPr>
            </w:pPr>
            <w:r w:rsidRPr="0045588C">
              <w:rPr>
                <w:rFonts w:ascii="Arial" w:eastAsia="华文细黑" w:hAnsi="Arial" w:cs="Arial"/>
                <w:sz w:val="18"/>
                <w:szCs w:val="18"/>
              </w:rPr>
              <w:t>(</w:t>
            </w:r>
            <w:r w:rsidRPr="0045588C">
              <w:rPr>
                <w:rFonts w:ascii="Arial" w:eastAsia="华文细黑" w:hAnsi="Arial" w:cs="Arial"/>
                <w:sz w:val="18"/>
                <w:szCs w:val="18"/>
              </w:rPr>
              <w:t>元</w:t>
            </w:r>
            <w:r w:rsidRPr="0045588C">
              <w:rPr>
                <w:rFonts w:ascii="Arial" w:eastAsia="华文细黑" w:hAnsi="Arial" w:cs="Arial"/>
                <w:sz w:val="18"/>
                <w:szCs w:val="18"/>
              </w:rPr>
              <w:t>/</w:t>
            </w:r>
            <w:r w:rsidRPr="0045588C">
              <w:rPr>
                <w:rFonts w:ascii="Arial" w:eastAsia="华文细黑" w:hAnsi="Arial" w:cs="Arial"/>
                <w:sz w:val="18"/>
                <w:szCs w:val="18"/>
              </w:rPr>
              <w:t>㎡</w:t>
            </w:r>
            <w:r w:rsidRPr="0045588C">
              <w:rPr>
                <w:rFonts w:ascii="Arial" w:eastAsia="华文细黑" w:hAnsi="Arial" w:cs="Arial"/>
                <w:sz w:val="18"/>
                <w:szCs w:val="18"/>
              </w:rPr>
              <w:t>)</w:t>
            </w:r>
          </w:p>
        </w:tc>
        <w:tc>
          <w:tcPr>
            <w:tcW w:w="693" w:type="dxa"/>
            <w:tcBorders>
              <w:top w:val="single" w:sz="4" w:space="0" w:color="auto"/>
              <w:left w:val="nil"/>
              <w:bottom w:val="single" w:sz="4" w:space="0" w:color="auto"/>
              <w:right w:val="single" w:sz="4" w:space="0" w:color="auto"/>
            </w:tcBorders>
            <w:shd w:val="clear" w:color="auto" w:fill="auto"/>
            <w:noWrap/>
            <w:vAlign w:val="center"/>
            <w:hideMark/>
          </w:tcPr>
          <w:p w14:paraId="2A4EC8AC" w14:textId="77777777" w:rsidR="00C01AA7" w:rsidRPr="0045588C" w:rsidRDefault="00C01AA7" w:rsidP="00912702">
            <w:pPr>
              <w:jc w:val="both"/>
              <w:rPr>
                <w:rFonts w:ascii="Arial" w:eastAsia="华文细黑" w:hAnsi="Arial" w:cs="Arial"/>
                <w:sz w:val="18"/>
                <w:szCs w:val="18"/>
              </w:rPr>
            </w:pPr>
            <w:r w:rsidRPr="0045588C">
              <w:rPr>
                <w:rFonts w:ascii="Arial" w:eastAsia="华文细黑" w:hAnsi="Arial" w:cs="Arial"/>
                <w:sz w:val="18"/>
                <w:szCs w:val="18"/>
              </w:rPr>
              <w:t>溢价率</w:t>
            </w:r>
          </w:p>
        </w:tc>
      </w:tr>
      <w:tr w:rsidR="00912702" w:rsidRPr="0045588C" w14:paraId="3AE90433" w14:textId="77777777" w:rsidTr="0045588C">
        <w:trPr>
          <w:trHeight w:val="255"/>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4AD5074F" w14:textId="77777777"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1</w:t>
            </w:r>
          </w:p>
        </w:tc>
        <w:tc>
          <w:tcPr>
            <w:tcW w:w="2551" w:type="dxa"/>
            <w:tcBorders>
              <w:top w:val="nil"/>
              <w:left w:val="nil"/>
              <w:bottom w:val="single" w:sz="4" w:space="0" w:color="auto"/>
              <w:right w:val="single" w:sz="4" w:space="0" w:color="auto"/>
            </w:tcBorders>
            <w:shd w:val="clear" w:color="auto" w:fill="auto"/>
            <w:noWrap/>
            <w:vAlign w:val="center"/>
            <w:hideMark/>
          </w:tcPr>
          <w:p w14:paraId="69864DF8" w14:textId="04373256"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雨花台区梅欣路以西、吴山路以北地块</w:t>
            </w:r>
          </w:p>
        </w:tc>
        <w:tc>
          <w:tcPr>
            <w:tcW w:w="851" w:type="dxa"/>
            <w:tcBorders>
              <w:top w:val="nil"/>
              <w:left w:val="nil"/>
              <w:bottom w:val="single" w:sz="4" w:space="0" w:color="auto"/>
              <w:right w:val="single" w:sz="4" w:space="0" w:color="auto"/>
            </w:tcBorders>
            <w:shd w:val="clear" w:color="auto" w:fill="auto"/>
            <w:noWrap/>
            <w:vAlign w:val="center"/>
            <w:hideMark/>
          </w:tcPr>
          <w:p w14:paraId="606A0EFD" w14:textId="071E4705"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NO.2021G34</w:t>
            </w:r>
          </w:p>
        </w:tc>
        <w:tc>
          <w:tcPr>
            <w:tcW w:w="1559" w:type="dxa"/>
            <w:tcBorders>
              <w:top w:val="nil"/>
              <w:left w:val="nil"/>
              <w:bottom w:val="single" w:sz="4" w:space="0" w:color="auto"/>
              <w:right w:val="single" w:sz="4" w:space="0" w:color="auto"/>
            </w:tcBorders>
            <w:shd w:val="clear" w:color="auto" w:fill="auto"/>
            <w:noWrap/>
            <w:vAlign w:val="center"/>
            <w:hideMark/>
          </w:tcPr>
          <w:p w14:paraId="5FCDEF54" w14:textId="665764BB"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R2</w:t>
            </w:r>
            <w:proofErr w:type="gramStart"/>
            <w:r w:rsidRPr="0045588C">
              <w:rPr>
                <w:rFonts w:ascii="Arial" w:eastAsia="华文细黑" w:hAnsi="Arial" w:cs="Arial"/>
                <w:sz w:val="18"/>
                <w:szCs w:val="18"/>
              </w:rPr>
              <w:t>二</w:t>
            </w:r>
            <w:proofErr w:type="gramEnd"/>
            <w:r w:rsidRPr="0045588C">
              <w:rPr>
                <w:rFonts w:ascii="Arial" w:eastAsia="华文细黑" w:hAnsi="Arial" w:cs="Arial"/>
                <w:sz w:val="18"/>
                <w:szCs w:val="18"/>
              </w:rPr>
              <w:t>类居住用地</w:t>
            </w:r>
          </w:p>
        </w:tc>
        <w:tc>
          <w:tcPr>
            <w:tcW w:w="992" w:type="dxa"/>
            <w:tcBorders>
              <w:top w:val="nil"/>
              <w:left w:val="nil"/>
              <w:bottom w:val="single" w:sz="4" w:space="0" w:color="auto"/>
              <w:right w:val="single" w:sz="4" w:space="0" w:color="auto"/>
            </w:tcBorders>
            <w:shd w:val="clear" w:color="auto" w:fill="auto"/>
            <w:noWrap/>
            <w:vAlign w:val="center"/>
            <w:hideMark/>
          </w:tcPr>
          <w:p w14:paraId="7A63472C" w14:textId="36860EAA"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43973.98</w:t>
            </w:r>
          </w:p>
        </w:tc>
        <w:tc>
          <w:tcPr>
            <w:tcW w:w="1134" w:type="dxa"/>
            <w:tcBorders>
              <w:top w:val="nil"/>
              <w:left w:val="nil"/>
              <w:bottom w:val="single" w:sz="4" w:space="0" w:color="auto"/>
              <w:right w:val="single" w:sz="4" w:space="0" w:color="auto"/>
            </w:tcBorders>
            <w:shd w:val="clear" w:color="auto" w:fill="auto"/>
            <w:noWrap/>
            <w:vAlign w:val="center"/>
            <w:hideMark/>
          </w:tcPr>
          <w:p w14:paraId="4DAE6522" w14:textId="24510993"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123127.14</w:t>
            </w:r>
          </w:p>
        </w:tc>
        <w:tc>
          <w:tcPr>
            <w:tcW w:w="945" w:type="dxa"/>
            <w:tcBorders>
              <w:top w:val="nil"/>
              <w:left w:val="nil"/>
              <w:bottom w:val="single" w:sz="4" w:space="0" w:color="auto"/>
              <w:right w:val="single" w:sz="4" w:space="0" w:color="auto"/>
            </w:tcBorders>
            <w:shd w:val="clear" w:color="auto" w:fill="auto"/>
            <w:noWrap/>
            <w:vAlign w:val="center"/>
            <w:hideMark/>
          </w:tcPr>
          <w:p w14:paraId="36F47E97" w14:textId="46F7C9CB"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≥1,≤2.8</w:t>
            </w:r>
          </w:p>
        </w:tc>
        <w:tc>
          <w:tcPr>
            <w:tcW w:w="1134" w:type="dxa"/>
            <w:tcBorders>
              <w:top w:val="nil"/>
              <w:left w:val="nil"/>
              <w:bottom w:val="single" w:sz="4" w:space="0" w:color="auto"/>
              <w:right w:val="single" w:sz="4" w:space="0" w:color="auto"/>
            </w:tcBorders>
            <w:shd w:val="clear" w:color="auto" w:fill="auto"/>
            <w:noWrap/>
            <w:vAlign w:val="center"/>
            <w:hideMark/>
          </w:tcPr>
          <w:p w14:paraId="5CA93AB3" w14:textId="3ED8CB01"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2021-05-22</w:t>
            </w:r>
          </w:p>
        </w:tc>
        <w:tc>
          <w:tcPr>
            <w:tcW w:w="1559" w:type="dxa"/>
            <w:tcBorders>
              <w:top w:val="nil"/>
              <w:left w:val="nil"/>
              <w:bottom w:val="single" w:sz="4" w:space="0" w:color="auto"/>
              <w:right w:val="single" w:sz="4" w:space="0" w:color="auto"/>
            </w:tcBorders>
            <w:shd w:val="clear" w:color="auto" w:fill="auto"/>
            <w:noWrap/>
            <w:vAlign w:val="center"/>
            <w:hideMark/>
          </w:tcPr>
          <w:p w14:paraId="633DC8AE" w14:textId="0454C032"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新沂阳光置业有限公司</w:t>
            </w:r>
          </w:p>
        </w:tc>
        <w:tc>
          <w:tcPr>
            <w:tcW w:w="851" w:type="dxa"/>
            <w:tcBorders>
              <w:top w:val="nil"/>
              <w:left w:val="nil"/>
              <w:bottom w:val="single" w:sz="4" w:space="0" w:color="auto"/>
              <w:right w:val="single" w:sz="4" w:space="0" w:color="auto"/>
            </w:tcBorders>
            <w:shd w:val="clear" w:color="auto" w:fill="auto"/>
            <w:noWrap/>
            <w:vAlign w:val="center"/>
            <w:hideMark/>
          </w:tcPr>
          <w:p w14:paraId="5448AB61" w14:textId="2601F385"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261000</w:t>
            </w:r>
          </w:p>
        </w:tc>
        <w:tc>
          <w:tcPr>
            <w:tcW w:w="1134" w:type="dxa"/>
            <w:tcBorders>
              <w:top w:val="nil"/>
              <w:left w:val="nil"/>
              <w:bottom w:val="single" w:sz="4" w:space="0" w:color="auto"/>
              <w:right w:val="single" w:sz="4" w:space="0" w:color="auto"/>
            </w:tcBorders>
            <w:shd w:val="clear" w:color="auto" w:fill="auto"/>
            <w:noWrap/>
            <w:vAlign w:val="center"/>
            <w:hideMark/>
          </w:tcPr>
          <w:p w14:paraId="02E37EDC" w14:textId="7DEB4DBB"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3956.89</w:t>
            </w:r>
          </w:p>
        </w:tc>
        <w:tc>
          <w:tcPr>
            <w:tcW w:w="1134" w:type="dxa"/>
            <w:tcBorders>
              <w:top w:val="nil"/>
              <w:left w:val="nil"/>
              <w:bottom w:val="single" w:sz="4" w:space="0" w:color="auto"/>
              <w:right w:val="single" w:sz="4" w:space="0" w:color="auto"/>
            </w:tcBorders>
            <w:shd w:val="clear" w:color="auto" w:fill="auto"/>
            <w:noWrap/>
            <w:vAlign w:val="center"/>
            <w:hideMark/>
          </w:tcPr>
          <w:p w14:paraId="6C86707F" w14:textId="63585200"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21197.59</w:t>
            </w:r>
          </w:p>
        </w:tc>
        <w:tc>
          <w:tcPr>
            <w:tcW w:w="693" w:type="dxa"/>
            <w:tcBorders>
              <w:top w:val="nil"/>
              <w:left w:val="nil"/>
              <w:bottom w:val="single" w:sz="4" w:space="0" w:color="auto"/>
              <w:right w:val="single" w:sz="4" w:space="0" w:color="auto"/>
            </w:tcBorders>
            <w:shd w:val="clear" w:color="auto" w:fill="auto"/>
            <w:noWrap/>
            <w:vAlign w:val="center"/>
            <w:hideMark/>
          </w:tcPr>
          <w:p w14:paraId="7C96A947" w14:textId="4AFFCBC0"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20.28</w:t>
            </w:r>
          </w:p>
        </w:tc>
      </w:tr>
      <w:tr w:rsidR="00912702" w:rsidRPr="0045588C" w14:paraId="721DDAF8" w14:textId="77777777" w:rsidTr="0045588C">
        <w:trPr>
          <w:trHeight w:val="255"/>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2A75C1FE" w14:textId="44E6EF07" w:rsidR="0091270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w:t>
            </w:r>
          </w:p>
        </w:tc>
        <w:tc>
          <w:tcPr>
            <w:tcW w:w="2551" w:type="dxa"/>
            <w:tcBorders>
              <w:top w:val="nil"/>
              <w:left w:val="nil"/>
              <w:bottom w:val="single" w:sz="4" w:space="0" w:color="auto"/>
              <w:right w:val="single" w:sz="4" w:space="0" w:color="auto"/>
            </w:tcBorders>
            <w:shd w:val="clear" w:color="auto" w:fill="auto"/>
            <w:noWrap/>
            <w:vAlign w:val="center"/>
            <w:hideMark/>
          </w:tcPr>
          <w:p w14:paraId="029FE699" w14:textId="11FE067F"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雨花台区龙吟路以北、青年路以西地块</w:t>
            </w:r>
          </w:p>
        </w:tc>
        <w:tc>
          <w:tcPr>
            <w:tcW w:w="851" w:type="dxa"/>
            <w:tcBorders>
              <w:top w:val="nil"/>
              <w:left w:val="nil"/>
              <w:bottom w:val="single" w:sz="4" w:space="0" w:color="auto"/>
              <w:right w:val="single" w:sz="4" w:space="0" w:color="auto"/>
            </w:tcBorders>
            <w:shd w:val="clear" w:color="auto" w:fill="auto"/>
            <w:noWrap/>
            <w:vAlign w:val="center"/>
            <w:hideMark/>
          </w:tcPr>
          <w:p w14:paraId="4B5E2D56" w14:textId="493D42F9"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NO.2021G38</w:t>
            </w:r>
          </w:p>
        </w:tc>
        <w:tc>
          <w:tcPr>
            <w:tcW w:w="1559" w:type="dxa"/>
            <w:tcBorders>
              <w:top w:val="nil"/>
              <w:left w:val="nil"/>
              <w:bottom w:val="single" w:sz="4" w:space="0" w:color="auto"/>
              <w:right w:val="single" w:sz="4" w:space="0" w:color="auto"/>
            </w:tcBorders>
            <w:shd w:val="clear" w:color="auto" w:fill="auto"/>
            <w:noWrap/>
            <w:vAlign w:val="center"/>
            <w:hideMark/>
          </w:tcPr>
          <w:p w14:paraId="76FE0718" w14:textId="7EC9A256"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R2</w:t>
            </w:r>
            <w:proofErr w:type="gramStart"/>
            <w:r w:rsidRPr="0045588C">
              <w:rPr>
                <w:rFonts w:ascii="Arial" w:eastAsia="华文细黑" w:hAnsi="Arial" w:cs="Arial"/>
                <w:sz w:val="18"/>
                <w:szCs w:val="18"/>
              </w:rPr>
              <w:t>二</w:t>
            </w:r>
            <w:proofErr w:type="gramEnd"/>
            <w:r w:rsidRPr="0045588C">
              <w:rPr>
                <w:rFonts w:ascii="Arial" w:eastAsia="华文细黑" w:hAnsi="Arial" w:cs="Arial"/>
                <w:sz w:val="18"/>
                <w:szCs w:val="18"/>
              </w:rPr>
              <w:t>类居住用地</w:t>
            </w:r>
          </w:p>
        </w:tc>
        <w:tc>
          <w:tcPr>
            <w:tcW w:w="992" w:type="dxa"/>
            <w:tcBorders>
              <w:top w:val="nil"/>
              <w:left w:val="nil"/>
              <w:bottom w:val="single" w:sz="4" w:space="0" w:color="auto"/>
              <w:right w:val="single" w:sz="4" w:space="0" w:color="auto"/>
            </w:tcBorders>
            <w:shd w:val="clear" w:color="auto" w:fill="auto"/>
            <w:noWrap/>
            <w:vAlign w:val="center"/>
            <w:hideMark/>
          </w:tcPr>
          <w:p w14:paraId="0A63262C" w14:textId="0DBCFC09"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68829.98</w:t>
            </w:r>
          </w:p>
        </w:tc>
        <w:tc>
          <w:tcPr>
            <w:tcW w:w="1134" w:type="dxa"/>
            <w:tcBorders>
              <w:top w:val="nil"/>
              <w:left w:val="nil"/>
              <w:bottom w:val="single" w:sz="4" w:space="0" w:color="auto"/>
              <w:right w:val="single" w:sz="4" w:space="0" w:color="auto"/>
            </w:tcBorders>
            <w:shd w:val="clear" w:color="auto" w:fill="auto"/>
            <w:noWrap/>
            <w:vAlign w:val="center"/>
            <w:hideMark/>
          </w:tcPr>
          <w:p w14:paraId="18BC229B" w14:textId="447CF7AD"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172074.95</w:t>
            </w:r>
          </w:p>
        </w:tc>
        <w:tc>
          <w:tcPr>
            <w:tcW w:w="945" w:type="dxa"/>
            <w:tcBorders>
              <w:top w:val="nil"/>
              <w:left w:val="nil"/>
              <w:bottom w:val="single" w:sz="4" w:space="0" w:color="auto"/>
              <w:right w:val="single" w:sz="4" w:space="0" w:color="auto"/>
            </w:tcBorders>
            <w:shd w:val="clear" w:color="auto" w:fill="auto"/>
            <w:noWrap/>
            <w:vAlign w:val="center"/>
            <w:hideMark/>
          </w:tcPr>
          <w:p w14:paraId="048845C4" w14:textId="2409F617"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≥1,≤2.5</w:t>
            </w:r>
          </w:p>
        </w:tc>
        <w:tc>
          <w:tcPr>
            <w:tcW w:w="1134" w:type="dxa"/>
            <w:tcBorders>
              <w:top w:val="nil"/>
              <w:left w:val="nil"/>
              <w:bottom w:val="single" w:sz="4" w:space="0" w:color="auto"/>
              <w:right w:val="single" w:sz="4" w:space="0" w:color="auto"/>
            </w:tcBorders>
            <w:shd w:val="clear" w:color="auto" w:fill="auto"/>
            <w:noWrap/>
            <w:vAlign w:val="center"/>
            <w:hideMark/>
          </w:tcPr>
          <w:p w14:paraId="7AE91F2E" w14:textId="66E205C5"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2021-05-20</w:t>
            </w:r>
          </w:p>
        </w:tc>
        <w:tc>
          <w:tcPr>
            <w:tcW w:w="1559" w:type="dxa"/>
            <w:tcBorders>
              <w:top w:val="nil"/>
              <w:left w:val="nil"/>
              <w:bottom w:val="single" w:sz="4" w:space="0" w:color="auto"/>
              <w:right w:val="single" w:sz="4" w:space="0" w:color="auto"/>
            </w:tcBorders>
            <w:shd w:val="clear" w:color="auto" w:fill="auto"/>
            <w:noWrap/>
            <w:vAlign w:val="center"/>
            <w:hideMark/>
          </w:tcPr>
          <w:p w14:paraId="5C5E23A4" w14:textId="61C2845F"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重庆同原房地产开发有限公司</w:t>
            </w:r>
          </w:p>
        </w:tc>
        <w:tc>
          <w:tcPr>
            <w:tcW w:w="851" w:type="dxa"/>
            <w:tcBorders>
              <w:top w:val="nil"/>
              <w:left w:val="nil"/>
              <w:bottom w:val="single" w:sz="4" w:space="0" w:color="auto"/>
              <w:right w:val="single" w:sz="4" w:space="0" w:color="auto"/>
            </w:tcBorders>
            <w:shd w:val="clear" w:color="auto" w:fill="auto"/>
            <w:noWrap/>
            <w:vAlign w:val="center"/>
            <w:hideMark/>
          </w:tcPr>
          <w:p w14:paraId="228A350E" w14:textId="2F304A97"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259000</w:t>
            </w:r>
          </w:p>
        </w:tc>
        <w:tc>
          <w:tcPr>
            <w:tcW w:w="1134" w:type="dxa"/>
            <w:tcBorders>
              <w:top w:val="nil"/>
              <w:left w:val="nil"/>
              <w:bottom w:val="single" w:sz="4" w:space="0" w:color="auto"/>
              <w:right w:val="single" w:sz="4" w:space="0" w:color="auto"/>
            </w:tcBorders>
            <w:shd w:val="clear" w:color="auto" w:fill="auto"/>
            <w:noWrap/>
            <w:vAlign w:val="center"/>
            <w:hideMark/>
          </w:tcPr>
          <w:p w14:paraId="2B2211D6" w14:textId="52F6B8A1"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2508.6</w:t>
            </w:r>
          </w:p>
        </w:tc>
        <w:tc>
          <w:tcPr>
            <w:tcW w:w="1134" w:type="dxa"/>
            <w:tcBorders>
              <w:top w:val="nil"/>
              <w:left w:val="nil"/>
              <w:bottom w:val="single" w:sz="4" w:space="0" w:color="auto"/>
              <w:right w:val="single" w:sz="4" w:space="0" w:color="auto"/>
            </w:tcBorders>
            <w:shd w:val="clear" w:color="auto" w:fill="auto"/>
            <w:noWrap/>
            <w:vAlign w:val="center"/>
            <w:hideMark/>
          </w:tcPr>
          <w:p w14:paraId="5512F79D" w14:textId="233149AD"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15051.57</w:t>
            </w:r>
          </w:p>
        </w:tc>
        <w:tc>
          <w:tcPr>
            <w:tcW w:w="693" w:type="dxa"/>
            <w:tcBorders>
              <w:top w:val="nil"/>
              <w:left w:val="nil"/>
              <w:bottom w:val="single" w:sz="4" w:space="0" w:color="auto"/>
              <w:right w:val="single" w:sz="4" w:space="0" w:color="auto"/>
            </w:tcBorders>
            <w:shd w:val="clear" w:color="auto" w:fill="auto"/>
            <w:noWrap/>
            <w:vAlign w:val="center"/>
            <w:hideMark/>
          </w:tcPr>
          <w:p w14:paraId="53B216B4" w14:textId="6547226D"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11.64</w:t>
            </w:r>
          </w:p>
        </w:tc>
      </w:tr>
      <w:tr w:rsidR="001C6242" w:rsidRPr="0045588C" w14:paraId="20C259D0" w14:textId="77777777" w:rsidTr="0045588C">
        <w:trPr>
          <w:trHeight w:val="255"/>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7E66454A" w14:textId="04A1F931"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3</w:t>
            </w:r>
          </w:p>
        </w:tc>
        <w:tc>
          <w:tcPr>
            <w:tcW w:w="2551" w:type="dxa"/>
            <w:tcBorders>
              <w:top w:val="nil"/>
              <w:left w:val="nil"/>
              <w:bottom w:val="single" w:sz="4" w:space="0" w:color="auto"/>
              <w:right w:val="single" w:sz="4" w:space="0" w:color="auto"/>
            </w:tcBorders>
            <w:shd w:val="clear" w:color="auto" w:fill="auto"/>
            <w:noWrap/>
            <w:vAlign w:val="center"/>
            <w:hideMark/>
          </w:tcPr>
          <w:p w14:paraId="347D28FC" w14:textId="5230E7FB"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雨花台区板桥街道板桥市场</w:t>
            </w:r>
            <w:r w:rsidRPr="0045588C">
              <w:rPr>
                <w:rFonts w:ascii="Arial" w:eastAsia="华文细黑" w:hAnsi="Arial" w:cs="Arial"/>
                <w:sz w:val="18"/>
                <w:szCs w:val="18"/>
              </w:rPr>
              <w:t>G2</w:t>
            </w:r>
            <w:r w:rsidRPr="0045588C">
              <w:rPr>
                <w:rFonts w:ascii="Arial" w:eastAsia="华文细黑" w:hAnsi="Arial" w:cs="Arial"/>
                <w:sz w:val="18"/>
                <w:szCs w:val="18"/>
              </w:rPr>
              <w:t>地块</w:t>
            </w:r>
          </w:p>
        </w:tc>
        <w:tc>
          <w:tcPr>
            <w:tcW w:w="851" w:type="dxa"/>
            <w:tcBorders>
              <w:top w:val="nil"/>
              <w:left w:val="nil"/>
              <w:bottom w:val="single" w:sz="4" w:space="0" w:color="auto"/>
              <w:right w:val="single" w:sz="4" w:space="0" w:color="auto"/>
            </w:tcBorders>
            <w:shd w:val="clear" w:color="auto" w:fill="auto"/>
            <w:noWrap/>
            <w:vAlign w:val="center"/>
            <w:hideMark/>
          </w:tcPr>
          <w:p w14:paraId="409A2430" w14:textId="67ADE5CA"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NO.2020G65</w:t>
            </w:r>
          </w:p>
        </w:tc>
        <w:tc>
          <w:tcPr>
            <w:tcW w:w="1559" w:type="dxa"/>
            <w:tcBorders>
              <w:top w:val="nil"/>
              <w:left w:val="nil"/>
              <w:bottom w:val="single" w:sz="4" w:space="0" w:color="auto"/>
              <w:right w:val="single" w:sz="4" w:space="0" w:color="auto"/>
            </w:tcBorders>
            <w:shd w:val="clear" w:color="auto" w:fill="auto"/>
            <w:noWrap/>
            <w:vAlign w:val="center"/>
            <w:hideMark/>
          </w:tcPr>
          <w:p w14:paraId="746B1AB4" w14:textId="100AE838"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Rb</w:t>
            </w:r>
            <w:r w:rsidRPr="0045588C">
              <w:rPr>
                <w:rFonts w:ascii="Arial" w:eastAsia="华文细黑" w:hAnsi="Arial" w:cs="Arial"/>
                <w:sz w:val="18"/>
                <w:szCs w:val="18"/>
              </w:rPr>
              <w:t>商住混合用地</w:t>
            </w:r>
          </w:p>
        </w:tc>
        <w:tc>
          <w:tcPr>
            <w:tcW w:w="992" w:type="dxa"/>
            <w:tcBorders>
              <w:top w:val="nil"/>
              <w:left w:val="nil"/>
              <w:bottom w:val="single" w:sz="4" w:space="0" w:color="auto"/>
              <w:right w:val="single" w:sz="4" w:space="0" w:color="auto"/>
            </w:tcBorders>
            <w:shd w:val="clear" w:color="auto" w:fill="auto"/>
            <w:noWrap/>
            <w:vAlign w:val="center"/>
            <w:hideMark/>
          </w:tcPr>
          <w:p w14:paraId="4BEC605A" w14:textId="573D7749"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55079.44</w:t>
            </w:r>
          </w:p>
        </w:tc>
        <w:tc>
          <w:tcPr>
            <w:tcW w:w="1134" w:type="dxa"/>
            <w:tcBorders>
              <w:top w:val="nil"/>
              <w:left w:val="nil"/>
              <w:bottom w:val="single" w:sz="4" w:space="0" w:color="auto"/>
              <w:right w:val="single" w:sz="4" w:space="0" w:color="auto"/>
            </w:tcBorders>
            <w:shd w:val="clear" w:color="auto" w:fill="auto"/>
            <w:noWrap/>
            <w:vAlign w:val="center"/>
            <w:hideMark/>
          </w:tcPr>
          <w:p w14:paraId="46394B5D" w14:textId="0CA6BCC4"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148714.49</w:t>
            </w:r>
          </w:p>
        </w:tc>
        <w:tc>
          <w:tcPr>
            <w:tcW w:w="945" w:type="dxa"/>
            <w:tcBorders>
              <w:top w:val="nil"/>
              <w:left w:val="nil"/>
              <w:bottom w:val="single" w:sz="4" w:space="0" w:color="auto"/>
              <w:right w:val="single" w:sz="4" w:space="0" w:color="auto"/>
            </w:tcBorders>
            <w:shd w:val="clear" w:color="auto" w:fill="auto"/>
            <w:noWrap/>
            <w:vAlign w:val="center"/>
            <w:hideMark/>
          </w:tcPr>
          <w:p w14:paraId="53B1810B" w14:textId="08D832F2"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w:t>
            </w:r>
            <w:r w:rsidRPr="0045588C">
              <w:rPr>
                <w:rFonts w:ascii="Arial" w:eastAsia="华文细黑" w:hAnsi="Arial" w:cs="Arial"/>
                <w:sz w:val="18"/>
                <w:szCs w:val="18"/>
              </w:rPr>
              <w:t>1</w:t>
            </w:r>
            <w:r w:rsidRPr="0045588C">
              <w:rPr>
                <w:rFonts w:ascii="Arial" w:eastAsia="华文细黑" w:hAnsi="Arial" w:cs="Arial"/>
                <w:sz w:val="18"/>
                <w:szCs w:val="18"/>
              </w:rPr>
              <w:t>且</w:t>
            </w:r>
            <w:r w:rsidRPr="0045588C">
              <w:rPr>
                <w:rFonts w:ascii="Arial" w:eastAsia="华文细黑" w:hAnsi="Arial" w:cs="Arial"/>
                <w:sz w:val="18"/>
                <w:szCs w:val="18"/>
              </w:rPr>
              <w:t>≤2.7</w:t>
            </w:r>
          </w:p>
        </w:tc>
        <w:tc>
          <w:tcPr>
            <w:tcW w:w="1134" w:type="dxa"/>
            <w:tcBorders>
              <w:top w:val="nil"/>
              <w:left w:val="nil"/>
              <w:bottom w:val="single" w:sz="4" w:space="0" w:color="auto"/>
              <w:right w:val="single" w:sz="4" w:space="0" w:color="auto"/>
            </w:tcBorders>
            <w:shd w:val="clear" w:color="auto" w:fill="auto"/>
            <w:noWrap/>
            <w:vAlign w:val="center"/>
            <w:hideMark/>
          </w:tcPr>
          <w:p w14:paraId="5BB06CA5" w14:textId="27D82861"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2020-09-24</w:t>
            </w:r>
          </w:p>
        </w:tc>
        <w:tc>
          <w:tcPr>
            <w:tcW w:w="1559" w:type="dxa"/>
            <w:tcBorders>
              <w:top w:val="nil"/>
              <w:left w:val="nil"/>
              <w:bottom w:val="single" w:sz="4" w:space="0" w:color="auto"/>
              <w:right w:val="single" w:sz="4" w:space="0" w:color="auto"/>
            </w:tcBorders>
            <w:shd w:val="clear" w:color="auto" w:fill="auto"/>
            <w:noWrap/>
            <w:vAlign w:val="center"/>
            <w:hideMark/>
          </w:tcPr>
          <w:p w14:paraId="1A44D421" w14:textId="57569755"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昆明市海伦堡房地产开发有限公司</w:t>
            </w:r>
          </w:p>
        </w:tc>
        <w:tc>
          <w:tcPr>
            <w:tcW w:w="851" w:type="dxa"/>
            <w:tcBorders>
              <w:top w:val="nil"/>
              <w:left w:val="nil"/>
              <w:bottom w:val="single" w:sz="4" w:space="0" w:color="auto"/>
              <w:right w:val="single" w:sz="4" w:space="0" w:color="auto"/>
            </w:tcBorders>
            <w:shd w:val="clear" w:color="auto" w:fill="auto"/>
            <w:noWrap/>
            <w:vAlign w:val="center"/>
            <w:hideMark/>
          </w:tcPr>
          <w:p w14:paraId="5D8AB5D3" w14:textId="22CA4053"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157000</w:t>
            </w:r>
          </w:p>
        </w:tc>
        <w:tc>
          <w:tcPr>
            <w:tcW w:w="1134" w:type="dxa"/>
            <w:tcBorders>
              <w:top w:val="nil"/>
              <w:left w:val="nil"/>
              <w:bottom w:val="single" w:sz="4" w:space="0" w:color="auto"/>
              <w:right w:val="single" w:sz="4" w:space="0" w:color="auto"/>
            </w:tcBorders>
            <w:shd w:val="clear" w:color="auto" w:fill="auto"/>
            <w:noWrap/>
            <w:vAlign w:val="center"/>
            <w:hideMark/>
          </w:tcPr>
          <w:p w14:paraId="2D6E5691" w14:textId="071B87B7"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1900.29</w:t>
            </w:r>
          </w:p>
        </w:tc>
        <w:tc>
          <w:tcPr>
            <w:tcW w:w="1134" w:type="dxa"/>
            <w:tcBorders>
              <w:top w:val="nil"/>
              <w:left w:val="nil"/>
              <w:bottom w:val="single" w:sz="4" w:space="0" w:color="auto"/>
              <w:right w:val="single" w:sz="4" w:space="0" w:color="auto"/>
            </w:tcBorders>
            <w:shd w:val="clear" w:color="auto" w:fill="auto"/>
            <w:noWrap/>
            <w:vAlign w:val="center"/>
            <w:hideMark/>
          </w:tcPr>
          <w:p w14:paraId="7CFBB643" w14:textId="34527AF5"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10557.13</w:t>
            </w:r>
          </w:p>
        </w:tc>
        <w:tc>
          <w:tcPr>
            <w:tcW w:w="693" w:type="dxa"/>
            <w:tcBorders>
              <w:top w:val="nil"/>
              <w:left w:val="nil"/>
              <w:bottom w:val="single" w:sz="4" w:space="0" w:color="auto"/>
              <w:right w:val="single" w:sz="4" w:space="0" w:color="auto"/>
            </w:tcBorders>
            <w:shd w:val="clear" w:color="auto" w:fill="auto"/>
            <w:noWrap/>
            <w:vAlign w:val="center"/>
            <w:hideMark/>
          </w:tcPr>
          <w:p w14:paraId="5F8C3461" w14:textId="3639FF16"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1.29</w:t>
            </w:r>
          </w:p>
        </w:tc>
      </w:tr>
      <w:tr w:rsidR="001C6242" w:rsidRPr="0045588C" w14:paraId="2A704448" w14:textId="77777777" w:rsidTr="0045588C">
        <w:trPr>
          <w:trHeight w:val="255"/>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5AFC3B9B" w14:textId="69EBF67F"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4</w:t>
            </w:r>
          </w:p>
        </w:tc>
        <w:tc>
          <w:tcPr>
            <w:tcW w:w="2551" w:type="dxa"/>
            <w:tcBorders>
              <w:top w:val="nil"/>
              <w:left w:val="nil"/>
              <w:bottom w:val="single" w:sz="4" w:space="0" w:color="auto"/>
              <w:right w:val="single" w:sz="4" w:space="0" w:color="auto"/>
            </w:tcBorders>
            <w:shd w:val="clear" w:color="auto" w:fill="auto"/>
            <w:noWrap/>
            <w:vAlign w:val="center"/>
            <w:hideMark/>
          </w:tcPr>
          <w:p w14:paraId="1987883F" w14:textId="75A715BA" w:rsidR="001C6242" w:rsidRPr="0045588C" w:rsidRDefault="001C6242" w:rsidP="00912702">
            <w:pPr>
              <w:jc w:val="both"/>
              <w:rPr>
                <w:rFonts w:ascii="Arial" w:eastAsia="华文细黑" w:hAnsi="Arial" w:cs="Arial"/>
                <w:sz w:val="18"/>
                <w:szCs w:val="18"/>
              </w:rPr>
            </w:pPr>
            <w:proofErr w:type="gramStart"/>
            <w:r w:rsidRPr="0045588C">
              <w:rPr>
                <w:rFonts w:ascii="Arial" w:eastAsia="华文细黑" w:hAnsi="Arial" w:cs="Arial"/>
                <w:sz w:val="18"/>
                <w:szCs w:val="18"/>
              </w:rPr>
              <w:t>雨花台区雨花经济开发区凤汇地块</w:t>
            </w:r>
            <w:proofErr w:type="gramEnd"/>
            <w:r w:rsidRPr="0045588C">
              <w:rPr>
                <w:rFonts w:ascii="Arial" w:eastAsia="华文细黑" w:hAnsi="Arial" w:cs="Arial"/>
                <w:sz w:val="18"/>
                <w:szCs w:val="18"/>
              </w:rPr>
              <w:t>二</w:t>
            </w:r>
          </w:p>
        </w:tc>
        <w:tc>
          <w:tcPr>
            <w:tcW w:w="851" w:type="dxa"/>
            <w:tcBorders>
              <w:top w:val="nil"/>
              <w:left w:val="nil"/>
              <w:bottom w:val="single" w:sz="4" w:space="0" w:color="auto"/>
              <w:right w:val="single" w:sz="4" w:space="0" w:color="auto"/>
            </w:tcBorders>
            <w:shd w:val="clear" w:color="auto" w:fill="auto"/>
            <w:noWrap/>
            <w:vAlign w:val="center"/>
            <w:hideMark/>
          </w:tcPr>
          <w:p w14:paraId="7F8291AE" w14:textId="0574C690"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NO.2020G37</w:t>
            </w:r>
          </w:p>
        </w:tc>
        <w:tc>
          <w:tcPr>
            <w:tcW w:w="1559" w:type="dxa"/>
            <w:tcBorders>
              <w:top w:val="nil"/>
              <w:left w:val="nil"/>
              <w:bottom w:val="single" w:sz="4" w:space="0" w:color="auto"/>
              <w:right w:val="single" w:sz="4" w:space="0" w:color="auto"/>
            </w:tcBorders>
            <w:shd w:val="clear" w:color="auto" w:fill="auto"/>
            <w:noWrap/>
            <w:vAlign w:val="center"/>
            <w:hideMark/>
          </w:tcPr>
          <w:p w14:paraId="4F1BB446" w14:textId="51F52301"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Rb</w:t>
            </w:r>
            <w:r w:rsidRPr="0045588C">
              <w:rPr>
                <w:rFonts w:ascii="Arial" w:eastAsia="华文细黑" w:hAnsi="Arial" w:cs="Arial"/>
                <w:sz w:val="18"/>
                <w:szCs w:val="18"/>
              </w:rPr>
              <w:t>商住混合用地</w:t>
            </w:r>
            <w:r w:rsidRPr="0045588C">
              <w:rPr>
                <w:rFonts w:ascii="Arial" w:eastAsia="华文细黑" w:hAnsi="Arial" w:cs="Arial"/>
                <w:sz w:val="18"/>
                <w:szCs w:val="18"/>
              </w:rPr>
              <w:t>Rc</w:t>
            </w:r>
            <w:r w:rsidRPr="0045588C">
              <w:rPr>
                <w:rFonts w:ascii="Arial" w:eastAsia="华文细黑" w:hAnsi="Arial" w:cs="Arial"/>
                <w:sz w:val="18"/>
                <w:szCs w:val="18"/>
              </w:rPr>
              <w:t>基层社区中心</w:t>
            </w:r>
          </w:p>
        </w:tc>
        <w:tc>
          <w:tcPr>
            <w:tcW w:w="992" w:type="dxa"/>
            <w:tcBorders>
              <w:top w:val="nil"/>
              <w:left w:val="nil"/>
              <w:bottom w:val="single" w:sz="4" w:space="0" w:color="auto"/>
              <w:right w:val="single" w:sz="4" w:space="0" w:color="auto"/>
            </w:tcBorders>
            <w:shd w:val="clear" w:color="auto" w:fill="auto"/>
            <w:noWrap/>
            <w:vAlign w:val="center"/>
            <w:hideMark/>
          </w:tcPr>
          <w:p w14:paraId="74DFC934" w14:textId="22B8F907"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45635.21</w:t>
            </w:r>
          </w:p>
        </w:tc>
        <w:tc>
          <w:tcPr>
            <w:tcW w:w="1134" w:type="dxa"/>
            <w:tcBorders>
              <w:top w:val="nil"/>
              <w:left w:val="nil"/>
              <w:bottom w:val="single" w:sz="4" w:space="0" w:color="auto"/>
              <w:right w:val="single" w:sz="4" w:space="0" w:color="auto"/>
            </w:tcBorders>
            <w:shd w:val="clear" w:color="auto" w:fill="auto"/>
            <w:noWrap/>
            <w:vAlign w:val="center"/>
            <w:hideMark/>
          </w:tcPr>
          <w:p w14:paraId="4836BFAF" w14:textId="04C28006"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111806.26</w:t>
            </w:r>
          </w:p>
        </w:tc>
        <w:tc>
          <w:tcPr>
            <w:tcW w:w="945" w:type="dxa"/>
            <w:tcBorders>
              <w:top w:val="nil"/>
              <w:left w:val="nil"/>
              <w:bottom w:val="single" w:sz="4" w:space="0" w:color="auto"/>
              <w:right w:val="single" w:sz="4" w:space="0" w:color="auto"/>
            </w:tcBorders>
            <w:shd w:val="clear" w:color="auto" w:fill="auto"/>
            <w:noWrap/>
            <w:vAlign w:val="center"/>
            <w:hideMark/>
          </w:tcPr>
          <w:p w14:paraId="642B11A9" w14:textId="20076AAC"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2.45</w:t>
            </w:r>
          </w:p>
        </w:tc>
        <w:tc>
          <w:tcPr>
            <w:tcW w:w="1134" w:type="dxa"/>
            <w:tcBorders>
              <w:top w:val="nil"/>
              <w:left w:val="nil"/>
              <w:bottom w:val="single" w:sz="4" w:space="0" w:color="auto"/>
              <w:right w:val="single" w:sz="4" w:space="0" w:color="auto"/>
            </w:tcBorders>
            <w:shd w:val="clear" w:color="auto" w:fill="auto"/>
            <w:noWrap/>
            <w:vAlign w:val="center"/>
            <w:hideMark/>
          </w:tcPr>
          <w:p w14:paraId="63516FA9" w14:textId="3A4D7770"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2020-07-15</w:t>
            </w:r>
          </w:p>
        </w:tc>
        <w:tc>
          <w:tcPr>
            <w:tcW w:w="1559" w:type="dxa"/>
            <w:tcBorders>
              <w:top w:val="nil"/>
              <w:left w:val="nil"/>
              <w:bottom w:val="single" w:sz="4" w:space="0" w:color="auto"/>
              <w:right w:val="single" w:sz="4" w:space="0" w:color="auto"/>
            </w:tcBorders>
            <w:shd w:val="clear" w:color="auto" w:fill="auto"/>
            <w:noWrap/>
            <w:vAlign w:val="center"/>
            <w:hideMark/>
          </w:tcPr>
          <w:p w14:paraId="46359C7B" w14:textId="6CBBC8A5"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南京之</w:t>
            </w:r>
            <w:proofErr w:type="gramStart"/>
            <w:r w:rsidRPr="0045588C">
              <w:rPr>
                <w:rFonts w:ascii="Arial" w:eastAsia="华文细黑" w:hAnsi="Arial" w:cs="Arial"/>
                <w:sz w:val="18"/>
                <w:szCs w:val="18"/>
              </w:rPr>
              <w:t>玫</w:t>
            </w:r>
            <w:proofErr w:type="gramEnd"/>
            <w:r w:rsidRPr="0045588C">
              <w:rPr>
                <w:rFonts w:ascii="Arial" w:eastAsia="华文细黑" w:hAnsi="Arial" w:cs="Arial"/>
                <w:sz w:val="18"/>
                <w:szCs w:val="18"/>
              </w:rPr>
              <w:t>企业管理咨询有限公司、南京和</w:t>
            </w:r>
            <w:proofErr w:type="gramStart"/>
            <w:r w:rsidRPr="0045588C">
              <w:rPr>
                <w:rFonts w:ascii="Arial" w:eastAsia="华文细黑" w:hAnsi="Arial" w:cs="Arial"/>
                <w:sz w:val="18"/>
                <w:szCs w:val="18"/>
              </w:rPr>
              <w:t>彰商务</w:t>
            </w:r>
            <w:proofErr w:type="gramEnd"/>
            <w:r w:rsidRPr="0045588C">
              <w:rPr>
                <w:rFonts w:ascii="Arial" w:eastAsia="华文细黑" w:hAnsi="Arial" w:cs="Arial"/>
                <w:sz w:val="18"/>
                <w:szCs w:val="18"/>
              </w:rPr>
              <w:t>咨询有限公司</w:t>
            </w:r>
          </w:p>
        </w:tc>
        <w:tc>
          <w:tcPr>
            <w:tcW w:w="851" w:type="dxa"/>
            <w:tcBorders>
              <w:top w:val="nil"/>
              <w:left w:val="nil"/>
              <w:bottom w:val="single" w:sz="4" w:space="0" w:color="auto"/>
              <w:right w:val="single" w:sz="4" w:space="0" w:color="auto"/>
            </w:tcBorders>
            <w:shd w:val="clear" w:color="auto" w:fill="auto"/>
            <w:noWrap/>
            <w:vAlign w:val="center"/>
            <w:hideMark/>
          </w:tcPr>
          <w:p w14:paraId="11C0FEB7" w14:textId="11F4D89C"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126000</w:t>
            </w:r>
          </w:p>
        </w:tc>
        <w:tc>
          <w:tcPr>
            <w:tcW w:w="1134" w:type="dxa"/>
            <w:tcBorders>
              <w:top w:val="nil"/>
              <w:left w:val="nil"/>
              <w:bottom w:val="single" w:sz="4" w:space="0" w:color="auto"/>
              <w:right w:val="single" w:sz="4" w:space="0" w:color="auto"/>
            </w:tcBorders>
            <w:shd w:val="clear" w:color="auto" w:fill="auto"/>
            <w:noWrap/>
            <w:vAlign w:val="center"/>
            <w:hideMark/>
          </w:tcPr>
          <w:p w14:paraId="33F878C4" w14:textId="0F4D57AB"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1840.68</w:t>
            </w:r>
          </w:p>
        </w:tc>
        <w:tc>
          <w:tcPr>
            <w:tcW w:w="1134" w:type="dxa"/>
            <w:tcBorders>
              <w:top w:val="nil"/>
              <w:left w:val="nil"/>
              <w:bottom w:val="single" w:sz="4" w:space="0" w:color="auto"/>
              <w:right w:val="single" w:sz="4" w:space="0" w:color="auto"/>
            </w:tcBorders>
            <w:shd w:val="clear" w:color="auto" w:fill="auto"/>
            <w:noWrap/>
            <w:vAlign w:val="center"/>
            <w:hideMark/>
          </w:tcPr>
          <w:p w14:paraId="5E3DB937" w14:textId="53FB25D1"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11269.48</w:t>
            </w:r>
          </w:p>
        </w:tc>
        <w:tc>
          <w:tcPr>
            <w:tcW w:w="693" w:type="dxa"/>
            <w:tcBorders>
              <w:top w:val="nil"/>
              <w:left w:val="nil"/>
              <w:bottom w:val="single" w:sz="4" w:space="0" w:color="auto"/>
              <w:right w:val="single" w:sz="4" w:space="0" w:color="auto"/>
            </w:tcBorders>
            <w:shd w:val="clear" w:color="auto" w:fill="auto"/>
            <w:noWrap/>
            <w:vAlign w:val="center"/>
            <w:hideMark/>
          </w:tcPr>
          <w:p w14:paraId="00F74DCC" w14:textId="7909FF6E"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0</w:t>
            </w:r>
          </w:p>
        </w:tc>
      </w:tr>
      <w:tr w:rsidR="001C6242" w:rsidRPr="0045588C" w14:paraId="4DB5AFBE" w14:textId="77777777" w:rsidTr="0045588C">
        <w:trPr>
          <w:trHeight w:val="406"/>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2FF84856" w14:textId="1EEEB35E"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5</w:t>
            </w:r>
          </w:p>
        </w:tc>
        <w:tc>
          <w:tcPr>
            <w:tcW w:w="2551" w:type="dxa"/>
            <w:tcBorders>
              <w:top w:val="nil"/>
              <w:left w:val="nil"/>
              <w:bottom w:val="single" w:sz="4" w:space="0" w:color="auto"/>
              <w:right w:val="single" w:sz="4" w:space="0" w:color="auto"/>
            </w:tcBorders>
            <w:shd w:val="clear" w:color="auto" w:fill="auto"/>
            <w:noWrap/>
            <w:vAlign w:val="center"/>
            <w:hideMark/>
          </w:tcPr>
          <w:p w14:paraId="62FBE9D6" w14:textId="71046FB5" w:rsidR="001C6242" w:rsidRPr="0045588C" w:rsidRDefault="001C6242" w:rsidP="00912702">
            <w:pPr>
              <w:jc w:val="both"/>
              <w:rPr>
                <w:rFonts w:ascii="Arial" w:eastAsia="华文细黑" w:hAnsi="Arial" w:cs="Arial"/>
                <w:sz w:val="18"/>
                <w:szCs w:val="18"/>
              </w:rPr>
            </w:pPr>
            <w:proofErr w:type="gramStart"/>
            <w:r w:rsidRPr="0045588C">
              <w:rPr>
                <w:rFonts w:ascii="Arial" w:eastAsia="华文细黑" w:hAnsi="Arial" w:cs="Arial"/>
                <w:sz w:val="18"/>
                <w:szCs w:val="18"/>
              </w:rPr>
              <w:t>雨花台区雨花经济开发区凤汇地块</w:t>
            </w:r>
            <w:proofErr w:type="gramEnd"/>
          </w:p>
        </w:tc>
        <w:tc>
          <w:tcPr>
            <w:tcW w:w="851" w:type="dxa"/>
            <w:tcBorders>
              <w:top w:val="nil"/>
              <w:left w:val="nil"/>
              <w:bottom w:val="single" w:sz="4" w:space="0" w:color="auto"/>
              <w:right w:val="single" w:sz="4" w:space="0" w:color="auto"/>
            </w:tcBorders>
            <w:shd w:val="clear" w:color="auto" w:fill="auto"/>
            <w:noWrap/>
            <w:vAlign w:val="center"/>
            <w:hideMark/>
          </w:tcPr>
          <w:p w14:paraId="7546B016" w14:textId="46E96DD6"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NO.2020G30</w:t>
            </w:r>
          </w:p>
        </w:tc>
        <w:tc>
          <w:tcPr>
            <w:tcW w:w="1559" w:type="dxa"/>
            <w:tcBorders>
              <w:top w:val="nil"/>
              <w:left w:val="nil"/>
              <w:bottom w:val="single" w:sz="4" w:space="0" w:color="auto"/>
              <w:right w:val="single" w:sz="4" w:space="0" w:color="auto"/>
            </w:tcBorders>
            <w:shd w:val="clear" w:color="auto" w:fill="auto"/>
            <w:noWrap/>
            <w:vAlign w:val="center"/>
            <w:hideMark/>
          </w:tcPr>
          <w:p w14:paraId="33DE2F75" w14:textId="4C7C4A50"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Rb</w:t>
            </w:r>
            <w:r w:rsidRPr="0045588C">
              <w:rPr>
                <w:rFonts w:ascii="Arial" w:eastAsia="华文细黑" w:hAnsi="Arial" w:cs="Arial"/>
                <w:sz w:val="18"/>
                <w:szCs w:val="18"/>
              </w:rPr>
              <w:t>商住混合用地</w:t>
            </w:r>
          </w:p>
        </w:tc>
        <w:tc>
          <w:tcPr>
            <w:tcW w:w="992" w:type="dxa"/>
            <w:tcBorders>
              <w:top w:val="nil"/>
              <w:left w:val="nil"/>
              <w:bottom w:val="single" w:sz="4" w:space="0" w:color="auto"/>
              <w:right w:val="single" w:sz="4" w:space="0" w:color="auto"/>
            </w:tcBorders>
            <w:shd w:val="clear" w:color="auto" w:fill="auto"/>
            <w:noWrap/>
            <w:vAlign w:val="center"/>
            <w:hideMark/>
          </w:tcPr>
          <w:p w14:paraId="6DCF71E5" w14:textId="17CFE220"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47286.16</w:t>
            </w:r>
          </w:p>
        </w:tc>
        <w:tc>
          <w:tcPr>
            <w:tcW w:w="1134" w:type="dxa"/>
            <w:tcBorders>
              <w:top w:val="nil"/>
              <w:left w:val="nil"/>
              <w:bottom w:val="single" w:sz="4" w:space="0" w:color="auto"/>
              <w:right w:val="single" w:sz="4" w:space="0" w:color="auto"/>
            </w:tcBorders>
            <w:shd w:val="clear" w:color="auto" w:fill="auto"/>
            <w:noWrap/>
            <w:vAlign w:val="center"/>
            <w:hideMark/>
          </w:tcPr>
          <w:p w14:paraId="4A514897" w14:textId="48CF5608"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118215.4</w:t>
            </w:r>
          </w:p>
        </w:tc>
        <w:tc>
          <w:tcPr>
            <w:tcW w:w="945" w:type="dxa"/>
            <w:tcBorders>
              <w:top w:val="nil"/>
              <w:left w:val="nil"/>
              <w:bottom w:val="single" w:sz="4" w:space="0" w:color="auto"/>
              <w:right w:val="single" w:sz="4" w:space="0" w:color="auto"/>
            </w:tcBorders>
            <w:shd w:val="clear" w:color="auto" w:fill="auto"/>
            <w:noWrap/>
            <w:vAlign w:val="center"/>
            <w:hideMark/>
          </w:tcPr>
          <w:p w14:paraId="4EB8DCFE" w14:textId="63F9553E"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w:t>
            </w:r>
            <w:r w:rsidRPr="0045588C">
              <w:rPr>
                <w:rFonts w:ascii="Arial" w:eastAsia="华文细黑" w:hAnsi="Arial" w:cs="Arial"/>
                <w:sz w:val="18"/>
                <w:szCs w:val="18"/>
              </w:rPr>
              <w:t>1</w:t>
            </w:r>
            <w:r w:rsidRPr="0045588C">
              <w:rPr>
                <w:rFonts w:ascii="Arial" w:eastAsia="华文细黑" w:hAnsi="Arial" w:cs="Arial"/>
                <w:sz w:val="18"/>
                <w:szCs w:val="18"/>
              </w:rPr>
              <w:t>且</w:t>
            </w:r>
            <w:r w:rsidRPr="0045588C">
              <w:rPr>
                <w:rFonts w:ascii="Arial" w:eastAsia="华文细黑" w:hAnsi="Arial" w:cs="Arial"/>
                <w:sz w:val="18"/>
                <w:szCs w:val="18"/>
              </w:rPr>
              <w:t>≤2.5</w:t>
            </w:r>
          </w:p>
        </w:tc>
        <w:tc>
          <w:tcPr>
            <w:tcW w:w="1134" w:type="dxa"/>
            <w:tcBorders>
              <w:top w:val="nil"/>
              <w:left w:val="nil"/>
              <w:bottom w:val="single" w:sz="4" w:space="0" w:color="auto"/>
              <w:right w:val="single" w:sz="4" w:space="0" w:color="auto"/>
            </w:tcBorders>
            <w:shd w:val="clear" w:color="auto" w:fill="auto"/>
            <w:noWrap/>
            <w:vAlign w:val="center"/>
            <w:hideMark/>
          </w:tcPr>
          <w:p w14:paraId="2502D092" w14:textId="1CE0473C"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2020-07-10</w:t>
            </w:r>
          </w:p>
        </w:tc>
        <w:tc>
          <w:tcPr>
            <w:tcW w:w="1559" w:type="dxa"/>
            <w:tcBorders>
              <w:top w:val="nil"/>
              <w:left w:val="nil"/>
              <w:bottom w:val="single" w:sz="4" w:space="0" w:color="auto"/>
              <w:right w:val="single" w:sz="4" w:space="0" w:color="auto"/>
            </w:tcBorders>
            <w:shd w:val="clear" w:color="auto" w:fill="auto"/>
            <w:noWrap/>
            <w:vAlign w:val="center"/>
            <w:hideMark/>
          </w:tcPr>
          <w:p w14:paraId="780831C6" w14:textId="4BBA3458"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南京和</w:t>
            </w:r>
            <w:proofErr w:type="gramStart"/>
            <w:r w:rsidRPr="0045588C">
              <w:rPr>
                <w:rFonts w:ascii="Arial" w:eastAsia="华文细黑" w:hAnsi="Arial" w:cs="Arial"/>
                <w:sz w:val="18"/>
                <w:szCs w:val="18"/>
              </w:rPr>
              <w:t>彰商务</w:t>
            </w:r>
            <w:proofErr w:type="gramEnd"/>
            <w:r w:rsidRPr="0045588C">
              <w:rPr>
                <w:rFonts w:ascii="Arial" w:eastAsia="华文细黑" w:hAnsi="Arial" w:cs="Arial"/>
                <w:sz w:val="18"/>
                <w:szCs w:val="18"/>
              </w:rPr>
              <w:t>咨询有限公司、南京之</w:t>
            </w:r>
            <w:proofErr w:type="gramStart"/>
            <w:r w:rsidRPr="0045588C">
              <w:rPr>
                <w:rFonts w:ascii="Arial" w:eastAsia="华文细黑" w:hAnsi="Arial" w:cs="Arial"/>
                <w:sz w:val="18"/>
                <w:szCs w:val="18"/>
              </w:rPr>
              <w:t>玫</w:t>
            </w:r>
            <w:proofErr w:type="gramEnd"/>
            <w:r w:rsidRPr="0045588C">
              <w:rPr>
                <w:rFonts w:ascii="Arial" w:eastAsia="华文细黑" w:hAnsi="Arial" w:cs="Arial"/>
                <w:sz w:val="18"/>
                <w:szCs w:val="18"/>
              </w:rPr>
              <w:t>企业管理咨询有限公司</w:t>
            </w:r>
          </w:p>
        </w:tc>
        <w:tc>
          <w:tcPr>
            <w:tcW w:w="851" w:type="dxa"/>
            <w:tcBorders>
              <w:top w:val="nil"/>
              <w:left w:val="nil"/>
              <w:bottom w:val="single" w:sz="4" w:space="0" w:color="auto"/>
              <w:right w:val="single" w:sz="4" w:space="0" w:color="auto"/>
            </w:tcBorders>
            <w:shd w:val="clear" w:color="auto" w:fill="auto"/>
            <w:noWrap/>
            <w:vAlign w:val="center"/>
            <w:hideMark/>
          </w:tcPr>
          <w:p w14:paraId="6D6A76BB" w14:textId="583A0FB3"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136000</w:t>
            </w:r>
          </w:p>
        </w:tc>
        <w:tc>
          <w:tcPr>
            <w:tcW w:w="1134" w:type="dxa"/>
            <w:tcBorders>
              <w:top w:val="nil"/>
              <w:left w:val="nil"/>
              <w:bottom w:val="single" w:sz="4" w:space="0" w:color="auto"/>
              <w:right w:val="single" w:sz="4" w:space="0" w:color="auto"/>
            </w:tcBorders>
            <w:shd w:val="clear" w:color="auto" w:fill="auto"/>
            <w:noWrap/>
            <w:vAlign w:val="center"/>
            <w:hideMark/>
          </w:tcPr>
          <w:p w14:paraId="2859E33D" w14:textId="2F788831"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1917.4</w:t>
            </w:r>
          </w:p>
        </w:tc>
        <w:tc>
          <w:tcPr>
            <w:tcW w:w="1134" w:type="dxa"/>
            <w:tcBorders>
              <w:top w:val="nil"/>
              <w:left w:val="nil"/>
              <w:bottom w:val="single" w:sz="4" w:space="0" w:color="auto"/>
              <w:right w:val="single" w:sz="4" w:space="0" w:color="auto"/>
            </w:tcBorders>
            <w:shd w:val="clear" w:color="auto" w:fill="auto"/>
            <w:noWrap/>
            <w:vAlign w:val="center"/>
            <w:hideMark/>
          </w:tcPr>
          <w:p w14:paraId="1B6F6604" w14:textId="7DF65E6C"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11504.42</w:t>
            </w:r>
          </w:p>
        </w:tc>
        <w:tc>
          <w:tcPr>
            <w:tcW w:w="693" w:type="dxa"/>
            <w:tcBorders>
              <w:top w:val="nil"/>
              <w:left w:val="nil"/>
              <w:bottom w:val="single" w:sz="4" w:space="0" w:color="auto"/>
              <w:right w:val="single" w:sz="4" w:space="0" w:color="auto"/>
            </w:tcBorders>
            <w:shd w:val="clear" w:color="auto" w:fill="auto"/>
            <w:noWrap/>
            <w:vAlign w:val="center"/>
            <w:hideMark/>
          </w:tcPr>
          <w:p w14:paraId="1BA96C8A" w14:textId="7FBDA678"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0</w:t>
            </w:r>
          </w:p>
        </w:tc>
      </w:tr>
      <w:tr w:rsidR="001C6242" w:rsidRPr="0045588C" w14:paraId="413E6D19" w14:textId="77777777" w:rsidTr="0045588C">
        <w:trPr>
          <w:trHeight w:val="255"/>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4E23DC0C" w14:textId="0063C37D"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6</w:t>
            </w:r>
          </w:p>
        </w:tc>
        <w:tc>
          <w:tcPr>
            <w:tcW w:w="2551" w:type="dxa"/>
            <w:tcBorders>
              <w:top w:val="nil"/>
              <w:left w:val="nil"/>
              <w:bottom w:val="single" w:sz="4" w:space="0" w:color="auto"/>
              <w:right w:val="single" w:sz="4" w:space="0" w:color="auto"/>
            </w:tcBorders>
            <w:shd w:val="clear" w:color="auto" w:fill="auto"/>
            <w:noWrap/>
            <w:vAlign w:val="center"/>
            <w:hideMark/>
          </w:tcPr>
          <w:p w14:paraId="50BD91E6" w14:textId="3E51AF42"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雨花台区板桥新城十二期地块</w:t>
            </w:r>
          </w:p>
        </w:tc>
        <w:tc>
          <w:tcPr>
            <w:tcW w:w="851" w:type="dxa"/>
            <w:tcBorders>
              <w:top w:val="nil"/>
              <w:left w:val="nil"/>
              <w:bottom w:val="single" w:sz="4" w:space="0" w:color="auto"/>
              <w:right w:val="single" w:sz="4" w:space="0" w:color="auto"/>
            </w:tcBorders>
            <w:shd w:val="clear" w:color="auto" w:fill="auto"/>
            <w:noWrap/>
            <w:vAlign w:val="center"/>
            <w:hideMark/>
          </w:tcPr>
          <w:p w14:paraId="139300B8" w14:textId="7DFBB86E"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NO.2020G14</w:t>
            </w:r>
          </w:p>
        </w:tc>
        <w:tc>
          <w:tcPr>
            <w:tcW w:w="1559" w:type="dxa"/>
            <w:tcBorders>
              <w:top w:val="nil"/>
              <w:left w:val="nil"/>
              <w:bottom w:val="single" w:sz="4" w:space="0" w:color="auto"/>
              <w:right w:val="single" w:sz="4" w:space="0" w:color="auto"/>
            </w:tcBorders>
            <w:shd w:val="clear" w:color="auto" w:fill="auto"/>
            <w:noWrap/>
            <w:vAlign w:val="center"/>
            <w:hideMark/>
          </w:tcPr>
          <w:p w14:paraId="098F565C" w14:textId="2C700237"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Rb</w:t>
            </w:r>
            <w:r w:rsidRPr="0045588C">
              <w:rPr>
                <w:rFonts w:ascii="Arial" w:eastAsia="华文细黑" w:hAnsi="Arial" w:cs="Arial"/>
                <w:sz w:val="18"/>
                <w:szCs w:val="18"/>
              </w:rPr>
              <w:t>商住混合用地</w:t>
            </w:r>
          </w:p>
        </w:tc>
        <w:tc>
          <w:tcPr>
            <w:tcW w:w="992" w:type="dxa"/>
            <w:tcBorders>
              <w:top w:val="nil"/>
              <w:left w:val="nil"/>
              <w:bottom w:val="single" w:sz="4" w:space="0" w:color="auto"/>
              <w:right w:val="single" w:sz="4" w:space="0" w:color="auto"/>
            </w:tcBorders>
            <w:shd w:val="clear" w:color="auto" w:fill="auto"/>
            <w:noWrap/>
            <w:vAlign w:val="center"/>
            <w:hideMark/>
          </w:tcPr>
          <w:p w14:paraId="5AF0ADC9" w14:textId="52445888"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74027.38</w:t>
            </w:r>
          </w:p>
        </w:tc>
        <w:tc>
          <w:tcPr>
            <w:tcW w:w="1134" w:type="dxa"/>
            <w:tcBorders>
              <w:top w:val="nil"/>
              <w:left w:val="nil"/>
              <w:bottom w:val="single" w:sz="4" w:space="0" w:color="auto"/>
              <w:right w:val="single" w:sz="4" w:space="0" w:color="auto"/>
            </w:tcBorders>
            <w:shd w:val="clear" w:color="auto" w:fill="auto"/>
            <w:noWrap/>
            <w:vAlign w:val="center"/>
            <w:hideMark/>
          </w:tcPr>
          <w:p w14:paraId="5E47D1DB" w14:textId="6BE1583B"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177665.71</w:t>
            </w:r>
          </w:p>
        </w:tc>
        <w:tc>
          <w:tcPr>
            <w:tcW w:w="945" w:type="dxa"/>
            <w:tcBorders>
              <w:top w:val="nil"/>
              <w:left w:val="nil"/>
              <w:bottom w:val="single" w:sz="4" w:space="0" w:color="auto"/>
              <w:right w:val="single" w:sz="4" w:space="0" w:color="auto"/>
            </w:tcBorders>
            <w:shd w:val="clear" w:color="auto" w:fill="auto"/>
            <w:noWrap/>
            <w:vAlign w:val="center"/>
            <w:hideMark/>
          </w:tcPr>
          <w:p w14:paraId="414BBE9C" w14:textId="3CF0A532"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≤2.4</w:t>
            </w:r>
          </w:p>
        </w:tc>
        <w:tc>
          <w:tcPr>
            <w:tcW w:w="1134" w:type="dxa"/>
            <w:tcBorders>
              <w:top w:val="nil"/>
              <w:left w:val="nil"/>
              <w:bottom w:val="single" w:sz="4" w:space="0" w:color="auto"/>
              <w:right w:val="single" w:sz="4" w:space="0" w:color="auto"/>
            </w:tcBorders>
            <w:shd w:val="clear" w:color="auto" w:fill="auto"/>
            <w:noWrap/>
            <w:vAlign w:val="center"/>
            <w:hideMark/>
          </w:tcPr>
          <w:p w14:paraId="11DC34E6" w14:textId="63821DF2"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2020-04-30</w:t>
            </w:r>
          </w:p>
        </w:tc>
        <w:tc>
          <w:tcPr>
            <w:tcW w:w="1559" w:type="dxa"/>
            <w:tcBorders>
              <w:top w:val="nil"/>
              <w:left w:val="nil"/>
              <w:bottom w:val="single" w:sz="4" w:space="0" w:color="auto"/>
              <w:right w:val="single" w:sz="4" w:space="0" w:color="auto"/>
            </w:tcBorders>
            <w:shd w:val="clear" w:color="auto" w:fill="auto"/>
            <w:noWrap/>
            <w:vAlign w:val="center"/>
            <w:hideMark/>
          </w:tcPr>
          <w:p w14:paraId="47E6274F" w14:textId="09743C8C"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宝能地产股份有限公司</w:t>
            </w:r>
          </w:p>
        </w:tc>
        <w:tc>
          <w:tcPr>
            <w:tcW w:w="851" w:type="dxa"/>
            <w:tcBorders>
              <w:top w:val="nil"/>
              <w:left w:val="nil"/>
              <w:bottom w:val="single" w:sz="4" w:space="0" w:color="auto"/>
              <w:right w:val="single" w:sz="4" w:space="0" w:color="auto"/>
            </w:tcBorders>
            <w:shd w:val="clear" w:color="auto" w:fill="auto"/>
            <w:noWrap/>
            <w:vAlign w:val="center"/>
            <w:hideMark/>
          </w:tcPr>
          <w:p w14:paraId="637ECDAD" w14:textId="2F1BE115"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271000</w:t>
            </w:r>
          </w:p>
        </w:tc>
        <w:tc>
          <w:tcPr>
            <w:tcW w:w="1134" w:type="dxa"/>
            <w:tcBorders>
              <w:top w:val="nil"/>
              <w:left w:val="nil"/>
              <w:bottom w:val="single" w:sz="4" w:space="0" w:color="auto"/>
              <w:right w:val="single" w:sz="4" w:space="0" w:color="auto"/>
            </w:tcBorders>
            <w:shd w:val="clear" w:color="auto" w:fill="auto"/>
            <w:noWrap/>
            <w:vAlign w:val="center"/>
            <w:hideMark/>
          </w:tcPr>
          <w:p w14:paraId="12A546BC" w14:textId="2B981112"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2440.54</w:t>
            </w:r>
          </w:p>
        </w:tc>
        <w:tc>
          <w:tcPr>
            <w:tcW w:w="1134" w:type="dxa"/>
            <w:tcBorders>
              <w:top w:val="nil"/>
              <w:left w:val="nil"/>
              <w:bottom w:val="single" w:sz="4" w:space="0" w:color="auto"/>
              <w:right w:val="single" w:sz="4" w:space="0" w:color="auto"/>
            </w:tcBorders>
            <w:shd w:val="clear" w:color="auto" w:fill="auto"/>
            <w:noWrap/>
            <w:vAlign w:val="center"/>
            <w:hideMark/>
          </w:tcPr>
          <w:p w14:paraId="69974873" w14:textId="371FA912"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15253.37</w:t>
            </w:r>
          </w:p>
        </w:tc>
        <w:tc>
          <w:tcPr>
            <w:tcW w:w="693" w:type="dxa"/>
            <w:tcBorders>
              <w:top w:val="nil"/>
              <w:left w:val="nil"/>
              <w:bottom w:val="single" w:sz="4" w:space="0" w:color="auto"/>
              <w:right w:val="single" w:sz="4" w:space="0" w:color="auto"/>
            </w:tcBorders>
            <w:shd w:val="clear" w:color="auto" w:fill="auto"/>
            <w:noWrap/>
            <w:vAlign w:val="center"/>
            <w:hideMark/>
          </w:tcPr>
          <w:p w14:paraId="6BC35FC8" w14:textId="3580672C"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44.92</w:t>
            </w:r>
          </w:p>
        </w:tc>
      </w:tr>
      <w:tr w:rsidR="001C6242" w:rsidRPr="0045588C" w14:paraId="03E7F967" w14:textId="77777777" w:rsidTr="0045588C">
        <w:trPr>
          <w:trHeight w:val="255"/>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12EC3213" w14:textId="110834DA"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7</w:t>
            </w:r>
          </w:p>
        </w:tc>
        <w:tc>
          <w:tcPr>
            <w:tcW w:w="2551" w:type="dxa"/>
            <w:tcBorders>
              <w:top w:val="nil"/>
              <w:left w:val="nil"/>
              <w:bottom w:val="single" w:sz="4" w:space="0" w:color="auto"/>
              <w:right w:val="single" w:sz="4" w:space="0" w:color="auto"/>
            </w:tcBorders>
            <w:shd w:val="clear" w:color="auto" w:fill="auto"/>
            <w:noWrap/>
            <w:vAlign w:val="center"/>
            <w:hideMark/>
          </w:tcPr>
          <w:p w14:paraId="0A49BC27" w14:textId="1E42A594"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雨花台区西善桥街道</w:t>
            </w:r>
            <w:proofErr w:type="gramStart"/>
            <w:r w:rsidRPr="0045588C">
              <w:rPr>
                <w:rFonts w:ascii="Arial" w:eastAsia="华文细黑" w:hAnsi="Arial" w:cs="Arial"/>
                <w:sz w:val="18"/>
                <w:szCs w:val="18"/>
              </w:rPr>
              <w:t>岱</w:t>
            </w:r>
            <w:proofErr w:type="gramEnd"/>
            <w:r w:rsidRPr="0045588C">
              <w:rPr>
                <w:rFonts w:ascii="Arial" w:eastAsia="华文细黑" w:hAnsi="Arial" w:cs="Arial"/>
                <w:sz w:val="18"/>
                <w:szCs w:val="18"/>
              </w:rPr>
              <w:t>山东路以东</w:t>
            </w:r>
            <w:r w:rsidRPr="0045588C">
              <w:rPr>
                <w:rFonts w:ascii="Arial" w:eastAsia="华文细黑" w:hAnsi="Arial" w:cs="Arial"/>
                <w:sz w:val="18"/>
                <w:szCs w:val="18"/>
              </w:rPr>
              <w:t>C8</w:t>
            </w:r>
            <w:r w:rsidRPr="0045588C">
              <w:rPr>
                <w:rFonts w:ascii="Arial" w:eastAsia="华文细黑" w:hAnsi="Arial" w:cs="Arial"/>
                <w:sz w:val="18"/>
                <w:szCs w:val="18"/>
              </w:rPr>
              <w:t>地块</w:t>
            </w:r>
          </w:p>
        </w:tc>
        <w:tc>
          <w:tcPr>
            <w:tcW w:w="851" w:type="dxa"/>
            <w:tcBorders>
              <w:top w:val="nil"/>
              <w:left w:val="nil"/>
              <w:bottom w:val="single" w:sz="4" w:space="0" w:color="auto"/>
              <w:right w:val="single" w:sz="4" w:space="0" w:color="auto"/>
            </w:tcBorders>
            <w:shd w:val="clear" w:color="auto" w:fill="auto"/>
            <w:noWrap/>
            <w:vAlign w:val="center"/>
            <w:hideMark/>
          </w:tcPr>
          <w:p w14:paraId="49C3CEF4" w14:textId="603F0EE6"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NO.2019G87</w:t>
            </w:r>
          </w:p>
        </w:tc>
        <w:tc>
          <w:tcPr>
            <w:tcW w:w="1559" w:type="dxa"/>
            <w:tcBorders>
              <w:top w:val="nil"/>
              <w:left w:val="nil"/>
              <w:bottom w:val="single" w:sz="4" w:space="0" w:color="auto"/>
              <w:right w:val="single" w:sz="4" w:space="0" w:color="auto"/>
            </w:tcBorders>
            <w:shd w:val="clear" w:color="auto" w:fill="auto"/>
            <w:noWrap/>
            <w:vAlign w:val="center"/>
            <w:hideMark/>
          </w:tcPr>
          <w:p w14:paraId="77E7359D" w14:textId="2657DAB7"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R2</w:t>
            </w:r>
            <w:proofErr w:type="gramStart"/>
            <w:r w:rsidRPr="0045588C">
              <w:rPr>
                <w:rFonts w:ascii="Arial" w:eastAsia="华文细黑" w:hAnsi="Arial" w:cs="Arial"/>
                <w:sz w:val="18"/>
                <w:szCs w:val="18"/>
              </w:rPr>
              <w:t>二</w:t>
            </w:r>
            <w:proofErr w:type="gramEnd"/>
            <w:r w:rsidRPr="0045588C">
              <w:rPr>
                <w:rFonts w:ascii="Arial" w:eastAsia="华文细黑" w:hAnsi="Arial" w:cs="Arial"/>
                <w:sz w:val="18"/>
                <w:szCs w:val="18"/>
              </w:rPr>
              <w:t>类居住用地</w:t>
            </w:r>
          </w:p>
        </w:tc>
        <w:tc>
          <w:tcPr>
            <w:tcW w:w="992" w:type="dxa"/>
            <w:tcBorders>
              <w:top w:val="nil"/>
              <w:left w:val="nil"/>
              <w:bottom w:val="single" w:sz="4" w:space="0" w:color="auto"/>
              <w:right w:val="single" w:sz="4" w:space="0" w:color="auto"/>
            </w:tcBorders>
            <w:shd w:val="clear" w:color="auto" w:fill="auto"/>
            <w:noWrap/>
            <w:vAlign w:val="center"/>
            <w:hideMark/>
          </w:tcPr>
          <w:p w14:paraId="7C00B31B" w14:textId="1B4675A5"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49828.93</w:t>
            </w:r>
          </w:p>
        </w:tc>
        <w:tc>
          <w:tcPr>
            <w:tcW w:w="1134" w:type="dxa"/>
            <w:tcBorders>
              <w:top w:val="nil"/>
              <w:left w:val="nil"/>
              <w:bottom w:val="single" w:sz="4" w:space="0" w:color="auto"/>
              <w:right w:val="single" w:sz="4" w:space="0" w:color="auto"/>
            </w:tcBorders>
            <w:shd w:val="clear" w:color="auto" w:fill="auto"/>
            <w:noWrap/>
            <w:vAlign w:val="center"/>
            <w:hideMark/>
          </w:tcPr>
          <w:p w14:paraId="41E40261" w14:textId="65C8614B"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139521</w:t>
            </w:r>
          </w:p>
        </w:tc>
        <w:tc>
          <w:tcPr>
            <w:tcW w:w="945" w:type="dxa"/>
            <w:tcBorders>
              <w:top w:val="nil"/>
              <w:left w:val="nil"/>
              <w:bottom w:val="single" w:sz="4" w:space="0" w:color="auto"/>
              <w:right w:val="single" w:sz="4" w:space="0" w:color="auto"/>
            </w:tcBorders>
            <w:shd w:val="clear" w:color="auto" w:fill="auto"/>
            <w:noWrap/>
            <w:vAlign w:val="center"/>
            <w:hideMark/>
          </w:tcPr>
          <w:p w14:paraId="1120BD60" w14:textId="10C2A563"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w:t>
            </w:r>
            <w:r w:rsidRPr="0045588C">
              <w:rPr>
                <w:rFonts w:ascii="Arial" w:eastAsia="华文细黑" w:hAnsi="Arial" w:cs="Arial"/>
                <w:sz w:val="18"/>
                <w:szCs w:val="18"/>
              </w:rPr>
              <w:t>1.0</w:t>
            </w:r>
            <w:r w:rsidRPr="0045588C">
              <w:rPr>
                <w:rFonts w:ascii="Arial" w:eastAsia="华文细黑" w:hAnsi="Arial" w:cs="Arial"/>
                <w:sz w:val="18"/>
                <w:szCs w:val="18"/>
              </w:rPr>
              <w:t>且</w:t>
            </w:r>
            <w:r w:rsidRPr="0045588C">
              <w:rPr>
                <w:rFonts w:ascii="Arial" w:eastAsia="华文细黑" w:hAnsi="Arial" w:cs="Arial"/>
                <w:sz w:val="18"/>
                <w:szCs w:val="18"/>
              </w:rPr>
              <w:t>≤2.8</w:t>
            </w:r>
          </w:p>
        </w:tc>
        <w:tc>
          <w:tcPr>
            <w:tcW w:w="1134" w:type="dxa"/>
            <w:tcBorders>
              <w:top w:val="nil"/>
              <w:left w:val="nil"/>
              <w:bottom w:val="single" w:sz="4" w:space="0" w:color="auto"/>
              <w:right w:val="single" w:sz="4" w:space="0" w:color="auto"/>
            </w:tcBorders>
            <w:shd w:val="clear" w:color="auto" w:fill="auto"/>
            <w:noWrap/>
            <w:vAlign w:val="center"/>
            <w:hideMark/>
          </w:tcPr>
          <w:p w14:paraId="300DCF89" w14:textId="1BE67482"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2019-12-04</w:t>
            </w:r>
          </w:p>
        </w:tc>
        <w:tc>
          <w:tcPr>
            <w:tcW w:w="1559" w:type="dxa"/>
            <w:tcBorders>
              <w:top w:val="nil"/>
              <w:left w:val="nil"/>
              <w:bottom w:val="single" w:sz="4" w:space="0" w:color="auto"/>
              <w:right w:val="single" w:sz="4" w:space="0" w:color="auto"/>
            </w:tcBorders>
            <w:shd w:val="clear" w:color="auto" w:fill="auto"/>
            <w:noWrap/>
            <w:vAlign w:val="center"/>
            <w:hideMark/>
          </w:tcPr>
          <w:p w14:paraId="1CDF956F" w14:textId="79AFE4C5"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南京市金裕企业管理咨询有限公司</w:t>
            </w:r>
          </w:p>
        </w:tc>
        <w:tc>
          <w:tcPr>
            <w:tcW w:w="851" w:type="dxa"/>
            <w:tcBorders>
              <w:top w:val="nil"/>
              <w:left w:val="nil"/>
              <w:bottom w:val="single" w:sz="4" w:space="0" w:color="auto"/>
              <w:right w:val="single" w:sz="4" w:space="0" w:color="auto"/>
            </w:tcBorders>
            <w:shd w:val="clear" w:color="auto" w:fill="auto"/>
            <w:noWrap/>
            <w:vAlign w:val="center"/>
            <w:hideMark/>
          </w:tcPr>
          <w:p w14:paraId="487494EC" w14:textId="3D877EC5"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232000</w:t>
            </w:r>
          </w:p>
        </w:tc>
        <w:tc>
          <w:tcPr>
            <w:tcW w:w="1134" w:type="dxa"/>
            <w:tcBorders>
              <w:top w:val="nil"/>
              <w:left w:val="nil"/>
              <w:bottom w:val="single" w:sz="4" w:space="0" w:color="auto"/>
              <w:right w:val="single" w:sz="4" w:space="0" w:color="auto"/>
            </w:tcBorders>
            <w:shd w:val="clear" w:color="auto" w:fill="auto"/>
            <w:noWrap/>
            <w:vAlign w:val="center"/>
            <w:hideMark/>
          </w:tcPr>
          <w:p w14:paraId="3B81F428" w14:textId="68CF9A33"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3103.95</w:t>
            </w:r>
          </w:p>
        </w:tc>
        <w:tc>
          <w:tcPr>
            <w:tcW w:w="1134" w:type="dxa"/>
            <w:tcBorders>
              <w:top w:val="nil"/>
              <w:left w:val="nil"/>
              <w:bottom w:val="single" w:sz="4" w:space="0" w:color="auto"/>
              <w:right w:val="single" w:sz="4" w:space="0" w:color="auto"/>
            </w:tcBorders>
            <w:shd w:val="clear" w:color="auto" w:fill="auto"/>
            <w:noWrap/>
            <w:vAlign w:val="center"/>
            <w:hideMark/>
          </w:tcPr>
          <w:p w14:paraId="038074E2" w14:textId="7CB12D57"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16628.31</w:t>
            </w:r>
          </w:p>
        </w:tc>
        <w:tc>
          <w:tcPr>
            <w:tcW w:w="693" w:type="dxa"/>
            <w:tcBorders>
              <w:top w:val="nil"/>
              <w:left w:val="nil"/>
              <w:bottom w:val="single" w:sz="4" w:space="0" w:color="auto"/>
              <w:right w:val="single" w:sz="4" w:space="0" w:color="auto"/>
            </w:tcBorders>
            <w:shd w:val="clear" w:color="auto" w:fill="auto"/>
            <w:noWrap/>
            <w:vAlign w:val="center"/>
            <w:hideMark/>
          </w:tcPr>
          <w:p w14:paraId="7210A71D" w14:textId="7C346CEE"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5.94</w:t>
            </w:r>
          </w:p>
        </w:tc>
      </w:tr>
      <w:tr w:rsidR="001C6242" w:rsidRPr="0045588C" w14:paraId="047E994B" w14:textId="77777777" w:rsidTr="0045588C">
        <w:trPr>
          <w:trHeight w:val="255"/>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75578D40" w14:textId="6EF9EABD"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8</w:t>
            </w:r>
          </w:p>
        </w:tc>
        <w:tc>
          <w:tcPr>
            <w:tcW w:w="2551" w:type="dxa"/>
            <w:tcBorders>
              <w:top w:val="nil"/>
              <w:left w:val="nil"/>
              <w:bottom w:val="single" w:sz="4" w:space="0" w:color="auto"/>
              <w:right w:val="single" w:sz="4" w:space="0" w:color="auto"/>
            </w:tcBorders>
            <w:shd w:val="clear" w:color="auto" w:fill="auto"/>
            <w:noWrap/>
            <w:vAlign w:val="center"/>
            <w:hideMark/>
          </w:tcPr>
          <w:p w14:paraId="3AD2D03A" w14:textId="34D68B80"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雨花台区板桥新城十一期地块</w:t>
            </w:r>
          </w:p>
        </w:tc>
        <w:tc>
          <w:tcPr>
            <w:tcW w:w="851" w:type="dxa"/>
            <w:tcBorders>
              <w:top w:val="nil"/>
              <w:left w:val="nil"/>
              <w:bottom w:val="single" w:sz="4" w:space="0" w:color="auto"/>
              <w:right w:val="single" w:sz="4" w:space="0" w:color="auto"/>
            </w:tcBorders>
            <w:shd w:val="clear" w:color="auto" w:fill="auto"/>
            <w:noWrap/>
            <w:vAlign w:val="center"/>
            <w:hideMark/>
          </w:tcPr>
          <w:p w14:paraId="448B2433" w14:textId="12EAF6B4"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NO.2019G18</w:t>
            </w:r>
          </w:p>
        </w:tc>
        <w:tc>
          <w:tcPr>
            <w:tcW w:w="1559" w:type="dxa"/>
            <w:tcBorders>
              <w:top w:val="nil"/>
              <w:left w:val="nil"/>
              <w:bottom w:val="single" w:sz="4" w:space="0" w:color="auto"/>
              <w:right w:val="single" w:sz="4" w:space="0" w:color="auto"/>
            </w:tcBorders>
            <w:shd w:val="clear" w:color="auto" w:fill="auto"/>
            <w:noWrap/>
            <w:vAlign w:val="center"/>
            <w:hideMark/>
          </w:tcPr>
          <w:p w14:paraId="28F89E48" w14:textId="0AE34ED3"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Rb</w:t>
            </w:r>
            <w:r w:rsidRPr="0045588C">
              <w:rPr>
                <w:rFonts w:ascii="Arial" w:eastAsia="华文细黑" w:hAnsi="Arial" w:cs="Arial"/>
                <w:sz w:val="18"/>
                <w:szCs w:val="18"/>
              </w:rPr>
              <w:t>商住混合用地</w:t>
            </w:r>
            <w:r w:rsidRPr="0045588C">
              <w:rPr>
                <w:rFonts w:ascii="Arial" w:eastAsia="华文细黑" w:hAnsi="Arial" w:cs="Arial"/>
                <w:sz w:val="18"/>
                <w:szCs w:val="18"/>
              </w:rPr>
              <w:t>Rc</w:t>
            </w:r>
            <w:r w:rsidRPr="0045588C">
              <w:rPr>
                <w:rFonts w:ascii="Arial" w:eastAsia="华文细黑" w:hAnsi="Arial" w:cs="Arial"/>
                <w:sz w:val="18"/>
                <w:szCs w:val="18"/>
              </w:rPr>
              <w:t>基层社区中心</w:t>
            </w:r>
          </w:p>
        </w:tc>
        <w:tc>
          <w:tcPr>
            <w:tcW w:w="992" w:type="dxa"/>
            <w:tcBorders>
              <w:top w:val="nil"/>
              <w:left w:val="nil"/>
              <w:bottom w:val="single" w:sz="4" w:space="0" w:color="auto"/>
              <w:right w:val="single" w:sz="4" w:space="0" w:color="auto"/>
            </w:tcBorders>
            <w:shd w:val="clear" w:color="auto" w:fill="auto"/>
            <w:noWrap/>
            <w:vAlign w:val="center"/>
            <w:hideMark/>
          </w:tcPr>
          <w:p w14:paraId="64DCFD41" w14:textId="4225B30F"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92896.07</w:t>
            </w:r>
          </w:p>
        </w:tc>
        <w:tc>
          <w:tcPr>
            <w:tcW w:w="1134" w:type="dxa"/>
            <w:tcBorders>
              <w:top w:val="nil"/>
              <w:left w:val="nil"/>
              <w:bottom w:val="single" w:sz="4" w:space="0" w:color="auto"/>
              <w:right w:val="single" w:sz="4" w:space="0" w:color="auto"/>
            </w:tcBorders>
            <w:shd w:val="clear" w:color="auto" w:fill="auto"/>
            <w:noWrap/>
            <w:vAlign w:val="center"/>
            <w:hideMark/>
          </w:tcPr>
          <w:p w14:paraId="0CECA34C" w14:textId="41F76176"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209016.2</w:t>
            </w:r>
          </w:p>
        </w:tc>
        <w:tc>
          <w:tcPr>
            <w:tcW w:w="945" w:type="dxa"/>
            <w:tcBorders>
              <w:top w:val="nil"/>
              <w:left w:val="nil"/>
              <w:bottom w:val="single" w:sz="4" w:space="0" w:color="auto"/>
              <w:right w:val="single" w:sz="4" w:space="0" w:color="auto"/>
            </w:tcBorders>
            <w:shd w:val="clear" w:color="auto" w:fill="auto"/>
            <w:noWrap/>
            <w:vAlign w:val="center"/>
            <w:hideMark/>
          </w:tcPr>
          <w:p w14:paraId="7ECD631B" w14:textId="04FEB15C"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2.25</w:t>
            </w:r>
          </w:p>
        </w:tc>
        <w:tc>
          <w:tcPr>
            <w:tcW w:w="1134" w:type="dxa"/>
            <w:tcBorders>
              <w:top w:val="nil"/>
              <w:left w:val="nil"/>
              <w:bottom w:val="single" w:sz="4" w:space="0" w:color="auto"/>
              <w:right w:val="single" w:sz="4" w:space="0" w:color="auto"/>
            </w:tcBorders>
            <w:shd w:val="clear" w:color="auto" w:fill="auto"/>
            <w:noWrap/>
            <w:vAlign w:val="center"/>
            <w:hideMark/>
          </w:tcPr>
          <w:p w14:paraId="28600C27" w14:textId="5801A9DE"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2019-06-05</w:t>
            </w:r>
          </w:p>
        </w:tc>
        <w:tc>
          <w:tcPr>
            <w:tcW w:w="1559" w:type="dxa"/>
            <w:tcBorders>
              <w:top w:val="nil"/>
              <w:left w:val="nil"/>
              <w:bottom w:val="single" w:sz="4" w:space="0" w:color="auto"/>
              <w:right w:val="single" w:sz="4" w:space="0" w:color="auto"/>
            </w:tcBorders>
            <w:shd w:val="clear" w:color="auto" w:fill="auto"/>
            <w:noWrap/>
            <w:vAlign w:val="center"/>
            <w:hideMark/>
          </w:tcPr>
          <w:p w14:paraId="07BF0C10" w14:textId="49A684E3" w:rsidR="001C6242" w:rsidRPr="0045588C" w:rsidRDefault="001C6242" w:rsidP="00912702">
            <w:pPr>
              <w:jc w:val="both"/>
              <w:rPr>
                <w:rFonts w:ascii="Arial" w:eastAsia="华文细黑" w:hAnsi="Arial" w:cs="Arial"/>
                <w:sz w:val="18"/>
                <w:szCs w:val="18"/>
              </w:rPr>
            </w:pPr>
            <w:proofErr w:type="gramStart"/>
            <w:r w:rsidRPr="0045588C">
              <w:rPr>
                <w:rFonts w:ascii="Arial" w:eastAsia="华文细黑" w:hAnsi="Arial" w:cs="Arial"/>
                <w:sz w:val="18"/>
                <w:szCs w:val="18"/>
              </w:rPr>
              <w:t>南京惠都企业管理</w:t>
            </w:r>
            <w:proofErr w:type="gramEnd"/>
            <w:r w:rsidRPr="0045588C">
              <w:rPr>
                <w:rFonts w:ascii="Arial" w:eastAsia="华文细黑" w:hAnsi="Arial" w:cs="Arial"/>
                <w:sz w:val="18"/>
                <w:szCs w:val="18"/>
              </w:rPr>
              <w:t>有限公司</w:t>
            </w:r>
          </w:p>
        </w:tc>
        <w:tc>
          <w:tcPr>
            <w:tcW w:w="851" w:type="dxa"/>
            <w:tcBorders>
              <w:top w:val="nil"/>
              <w:left w:val="nil"/>
              <w:bottom w:val="single" w:sz="4" w:space="0" w:color="auto"/>
              <w:right w:val="single" w:sz="4" w:space="0" w:color="auto"/>
            </w:tcBorders>
            <w:shd w:val="clear" w:color="auto" w:fill="auto"/>
            <w:noWrap/>
            <w:vAlign w:val="center"/>
            <w:hideMark/>
          </w:tcPr>
          <w:p w14:paraId="473E77C3" w14:textId="1DD1CF25"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323000</w:t>
            </w:r>
          </w:p>
        </w:tc>
        <w:tc>
          <w:tcPr>
            <w:tcW w:w="1134" w:type="dxa"/>
            <w:tcBorders>
              <w:top w:val="nil"/>
              <w:left w:val="nil"/>
              <w:bottom w:val="single" w:sz="4" w:space="0" w:color="auto"/>
              <w:right w:val="single" w:sz="4" w:space="0" w:color="auto"/>
            </w:tcBorders>
            <w:shd w:val="clear" w:color="auto" w:fill="auto"/>
            <w:noWrap/>
            <w:vAlign w:val="center"/>
            <w:hideMark/>
          </w:tcPr>
          <w:p w14:paraId="42854549" w14:textId="729C3030"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2318</w:t>
            </w:r>
          </w:p>
        </w:tc>
        <w:tc>
          <w:tcPr>
            <w:tcW w:w="1134" w:type="dxa"/>
            <w:tcBorders>
              <w:top w:val="nil"/>
              <w:left w:val="nil"/>
              <w:bottom w:val="single" w:sz="4" w:space="0" w:color="auto"/>
              <w:right w:val="single" w:sz="4" w:space="0" w:color="auto"/>
            </w:tcBorders>
            <w:shd w:val="clear" w:color="auto" w:fill="auto"/>
            <w:noWrap/>
            <w:vAlign w:val="center"/>
            <w:hideMark/>
          </w:tcPr>
          <w:p w14:paraId="0DBFEC5F" w14:textId="166C920E"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15453.35</w:t>
            </w:r>
          </w:p>
        </w:tc>
        <w:tc>
          <w:tcPr>
            <w:tcW w:w="693" w:type="dxa"/>
            <w:tcBorders>
              <w:top w:val="nil"/>
              <w:left w:val="nil"/>
              <w:bottom w:val="single" w:sz="4" w:space="0" w:color="auto"/>
              <w:right w:val="single" w:sz="4" w:space="0" w:color="auto"/>
            </w:tcBorders>
            <w:shd w:val="clear" w:color="auto" w:fill="auto"/>
            <w:noWrap/>
            <w:vAlign w:val="center"/>
            <w:hideMark/>
          </w:tcPr>
          <w:p w14:paraId="16DBACBD" w14:textId="0322ABDB"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47.49</w:t>
            </w:r>
          </w:p>
        </w:tc>
      </w:tr>
      <w:tr w:rsidR="001C6242" w:rsidRPr="0045588C" w14:paraId="5B22BBC0" w14:textId="77777777" w:rsidTr="0045588C">
        <w:trPr>
          <w:trHeight w:val="255"/>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07CB826E" w14:textId="556DD1E7"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9</w:t>
            </w:r>
          </w:p>
        </w:tc>
        <w:tc>
          <w:tcPr>
            <w:tcW w:w="2551" w:type="dxa"/>
            <w:tcBorders>
              <w:top w:val="nil"/>
              <w:left w:val="nil"/>
              <w:bottom w:val="single" w:sz="4" w:space="0" w:color="auto"/>
              <w:right w:val="single" w:sz="4" w:space="0" w:color="auto"/>
            </w:tcBorders>
            <w:shd w:val="clear" w:color="auto" w:fill="auto"/>
            <w:noWrap/>
            <w:vAlign w:val="center"/>
            <w:hideMark/>
          </w:tcPr>
          <w:p w14:paraId="25576192" w14:textId="4983CE5E"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雨花台区西善桥街道宁</w:t>
            </w:r>
            <w:proofErr w:type="gramStart"/>
            <w:r w:rsidRPr="0045588C">
              <w:rPr>
                <w:rFonts w:ascii="Arial" w:eastAsia="华文细黑" w:hAnsi="Arial" w:cs="Arial"/>
                <w:sz w:val="18"/>
                <w:szCs w:val="18"/>
              </w:rPr>
              <w:t>芜</w:t>
            </w:r>
            <w:proofErr w:type="gramEnd"/>
            <w:r w:rsidRPr="0045588C">
              <w:rPr>
                <w:rFonts w:ascii="Arial" w:eastAsia="华文细黑" w:hAnsi="Arial" w:cs="Arial"/>
                <w:sz w:val="18"/>
                <w:szCs w:val="18"/>
              </w:rPr>
              <w:t>铁路以南</w:t>
            </w:r>
            <w:r w:rsidRPr="0045588C">
              <w:rPr>
                <w:rFonts w:ascii="Arial" w:eastAsia="华文细黑" w:hAnsi="Arial" w:cs="Arial"/>
                <w:sz w:val="18"/>
                <w:szCs w:val="18"/>
              </w:rPr>
              <w:t>C2</w:t>
            </w:r>
            <w:r w:rsidRPr="0045588C">
              <w:rPr>
                <w:rFonts w:ascii="Arial" w:eastAsia="华文细黑" w:hAnsi="Arial" w:cs="Arial"/>
                <w:sz w:val="18"/>
                <w:szCs w:val="18"/>
              </w:rPr>
              <w:t>、</w:t>
            </w:r>
            <w:r w:rsidRPr="0045588C">
              <w:rPr>
                <w:rFonts w:ascii="Arial" w:eastAsia="华文细黑" w:hAnsi="Arial" w:cs="Arial"/>
                <w:sz w:val="18"/>
                <w:szCs w:val="18"/>
              </w:rPr>
              <w:t>C3</w:t>
            </w:r>
            <w:r w:rsidRPr="0045588C">
              <w:rPr>
                <w:rFonts w:ascii="Arial" w:eastAsia="华文细黑" w:hAnsi="Arial" w:cs="Arial"/>
                <w:sz w:val="18"/>
                <w:szCs w:val="18"/>
              </w:rPr>
              <w:t>地块</w:t>
            </w:r>
          </w:p>
        </w:tc>
        <w:tc>
          <w:tcPr>
            <w:tcW w:w="851" w:type="dxa"/>
            <w:tcBorders>
              <w:top w:val="nil"/>
              <w:left w:val="nil"/>
              <w:bottom w:val="single" w:sz="4" w:space="0" w:color="auto"/>
              <w:right w:val="single" w:sz="4" w:space="0" w:color="auto"/>
            </w:tcBorders>
            <w:shd w:val="clear" w:color="auto" w:fill="auto"/>
            <w:noWrap/>
            <w:vAlign w:val="center"/>
            <w:hideMark/>
          </w:tcPr>
          <w:p w14:paraId="2446ECF1" w14:textId="37080608"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NO.2019G02</w:t>
            </w:r>
          </w:p>
        </w:tc>
        <w:tc>
          <w:tcPr>
            <w:tcW w:w="1559" w:type="dxa"/>
            <w:tcBorders>
              <w:top w:val="nil"/>
              <w:left w:val="nil"/>
              <w:bottom w:val="single" w:sz="4" w:space="0" w:color="auto"/>
              <w:right w:val="single" w:sz="4" w:space="0" w:color="auto"/>
            </w:tcBorders>
            <w:shd w:val="clear" w:color="auto" w:fill="auto"/>
            <w:noWrap/>
            <w:vAlign w:val="center"/>
            <w:hideMark/>
          </w:tcPr>
          <w:p w14:paraId="4FFC974B" w14:textId="1849C351"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B1</w:t>
            </w:r>
            <w:r w:rsidRPr="0045588C">
              <w:rPr>
                <w:rFonts w:ascii="Arial" w:eastAsia="华文细黑" w:hAnsi="Arial" w:cs="Arial"/>
                <w:sz w:val="18"/>
                <w:szCs w:val="18"/>
              </w:rPr>
              <w:t>商业用地</w:t>
            </w:r>
            <w:r w:rsidRPr="0045588C">
              <w:rPr>
                <w:rFonts w:ascii="Arial" w:eastAsia="华文细黑" w:hAnsi="Arial" w:cs="Arial"/>
                <w:sz w:val="18"/>
                <w:szCs w:val="18"/>
              </w:rPr>
              <w:t>,R2</w:t>
            </w:r>
            <w:proofErr w:type="gramStart"/>
            <w:r w:rsidRPr="0045588C">
              <w:rPr>
                <w:rFonts w:ascii="Arial" w:eastAsia="华文细黑" w:hAnsi="Arial" w:cs="Arial"/>
                <w:sz w:val="18"/>
                <w:szCs w:val="18"/>
              </w:rPr>
              <w:t>二</w:t>
            </w:r>
            <w:proofErr w:type="gramEnd"/>
            <w:r w:rsidRPr="0045588C">
              <w:rPr>
                <w:rFonts w:ascii="Arial" w:eastAsia="华文细黑" w:hAnsi="Arial" w:cs="Arial"/>
                <w:sz w:val="18"/>
                <w:szCs w:val="18"/>
              </w:rPr>
              <w:t>类居住用地</w:t>
            </w:r>
          </w:p>
        </w:tc>
        <w:tc>
          <w:tcPr>
            <w:tcW w:w="992" w:type="dxa"/>
            <w:tcBorders>
              <w:top w:val="nil"/>
              <w:left w:val="nil"/>
              <w:bottom w:val="single" w:sz="4" w:space="0" w:color="auto"/>
              <w:right w:val="single" w:sz="4" w:space="0" w:color="auto"/>
            </w:tcBorders>
            <w:shd w:val="clear" w:color="auto" w:fill="auto"/>
            <w:noWrap/>
            <w:vAlign w:val="center"/>
            <w:hideMark/>
          </w:tcPr>
          <w:p w14:paraId="2844E580" w14:textId="7C24E9EB"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67389.32</w:t>
            </w:r>
          </w:p>
        </w:tc>
        <w:tc>
          <w:tcPr>
            <w:tcW w:w="1134" w:type="dxa"/>
            <w:tcBorders>
              <w:top w:val="nil"/>
              <w:left w:val="nil"/>
              <w:bottom w:val="single" w:sz="4" w:space="0" w:color="auto"/>
              <w:right w:val="single" w:sz="4" w:space="0" w:color="auto"/>
            </w:tcBorders>
            <w:shd w:val="clear" w:color="auto" w:fill="auto"/>
            <w:noWrap/>
            <w:vAlign w:val="center"/>
            <w:hideMark/>
          </w:tcPr>
          <w:p w14:paraId="76251D63" w14:textId="4BA91285"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168473</w:t>
            </w:r>
          </w:p>
        </w:tc>
        <w:tc>
          <w:tcPr>
            <w:tcW w:w="945" w:type="dxa"/>
            <w:tcBorders>
              <w:top w:val="nil"/>
              <w:left w:val="nil"/>
              <w:bottom w:val="single" w:sz="4" w:space="0" w:color="auto"/>
              <w:right w:val="single" w:sz="4" w:space="0" w:color="auto"/>
            </w:tcBorders>
            <w:shd w:val="clear" w:color="auto" w:fill="auto"/>
            <w:noWrap/>
            <w:vAlign w:val="center"/>
            <w:hideMark/>
          </w:tcPr>
          <w:p w14:paraId="62B4840A" w14:textId="676EBC1E"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2.5</w:t>
            </w:r>
          </w:p>
        </w:tc>
        <w:tc>
          <w:tcPr>
            <w:tcW w:w="1134" w:type="dxa"/>
            <w:tcBorders>
              <w:top w:val="nil"/>
              <w:left w:val="nil"/>
              <w:bottom w:val="single" w:sz="4" w:space="0" w:color="auto"/>
              <w:right w:val="single" w:sz="4" w:space="0" w:color="auto"/>
            </w:tcBorders>
            <w:shd w:val="clear" w:color="auto" w:fill="auto"/>
            <w:noWrap/>
            <w:vAlign w:val="center"/>
            <w:hideMark/>
          </w:tcPr>
          <w:p w14:paraId="423A568A" w14:textId="3E081CD7"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2019-03-29</w:t>
            </w:r>
          </w:p>
        </w:tc>
        <w:tc>
          <w:tcPr>
            <w:tcW w:w="1559" w:type="dxa"/>
            <w:tcBorders>
              <w:top w:val="nil"/>
              <w:left w:val="nil"/>
              <w:bottom w:val="single" w:sz="4" w:space="0" w:color="auto"/>
              <w:right w:val="single" w:sz="4" w:space="0" w:color="auto"/>
            </w:tcBorders>
            <w:shd w:val="clear" w:color="auto" w:fill="auto"/>
            <w:noWrap/>
            <w:vAlign w:val="center"/>
            <w:hideMark/>
          </w:tcPr>
          <w:p w14:paraId="5316BCFB" w14:textId="2CDDA7AF"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上海漫</w:t>
            </w:r>
            <w:proofErr w:type="gramStart"/>
            <w:r w:rsidRPr="0045588C">
              <w:rPr>
                <w:rFonts w:ascii="Arial" w:eastAsia="华文细黑" w:hAnsi="Arial" w:cs="Arial"/>
                <w:sz w:val="18"/>
                <w:szCs w:val="18"/>
              </w:rPr>
              <w:t>珑</w:t>
            </w:r>
            <w:proofErr w:type="gramEnd"/>
            <w:r w:rsidRPr="0045588C">
              <w:rPr>
                <w:rFonts w:ascii="Arial" w:eastAsia="华文细黑" w:hAnsi="Arial" w:cs="Arial"/>
                <w:sz w:val="18"/>
                <w:szCs w:val="18"/>
              </w:rPr>
              <w:t>企业管理有限公司</w:t>
            </w:r>
          </w:p>
        </w:tc>
        <w:tc>
          <w:tcPr>
            <w:tcW w:w="851" w:type="dxa"/>
            <w:tcBorders>
              <w:top w:val="nil"/>
              <w:left w:val="nil"/>
              <w:bottom w:val="single" w:sz="4" w:space="0" w:color="auto"/>
              <w:right w:val="single" w:sz="4" w:space="0" w:color="auto"/>
            </w:tcBorders>
            <w:shd w:val="clear" w:color="auto" w:fill="auto"/>
            <w:noWrap/>
            <w:vAlign w:val="center"/>
            <w:hideMark/>
          </w:tcPr>
          <w:p w14:paraId="2A5CC2A6" w14:textId="6808C53A"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280000</w:t>
            </w:r>
          </w:p>
        </w:tc>
        <w:tc>
          <w:tcPr>
            <w:tcW w:w="1134" w:type="dxa"/>
            <w:tcBorders>
              <w:top w:val="nil"/>
              <w:left w:val="nil"/>
              <w:bottom w:val="single" w:sz="4" w:space="0" w:color="auto"/>
              <w:right w:val="single" w:sz="4" w:space="0" w:color="auto"/>
            </w:tcBorders>
            <w:shd w:val="clear" w:color="auto" w:fill="auto"/>
            <w:noWrap/>
            <w:vAlign w:val="center"/>
            <w:hideMark/>
          </w:tcPr>
          <w:p w14:paraId="43A42F80" w14:textId="0AD33959"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2769.97</w:t>
            </w:r>
          </w:p>
        </w:tc>
        <w:tc>
          <w:tcPr>
            <w:tcW w:w="1134" w:type="dxa"/>
            <w:tcBorders>
              <w:top w:val="nil"/>
              <w:left w:val="nil"/>
              <w:bottom w:val="single" w:sz="4" w:space="0" w:color="auto"/>
              <w:right w:val="single" w:sz="4" w:space="0" w:color="auto"/>
            </w:tcBorders>
            <w:shd w:val="clear" w:color="auto" w:fill="auto"/>
            <w:noWrap/>
            <w:vAlign w:val="center"/>
            <w:hideMark/>
          </w:tcPr>
          <w:p w14:paraId="0CBF0923" w14:textId="56AD17A0"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16619.86</w:t>
            </w:r>
          </w:p>
        </w:tc>
        <w:tc>
          <w:tcPr>
            <w:tcW w:w="693" w:type="dxa"/>
            <w:tcBorders>
              <w:top w:val="nil"/>
              <w:left w:val="nil"/>
              <w:bottom w:val="single" w:sz="4" w:space="0" w:color="auto"/>
              <w:right w:val="single" w:sz="4" w:space="0" w:color="auto"/>
            </w:tcBorders>
            <w:shd w:val="clear" w:color="auto" w:fill="auto"/>
            <w:noWrap/>
            <w:vAlign w:val="center"/>
            <w:hideMark/>
          </w:tcPr>
          <w:p w14:paraId="17CE29B5" w14:textId="5E208935"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25.56</w:t>
            </w:r>
          </w:p>
        </w:tc>
      </w:tr>
      <w:tr w:rsidR="001C6242" w:rsidRPr="0045588C" w14:paraId="1880A134" w14:textId="77777777" w:rsidTr="0045588C">
        <w:trPr>
          <w:trHeight w:val="255"/>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5E899B07" w14:textId="1B592682"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10</w:t>
            </w:r>
          </w:p>
        </w:tc>
        <w:tc>
          <w:tcPr>
            <w:tcW w:w="2551" w:type="dxa"/>
            <w:tcBorders>
              <w:top w:val="nil"/>
              <w:left w:val="nil"/>
              <w:bottom w:val="single" w:sz="4" w:space="0" w:color="auto"/>
              <w:right w:val="single" w:sz="4" w:space="0" w:color="auto"/>
            </w:tcBorders>
            <w:shd w:val="clear" w:color="auto" w:fill="auto"/>
            <w:noWrap/>
            <w:vAlign w:val="center"/>
            <w:hideMark/>
          </w:tcPr>
          <w:p w14:paraId="600D330F" w14:textId="2EB1B971"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雨花台区西善桥街道岱山</w:t>
            </w:r>
            <w:r w:rsidRPr="0045588C">
              <w:rPr>
                <w:rFonts w:ascii="Arial" w:eastAsia="华文细黑" w:hAnsi="Arial" w:cs="Arial"/>
                <w:sz w:val="18"/>
                <w:szCs w:val="18"/>
              </w:rPr>
              <w:t>03</w:t>
            </w:r>
            <w:r w:rsidRPr="0045588C">
              <w:rPr>
                <w:rFonts w:ascii="Arial" w:eastAsia="华文细黑" w:hAnsi="Arial" w:cs="Arial"/>
                <w:sz w:val="18"/>
                <w:szCs w:val="18"/>
              </w:rPr>
              <w:t>号地块</w:t>
            </w:r>
          </w:p>
        </w:tc>
        <w:tc>
          <w:tcPr>
            <w:tcW w:w="851" w:type="dxa"/>
            <w:tcBorders>
              <w:top w:val="nil"/>
              <w:left w:val="nil"/>
              <w:bottom w:val="single" w:sz="4" w:space="0" w:color="auto"/>
              <w:right w:val="single" w:sz="4" w:space="0" w:color="auto"/>
            </w:tcBorders>
            <w:shd w:val="clear" w:color="auto" w:fill="auto"/>
            <w:noWrap/>
            <w:vAlign w:val="center"/>
            <w:hideMark/>
          </w:tcPr>
          <w:p w14:paraId="756CA648" w14:textId="1D2EAC72"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NO.2018G30</w:t>
            </w:r>
          </w:p>
        </w:tc>
        <w:tc>
          <w:tcPr>
            <w:tcW w:w="1559" w:type="dxa"/>
            <w:tcBorders>
              <w:top w:val="nil"/>
              <w:left w:val="nil"/>
              <w:bottom w:val="single" w:sz="4" w:space="0" w:color="auto"/>
              <w:right w:val="single" w:sz="4" w:space="0" w:color="auto"/>
            </w:tcBorders>
            <w:shd w:val="clear" w:color="auto" w:fill="auto"/>
            <w:noWrap/>
            <w:vAlign w:val="center"/>
            <w:hideMark/>
          </w:tcPr>
          <w:p w14:paraId="6433FE35" w14:textId="455F9ADD"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Rb</w:t>
            </w:r>
            <w:r w:rsidRPr="0045588C">
              <w:rPr>
                <w:rFonts w:ascii="Arial" w:eastAsia="华文细黑" w:hAnsi="Arial" w:cs="Arial"/>
                <w:sz w:val="18"/>
                <w:szCs w:val="18"/>
              </w:rPr>
              <w:t>商住混合用地</w:t>
            </w:r>
          </w:p>
        </w:tc>
        <w:tc>
          <w:tcPr>
            <w:tcW w:w="992" w:type="dxa"/>
            <w:tcBorders>
              <w:top w:val="nil"/>
              <w:left w:val="nil"/>
              <w:bottom w:val="single" w:sz="4" w:space="0" w:color="auto"/>
              <w:right w:val="single" w:sz="4" w:space="0" w:color="auto"/>
            </w:tcBorders>
            <w:shd w:val="clear" w:color="auto" w:fill="auto"/>
            <w:noWrap/>
            <w:vAlign w:val="center"/>
            <w:hideMark/>
          </w:tcPr>
          <w:p w14:paraId="39AC203B" w14:textId="321BD8CF"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26828.82</w:t>
            </w:r>
          </w:p>
        </w:tc>
        <w:tc>
          <w:tcPr>
            <w:tcW w:w="1134" w:type="dxa"/>
            <w:tcBorders>
              <w:top w:val="nil"/>
              <w:left w:val="nil"/>
              <w:bottom w:val="single" w:sz="4" w:space="0" w:color="auto"/>
              <w:right w:val="single" w:sz="4" w:space="0" w:color="auto"/>
            </w:tcBorders>
            <w:shd w:val="clear" w:color="auto" w:fill="auto"/>
            <w:noWrap/>
            <w:vAlign w:val="center"/>
            <w:hideMark/>
          </w:tcPr>
          <w:p w14:paraId="1B5D3D45" w14:textId="7A6A0913"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80486.46</w:t>
            </w:r>
          </w:p>
        </w:tc>
        <w:tc>
          <w:tcPr>
            <w:tcW w:w="945" w:type="dxa"/>
            <w:tcBorders>
              <w:top w:val="nil"/>
              <w:left w:val="nil"/>
              <w:bottom w:val="single" w:sz="4" w:space="0" w:color="auto"/>
              <w:right w:val="single" w:sz="4" w:space="0" w:color="auto"/>
            </w:tcBorders>
            <w:shd w:val="clear" w:color="auto" w:fill="auto"/>
            <w:noWrap/>
            <w:vAlign w:val="center"/>
            <w:hideMark/>
          </w:tcPr>
          <w:p w14:paraId="34E39A07" w14:textId="43B8B97B"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≥1.01</w:t>
            </w:r>
            <w:r w:rsidRPr="0045588C">
              <w:rPr>
                <w:rFonts w:ascii="Arial" w:eastAsia="华文细黑" w:hAnsi="Arial" w:cs="Arial"/>
                <w:sz w:val="18"/>
                <w:szCs w:val="18"/>
              </w:rPr>
              <w:t>且</w:t>
            </w:r>
            <w:r w:rsidRPr="0045588C">
              <w:rPr>
                <w:rFonts w:ascii="Arial" w:eastAsia="华文细黑" w:hAnsi="Arial" w:cs="Arial"/>
                <w:sz w:val="18"/>
                <w:szCs w:val="18"/>
              </w:rPr>
              <w:t>≤3.0</w:t>
            </w:r>
          </w:p>
        </w:tc>
        <w:tc>
          <w:tcPr>
            <w:tcW w:w="1134" w:type="dxa"/>
            <w:tcBorders>
              <w:top w:val="nil"/>
              <w:left w:val="nil"/>
              <w:bottom w:val="single" w:sz="4" w:space="0" w:color="auto"/>
              <w:right w:val="single" w:sz="4" w:space="0" w:color="auto"/>
            </w:tcBorders>
            <w:shd w:val="clear" w:color="auto" w:fill="auto"/>
            <w:noWrap/>
            <w:vAlign w:val="center"/>
            <w:hideMark/>
          </w:tcPr>
          <w:p w14:paraId="1A98DBD5" w14:textId="3FF80066"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2018-08-01</w:t>
            </w:r>
          </w:p>
        </w:tc>
        <w:tc>
          <w:tcPr>
            <w:tcW w:w="1559" w:type="dxa"/>
            <w:tcBorders>
              <w:top w:val="nil"/>
              <w:left w:val="nil"/>
              <w:bottom w:val="single" w:sz="4" w:space="0" w:color="auto"/>
              <w:right w:val="single" w:sz="4" w:space="0" w:color="auto"/>
            </w:tcBorders>
            <w:shd w:val="clear" w:color="auto" w:fill="auto"/>
            <w:noWrap/>
            <w:vAlign w:val="center"/>
            <w:hideMark/>
          </w:tcPr>
          <w:p w14:paraId="75363352" w14:textId="3C513BBB"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重庆招商依云房地产有限公司</w:t>
            </w:r>
          </w:p>
        </w:tc>
        <w:tc>
          <w:tcPr>
            <w:tcW w:w="851" w:type="dxa"/>
            <w:tcBorders>
              <w:top w:val="nil"/>
              <w:left w:val="nil"/>
              <w:bottom w:val="single" w:sz="4" w:space="0" w:color="auto"/>
              <w:right w:val="single" w:sz="4" w:space="0" w:color="auto"/>
            </w:tcBorders>
            <w:shd w:val="clear" w:color="auto" w:fill="auto"/>
            <w:noWrap/>
            <w:vAlign w:val="center"/>
            <w:hideMark/>
          </w:tcPr>
          <w:p w14:paraId="3B5BD2CA" w14:textId="4DB4C78D"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114000</w:t>
            </w:r>
          </w:p>
        </w:tc>
        <w:tc>
          <w:tcPr>
            <w:tcW w:w="1134" w:type="dxa"/>
            <w:tcBorders>
              <w:top w:val="nil"/>
              <w:left w:val="nil"/>
              <w:bottom w:val="single" w:sz="4" w:space="0" w:color="auto"/>
              <w:right w:val="single" w:sz="4" w:space="0" w:color="auto"/>
            </w:tcBorders>
            <w:shd w:val="clear" w:color="auto" w:fill="auto"/>
            <w:noWrap/>
            <w:vAlign w:val="center"/>
            <w:hideMark/>
          </w:tcPr>
          <w:p w14:paraId="4CB26EEA" w14:textId="4A930979"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2832.77</w:t>
            </w:r>
          </w:p>
        </w:tc>
        <w:tc>
          <w:tcPr>
            <w:tcW w:w="1134" w:type="dxa"/>
            <w:tcBorders>
              <w:top w:val="nil"/>
              <w:left w:val="nil"/>
              <w:bottom w:val="single" w:sz="4" w:space="0" w:color="auto"/>
              <w:right w:val="single" w:sz="4" w:space="0" w:color="auto"/>
            </w:tcBorders>
            <w:shd w:val="clear" w:color="auto" w:fill="auto"/>
            <w:noWrap/>
            <w:vAlign w:val="center"/>
            <w:hideMark/>
          </w:tcPr>
          <w:p w14:paraId="7455F78C" w14:textId="709861F5"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14163.87</w:t>
            </w:r>
          </w:p>
        </w:tc>
        <w:tc>
          <w:tcPr>
            <w:tcW w:w="693" w:type="dxa"/>
            <w:tcBorders>
              <w:top w:val="nil"/>
              <w:left w:val="nil"/>
              <w:bottom w:val="single" w:sz="4" w:space="0" w:color="auto"/>
              <w:right w:val="single" w:sz="4" w:space="0" w:color="auto"/>
            </w:tcBorders>
            <w:shd w:val="clear" w:color="auto" w:fill="auto"/>
            <w:noWrap/>
            <w:vAlign w:val="center"/>
            <w:hideMark/>
          </w:tcPr>
          <w:p w14:paraId="2106AF52" w14:textId="2EA6D568"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0.88</w:t>
            </w:r>
          </w:p>
        </w:tc>
      </w:tr>
      <w:tr w:rsidR="001C6242" w:rsidRPr="0045588C" w14:paraId="779602F9" w14:textId="77777777" w:rsidTr="0045588C">
        <w:trPr>
          <w:trHeight w:val="255"/>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19B4F526" w14:textId="603ADCC0"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11</w:t>
            </w:r>
          </w:p>
        </w:tc>
        <w:tc>
          <w:tcPr>
            <w:tcW w:w="2551" w:type="dxa"/>
            <w:tcBorders>
              <w:top w:val="nil"/>
              <w:left w:val="nil"/>
              <w:bottom w:val="single" w:sz="4" w:space="0" w:color="auto"/>
              <w:right w:val="single" w:sz="4" w:space="0" w:color="auto"/>
            </w:tcBorders>
            <w:shd w:val="clear" w:color="auto" w:fill="auto"/>
            <w:noWrap/>
            <w:vAlign w:val="center"/>
            <w:hideMark/>
          </w:tcPr>
          <w:p w14:paraId="4E2D818E" w14:textId="47541F8D"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雨花台区西善桥街道宁</w:t>
            </w:r>
            <w:proofErr w:type="gramStart"/>
            <w:r w:rsidRPr="0045588C">
              <w:rPr>
                <w:rFonts w:ascii="Arial" w:eastAsia="华文细黑" w:hAnsi="Arial" w:cs="Arial"/>
                <w:sz w:val="18"/>
                <w:szCs w:val="18"/>
              </w:rPr>
              <w:t>芜</w:t>
            </w:r>
            <w:proofErr w:type="gramEnd"/>
            <w:r w:rsidRPr="0045588C">
              <w:rPr>
                <w:rFonts w:ascii="Arial" w:eastAsia="华文细黑" w:hAnsi="Arial" w:cs="Arial"/>
                <w:sz w:val="18"/>
                <w:szCs w:val="18"/>
              </w:rPr>
              <w:t>铁路以南地块</w:t>
            </w:r>
          </w:p>
        </w:tc>
        <w:tc>
          <w:tcPr>
            <w:tcW w:w="851" w:type="dxa"/>
            <w:tcBorders>
              <w:top w:val="nil"/>
              <w:left w:val="nil"/>
              <w:bottom w:val="single" w:sz="4" w:space="0" w:color="auto"/>
              <w:right w:val="single" w:sz="4" w:space="0" w:color="auto"/>
            </w:tcBorders>
            <w:shd w:val="clear" w:color="auto" w:fill="auto"/>
            <w:noWrap/>
            <w:vAlign w:val="center"/>
            <w:hideMark/>
          </w:tcPr>
          <w:p w14:paraId="42CFFAC1" w14:textId="15685873"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NO.2018G18</w:t>
            </w:r>
          </w:p>
        </w:tc>
        <w:tc>
          <w:tcPr>
            <w:tcW w:w="1559" w:type="dxa"/>
            <w:tcBorders>
              <w:top w:val="nil"/>
              <w:left w:val="nil"/>
              <w:bottom w:val="single" w:sz="4" w:space="0" w:color="auto"/>
              <w:right w:val="single" w:sz="4" w:space="0" w:color="auto"/>
            </w:tcBorders>
            <w:shd w:val="clear" w:color="auto" w:fill="auto"/>
            <w:noWrap/>
            <w:vAlign w:val="center"/>
            <w:hideMark/>
          </w:tcPr>
          <w:p w14:paraId="3FD3939B" w14:textId="3F092E4D"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R2</w:t>
            </w:r>
            <w:proofErr w:type="gramStart"/>
            <w:r w:rsidRPr="0045588C">
              <w:rPr>
                <w:rFonts w:ascii="Arial" w:eastAsia="华文细黑" w:hAnsi="Arial" w:cs="Arial"/>
                <w:sz w:val="18"/>
                <w:szCs w:val="18"/>
              </w:rPr>
              <w:t>二</w:t>
            </w:r>
            <w:proofErr w:type="gramEnd"/>
            <w:r w:rsidRPr="0045588C">
              <w:rPr>
                <w:rFonts w:ascii="Arial" w:eastAsia="华文细黑" w:hAnsi="Arial" w:cs="Arial"/>
                <w:sz w:val="18"/>
                <w:szCs w:val="18"/>
              </w:rPr>
              <w:t>类居住用地</w:t>
            </w:r>
            <w:r w:rsidRPr="0045588C">
              <w:rPr>
                <w:rFonts w:ascii="Arial" w:eastAsia="华文细黑" w:hAnsi="Arial" w:cs="Arial"/>
                <w:sz w:val="18"/>
                <w:szCs w:val="18"/>
              </w:rPr>
              <w:t>Rc</w:t>
            </w:r>
            <w:r w:rsidRPr="0045588C">
              <w:rPr>
                <w:rFonts w:ascii="Arial" w:eastAsia="华文细黑" w:hAnsi="Arial" w:cs="Arial"/>
                <w:sz w:val="18"/>
                <w:szCs w:val="18"/>
              </w:rPr>
              <w:t>基层社区中心</w:t>
            </w:r>
          </w:p>
        </w:tc>
        <w:tc>
          <w:tcPr>
            <w:tcW w:w="992" w:type="dxa"/>
            <w:tcBorders>
              <w:top w:val="nil"/>
              <w:left w:val="nil"/>
              <w:bottom w:val="single" w:sz="4" w:space="0" w:color="auto"/>
              <w:right w:val="single" w:sz="4" w:space="0" w:color="auto"/>
            </w:tcBorders>
            <w:shd w:val="clear" w:color="auto" w:fill="auto"/>
            <w:noWrap/>
            <w:vAlign w:val="center"/>
            <w:hideMark/>
          </w:tcPr>
          <w:p w14:paraId="32D284D1" w14:textId="088A2D8C"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58286.34</w:t>
            </w:r>
          </w:p>
        </w:tc>
        <w:tc>
          <w:tcPr>
            <w:tcW w:w="1134" w:type="dxa"/>
            <w:tcBorders>
              <w:top w:val="nil"/>
              <w:left w:val="nil"/>
              <w:bottom w:val="single" w:sz="4" w:space="0" w:color="auto"/>
              <w:right w:val="single" w:sz="4" w:space="0" w:color="auto"/>
            </w:tcBorders>
            <w:shd w:val="clear" w:color="auto" w:fill="auto"/>
            <w:noWrap/>
            <w:vAlign w:val="center"/>
            <w:hideMark/>
          </w:tcPr>
          <w:p w14:paraId="513E01CB" w14:textId="63260F10"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157373.1</w:t>
            </w:r>
          </w:p>
        </w:tc>
        <w:tc>
          <w:tcPr>
            <w:tcW w:w="945" w:type="dxa"/>
            <w:tcBorders>
              <w:top w:val="nil"/>
              <w:left w:val="nil"/>
              <w:bottom w:val="single" w:sz="4" w:space="0" w:color="auto"/>
              <w:right w:val="single" w:sz="4" w:space="0" w:color="auto"/>
            </w:tcBorders>
            <w:shd w:val="clear" w:color="auto" w:fill="auto"/>
            <w:noWrap/>
            <w:vAlign w:val="center"/>
            <w:hideMark/>
          </w:tcPr>
          <w:p w14:paraId="3645BD80" w14:textId="2C8A5DD6"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综合容积率</w:t>
            </w:r>
            <w:r w:rsidRPr="0045588C">
              <w:rPr>
                <w:rFonts w:ascii="Arial" w:eastAsia="华文细黑" w:hAnsi="Arial" w:cs="Arial"/>
                <w:sz w:val="18"/>
                <w:szCs w:val="18"/>
              </w:rPr>
              <w:t>:2.7</w:t>
            </w:r>
          </w:p>
        </w:tc>
        <w:tc>
          <w:tcPr>
            <w:tcW w:w="1134" w:type="dxa"/>
            <w:tcBorders>
              <w:top w:val="nil"/>
              <w:left w:val="nil"/>
              <w:bottom w:val="single" w:sz="4" w:space="0" w:color="auto"/>
              <w:right w:val="single" w:sz="4" w:space="0" w:color="auto"/>
            </w:tcBorders>
            <w:shd w:val="clear" w:color="auto" w:fill="auto"/>
            <w:noWrap/>
            <w:vAlign w:val="center"/>
            <w:hideMark/>
          </w:tcPr>
          <w:p w14:paraId="2C83A953" w14:textId="70401E7C"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2018-05-30</w:t>
            </w:r>
          </w:p>
        </w:tc>
        <w:tc>
          <w:tcPr>
            <w:tcW w:w="1559" w:type="dxa"/>
            <w:tcBorders>
              <w:top w:val="nil"/>
              <w:left w:val="nil"/>
              <w:bottom w:val="single" w:sz="4" w:space="0" w:color="auto"/>
              <w:right w:val="single" w:sz="4" w:space="0" w:color="auto"/>
            </w:tcBorders>
            <w:shd w:val="clear" w:color="auto" w:fill="auto"/>
            <w:noWrap/>
            <w:vAlign w:val="center"/>
            <w:hideMark/>
          </w:tcPr>
          <w:p w14:paraId="5203961D" w14:textId="650C013C"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南京金羚房地产开发有限公司</w:t>
            </w:r>
          </w:p>
        </w:tc>
        <w:tc>
          <w:tcPr>
            <w:tcW w:w="851" w:type="dxa"/>
            <w:tcBorders>
              <w:top w:val="nil"/>
              <w:left w:val="nil"/>
              <w:bottom w:val="single" w:sz="4" w:space="0" w:color="auto"/>
              <w:right w:val="single" w:sz="4" w:space="0" w:color="auto"/>
            </w:tcBorders>
            <w:shd w:val="clear" w:color="auto" w:fill="auto"/>
            <w:noWrap/>
            <w:vAlign w:val="center"/>
            <w:hideMark/>
          </w:tcPr>
          <w:p w14:paraId="6EA2C2E1" w14:textId="72C9F966"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282000</w:t>
            </w:r>
          </w:p>
        </w:tc>
        <w:tc>
          <w:tcPr>
            <w:tcW w:w="1134" w:type="dxa"/>
            <w:tcBorders>
              <w:top w:val="nil"/>
              <w:left w:val="nil"/>
              <w:bottom w:val="single" w:sz="4" w:space="0" w:color="auto"/>
              <w:right w:val="single" w:sz="4" w:space="0" w:color="auto"/>
            </w:tcBorders>
            <w:shd w:val="clear" w:color="auto" w:fill="auto"/>
            <w:noWrap/>
            <w:vAlign w:val="center"/>
            <w:hideMark/>
          </w:tcPr>
          <w:p w14:paraId="751B249A" w14:textId="600DAC0E"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3225.46</w:t>
            </w:r>
          </w:p>
        </w:tc>
        <w:tc>
          <w:tcPr>
            <w:tcW w:w="1134" w:type="dxa"/>
            <w:tcBorders>
              <w:top w:val="nil"/>
              <w:left w:val="nil"/>
              <w:bottom w:val="single" w:sz="4" w:space="0" w:color="auto"/>
              <w:right w:val="single" w:sz="4" w:space="0" w:color="auto"/>
            </w:tcBorders>
            <w:shd w:val="clear" w:color="auto" w:fill="auto"/>
            <w:noWrap/>
            <w:vAlign w:val="center"/>
            <w:hideMark/>
          </w:tcPr>
          <w:p w14:paraId="2D581352" w14:textId="2466FD3A"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17919.2</w:t>
            </w:r>
          </w:p>
        </w:tc>
        <w:tc>
          <w:tcPr>
            <w:tcW w:w="693" w:type="dxa"/>
            <w:tcBorders>
              <w:top w:val="nil"/>
              <w:left w:val="nil"/>
              <w:bottom w:val="single" w:sz="4" w:space="0" w:color="auto"/>
              <w:right w:val="single" w:sz="4" w:space="0" w:color="auto"/>
            </w:tcBorders>
            <w:shd w:val="clear" w:color="auto" w:fill="auto"/>
            <w:noWrap/>
            <w:vAlign w:val="center"/>
            <w:hideMark/>
          </w:tcPr>
          <w:p w14:paraId="26E9EF82" w14:textId="5FF8660F"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43.15</w:t>
            </w:r>
          </w:p>
        </w:tc>
      </w:tr>
    </w:tbl>
    <w:p w14:paraId="072EBB3B" w14:textId="77777777" w:rsidR="00C01AA7" w:rsidRPr="00E05368" w:rsidRDefault="00C01AA7" w:rsidP="00C01AA7">
      <w:pPr>
        <w:widowControl w:val="0"/>
        <w:adjustRightInd w:val="0"/>
        <w:snapToGrid w:val="0"/>
        <w:jc w:val="both"/>
        <w:rPr>
          <w:rFonts w:ascii="华文细黑" w:eastAsia="华文细黑" w:hAnsi="华文细黑" w:cs="Arial"/>
          <w:color w:val="000000"/>
          <w:sz w:val="15"/>
          <w:szCs w:val="15"/>
        </w:rPr>
      </w:pPr>
      <w:r w:rsidRPr="00E05368">
        <w:rPr>
          <w:rFonts w:ascii="华文细黑" w:eastAsia="华文细黑" w:hAnsi="华文细黑" w:cs="Arial" w:hint="eastAsia"/>
          <w:color w:val="000000"/>
          <w:sz w:val="15"/>
          <w:szCs w:val="15"/>
        </w:rPr>
        <w:t>单位：平方米、万元、元/亩、元</w:t>
      </w:r>
      <w:r w:rsidRPr="00E05368">
        <w:rPr>
          <w:rFonts w:ascii="华文细黑" w:eastAsia="华文细黑" w:hAnsi="华文细黑" w:cs="Arial"/>
          <w:color w:val="000000"/>
          <w:sz w:val="15"/>
          <w:szCs w:val="15"/>
        </w:rPr>
        <w:t>/</w:t>
      </w:r>
      <w:r w:rsidRPr="00E05368">
        <w:rPr>
          <w:rFonts w:ascii="华文细黑" w:eastAsia="华文细黑" w:hAnsi="华文细黑" w:cs="Arial" w:hint="eastAsia"/>
          <w:color w:val="000000"/>
          <w:sz w:val="15"/>
          <w:szCs w:val="15"/>
        </w:rPr>
        <w:t>平方米、%</w:t>
      </w:r>
    </w:p>
    <w:p w14:paraId="26D178A3" w14:textId="77777777" w:rsidR="00C01AA7" w:rsidRPr="00E05368" w:rsidRDefault="00C01AA7" w:rsidP="00C01AA7">
      <w:pPr>
        <w:widowControl w:val="0"/>
        <w:adjustRightInd w:val="0"/>
        <w:snapToGrid w:val="0"/>
        <w:spacing w:line="480" w:lineRule="auto"/>
        <w:jc w:val="both"/>
        <w:rPr>
          <w:rFonts w:ascii="Arial" w:hAnsi="Arial" w:cs="Arial"/>
          <w:color w:val="000000"/>
          <w:sz w:val="21"/>
          <w:szCs w:val="21"/>
        </w:rPr>
      </w:pPr>
      <w:r w:rsidRPr="00E05368">
        <w:rPr>
          <w:rFonts w:ascii="华文细黑" w:eastAsia="华文细黑" w:hAnsi="华文细黑" w:cs="Arial" w:hint="eastAsia"/>
          <w:color w:val="000000"/>
          <w:sz w:val="15"/>
          <w:szCs w:val="15"/>
        </w:rPr>
        <w:t>资料来源：</w:t>
      </w:r>
      <w:r w:rsidRPr="00E05368">
        <w:rPr>
          <w:rFonts w:ascii="Arial" w:eastAsia="华文细黑" w:hAnsi="Arial" w:cs="Arial"/>
          <w:color w:val="000000"/>
          <w:sz w:val="15"/>
          <w:szCs w:val="15"/>
        </w:rPr>
        <w:t>CREIS</w:t>
      </w:r>
      <w:r w:rsidRPr="00E05368">
        <w:rPr>
          <w:rFonts w:ascii="华文细黑" w:eastAsia="华文细黑" w:hAnsi="华文细黑" w:cs="Arial" w:hint="eastAsia"/>
          <w:color w:val="000000"/>
          <w:sz w:val="15"/>
          <w:szCs w:val="15"/>
        </w:rPr>
        <w:t>中指数据</w:t>
      </w:r>
    </w:p>
    <w:p w14:paraId="4D0DD384" w14:textId="77777777" w:rsidR="00C01AA7" w:rsidRPr="00E05368" w:rsidRDefault="00C01AA7" w:rsidP="00C01AA7">
      <w:pPr>
        <w:widowControl w:val="0"/>
        <w:adjustRightInd w:val="0"/>
        <w:snapToGrid w:val="0"/>
        <w:spacing w:line="480" w:lineRule="auto"/>
        <w:jc w:val="center"/>
        <w:rPr>
          <w:rFonts w:ascii="Arial" w:hAnsi="Arial" w:cs="Arial"/>
          <w:color w:val="000000"/>
          <w:sz w:val="21"/>
          <w:szCs w:val="21"/>
        </w:rPr>
        <w:sectPr w:rsidR="00C01AA7" w:rsidRPr="00E05368" w:rsidSect="00B21766">
          <w:pgSz w:w="16838" w:h="11906" w:orient="landscape" w:code="9"/>
          <w:pgMar w:top="1304" w:right="1843" w:bottom="1304" w:left="1134" w:header="1134" w:footer="907" w:gutter="0"/>
          <w:cols w:space="425"/>
          <w:titlePg/>
          <w:docGrid w:linePitch="326"/>
        </w:sectPr>
      </w:pPr>
    </w:p>
    <w:p w14:paraId="267841AD" w14:textId="1ABF63ED" w:rsidR="00C01AA7" w:rsidRPr="00E05368" w:rsidRDefault="001C6242" w:rsidP="00C01AA7">
      <w:r>
        <w:rPr>
          <w:noProof/>
        </w:rPr>
        <w:lastRenderedPageBreak/>
        <w:drawing>
          <wp:inline distT="0" distB="0" distL="0" distR="0" wp14:anchorId="3B694773" wp14:editId="44CAF8FE">
            <wp:extent cx="8801735" cy="5170805"/>
            <wp:effectExtent l="0" t="0" r="0" b="0"/>
            <wp:docPr id="5165" name="图片 5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3.png"/>
                    <pic:cNvPicPr/>
                  </pic:nvPicPr>
                  <pic:blipFill>
                    <a:blip r:embed="rId54">
                      <a:extLst>
                        <a:ext uri="{28A0092B-C50C-407E-A947-70E740481C1C}">
                          <a14:useLocalDpi xmlns:a14="http://schemas.microsoft.com/office/drawing/2010/main" val="0"/>
                        </a:ext>
                      </a:extLst>
                    </a:blip>
                    <a:stretch>
                      <a:fillRect/>
                    </a:stretch>
                  </pic:blipFill>
                  <pic:spPr>
                    <a:xfrm>
                      <a:off x="0" y="0"/>
                      <a:ext cx="8801735" cy="5170805"/>
                    </a:xfrm>
                    <a:prstGeom prst="rect">
                      <a:avLst/>
                    </a:prstGeom>
                  </pic:spPr>
                </pic:pic>
              </a:graphicData>
            </a:graphic>
          </wp:inline>
        </w:drawing>
      </w:r>
    </w:p>
    <w:p w14:paraId="6E7C51B4" w14:textId="77777777" w:rsidR="00C01AA7" w:rsidRPr="00E05368" w:rsidRDefault="00C01AA7" w:rsidP="00AD3FDC">
      <w:r w:rsidRPr="00E05368">
        <w:rPr>
          <w:rFonts w:ascii="华文细黑" w:eastAsia="华文细黑" w:hAnsi="华文细黑" w:cs="Arial" w:hint="eastAsia"/>
          <w:color w:val="000000"/>
          <w:sz w:val="15"/>
          <w:szCs w:val="15"/>
        </w:rPr>
        <w:t>资料来源：</w:t>
      </w:r>
      <w:r w:rsidRPr="00E05368">
        <w:rPr>
          <w:rFonts w:ascii="Arial" w:eastAsia="华文细黑" w:hAnsi="Arial" w:cs="Arial"/>
          <w:color w:val="000000"/>
          <w:sz w:val="15"/>
          <w:szCs w:val="15"/>
        </w:rPr>
        <w:t>CREIS</w:t>
      </w:r>
      <w:r w:rsidRPr="00E05368">
        <w:rPr>
          <w:rFonts w:ascii="华文细黑" w:eastAsia="华文细黑" w:hAnsi="华文细黑" w:cs="Arial" w:hint="eastAsia"/>
          <w:color w:val="000000"/>
          <w:sz w:val="15"/>
          <w:szCs w:val="15"/>
        </w:rPr>
        <w:t>中指数据</w:t>
      </w:r>
    </w:p>
    <w:p w14:paraId="325747A6" w14:textId="77777777" w:rsidR="00C01AA7" w:rsidRPr="00DD2B2B" w:rsidRDefault="00C01AA7" w:rsidP="00C01AA7">
      <w:pPr>
        <w:widowControl w:val="0"/>
        <w:adjustRightInd w:val="0"/>
        <w:snapToGrid w:val="0"/>
        <w:spacing w:line="480" w:lineRule="auto"/>
        <w:ind w:firstLineChars="200" w:firstLine="420"/>
        <w:jc w:val="center"/>
        <w:rPr>
          <w:rFonts w:ascii="Arial" w:hAnsi="Arial" w:cs="Arial"/>
          <w:color w:val="000000"/>
          <w:sz w:val="21"/>
          <w:szCs w:val="21"/>
        </w:rPr>
        <w:sectPr w:rsidR="00C01AA7" w:rsidRPr="00DD2B2B" w:rsidSect="00B21766">
          <w:headerReference w:type="even" r:id="rId55"/>
          <w:headerReference w:type="default" r:id="rId56"/>
          <w:headerReference w:type="first" r:id="rId57"/>
          <w:pgSz w:w="16838" w:h="11906" w:orient="landscape" w:code="9"/>
          <w:pgMar w:top="1304" w:right="1843" w:bottom="1304" w:left="1134" w:header="1134" w:footer="907" w:gutter="0"/>
          <w:cols w:space="425"/>
          <w:titlePg/>
          <w:docGrid w:linePitch="326"/>
        </w:sectPr>
      </w:pPr>
    </w:p>
    <w:p w14:paraId="59647C4D" w14:textId="77777777" w:rsidR="00C01AA7" w:rsidRDefault="00C01AA7" w:rsidP="00C01AA7">
      <w:pPr>
        <w:widowControl w:val="0"/>
        <w:adjustRightInd w:val="0"/>
        <w:snapToGrid w:val="0"/>
        <w:spacing w:line="480" w:lineRule="auto"/>
        <w:ind w:firstLineChars="200" w:firstLine="420"/>
        <w:rPr>
          <w:rFonts w:ascii="Arial" w:hAnsi="Arial" w:cs="Arial"/>
          <w:color w:val="000000"/>
          <w:sz w:val="21"/>
          <w:szCs w:val="21"/>
        </w:rPr>
      </w:pPr>
      <w:r w:rsidRPr="000F61C8">
        <w:rPr>
          <w:rFonts w:ascii="Arial" w:hAnsi="Arial" w:cs="Arial" w:hint="eastAsia"/>
          <w:color w:val="000000"/>
          <w:sz w:val="21"/>
          <w:szCs w:val="21"/>
        </w:rPr>
        <w:lastRenderedPageBreak/>
        <w:t>（</w:t>
      </w:r>
      <w:r w:rsidRPr="000F61C8">
        <w:rPr>
          <w:rFonts w:ascii="Arial" w:hAnsi="Arial" w:cs="Arial" w:hint="eastAsia"/>
          <w:color w:val="000000"/>
          <w:sz w:val="21"/>
          <w:szCs w:val="21"/>
        </w:rPr>
        <w:t>2</w:t>
      </w:r>
      <w:r w:rsidRPr="000F61C8">
        <w:rPr>
          <w:rFonts w:ascii="Arial" w:hAnsi="Arial" w:cs="Arial" w:hint="eastAsia"/>
          <w:color w:val="000000"/>
          <w:sz w:val="21"/>
          <w:szCs w:val="21"/>
        </w:rPr>
        <w:t>）</w:t>
      </w:r>
      <w:r w:rsidRPr="00AA38B2">
        <w:rPr>
          <w:rFonts w:ascii="Arial" w:hAnsi="Arial" w:cs="Arial" w:hint="eastAsia"/>
          <w:color w:val="000000"/>
          <w:sz w:val="21"/>
          <w:szCs w:val="21"/>
        </w:rPr>
        <w:t>区域</w:t>
      </w:r>
      <w:r>
        <w:rPr>
          <w:rFonts w:ascii="Arial" w:hAnsi="Arial" w:cs="Arial" w:hint="eastAsia"/>
          <w:color w:val="000000"/>
          <w:sz w:val="21"/>
          <w:szCs w:val="21"/>
        </w:rPr>
        <w:t>房地产</w:t>
      </w:r>
      <w:r w:rsidRPr="00AA38B2">
        <w:rPr>
          <w:rFonts w:ascii="Arial" w:hAnsi="Arial" w:cs="Arial" w:hint="eastAsia"/>
          <w:color w:val="000000"/>
          <w:sz w:val="21"/>
          <w:szCs w:val="21"/>
        </w:rPr>
        <w:t>市场分析</w:t>
      </w:r>
    </w:p>
    <w:p w14:paraId="7F017D5F" w14:textId="17F065DF" w:rsidR="00C01AA7"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从近</w:t>
      </w:r>
      <w:r w:rsidR="00922737">
        <w:rPr>
          <w:rFonts w:ascii="Arial" w:hAnsi="Arial" w:cs="Arial" w:hint="eastAsia"/>
          <w:color w:val="000000"/>
          <w:sz w:val="21"/>
          <w:szCs w:val="21"/>
        </w:rPr>
        <w:t>2</w:t>
      </w:r>
      <w:r w:rsidR="00922737">
        <w:rPr>
          <w:rFonts w:ascii="Arial" w:hAnsi="Arial" w:cs="Arial" w:hint="eastAsia"/>
          <w:color w:val="000000"/>
          <w:sz w:val="21"/>
          <w:szCs w:val="21"/>
        </w:rPr>
        <w:t>年南京市雨花台区商品住宅交易数据来看，供应量逐年下降</w:t>
      </w:r>
      <w:r>
        <w:rPr>
          <w:rFonts w:ascii="Arial" w:hAnsi="Arial" w:cs="Arial" w:hint="eastAsia"/>
          <w:color w:val="000000"/>
          <w:sz w:val="21"/>
          <w:szCs w:val="21"/>
        </w:rPr>
        <w:t>，</w:t>
      </w:r>
      <w:r>
        <w:rPr>
          <w:rFonts w:ascii="Arial" w:hAnsi="Arial" w:cs="Arial" w:hint="eastAsia"/>
          <w:color w:val="000000"/>
          <w:sz w:val="21"/>
          <w:szCs w:val="21"/>
        </w:rPr>
        <w:t>2</w:t>
      </w:r>
      <w:r w:rsidR="00922737">
        <w:rPr>
          <w:rFonts w:ascii="Arial" w:hAnsi="Arial" w:cs="Arial"/>
          <w:color w:val="000000"/>
          <w:sz w:val="21"/>
          <w:szCs w:val="21"/>
        </w:rPr>
        <w:t>01</w:t>
      </w:r>
      <w:r w:rsidR="00922737">
        <w:rPr>
          <w:rFonts w:ascii="Arial" w:hAnsi="Arial" w:cs="Arial" w:hint="eastAsia"/>
          <w:color w:val="000000"/>
          <w:sz w:val="21"/>
          <w:szCs w:val="21"/>
        </w:rPr>
        <w:t>9</w:t>
      </w:r>
      <w:r>
        <w:rPr>
          <w:rFonts w:ascii="Arial" w:hAnsi="Arial" w:cs="Arial" w:hint="eastAsia"/>
          <w:color w:val="000000"/>
          <w:sz w:val="21"/>
          <w:szCs w:val="21"/>
        </w:rPr>
        <w:t>年全年新批上市面积为</w:t>
      </w:r>
      <w:r w:rsidR="00922737">
        <w:rPr>
          <w:rFonts w:ascii="Arial" w:hAnsi="Arial" w:cs="Arial" w:hint="eastAsia"/>
          <w:color w:val="000000"/>
          <w:sz w:val="21"/>
          <w:szCs w:val="21"/>
        </w:rPr>
        <w:t>75.73</w:t>
      </w:r>
      <w:r>
        <w:rPr>
          <w:rFonts w:ascii="Arial" w:hAnsi="Arial" w:cs="Arial" w:hint="eastAsia"/>
          <w:color w:val="000000"/>
          <w:sz w:val="21"/>
          <w:szCs w:val="21"/>
        </w:rPr>
        <w:t>万平方米，之后</w:t>
      </w:r>
      <w:r>
        <w:rPr>
          <w:rFonts w:ascii="Arial" w:hAnsi="Arial" w:cs="Arial" w:hint="eastAsia"/>
          <w:color w:val="000000"/>
          <w:sz w:val="21"/>
          <w:szCs w:val="21"/>
        </w:rPr>
        <w:t>2</w:t>
      </w:r>
      <w:r w:rsidR="00922737">
        <w:rPr>
          <w:rFonts w:ascii="Arial" w:hAnsi="Arial" w:cs="Arial"/>
          <w:color w:val="000000"/>
          <w:sz w:val="21"/>
          <w:szCs w:val="21"/>
        </w:rPr>
        <w:t>0</w:t>
      </w:r>
      <w:r w:rsidR="00922737">
        <w:rPr>
          <w:rFonts w:ascii="Arial" w:hAnsi="Arial" w:cs="Arial" w:hint="eastAsia"/>
          <w:color w:val="000000"/>
          <w:sz w:val="21"/>
          <w:szCs w:val="21"/>
        </w:rPr>
        <w:t>20</w:t>
      </w:r>
      <w:r>
        <w:rPr>
          <w:rFonts w:ascii="Arial" w:hAnsi="Arial" w:cs="Arial" w:hint="eastAsia"/>
          <w:color w:val="000000"/>
          <w:sz w:val="21"/>
          <w:szCs w:val="21"/>
        </w:rPr>
        <w:t>年新批供应</w:t>
      </w:r>
      <w:r w:rsidR="00922737">
        <w:rPr>
          <w:rFonts w:ascii="Arial" w:hAnsi="Arial" w:cs="Arial" w:hint="eastAsia"/>
          <w:color w:val="000000"/>
          <w:sz w:val="21"/>
          <w:szCs w:val="21"/>
        </w:rPr>
        <w:t>65.15</w:t>
      </w:r>
      <w:r w:rsidR="00922737">
        <w:rPr>
          <w:rFonts w:ascii="Arial" w:hAnsi="Arial" w:cs="Arial" w:hint="eastAsia"/>
          <w:color w:val="000000"/>
          <w:sz w:val="21"/>
          <w:szCs w:val="21"/>
        </w:rPr>
        <w:t>万平方米，环比下降</w:t>
      </w:r>
      <w:r w:rsidR="00922737">
        <w:rPr>
          <w:rFonts w:ascii="Arial" w:hAnsi="Arial" w:cs="Arial" w:hint="eastAsia"/>
          <w:color w:val="000000"/>
          <w:sz w:val="21"/>
          <w:szCs w:val="21"/>
        </w:rPr>
        <w:t>13.97</w:t>
      </w:r>
      <w:r>
        <w:rPr>
          <w:rFonts w:ascii="Arial" w:hAnsi="Arial" w:cs="Arial" w:hint="eastAsia"/>
          <w:color w:val="000000"/>
          <w:sz w:val="21"/>
          <w:szCs w:val="21"/>
        </w:rPr>
        <w:t>%</w:t>
      </w:r>
      <w:r>
        <w:rPr>
          <w:rFonts w:ascii="Arial" w:hAnsi="Arial" w:cs="Arial" w:hint="eastAsia"/>
          <w:color w:val="000000"/>
          <w:sz w:val="21"/>
          <w:szCs w:val="21"/>
        </w:rPr>
        <w:t>，</w:t>
      </w:r>
      <w:r w:rsidR="00922737">
        <w:rPr>
          <w:rFonts w:ascii="Arial" w:hAnsi="Arial" w:cs="Arial" w:hint="eastAsia"/>
          <w:color w:val="000000"/>
          <w:sz w:val="21"/>
          <w:szCs w:val="21"/>
        </w:rPr>
        <w:t>2021</w:t>
      </w:r>
      <w:r w:rsidR="00922737">
        <w:rPr>
          <w:rFonts w:ascii="Arial" w:hAnsi="Arial" w:cs="Arial" w:hint="eastAsia"/>
          <w:color w:val="000000"/>
          <w:sz w:val="21"/>
          <w:szCs w:val="21"/>
        </w:rPr>
        <w:t>年</w:t>
      </w:r>
      <w:r w:rsidR="00922737">
        <w:rPr>
          <w:rFonts w:ascii="Arial" w:hAnsi="Arial" w:cs="Arial" w:hint="eastAsia"/>
          <w:color w:val="000000"/>
          <w:sz w:val="21"/>
          <w:szCs w:val="21"/>
        </w:rPr>
        <w:t>1-5</w:t>
      </w:r>
      <w:r w:rsidR="00922737">
        <w:rPr>
          <w:rFonts w:ascii="Arial" w:hAnsi="Arial" w:cs="Arial" w:hint="eastAsia"/>
          <w:color w:val="000000"/>
          <w:sz w:val="21"/>
          <w:szCs w:val="21"/>
        </w:rPr>
        <w:t>月</w:t>
      </w:r>
      <w:r>
        <w:rPr>
          <w:rFonts w:ascii="Arial" w:hAnsi="Arial" w:cs="Arial" w:hint="eastAsia"/>
          <w:color w:val="000000"/>
          <w:sz w:val="21"/>
          <w:szCs w:val="21"/>
        </w:rPr>
        <w:t>新增供应为</w:t>
      </w:r>
      <w:r w:rsidR="00922737">
        <w:rPr>
          <w:rFonts w:ascii="Arial" w:hAnsi="Arial" w:cs="Arial" w:hint="eastAsia"/>
          <w:color w:val="000000"/>
          <w:sz w:val="21"/>
          <w:szCs w:val="21"/>
        </w:rPr>
        <w:t>36.54</w:t>
      </w:r>
      <w:r>
        <w:rPr>
          <w:rFonts w:ascii="Arial" w:hAnsi="Arial" w:cs="Arial" w:hint="eastAsia"/>
          <w:color w:val="000000"/>
          <w:sz w:val="21"/>
          <w:szCs w:val="21"/>
        </w:rPr>
        <w:t>万平方米，相比去年同期上涨</w:t>
      </w:r>
      <w:r w:rsidR="00922737">
        <w:rPr>
          <w:rFonts w:ascii="Arial" w:hAnsi="Arial" w:cs="Arial" w:hint="eastAsia"/>
          <w:color w:val="000000"/>
          <w:sz w:val="21"/>
          <w:szCs w:val="21"/>
        </w:rPr>
        <w:t>149.76</w:t>
      </w:r>
      <w:r>
        <w:rPr>
          <w:rFonts w:ascii="Arial" w:hAnsi="Arial" w:cs="Arial" w:hint="eastAsia"/>
          <w:color w:val="000000"/>
          <w:sz w:val="21"/>
          <w:szCs w:val="21"/>
        </w:rPr>
        <w:t>%</w:t>
      </w:r>
      <w:r>
        <w:rPr>
          <w:rFonts w:ascii="Arial" w:hAnsi="Arial" w:cs="Arial" w:hint="eastAsia"/>
          <w:color w:val="000000"/>
          <w:sz w:val="21"/>
          <w:szCs w:val="21"/>
        </w:rPr>
        <w:t>。</w:t>
      </w:r>
    </w:p>
    <w:p w14:paraId="773398D3" w14:textId="213115CE" w:rsidR="00C01AA7"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成交方面，</w:t>
      </w:r>
      <w:r>
        <w:rPr>
          <w:rFonts w:ascii="Arial" w:hAnsi="Arial" w:cs="Arial" w:hint="eastAsia"/>
          <w:color w:val="000000"/>
          <w:sz w:val="21"/>
          <w:szCs w:val="21"/>
        </w:rPr>
        <w:t>201</w:t>
      </w:r>
      <w:r w:rsidR="00212881">
        <w:rPr>
          <w:rFonts w:ascii="Arial" w:hAnsi="Arial" w:cs="Arial" w:hint="eastAsia"/>
          <w:color w:val="000000"/>
          <w:sz w:val="21"/>
          <w:szCs w:val="21"/>
        </w:rPr>
        <w:t>9</w:t>
      </w:r>
      <w:r w:rsidR="00212881">
        <w:rPr>
          <w:rFonts w:ascii="Arial" w:hAnsi="Arial" w:cs="Arial" w:hint="eastAsia"/>
          <w:color w:val="000000"/>
          <w:sz w:val="21"/>
          <w:szCs w:val="21"/>
        </w:rPr>
        <w:t>年雨花台区</w:t>
      </w:r>
      <w:r>
        <w:rPr>
          <w:rFonts w:ascii="Arial" w:hAnsi="Arial" w:cs="Arial" w:hint="eastAsia"/>
          <w:color w:val="000000"/>
          <w:sz w:val="21"/>
          <w:szCs w:val="21"/>
        </w:rPr>
        <w:t>商品住宅全年成交</w:t>
      </w:r>
      <w:r w:rsidR="00212881">
        <w:rPr>
          <w:rFonts w:ascii="Arial" w:hAnsi="Arial" w:cs="Arial" w:hint="eastAsia"/>
          <w:color w:val="000000"/>
          <w:sz w:val="21"/>
          <w:szCs w:val="21"/>
        </w:rPr>
        <w:t>4853</w:t>
      </w:r>
      <w:r>
        <w:rPr>
          <w:rFonts w:ascii="Arial" w:hAnsi="Arial" w:cs="Arial" w:hint="eastAsia"/>
          <w:color w:val="000000"/>
          <w:sz w:val="21"/>
          <w:szCs w:val="21"/>
        </w:rPr>
        <w:t>套，成交面积为</w:t>
      </w:r>
      <w:r w:rsidR="00212881" w:rsidRPr="00212881">
        <w:rPr>
          <w:rFonts w:ascii="Arial" w:hAnsi="Arial" w:cs="Arial"/>
          <w:color w:val="000000"/>
          <w:sz w:val="21"/>
          <w:szCs w:val="21"/>
        </w:rPr>
        <w:t>55.17</w:t>
      </w:r>
      <w:r>
        <w:rPr>
          <w:rFonts w:ascii="Arial" w:hAnsi="Arial" w:cs="Arial" w:hint="eastAsia"/>
          <w:color w:val="000000"/>
          <w:sz w:val="21"/>
          <w:szCs w:val="21"/>
        </w:rPr>
        <w:t>万平方米，</w:t>
      </w:r>
      <w:r w:rsidR="00212881">
        <w:rPr>
          <w:rFonts w:ascii="Arial" w:hAnsi="Arial" w:cs="Arial" w:hint="eastAsia"/>
          <w:color w:val="000000"/>
          <w:sz w:val="21"/>
          <w:szCs w:val="21"/>
        </w:rPr>
        <w:t>2020</w:t>
      </w:r>
      <w:r>
        <w:rPr>
          <w:rFonts w:ascii="Arial" w:hAnsi="Arial" w:cs="Arial" w:hint="eastAsia"/>
          <w:color w:val="000000"/>
          <w:sz w:val="21"/>
          <w:szCs w:val="21"/>
        </w:rPr>
        <w:t>年成交</w:t>
      </w:r>
      <w:r w:rsidR="00212881">
        <w:rPr>
          <w:rFonts w:ascii="Arial" w:hAnsi="Arial" w:cs="Arial" w:hint="eastAsia"/>
          <w:color w:val="000000"/>
          <w:sz w:val="21"/>
          <w:szCs w:val="21"/>
        </w:rPr>
        <w:t>5738</w:t>
      </w:r>
      <w:r>
        <w:rPr>
          <w:rFonts w:ascii="Arial" w:hAnsi="Arial" w:cs="Arial" w:hint="eastAsia"/>
          <w:color w:val="000000"/>
          <w:sz w:val="21"/>
          <w:szCs w:val="21"/>
        </w:rPr>
        <w:t>套，成交面积</w:t>
      </w:r>
      <w:r w:rsidR="00212881" w:rsidRPr="00212881">
        <w:rPr>
          <w:rFonts w:ascii="Arial" w:hAnsi="Arial" w:cs="Arial"/>
          <w:color w:val="000000"/>
          <w:sz w:val="21"/>
          <w:szCs w:val="21"/>
        </w:rPr>
        <w:t>65.41</w:t>
      </w:r>
      <w:r>
        <w:rPr>
          <w:rFonts w:ascii="Arial" w:hAnsi="Arial" w:cs="Arial" w:hint="eastAsia"/>
          <w:color w:val="000000"/>
          <w:sz w:val="21"/>
          <w:szCs w:val="21"/>
        </w:rPr>
        <w:t>万平方米，成交套数和</w:t>
      </w:r>
      <w:proofErr w:type="gramStart"/>
      <w:r>
        <w:rPr>
          <w:rFonts w:ascii="Arial" w:hAnsi="Arial" w:cs="Arial" w:hint="eastAsia"/>
          <w:color w:val="000000"/>
          <w:sz w:val="21"/>
          <w:szCs w:val="21"/>
        </w:rPr>
        <w:t>面积环</w:t>
      </w:r>
      <w:proofErr w:type="gramEnd"/>
      <w:r>
        <w:rPr>
          <w:rFonts w:ascii="Arial" w:hAnsi="Arial" w:cs="Arial" w:hint="eastAsia"/>
          <w:color w:val="000000"/>
          <w:sz w:val="21"/>
          <w:szCs w:val="21"/>
        </w:rPr>
        <w:t>比分别上涨</w:t>
      </w:r>
      <w:r w:rsidR="00212881">
        <w:rPr>
          <w:rFonts w:ascii="Arial" w:hAnsi="Arial" w:cs="Arial" w:hint="eastAsia"/>
          <w:color w:val="000000"/>
          <w:sz w:val="21"/>
          <w:szCs w:val="21"/>
        </w:rPr>
        <w:t>18.23</w:t>
      </w:r>
      <w:r>
        <w:rPr>
          <w:rFonts w:ascii="Arial" w:hAnsi="Arial" w:cs="Arial" w:hint="eastAsia"/>
          <w:color w:val="000000"/>
          <w:sz w:val="21"/>
          <w:szCs w:val="21"/>
        </w:rPr>
        <w:t>%</w:t>
      </w:r>
      <w:r>
        <w:rPr>
          <w:rFonts w:ascii="Arial" w:hAnsi="Arial" w:cs="Arial" w:hint="eastAsia"/>
          <w:color w:val="000000"/>
          <w:sz w:val="21"/>
          <w:szCs w:val="21"/>
        </w:rPr>
        <w:t>和</w:t>
      </w:r>
      <w:r w:rsidR="00212881">
        <w:rPr>
          <w:rFonts w:ascii="Arial" w:hAnsi="Arial" w:cs="Arial" w:hint="eastAsia"/>
          <w:color w:val="000000"/>
          <w:sz w:val="21"/>
          <w:szCs w:val="21"/>
        </w:rPr>
        <w:t>18.56</w:t>
      </w:r>
      <w:r>
        <w:rPr>
          <w:rFonts w:ascii="Arial" w:hAnsi="Arial" w:cs="Arial" w:hint="eastAsia"/>
          <w:color w:val="000000"/>
          <w:sz w:val="21"/>
          <w:szCs w:val="21"/>
        </w:rPr>
        <w:t>%</w:t>
      </w:r>
      <w:r>
        <w:rPr>
          <w:rFonts w:ascii="Arial" w:hAnsi="Arial" w:cs="Arial" w:hint="eastAsia"/>
          <w:color w:val="000000"/>
          <w:sz w:val="21"/>
          <w:szCs w:val="21"/>
        </w:rPr>
        <w:t>。</w:t>
      </w:r>
      <w:r>
        <w:rPr>
          <w:rFonts w:ascii="Arial" w:hAnsi="Arial" w:cs="Arial" w:hint="eastAsia"/>
          <w:color w:val="000000"/>
          <w:sz w:val="21"/>
          <w:szCs w:val="21"/>
        </w:rPr>
        <w:t>2</w:t>
      </w:r>
      <w:r w:rsidR="00212881">
        <w:rPr>
          <w:rFonts w:ascii="Arial" w:hAnsi="Arial" w:cs="Arial"/>
          <w:color w:val="000000"/>
          <w:sz w:val="21"/>
          <w:szCs w:val="21"/>
        </w:rPr>
        <w:t>02</w:t>
      </w:r>
      <w:r w:rsidR="00212881">
        <w:rPr>
          <w:rFonts w:ascii="Arial" w:hAnsi="Arial" w:cs="Arial" w:hint="eastAsia"/>
          <w:color w:val="000000"/>
          <w:sz w:val="21"/>
          <w:szCs w:val="21"/>
        </w:rPr>
        <w:t>1</w:t>
      </w:r>
      <w:r>
        <w:rPr>
          <w:rFonts w:ascii="Arial" w:hAnsi="Arial" w:cs="Arial" w:hint="eastAsia"/>
          <w:color w:val="000000"/>
          <w:sz w:val="21"/>
          <w:szCs w:val="21"/>
        </w:rPr>
        <w:t>年</w:t>
      </w:r>
      <w:r w:rsidR="00212881">
        <w:rPr>
          <w:rFonts w:ascii="Arial" w:hAnsi="Arial" w:cs="Arial" w:hint="eastAsia"/>
          <w:color w:val="000000"/>
          <w:sz w:val="21"/>
          <w:szCs w:val="21"/>
        </w:rPr>
        <w:t>1-5</w:t>
      </w:r>
      <w:r w:rsidR="00212881">
        <w:rPr>
          <w:rFonts w:ascii="Arial" w:hAnsi="Arial" w:cs="Arial" w:hint="eastAsia"/>
          <w:color w:val="000000"/>
          <w:sz w:val="21"/>
          <w:szCs w:val="21"/>
        </w:rPr>
        <w:t>月</w:t>
      </w:r>
      <w:r>
        <w:rPr>
          <w:rFonts w:ascii="Arial" w:hAnsi="Arial" w:cs="Arial" w:hint="eastAsia"/>
          <w:color w:val="000000"/>
          <w:sz w:val="21"/>
          <w:szCs w:val="21"/>
        </w:rPr>
        <w:t>成交套数为</w:t>
      </w:r>
      <w:r w:rsidR="00212881">
        <w:rPr>
          <w:rFonts w:ascii="Arial" w:hAnsi="Arial" w:cs="Arial" w:hint="eastAsia"/>
          <w:color w:val="000000"/>
          <w:sz w:val="21"/>
          <w:szCs w:val="21"/>
        </w:rPr>
        <w:t>3666</w:t>
      </w:r>
      <w:r>
        <w:rPr>
          <w:rFonts w:ascii="Arial" w:hAnsi="Arial" w:cs="Arial" w:hint="eastAsia"/>
          <w:color w:val="000000"/>
          <w:sz w:val="21"/>
          <w:szCs w:val="21"/>
        </w:rPr>
        <w:t>套，成交面积为</w:t>
      </w:r>
      <w:r w:rsidR="00212881" w:rsidRPr="00212881">
        <w:rPr>
          <w:rFonts w:ascii="Arial" w:hAnsi="Arial" w:cs="Arial"/>
          <w:color w:val="000000"/>
          <w:sz w:val="21"/>
          <w:szCs w:val="21"/>
        </w:rPr>
        <w:t>37.92</w:t>
      </w:r>
      <w:r w:rsidR="00212881">
        <w:rPr>
          <w:rFonts w:ascii="Arial" w:hAnsi="Arial" w:cs="Arial" w:hint="eastAsia"/>
          <w:color w:val="000000"/>
          <w:sz w:val="21"/>
          <w:szCs w:val="21"/>
        </w:rPr>
        <w:t>万平方米，相比去年同期分别上涨</w:t>
      </w:r>
      <w:r w:rsidR="00212881">
        <w:rPr>
          <w:rFonts w:ascii="Arial" w:hAnsi="Arial" w:cs="Arial" w:hint="eastAsia"/>
          <w:color w:val="000000"/>
          <w:sz w:val="21"/>
          <w:szCs w:val="21"/>
        </w:rPr>
        <w:t>29.29</w:t>
      </w:r>
      <w:r>
        <w:rPr>
          <w:rFonts w:ascii="Arial" w:hAnsi="Arial" w:cs="Arial" w:hint="eastAsia"/>
          <w:color w:val="000000"/>
          <w:sz w:val="21"/>
          <w:szCs w:val="21"/>
        </w:rPr>
        <w:t>%</w:t>
      </w:r>
      <w:r>
        <w:rPr>
          <w:rFonts w:ascii="Arial" w:hAnsi="Arial" w:cs="Arial" w:hint="eastAsia"/>
          <w:color w:val="000000"/>
          <w:sz w:val="21"/>
          <w:szCs w:val="21"/>
        </w:rPr>
        <w:t>和</w:t>
      </w:r>
      <w:r w:rsidR="00212881">
        <w:rPr>
          <w:rFonts w:ascii="Arial" w:hAnsi="Arial" w:cs="Arial" w:hint="eastAsia"/>
          <w:color w:val="000000"/>
          <w:sz w:val="21"/>
          <w:szCs w:val="21"/>
        </w:rPr>
        <w:t>31.25</w:t>
      </w:r>
      <w:r>
        <w:rPr>
          <w:rFonts w:ascii="Arial" w:hAnsi="Arial" w:cs="Arial" w:hint="eastAsia"/>
          <w:color w:val="000000"/>
          <w:sz w:val="21"/>
          <w:szCs w:val="21"/>
        </w:rPr>
        <w:t>%</w:t>
      </w:r>
      <w:r>
        <w:rPr>
          <w:rFonts w:ascii="Arial" w:hAnsi="Arial" w:cs="Arial" w:hint="eastAsia"/>
          <w:color w:val="000000"/>
          <w:sz w:val="21"/>
          <w:szCs w:val="21"/>
        </w:rPr>
        <w:t>。</w:t>
      </w:r>
    </w:p>
    <w:p w14:paraId="117AC579" w14:textId="48F65FC3" w:rsidR="00C01AA7" w:rsidRDefault="00C01AA7" w:rsidP="00C01AA7">
      <w:pPr>
        <w:widowControl w:val="0"/>
        <w:tabs>
          <w:tab w:val="left" w:pos="567"/>
        </w:tabs>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从成交价格上看，</w:t>
      </w:r>
      <w:r w:rsidR="00212881">
        <w:rPr>
          <w:rFonts w:ascii="Arial" w:hAnsi="Arial" w:cs="Arial" w:hint="eastAsia"/>
          <w:color w:val="000000"/>
          <w:sz w:val="21"/>
          <w:szCs w:val="21"/>
        </w:rPr>
        <w:t>2019</w:t>
      </w:r>
      <w:r>
        <w:rPr>
          <w:rFonts w:ascii="Arial" w:hAnsi="Arial" w:cs="Arial" w:hint="eastAsia"/>
          <w:color w:val="000000"/>
          <w:sz w:val="21"/>
          <w:szCs w:val="21"/>
        </w:rPr>
        <w:t>年</w:t>
      </w:r>
      <w:r w:rsidR="00212881">
        <w:rPr>
          <w:rFonts w:ascii="Arial" w:hAnsi="Arial" w:cs="Arial" w:hint="eastAsia"/>
          <w:color w:val="000000"/>
          <w:sz w:val="21"/>
          <w:szCs w:val="21"/>
        </w:rPr>
        <w:t>雨花台区</w:t>
      </w:r>
      <w:r>
        <w:rPr>
          <w:rFonts w:ascii="Arial" w:hAnsi="Arial" w:cs="Arial" w:hint="eastAsia"/>
          <w:color w:val="000000"/>
          <w:sz w:val="21"/>
          <w:szCs w:val="21"/>
        </w:rPr>
        <w:t>商品住宅成交均价为</w:t>
      </w:r>
      <w:r w:rsidR="00212881">
        <w:rPr>
          <w:rFonts w:ascii="Arial" w:hAnsi="Arial" w:cs="Arial" w:hint="eastAsia"/>
          <w:color w:val="000000"/>
          <w:sz w:val="21"/>
          <w:szCs w:val="21"/>
        </w:rPr>
        <w:t>33906</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w:t>
      </w:r>
      <w:r w:rsidR="00212881">
        <w:rPr>
          <w:rFonts w:ascii="Arial" w:hAnsi="Arial" w:cs="Arial" w:hint="eastAsia"/>
          <w:color w:val="000000"/>
          <w:sz w:val="21"/>
          <w:szCs w:val="21"/>
        </w:rPr>
        <w:t>2020</w:t>
      </w:r>
      <w:r>
        <w:rPr>
          <w:rFonts w:ascii="Arial" w:hAnsi="Arial" w:cs="Arial" w:hint="eastAsia"/>
          <w:color w:val="000000"/>
          <w:sz w:val="21"/>
          <w:szCs w:val="21"/>
        </w:rPr>
        <w:t>年为</w:t>
      </w:r>
      <w:r w:rsidR="00212881" w:rsidRPr="00212881">
        <w:rPr>
          <w:rFonts w:ascii="Arial" w:hAnsi="Arial" w:cs="Arial"/>
          <w:color w:val="000000"/>
          <w:sz w:val="21"/>
          <w:szCs w:val="21"/>
        </w:rPr>
        <w:t>35094</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w:t>
      </w:r>
      <w:r w:rsidR="00E356DC">
        <w:rPr>
          <w:rFonts w:ascii="Arial" w:hAnsi="Arial" w:cs="Arial" w:hint="eastAsia"/>
          <w:color w:val="000000"/>
          <w:sz w:val="21"/>
          <w:szCs w:val="21"/>
        </w:rPr>
        <w:t>环比上涨</w:t>
      </w:r>
      <w:r w:rsidR="00E356DC">
        <w:rPr>
          <w:rFonts w:ascii="Arial" w:hAnsi="Arial" w:cs="Arial" w:hint="eastAsia"/>
          <w:color w:val="000000"/>
          <w:sz w:val="21"/>
          <w:szCs w:val="21"/>
        </w:rPr>
        <w:t>3.5%</w:t>
      </w:r>
      <w:r>
        <w:rPr>
          <w:rFonts w:ascii="Arial" w:hAnsi="Arial" w:cs="Arial" w:hint="eastAsia"/>
          <w:color w:val="000000"/>
          <w:sz w:val="21"/>
          <w:szCs w:val="21"/>
        </w:rPr>
        <w:t>，</w:t>
      </w:r>
      <w:r w:rsidR="00E356DC">
        <w:rPr>
          <w:rFonts w:ascii="Arial" w:hAnsi="Arial" w:cs="Arial" w:hint="eastAsia"/>
          <w:color w:val="000000"/>
          <w:sz w:val="21"/>
          <w:szCs w:val="21"/>
        </w:rPr>
        <w:t>2021</w:t>
      </w:r>
      <w:r w:rsidR="00E356DC">
        <w:rPr>
          <w:rFonts w:ascii="Arial" w:hAnsi="Arial" w:cs="Arial" w:hint="eastAsia"/>
          <w:color w:val="000000"/>
          <w:sz w:val="21"/>
          <w:szCs w:val="21"/>
        </w:rPr>
        <w:t>年</w:t>
      </w:r>
      <w:r w:rsidR="00E356DC">
        <w:rPr>
          <w:rFonts w:ascii="Arial" w:hAnsi="Arial" w:cs="Arial" w:hint="eastAsia"/>
          <w:color w:val="000000"/>
          <w:sz w:val="21"/>
          <w:szCs w:val="21"/>
        </w:rPr>
        <w:t>1-5</w:t>
      </w:r>
      <w:r w:rsidR="00E356DC">
        <w:rPr>
          <w:rFonts w:ascii="Arial" w:hAnsi="Arial" w:cs="Arial" w:hint="eastAsia"/>
          <w:color w:val="000000"/>
          <w:sz w:val="21"/>
          <w:szCs w:val="21"/>
        </w:rPr>
        <w:t>月</w:t>
      </w:r>
      <w:r>
        <w:rPr>
          <w:rFonts w:ascii="Arial" w:hAnsi="Arial" w:cs="Arial" w:hint="eastAsia"/>
          <w:color w:val="000000"/>
          <w:sz w:val="21"/>
          <w:szCs w:val="21"/>
        </w:rPr>
        <w:t>成交均价为</w:t>
      </w:r>
      <w:r w:rsidR="00E356DC" w:rsidRPr="00E356DC">
        <w:rPr>
          <w:rFonts w:ascii="Arial" w:hAnsi="Arial" w:cs="Arial"/>
          <w:color w:val="000000"/>
          <w:sz w:val="21"/>
          <w:szCs w:val="21"/>
        </w:rPr>
        <w:t>31772</w:t>
      </w:r>
      <w:r>
        <w:rPr>
          <w:rFonts w:ascii="Arial" w:hAnsi="Arial" w:cs="Arial" w:hint="eastAsia"/>
          <w:color w:val="000000"/>
          <w:sz w:val="21"/>
          <w:szCs w:val="21"/>
        </w:rPr>
        <w:t>元</w:t>
      </w:r>
      <w:r>
        <w:rPr>
          <w:rFonts w:ascii="Arial" w:hAnsi="Arial" w:cs="Arial" w:hint="eastAsia"/>
          <w:color w:val="000000"/>
          <w:sz w:val="21"/>
          <w:szCs w:val="21"/>
        </w:rPr>
        <w:t>/</w:t>
      </w:r>
      <w:r w:rsidR="00E356DC">
        <w:rPr>
          <w:rFonts w:ascii="Arial" w:hAnsi="Arial" w:cs="Arial" w:hint="eastAsia"/>
          <w:color w:val="000000"/>
          <w:sz w:val="21"/>
          <w:szCs w:val="21"/>
        </w:rPr>
        <w:t>平方米，相比去年同期下降</w:t>
      </w:r>
      <w:r w:rsidR="00E356DC">
        <w:rPr>
          <w:rFonts w:ascii="Arial" w:hAnsi="Arial" w:cs="Arial" w:hint="eastAsia"/>
          <w:color w:val="000000"/>
          <w:sz w:val="21"/>
          <w:szCs w:val="21"/>
        </w:rPr>
        <w:t>6.82</w:t>
      </w:r>
      <w:r>
        <w:rPr>
          <w:rFonts w:ascii="Arial" w:hAnsi="Arial" w:cs="Arial" w:hint="eastAsia"/>
          <w:color w:val="000000"/>
          <w:sz w:val="21"/>
          <w:szCs w:val="21"/>
        </w:rPr>
        <w:t>%</w:t>
      </w:r>
      <w:r>
        <w:rPr>
          <w:rFonts w:ascii="Arial" w:hAnsi="Arial" w:cs="Arial" w:hint="eastAsia"/>
          <w:color w:val="000000"/>
          <w:sz w:val="21"/>
          <w:szCs w:val="21"/>
        </w:rPr>
        <w:t>。</w:t>
      </w:r>
    </w:p>
    <w:p w14:paraId="2DF67F4F" w14:textId="3BA4BFEE" w:rsidR="00C01AA7" w:rsidRPr="00374403" w:rsidRDefault="00922737" w:rsidP="00C01AA7">
      <w:pPr>
        <w:widowControl w:val="0"/>
        <w:adjustRightInd w:val="0"/>
        <w:snapToGrid w:val="0"/>
        <w:spacing w:line="480" w:lineRule="auto"/>
        <w:jc w:val="center"/>
        <w:rPr>
          <w:rFonts w:ascii="Arial" w:hAnsi="Arial" w:cs="Arial"/>
          <w:color w:val="000000"/>
          <w:sz w:val="21"/>
          <w:szCs w:val="21"/>
        </w:rPr>
      </w:pPr>
      <w:r>
        <w:rPr>
          <w:noProof/>
        </w:rPr>
        <w:drawing>
          <wp:inline distT="0" distB="0" distL="0" distR="0" wp14:anchorId="3A63EAE6" wp14:editId="2668362E">
            <wp:extent cx="5486400" cy="1945758"/>
            <wp:effectExtent l="0" t="0" r="19050" b="16510"/>
            <wp:docPr id="5163" name="图表 516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2DCBAA1-510E-4635-81EE-7DF51AF3E3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1A03D390" w14:textId="647ED70F" w:rsidR="00DC0762" w:rsidRPr="00862923" w:rsidRDefault="00C01AA7" w:rsidP="00C01AA7">
      <w:pPr>
        <w:widowControl w:val="0"/>
        <w:adjustRightInd w:val="0"/>
        <w:snapToGrid w:val="0"/>
        <w:spacing w:line="480" w:lineRule="auto"/>
        <w:jc w:val="both"/>
        <w:rPr>
          <w:rFonts w:ascii="华文细黑" w:eastAsia="华文细黑" w:hAnsi="华文细黑" w:cs="Arial"/>
          <w:color w:val="000000"/>
          <w:sz w:val="15"/>
          <w:szCs w:val="15"/>
        </w:rPr>
      </w:pPr>
      <w:r w:rsidRPr="00862923">
        <w:rPr>
          <w:rFonts w:ascii="华文细黑" w:eastAsia="华文细黑" w:hAnsi="华文细黑" w:cs="Arial" w:hint="eastAsia"/>
          <w:color w:val="000000"/>
          <w:sz w:val="15"/>
          <w:szCs w:val="15"/>
        </w:rPr>
        <w:t>资料来源：</w:t>
      </w:r>
      <w:r w:rsidRPr="00862923">
        <w:rPr>
          <w:rFonts w:ascii="Arial" w:eastAsia="华文细黑" w:hAnsi="Arial" w:cs="Arial"/>
          <w:color w:val="000000"/>
          <w:sz w:val="15"/>
          <w:szCs w:val="15"/>
        </w:rPr>
        <w:t>CREIS</w:t>
      </w:r>
      <w:r w:rsidRPr="00862923">
        <w:rPr>
          <w:rFonts w:ascii="华文细黑" w:eastAsia="华文细黑" w:hAnsi="华文细黑" w:cs="Arial" w:hint="eastAsia"/>
          <w:color w:val="000000"/>
          <w:sz w:val="15"/>
          <w:szCs w:val="15"/>
        </w:rPr>
        <w:t>中指数据</w:t>
      </w:r>
    </w:p>
    <w:p w14:paraId="14544D23" w14:textId="77777777" w:rsidR="00935557" w:rsidRPr="005F050D" w:rsidRDefault="00935557" w:rsidP="00935557">
      <w:pPr>
        <w:widowControl w:val="0"/>
        <w:adjustRightInd w:val="0"/>
        <w:snapToGrid w:val="0"/>
        <w:spacing w:line="480" w:lineRule="auto"/>
        <w:ind w:firstLineChars="200" w:firstLine="420"/>
        <w:rPr>
          <w:rFonts w:ascii="Arial" w:hAnsi="Arial" w:cs="Arial"/>
          <w:color w:val="000000"/>
          <w:sz w:val="21"/>
          <w:szCs w:val="21"/>
        </w:rPr>
      </w:pPr>
      <w:r w:rsidRPr="005F050D">
        <w:rPr>
          <w:rFonts w:ascii="Arial" w:hAnsi="Arial" w:cs="Arial" w:hint="eastAsia"/>
          <w:color w:val="000000"/>
          <w:sz w:val="21"/>
          <w:szCs w:val="21"/>
        </w:rPr>
        <w:t>（</w:t>
      </w:r>
      <w:r w:rsidRPr="005F050D">
        <w:rPr>
          <w:rFonts w:ascii="Arial" w:hAnsi="Arial" w:cs="Arial" w:hint="eastAsia"/>
          <w:color w:val="000000"/>
          <w:sz w:val="21"/>
          <w:szCs w:val="21"/>
        </w:rPr>
        <w:t>3</w:t>
      </w:r>
      <w:r w:rsidRPr="005F050D">
        <w:rPr>
          <w:rFonts w:ascii="Arial" w:hAnsi="Arial" w:cs="Arial" w:hint="eastAsia"/>
          <w:color w:val="000000"/>
          <w:sz w:val="21"/>
          <w:szCs w:val="21"/>
        </w:rPr>
        <w:t>）项目周边部分在售居住项目分析</w:t>
      </w:r>
    </w:p>
    <w:p w14:paraId="011FE3B4" w14:textId="5271CA7A" w:rsidR="00935557" w:rsidRDefault="00935557" w:rsidP="00935557">
      <w:pPr>
        <w:widowControl w:val="0"/>
        <w:tabs>
          <w:tab w:val="left" w:pos="567"/>
        </w:tabs>
        <w:adjustRightInd w:val="0"/>
        <w:snapToGrid w:val="0"/>
        <w:spacing w:line="480" w:lineRule="auto"/>
        <w:ind w:firstLineChars="200" w:firstLine="420"/>
        <w:jc w:val="both"/>
        <w:rPr>
          <w:rFonts w:ascii="Arial" w:hAnsi="Arial" w:cs="Arial"/>
          <w:sz w:val="21"/>
          <w:szCs w:val="21"/>
        </w:rPr>
      </w:pPr>
      <w:r w:rsidRPr="0053751E">
        <w:rPr>
          <w:rFonts w:ascii="Arial" w:hAnsi="Arial" w:cs="Arial" w:hint="eastAsia"/>
          <w:sz w:val="21"/>
          <w:szCs w:val="21"/>
        </w:rPr>
        <w:t>项目位于南京市雨花区，周边</w:t>
      </w:r>
      <w:r w:rsidR="00222B12">
        <w:rPr>
          <w:rFonts w:ascii="Arial" w:hAnsi="Arial" w:cs="Arial" w:hint="eastAsia"/>
          <w:sz w:val="21"/>
          <w:szCs w:val="21"/>
        </w:rPr>
        <w:t>未来</w:t>
      </w:r>
      <w:r w:rsidR="00222B12" w:rsidRPr="0053751E">
        <w:rPr>
          <w:rFonts w:ascii="Arial" w:hAnsi="Arial" w:cs="Arial"/>
          <w:sz w:val="21"/>
          <w:szCs w:val="21"/>
        </w:rPr>
        <w:t>交通</w:t>
      </w:r>
      <w:r w:rsidR="00222B12">
        <w:rPr>
          <w:rFonts w:ascii="Arial" w:hAnsi="Arial" w:cs="Arial" w:hint="eastAsia"/>
          <w:sz w:val="21"/>
          <w:szCs w:val="21"/>
        </w:rPr>
        <w:t>条件便捷</w:t>
      </w:r>
      <w:r w:rsidRPr="0053751E">
        <w:rPr>
          <w:rFonts w:ascii="Arial" w:hAnsi="Arial" w:cs="Arial" w:hint="eastAsia"/>
          <w:sz w:val="21"/>
          <w:szCs w:val="21"/>
        </w:rPr>
        <w:t>，项目距离规划地铁</w:t>
      </w:r>
      <w:r w:rsidRPr="0053751E">
        <w:rPr>
          <w:rFonts w:ascii="Arial" w:hAnsi="Arial" w:cs="Arial"/>
          <w:sz w:val="21"/>
          <w:szCs w:val="21"/>
        </w:rPr>
        <w:t>S2</w:t>
      </w:r>
      <w:r w:rsidRPr="0053751E">
        <w:rPr>
          <w:rFonts w:ascii="Arial" w:hAnsi="Arial" w:cs="Arial"/>
          <w:sz w:val="21"/>
          <w:szCs w:val="21"/>
        </w:rPr>
        <w:t>号线（宁马线）板桥北站、规划地铁</w:t>
      </w:r>
      <w:r w:rsidRPr="0053751E">
        <w:rPr>
          <w:rFonts w:ascii="Arial" w:hAnsi="Arial" w:cs="Arial"/>
          <w:sz w:val="21"/>
          <w:szCs w:val="21"/>
        </w:rPr>
        <w:t>16</w:t>
      </w:r>
      <w:r w:rsidRPr="0053751E">
        <w:rPr>
          <w:rFonts w:ascii="Arial" w:hAnsi="Arial" w:cs="Arial"/>
          <w:sz w:val="21"/>
          <w:szCs w:val="21"/>
        </w:rPr>
        <w:t>号线华新大街站路程均约</w:t>
      </w:r>
      <w:r w:rsidRPr="0053751E">
        <w:rPr>
          <w:rFonts w:ascii="Arial" w:hAnsi="Arial" w:cs="Arial"/>
          <w:sz w:val="21"/>
          <w:szCs w:val="21"/>
        </w:rPr>
        <w:t>800</w:t>
      </w:r>
      <w:r w:rsidRPr="0053751E">
        <w:rPr>
          <w:rFonts w:ascii="Arial" w:hAnsi="Arial" w:cs="Arial"/>
          <w:sz w:val="21"/>
          <w:szCs w:val="21"/>
        </w:rPr>
        <w:t>米。项目</w:t>
      </w:r>
      <w:r w:rsidR="00222B12">
        <w:rPr>
          <w:rFonts w:ascii="Arial" w:hAnsi="Arial" w:cs="Arial" w:hint="eastAsia"/>
          <w:sz w:val="21"/>
          <w:szCs w:val="21"/>
        </w:rPr>
        <w:t>所在</w:t>
      </w:r>
      <w:proofErr w:type="gramStart"/>
      <w:r w:rsidR="00222B12">
        <w:rPr>
          <w:rFonts w:ascii="Arial" w:hAnsi="Arial" w:cs="Arial" w:hint="eastAsia"/>
          <w:sz w:val="21"/>
          <w:szCs w:val="21"/>
        </w:rPr>
        <w:t>版块</w:t>
      </w:r>
      <w:proofErr w:type="gramEnd"/>
      <w:r w:rsidRPr="0053751E">
        <w:rPr>
          <w:rFonts w:ascii="Arial" w:hAnsi="Arial" w:cs="Arial"/>
          <w:sz w:val="21"/>
          <w:szCs w:val="21"/>
        </w:rPr>
        <w:t>内在</w:t>
      </w:r>
      <w:proofErr w:type="gramStart"/>
      <w:r w:rsidRPr="0053751E">
        <w:rPr>
          <w:rFonts w:ascii="Arial" w:hAnsi="Arial" w:cs="Arial"/>
          <w:sz w:val="21"/>
          <w:szCs w:val="21"/>
        </w:rPr>
        <w:t>售项目</w:t>
      </w:r>
      <w:proofErr w:type="gramEnd"/>
      <w:r>
        <w:rPr>
          <w:rFonts w:ascii="Arial" w:hAnsi="Arial" w:cs="Arial" w:hint="eastAsia"/>
          <w:sz w:val="21"/>
          <w:szCs w:val="21"/>
        </w:rPr>
        <w:t>相对较少</w:t>
      </w:r>
      <w:r w:rsidRPr="0053751E">
        <w:rPr>
          <w:rFonts w:ascii="Arial" w:hAnsi="Arial" w:cs="Arial"/>
          <w:sz w:val="21"/>
          <w:szCs w:val="21"/>
        </w:rPr>
        <w:t>，</w:t>
      </w:r>
      <w:r>
        <w:rPr>
          <w:rFonts w:ascii="Arial" w:hAnsi="Arial" w:cs="Arial" w:hint="eastAsia"/>
          <w:sz w:val="21"/>
          <w:szCs w:val="21"/>
        </w:rPr>
        <w:t>目前</w:t>
      </w:r>
      <w:r w:rsidRPr="0053751E">
        <w:rPr>
          <w:rFonts w:ascii="Arial" w:hAnsi="Arial" w:cs="Arial"/>
          <w:sz w:val="21"/>
          <w:szCs w:val="21"/>
        </w:rPr>
        <w:t>去化情况较好，产品供应以刚需、刚改为主，</w:t>
      </w:r>
      <w:r>
        <w:rPr>
          <w:rFonts w:ascii="Arial" w:hAnsi="Arial" w:cs="Arial" w:hint="eastAsia"/>
          <w:sz w:val="21"/>
          <w:szCs w:val="21"/>
        </w:rPr>
        <w:t>市场</w:t>
      </w:r>
      <w:r w:rsidRPr="0053751E">
        <w:rPr>
          <w:rFonts w:ascii="Arial" w:hAnsi="Arial" w:cs="Arial"/>
          <w:sz w:val="21"/>
          <w:szCs w:val="21"/>
        </w:rPr>
        <w:t>需求较强，预计未来</w:t>
      </w:r>
      <w:r>
        <w:rPr>
          <w:rFonts w:ascii="Arial" w:hAnsi="Arial" w:cs="Arial" w:hint="eastAsia"/>
          <w:sz w:val="21"/>
          <w:szCs w:val="21"/>
        </w:rPr>
        <w:t>项目</w:t>
      </w:r>
      <w:r w:rsidRPr="0053751E">
        <w:rPr>
          <w:rFonts w:ascii="Arial" w:hAnsi="Arial" w:cs="Arial"/>
          <w:sz w:val="21"/>
          <w:szCs w:val="21"/>
        </w:rPr>
        <w:t>去化</w:t>
      </w:r>
      <w:r>
        <w:rPr>
          <w:rFonts w:ascii="Arial" w:hAnsi="Arial" w:cs="Arial" w:hint="eastAsia"/>
          <w:sz w:val="21"/>
          <w:szCs w:val="21"/>
        </w:rPr>
        <w:t>情况</w:t>
      </w:r>
      <w:r w:rsidRPr="0053751E">
        <w:rPr>
          <w:rFonts w:ascii="Arial" w:hAnsi="Arial" w:cs="Arial"/>
          <w:sz w:val="21"/>
          <w:szCs w:val="21"/>
        </w:rPr>
        <w:t>较为乐观。</w:t>
      </w:r>
    </w:p>
    <w:p w14:paraId="3F6F1568" w14:textId="77777777" w:rsidR="00935557" w:rsidRDefault="00935557" w:rsidP="00935557">
      <w:pPr>
        <w:widowControl w:val="0"/>
        <w:tabs>
          <w:tab w:val="left" w:pos="567"/>
        </w:tabs>
        <w:adjustRightInd w:val="0"/>
        <w:snapToGrid w:val="0"/>
        <w:spacing w:line="480" w:lineRule="auto"/>
        <w:ind w:firstLineChars="200" w:firstLine="420"/>
        <w:jc w:val="both"/>
        <w:rPr>
          <w:rFonts w:ascii="Arial" w:hAnsi="Arial" w:cs="Arial"/>
          <w:sz w:val="21"/>
          <w:szCs w:val="21"/>
        </w:rPr>
      </w:pPr>
      <w:r w:rsidRPr="005F050D">
        <w:rPr>
          <w:rFonts w:ascii="Arial" w:hAnsi="Arial" w:cs="Arial" w:hint="eastAsia"/>
          <w:sz w:val="21"/>
          <w:szCs w:val="21"/>
        </w:rPr>
        <w:t>通过对项目周边住宅市场调研分析，所在区域住宅产品以高层</w:t>
      </w:r>
      <w:r>
        <w:rPr>
          <w:rFonts w:ascii="Arial" w:hAnsi="Arial" w:cs="Arial" w:hint="eastAsia"/>
          <w:sz w:val="21"/>
          <w:szCs w:val="21"/>
        </w:rPr>
        <w:t>、小高层</w:t>
      </w:r>
      <w:r w:rsidRPr="005F050D">
        <w:rPr>
          <w:rFonts w:ascii="Arial" w:hAnsi="Arial" w:cs="Arial" w:hint="eastAsia"/>
          <w:sz w:val="21"/>
          <w:szCs w:val="21"/>
        </w:rPr>
        <w:t>为主，多为</w:t>
      </w:r>
      <w:r>
        <w:rPr>
          <w:rFonts w:ascii="Arial" w:hAnsi="Arial" w:cs="Arial" w:hint="eastAsia"/>
          <w:sz w:val="21"/>
          <w:szCs w:val="21"/>
        </w:rPr>
        <w:t>精装修</w:t>
      </w:r>
      <w:r w:rsidRPr="005F050D">
        <w:rPr>
          <w:rFonts w:ascii="Arial" w:hAnsi="Arial" w:cs="Arial" w:hint="eastAsia"/>
          <w:sz w:val="21"/>
          <w:szCs w:val="21"/>
        </w:rPr>
        <w:t>交付，售价水平</w:t>
      </w:r>
      <w:r>
        <w:rPr>
          <w:rFonts w:ascii="Arial" w:hAnsi="Arial" w:cs="Arial" w:hint="eastAsia"/>
          <w:sz w:val="21"/>
          <w:szCs w:val="21"/>
        </w:rPr>
        <w:t>多集中</w:t>
      </w:r>
      <w:r w:rsidRPr="005F050D">
        <w:rPr>
          <w:rFonts w:ascii="Arial" w:hAnsi="Arial" w:cs="Arial" w:hint="eastAsia"/>
          <w:sz w:val="21"/>
          <w:szCs w:val="21"/>
        </w:rPr>
        <w:t>在</w:t>
      </w:r>
      <w:r>
        <w:rPr>
          <w:rFonts w:ascii="Arial" w:hAnsi="Arial" w:cs="Arial" w:hint="eastAsia"/>
          <w:sz w:val="21"/>
          <w:szCs w:val="21"/>
        </w:rPr>
        <w:t>26000-31000</w:t>
      </w:r>
      <w:r>
        <w:rPr>
          <w:rFonts w:ascii="Arial" w:hAnsi="Arial" w:cs="Arial" w:hint="eastAsia"/>
          <w:sz w:val="21"/>
          <w:szCs w:val="21"/>
        </w:rPr>
        <w:t>之间</w:t>
      </w:r>
      <w:r w:rsidRPr="005F050D">
        <w:rPr>
          <w:rFonts w:ascii="Arial" w:hAnsi="Arial" w:cs="Arial" w:hint="eastAsia"/>
          <w:sz w:val="21"/>
          <w:szCs w:val="21"/>
        </w:rPr>
        <w:t>。</w:t>
      </w:r>
    </w:p>
    <w:p w14:paraId="23950649" w14:textId="77777777" w:rsidR="00935557" w:rsidRDefault="00935557" w:rsidP="00935557">
      <w:pPr>
        <w:widowControl w:val="0"/>
        <w:tabs>
          <w:tab w:val="left" w:pos="567"/>
        </w:tabs>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根据</w:t>
      </w:r>
      <w:proofErr w:type="gramStart"/>
      <w:r>
        <w:rPr>
          <w:rFonts w:ascii="Arial" w:hAnsi="Arial" w:cs="Arial" w:hint="eastAsia"/>
          <w:sz w:val="21"/>
          <w:szCs w:val="21"/>
        </w:rPr>
        <w:t>现场市</w:t>
      </w:r>
      <w:proofErr w:type="gramEnd"/>
      <w:r>
        <w:rPr>
          <w:rFonts w:ascii="Arial" w:hAnsi="Arial" w:cs="Arial" w:hint="eastAsia"/>
          <w:sz w:val="21"/>
          <w:szCs w:val="21"/>
        </w:rPr>
        <w:t>调、</w:t>
      </w:r>
      <w:r w:rsidRPr="00D60CF3">
        <w:rPr>
          <w:rFonts w:ascii="Arial" w:hAnsi="Arial" w:cs="Arial"/>
          <w:sz w:val="21"/>
          <w:szCs w:val="21"/>
        </w:rPr>
        <w:t>CREIS</w:t>
      </w:r>
      <w:r w:rsidRPr="00D60CF3">
        <w:rPr>
          <w:rFonts w:ascii="Arial" w:hAnsi="Arial" w:cs="Arial"/>
          <w:sz w:val="21"/>
          <w:szCs w:val="21"/>
        </w:rPr>
        <w:t>中指数据</w:t>
      </w:r>
      <w:r>
        <w:rPr>
          <w:rFonts w:ascii="Arial" w:hAnsi="Arial" w:cs="Arial" w:hint="eastAsia"/>
          <w:sz w:val="21"/>
          <w:szCs w:val="21"/>
        </w:rPr>
        <w:t>、南京网上房地产网等房地产门户网站交易数据显示，调研项目所在区域新建在</w:t>
      </w:r>
      <w:proofErr w:type="gramStart"/>
      <w:r>
        <w:rPr>
          <w:rFonts w:ascii="Arial" w:hAnsi="Arial" w:cs="Arial" w:hint="eastAsia"/>
          <w:sz w:val="21"/>
          <w:szCs w:val="21"/>
        </w:rPr>
        <w:t>售项目</w:t>
      </w:r>
      <w:proofErr w:type="gramEnd"/>
      <w:r>
        <w:rPr>
          <w:rFonts w:ascii="Arial" w:hAnsi="Arial" w:cs="Arial" w:hint="eastAsia"/>
          <w:sz w:val="21"/>
          <w:szCs w:val="21"/>
        </w:rPr>
        <w:t>主要有</w:t>
      </w:r>
      <w:r w:rsidRPr="00D60CF3">
        <w:rPr>
          <w:rFonts w:ascii="Arial" w:hAnsi="Arial" w:cs="Arial" w:hint="eastAsia"/>
          <w:sz w:val="21"/>
          <w:szCs w:val="21"/>
        </w:rPr>
        <w:t>宋都·柏悦府</w:t>
      </w:r>
      <w:r>
        <w:rPr>
          <w:rFonts w:ascii="Arial" w:hAnsi="Arial" w:cs="Arial" w:hint="eastAsia"/>
          <w:sz w:val="21"/>
          <w:szCs w:val="21"/>
        </w:rPr>
        <w:t>，为高层、小高层产品，销售均价</w:t>
      </w:r>
      <w:r>
        <w:rPr>
          <w:rFonts w:ascii="Arial" w:hAnsi="Arial" w:cs="Arial" w:hint="eastAsia"/>
          <w:sz w:val="21"/>
          <w:szCs w:val="21"/>
        </w:rPr>
        <w:t>27000</w:t>
      </w:r>
      <w:r w:rsidRPr="005529FD">
        <w:rPr>
          <w:rFonts w:ascii="Arial" w:hAnsi="Arial" w:cs="Arial"/>
          <w:sz w:val="21"/>
          <w:szCs w:val="21"/>
        </w:rPr>
        <w:t>元</w:t>
      </w:r>
      <w:r w:rsidRPr="005529FD">
        <w:rPr>
          <w:rFonts w:ascii="Arial" w:hAnsi="Arial" w:cs="Arial"/>
          <w:sz w:val="21"/>
          <w:szCs w:val="21"/>
        </w:rPr>
        <w:t>/</w:t>
      </w:r>
      <w:r>
        <w:rPr>
          <w:rFonts w:ascii="Arial" w:hAnsi="Arial" w:cs="Arial" w:hint="eastAsia"/>
          <w:sz w:val="21"/>
          <w:szCs w:val="21"/>
        </w:rPr>
        <w:t>㎡；</w:t>
      </w:r>
      <w:r w:rsidRPr="00D60CF3">
        <w:rPr>
          <w:rFonts w:ascii="Arial" w:hAnsi="Arial" w:cs="Arial" w:hint="eastAsia"/>
          <w:sz w:val="21"/>
          <w:szCs w:val="21"/>
        </w:rPr>
        <w:t>宝能·</w:t>
      </w:r>
      <w:proofErr w:type="gramStart"/>
      <w:r w:rsidRPr="00D60CF3">
        <w:rPr>
          <w:rFonts w:ascii="Arial" w:hAnsi="Arial" w:cs="Arial" w:hint="eastAsia"/>
          <w:sz w:val="21"/>
          <w:szCs w:val="21"/>
        </w:rPr>
        <w:t>翡</w:t>
      </w:r>
      <w:proofErr w:type="gramEnd"/>
      <w:r w:rsidRPr="00D60CF3">
        <w:rPr>
          <w:rFonts w:ascii="Arial" w:hAnsi="Arial" w:cs="Arial" w:hint="eastAsia"/>
          <w:sz w:val="21"/>
          <w:szCs w:val="21"/>
        </w:rPr>
        <w:t>丽河滨</w:t>
      </w:r>
      <w:r>
        <w:rPr>
          <w:rFonts w:ascii="Arial" w:hAnsi="Arial" w:cs="Arial" w:hint="eastAsia"/>
          <w:sz w:val="21"/>
          <w:szCs w:val="21"/>
        </w:rPr>
        <w:t>，高层均价</w:t>
      </w:r>
      <w:r>
        <w:rPr>
          <w:rFonts w:ascii="Arial" w:hAnsi="Arial" w:cs="Arial" w:hint="eastAsia"/>
          <w:sz w:val="21"/>
          <w:szCs w:val="21"/>
        </w:rPr>
        <w:t>26700</w:t>
      </w:r>
      <w:r w:rsidRPr="005529FD">
        <w:rPr>
          <w:rFonts w:ascii="Arial" w:hAnsi="Arial" w:cs="Arial"/>
          <w:sz w:val="21"/>
          <w:szCs w:val="21"/>
        </w:rPr>
        <w:t>元</w:t>
      </w:r>
      <w:r w:rsidRPr="005529FD">
        <w:rPr>
          <w:rFonts w:ascii="Arial" w:hAnsi="Arial" w:cs="Arial"/>
          <w:sz w:val="21"/>
          <w:szCs w:val="21"/>
        </w:rPr>
        <w:t>/</w:t>
      </w:r>
      <w:r w:rsidRPr="005529FD">
        <w:rPr>
          <w:rFonts w:ascii="Arial" w:hAnsi="Arial" w:cs="Arial"/>
          <w:sz w:val="21"/>
          <w:szCs w:val="21"/>
        </w:rPr>
        <w:t>㎡</w:t>
      </w:r>
      <w:r>
        <w:rPr>
          <w:rFonts w:ascii="Arial" w:hAnsi="Arial" w:cs="Arial" w:hint="eastAsia"/>
          <w:sz w:val="21"/>
          <w:szCs w:val="21"/>
        </w:rPr>
        <w:t>；</w:t>
      </w:r>
      <w:r w:rsidRPr="00D60CF3">
        <w:rPr>
          <w:rFonts w:ascii="Arial" w:hAnsi="Arial" w:cs="Arial" w:hint="eastAsia"/>
          <w:sz w:val="21"/>
          <w:szCs w:val="21"/>
        </w:rPr>
        <w:t>电建地产·</w:t>
      </w:r>
      <w:proofErr w:type="gramStart"/>
      <w:r w:rsidRPr="00D60CF3">
        <w:rPr>
          <w:rFonts w:ascii="Arial" w:hAnsi="Arial" w:cs="Arial" w:hint="eastAsia"/>
          <w:sz w:val="21"/>
          <w:szCs w:val="21"/>
        </w:rPr>
        <w:t>洺</w:t>
      </w:r>
      <w:proofErr w:type="gramEnd"/>
      <w:r w:rsidRPr="00D60CF3">
        <w:rPr>
          <w:rFonts w:ascii="Arial" w:hAnsi="Arial" w:cs="Arial" w:hint="eastAsia"/>
          <w:sz w:val="21"/>
          <w:szCs w:val="21"/>
        </w:rPr>
        <w:t>悦华府</w:t>
      </w:r>
      <w:r>
        <w:rPr>
          <w:rFonts w:ascii="Arial" w:hAnsi="Arial" w:cs="Arial" w:hint="eastAsia"/>
          <w:sz w:val="21"/>
          <w:szCs w:val="21"/>
        </w:rPr>
        <w:t>，高层销售均价</w:t>
      </w:r>
      <w:r>
        <w:rPr>
          <w:rFonts w:ascii="Arial" w:hAnsi="Arial" w:cs="Arial" w:hint="eastAsia"/>
          <w:sz w:val="21"/>
          <w:szCs w:val="21"/>
        </w:rPr>
        <w:t>304</w:t>
      </w:r>
      <w:r w:rsidRPr="005529FD">
        <w:rPr>
          <w:rFonts w:ascii="Arial" w:hAnsi="Arial" w:cs="Arial"/>
          <w:sz w:val="21"/>
          <w:szCs w:val="21"/>
        </w:rPr>
        <w:t>00</w:t>
      </w:r>
      <w:r w:rsidRPr="005529FD">
        <w:rPr>
          <w:rFonts w:ascii="Arial" w:hAnsi="Arial" w:cs="Arial"/>
          <w:sz w:val="21"/>
          <w:szCs w:val="21"/>
        </w:rPr>
        <w:t>元</w:t>
      </w:r>
      <w:r w:rsidRPr="005529FD">
        <w:rPr>
          <w:rFonts w:ascii="Arial" w:hAnsi="Arial" w:cs="Arial"/>
          <w:sz w:val="21"/>
          <w:szCs w:val="21"/>
        </w:rPr>
        <w:t>/</w:t>
      </w:r>
      <w:r w:rsidRPr="005529FD">
        <w:rPr>
          <w:rFonts w:ascii="Arial" w:hAnsi="Arial" w:cs="Arial"/>
          <w:sz w:val="21"/>
          <w:szCs w:val="21"/>
        </w:rPr>
        <w:t>㎡</w:t>
      </w:r>
      <w:r>
        <w:rPr>
          <w:rFonts w:ascii="Arial" w:hAnsi="Arial" w:cs="Arial" w:hint="eastAsia"/>
          <w:sz w:val="21"/>
          <w:szCs w:val="21"/>
        </w:rPr>
        <w:t>；</w:t>
      </w:r>
      <w:proofErr w:type="gramStart"/>
      <w:r w:rsidRPr="00D60CF3">
        <w:rPr>
          <w:rFonts w:ascii="Arial" w:hAnsi="Arial" w:cs="Arial" w:hint="eastAsia"/>
          <w:sz w:val="21"/>
          <w:szCs w:val="21"/>
        </w:rPr>
        <w:t>世</w:t>
      </w:r>
      <w:proofErr w:type="gramEnd"/>
      <w:r w:rsidRPr="00D60CF3">
        <w:rPr>
          <w:rFonts w:ascii="Arial" w:hAnsi="Arial" w:cs="Arial" w:hint="eastAsia"/>
          <w:sz w:val="21"/>
          <w:szCs w:val="21"/>
        </w:rPr>
        <w:t>茂·璀璨</w:t>
      </w:r>
      <w:proofErr w:type="gramStart"/>
      <w:r w:rsidRPr="00D60CF3">
        <w:rPr>
          <w:rFonts w:ascii="Arial" w:hAnsi="Arial" w:cs="Arial" w:hint="eastAsia"/>
          <w:sz w:val="21"/>
          <w:szCs w:val="21"/>
        </w:rPr>
        <w:t>睿</w:t>
      </w:r>
      <w:proofErr w:type="gramEnd"/>
      <w:r w:rsidRPr="00D60CF3">
        <w:rPr>
          <w:rFonts w:ascii="Arial" w:hAnsi="Arial" w:cs="Arial" w:hint="eastAsia"/>
          <w:sz w:val="21"/>
          <w:szCs w:val="21"/>
        </w:rPr>
        <w:t>湾</w:t>
      </w:r>
      <w:r>
        <w:rPr>
          <w:rFonts w:ascii="Arial" w:hAnsi="Arial" w:cs="Arial" w:hint="eastAsia"/>
          <w:sz w:val="21"/>
          <w:szCs w:val="21"/>
        </w:rPr>
        <w:t>，高层销售均价</w:t>
      </w:r>
      <w:r w:rsidRPr="00D60CF3">
        <w:rPr>
          <w:rFonts w:ascii="Arial" w:hAnsi="Arial" w:cs="Arial"/>
          <w:sz w:val="21"/>
          <w:szCs w:val="21"/>
        </w:rPr>
        <w:t>30484</w:t>
      </w:r>
      <w:r w:rsidRPr="005529FD">
        <w:rPr>
          <w:rFonts w:ascii="Arial" w:hAnsi="Arial" w:cs="Arial"/>
          <w:sz w:val="21"/>
          <w:szCs w:val="21"/>
        </w:rPr>
        <w:t>元</w:t>
      </w:r>
      <w:r w:rsidRPr="005529FD">
        <w:rPr>
          <w:rFonts w:ascii="Arial" w:hAnsi="Arial" w:cs="Arial"/>
          <w:sz w:val="21"/>
          <w:szCs w:val="21"/>
        </w:rPr>
        <w:t>/</w:t>
      </w:r>
      <w:r w:rsidRPr="005529FD">
        <w:rPr>
          <w:rFonts w:ascii="Arial" w:hAnsi="Arial" w:cs="Arial"/>
          <w:sz w:val="21"/>
          <w:szCs w:val="21"/>
        </w:rPr>
        <w:t>㎡</w:t>
      </w:r>
      <w:r>
        <w:rPr>
          <w:rFonts w:ascii="Arial" w:hAnsi="Arial" w:cs="Arial" w:hint="eastAsia"/>
          <w:sz w:val="21"/>
          <w:szCs w:val="21"/>
        </w:rPr>
        <w:t>；</w:t>
      </w:r>
      <w:r w:rsidRPr="00D60CF3">
        <w:rPr>
          <w:rFonts w:ascii="Arial" w:hAnsi="Arial" w:cs="Arial" w:hint="eastAsia"/>
          <w:sz w:val="21"/>
          <w:szCs w:val="21"/>
        </w:rPr>
        <w:t>锦绣云</w:t>
      </w:r>
      <w:proofErr w:type="gramStart"/>
      <w:r w:rsidRPr="00D60CF3">
        <w:rPr>
          <w:rFonts w:ascii="Arial" w:hAnsi="Arial" w:cs="Arial" w:hint="eastAsia"/>
          <w:sz w:val="21"/>
          <w:szCs w:val="21"/>
        </w:rPr>
        <w:t>麓</w:t>
      </w:r>
      <w:proofErr w:type="gramEnd"/>
      <w:r>
        <w:rPr>
          <w:rFonts w:ascii="Arial" w:hAnsi="Arial" w:cs="Arial" w:hint="eastAsia"/>
          <w:sz w:val="21"/>
          <w:szCs w:val="21"/>
        </w:rPr>
        <w:t>，均价</w:t>
      </w:r>
      <w:r w:rsidRPr="00D60CF3">
        <w:rPr>
          <w:rFonts w:ascii="Arial" w:hAnsi="Arial" w:cs="Arial"/>
          <w:sz w:val="21"/>
          <w:szCs w:val="21"/>
        </w:rPr>
        <w:t>24000</w:t>
      </w:r>
      <w:r w:rsidRPr="005529FD">
        <w:rPr>
          <w:rFonts w:ascii="Arial" w:hAnsi="Arial" w:cs="Arial"/>
          <w:sz w:val="21"/>
          <w:szCs w:val="21"/>
        </w:rPr>
        <w:t>元</w:t>
      </w:r>
      <w:r w:rsidRPr="005529FD">
        <w:rPr>
          <w:rFonts w:ascii="Arial" w:hAnsi="Arial" w:cs="Arial"/>
          <w:sz w:val="21"/>
          <w:szCs w:val="21"/>
        </w:rPr>
        <w:t>/</w:t>
      </w:r>
      <w:r w:rsidRPr="005529FD">
        <w:rPr>
          <w:rFonts w:ascii="Arial" w:hAnsi="Arial" w:cs="Arial"/>
          <w:sz w:val="21"/>
          <w:szCs w:val="21"/>
        </w:rPr>
        <w:t>㎡</w:t>
      </w:r>
      <w:r>
        <w:rPr>
          <w:rFonts w:ascii="Arial" w:hAnsi="Arial" w:cs="Arial" w:hint="eastAsia"/>
          <w:sz w:val="21"/>
          <w:szCs w:val="21"/>
        </w:rPr>
        <w:t>；</w:t>
      </w:r>
      <w:proofErr w:type="gramStart"/>
      <w:r w:rsidRPr="00D60CF3">
        <w:rPr>
          <w:rFonts w:ascii="Arial" w:hAnsi="Arial" w:cs="Arial" w:hint="eastAsia"/>
          <w:sz w:val="21"/>
          <w:szCs w:val="21"/>
        </w:rPr>
        <w:t>彰泰观南</w:t>
      </w:r>
      <w:proofErr w:type="gramEnd"/>
      <w:r w:rsidRPr="00D60CF3">
        <w:rPr>
          <w:rFonts w:ascii="Arial" w:hAnsi="Arial" w:cs="Arial" w:hint="eastAsia"/>
          <w:sz w:val="21"/>
          <w:szCs w:val="21"/>
        </w:rPr>
        <w:t>府</w:t>
      </w:r>
      <w:r>
        <w:rPr>
          <w:rFonts w:ascii="Arial" w:hAnsi="Arial" w:cs="Arial" w:hint="eastAsia"/>
          <w:sz w:val="21"/>
          <w:szCs w:val="21"/>
        </w:rPr>
        <w:t>，高层均价</w:t>
      </w:r>
      <w:r w:rsidRPr="00D60CF3">
        <w:rPr>
          <w:rFonts w:ascii="Arial" w:hAnsi="Arial" w:cs="Arial"/>
          <w:sz w:val="21"/>
          <w:szCs w:val="21"/>
        </w:rPr>
        <w:t>34000</w:t>
      </w:r>
      <w:r w:rsidRPr="005529FD">
        <w:rPr>
          <w:rFonts w:ascii="Arial" w:hAnsi="Arial" w:cs="Arial"/>
          <w:sz w:val="21"/>
          <w:szCs w:val="21"/>
        </w:rPr>
        <w:t>元</w:t>
      </w:r>
      <w:r w:rsidRPr="005529FD">
        <w:rPr>
          <w:rFonts w:ascii="Arial" w:hAnsi="Arial" w:cs="Arial"/>
          <w:sz w:val="21"/>
          <w:szCs w:val="21"/>
        </w:rPr>
        <w:t>/</w:t>
      </w:r>
      <w:r w:rsidRPr="005529FD">
        <w:rPr>
          <w:rFonts w:ascii="Arial" w:hAnsi="Arial" w:cs="Arial"/>
          <w:sz w:val="21"/>
          <w:szCs w:val="21"/>
        </w:rPr>
        <w:t>㎡</w:t>
      </w:r>
      <w:r>
        <w:rPr>
          <w:rFonts w:ascii="Arial" w:hAnsi="Arial" w:cs="Arial" w:hint="eastAsia"/>
          <w:sz w:val="21"/>
          <w:szCs w:val="21"/>
        </w:rPr>
        <w:t>。各项</w:t>
      </w:r>
      <w:proofErr w:type="gramStart"/>
      <w:r>
        <w:rPr>
          <w:rFonts w:ascii="Arial" w:hAnsi="Arial" w:cs="Arial" w:hint="eastAsia"/>
          <w:sz w:val="21"/>
          <w:szCs w:val="21"/>
        </w:rPr>
        <w:lastRenderedPageBreak/>
        <w:t>目具体</w:t>
      </w:r>
      <w:proofErr w:type="gramEnd"/>
      <w:r>
        <w:rPr>
          <w:rFonts w:ascii="Arial" w:hAnsi="Arial" w:cs="Arial" w:hint="eastAsia"/>
          <w:sz w:val="21"/>
          <w:szCs w:val="21"/>
        </w:rPr>
        <w:t>销售情况见下：</w:t>
      </w:r>
    </w:p>
    <w:p w14:paraId="271ED2BF" w14:textId="77777777" w:rsidR="00935557" w:rsidRDefault="00935557" w:rsidP="00935557">
      <w:pPr>
        <w:widowControl w:val="0"/>
        <w:tabs>
          <w:tab w:val="left" w:pos="567"/>
        </w:tabs>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1</w:t>
      </w:r>
      <w:r>
        <w:rPr>
          <w:rFonts w:ascii="Arial" w:hAnsi="Arial" w:cs="Arial" w:hint="eastAsia"/>
          <w:sz w:val="21"/>
          <w:szCs w:val="21"/>
        </w:rPr>
        <w:t>、</w:t>
      </w:r>
      <w:r w:rsidRPr="00925EF7">
        <w:rPr>
          <w:rFonts w:ascii="Arial" w:hAnsi="Arial" w:cs="Arial" w:hint="eastAsia"/>
          <w:sz w:val="21"/>
          <w:szCs w:val="21"/>
        </w:rPr>
        <w:t>宋都•柏悦府</w:t>
      </w:r>
      <w:r>
        <w:rPr>
          <w:rFonts w:ascii="Arial" w:hAnsi="Arial" w:cs="Arial" w:hint="eastAsia"/>
          <w:sz w:val="21"/>
          <w:szCs w:val="21"/>
        </w:rPr>
        <w:t>：</w:t>
      </w:r>
    </w:p>
    <w:p w14:paraId="6487B403" w14:textId="77777777" w:rsidR="00935557" w:rsidRDefault="00935557" w:rsidP="00935557">
      <w:pPr>
        <w:widowControl w:val="0"/>
        <w:tabs>
          <w:tab w:val="left" w:pos="567"/>
        </w:tabs>
        <w:adjustRightInd w:val="0"/>
        <w:snapToGrid w:val="0"/>
        <w:spacing w:line="480" w:lineRule="auto"/>
        <w:ind w:firstLineChars="200" w:firstLine="420"/>
        <w:jc w:val="both"/>
        <w:rPr>
          <w:rFonts w:ascii="Arial" w:hAnsi="Arial" w:cs="Arial"/>
          <w:sz w:val="21"/>
          <w:szCs w:val="21"/>
        </w:rPr>
      </w:pPr>
      <w:r w:rsidRPr="00925EF7">
        <w:rPr>
          <w:rFonts w:ascii="Arial" w:hAnsi="Arial" w:cs="Arial"/>
          <w:sz w:val="21"/>
          <w:szCs w:val="21"/>
        </w:rPr>
        <w:t>2020</w:t>
      </w:r>
      <w:r w:rsidRPr="00925EF7">
        <w:rPr>
          <w:rFonts w:ascii="Arial" w:hAnsi="Arial" w:cs="Arial"/>
          <w:sz w:val="21"/>
          <w:szCs w:val="21"/>
        </w:rPr>
        <w:t>年</w:t>
      </w:r>
      <w:r w:rsidRPr="00925EF7">
        <w:rPr>
          <w:rFonts w:ascii="Arial" w:hAnsi="Arial" w:cs="Arial"/>
          <w:sz w:val="21"/>
          <w:szCs w:val="21"/>
        </w:rPr>
        <w:t>10</w:t>
      </w:r>
      <w:r w:rsidRPr="00925EF7">
        <w:rPr>
          <w:rFonts w:ascii="Arial" w:hAnsi="Arial" w:cs="Arial"/>
          <w:sz w:val="21"/>
          <w:szCs w:val="21"/>
        </w:rPr>
        <w:t>月开盘，</w:t>
      </w:r>
      <w:r>
        <w:rPr>
          <w:rFonts w:ascii="Arial" w:hAnsi="Arial" w:cs="Arial" w:hint="eastAsia"/>
          <w:sz w:val="21"/>
          <w:szCs w:val="21"/>
        </w:rPr>
        <w:t>项目为高层、小高层产品，销售均价</w:t>
      </w:r>
      <w:r>
        <w:rPr>
          <w:rFonts w:ascii="Arial" w:hAnsi="Arial" w:cs="Arial" w:hint="eastAsia"/>
          <w:sz w:val="21"/>
          <w:szCs w:val="21"/>
        </w:rPr>
        <w:t>27000</w:t>
      </w:r>
      <w:r w:rsidRPr="005529FD">
        <w:rPr>
          <w:rFonts w:ascii="Arial" w:hAnsi="Arial" w:cs="Arial"/>
          <w:sz w:val="21"/>
          <w:szCs w:val="21"/>
        </w:rPr>
        <w:t>元</w:t>
      </w:r>
      <w:r w:rsidRPr="005529FD">
        <w:rPr>
          <w:rFonts w:ascii="Arial" w:hAnsi="Arial" w:cs="Arial"/>
          <w:sz w:val="21"/>
          <w:szCs w:val="21"/>
        </w:rPr>
        <w:t>/</w:t>
      </w:r>
      <w:r>
        <w:rPr>
          <w:rFonts w:ascii="Arial" w:hAnsi="Arial" w:cs="Arial" w:hint="eastAsia"/>
          <w:sz w:val="21"/>
          <w:szCs w:val="21"/>
        </w:rPr>
        <w:t>㎡，</w:t>
      </w:r>
      <w:r w:rsidRPr="00925EF7">
        <w:rPr>
          <w:rFonts w:ascii="Arial" w:hAnsi="Arial" w:cs="Arial"/>
          <w:sz w:val="21"/>
          <w:szCs w:val="21"/>
        </w:rPr>
        <w:t>共推</w:t>
      </w:r>
      <w:r>
        <w:rPr>
          <w:rFonts w:ascii="Arial" w:hAnsi="Arial" w:cs="Arial" w:hint="eastAsia"/>
          <w:sz w:val="21"/>
          <w:szCs w:val="21"/>
        </w:rPr>
        <w:t>出</w:t>
      </w:r>
      <w:r w:rsidRPr="00925EF7">
        <w:rPr>
          <w:rFonts w:ascii="Arial" w:hAnsi="Arial" w:cs="Arial"/>
          <w:sz w:val="21"/>
          <w:szCs w:val="21"/>
        </w:rPr>
        <w:t>772</w:t>
      </w:r>
      <w:r w:rsidRPr="00925EF7">
        <w:rPr>
          <w:rFonts w:ascii="Arial" w:hAnsi="Arial" w:cs="Arial"/>
          <w:sz w:val="21"/>
          <w:szCs w:val="21"/>
        </w:rPr>
        <w:t>套，</w:t>
      </w:r>
      <w:r>
        <w:rPr>
          <w:rFonts w:ascii="Arial" w:hAnsi="Arial" w:cs="Arial" w:hint="eastAsia"/>
          <w:sz w:val="21"/>
          <w:szCs w:val="21"/>
        </w:rPr>
        <w:t>累计</w:t>
      </w:r>
      <w:r w:rsidRPr="00925EF7">
        <w:rPr>
          <w:rFonts w:ascii="Arial" w:hAnsi="Arial" w:cs="Arial"/>
          <w:sz w:val="21"/>
          <w:szCs w:val="21"/>
        </w:rPr>
        <w:t>已售</w:t>
      </w:r>
      <w:r w:rsidRPr="00925EF7">
        <w:rPr>
          <w:rFonts w:ascii="Arial" w:hAnsi="Arial" w:cs="Arial"/>
          <w:sz w:val="21"/>
          <w:szCs w:val="21"/>
        </w:rPr>
        <w:t>554</w:t>
      </w:r>
      <w:r w:rsidRPr="00925EF7">
        <w:rPr>
          <w:rFonts w:ascii="Arial" w:hAnsi="Arial" w:cs="Arial"/>
          <w:sz w:val="21"/>
          <w:szCs w:val="21"/>
        </w:rPr>
        <w:t>套，</w:t>
      </w:r>
      <w:r>
        <w:rPr>
          <w:rFonts w:ascii="Arial" w:hAnsi="Arial" w:cs="Arial" w:hint="eastAsia"/>
          <w:sz w:val="21"/>
          <w:szCs w:val="21"/>
        </w:rPr>
        <w:t>整体</w:t>
      </w:r>
      <w:r w:rsidRPr="00925EF7">
        <w:rPr>
          <w:rFonts w:ascii="Arial" w:hAnsi="Arial" w:cs="Arial"/>
          <w:sz w:val="21"/>
          <w:szCs w:val="21"/>
        </w:rPr>
        <w:t>去化已达到七成</w:t>
      </w:r>
      <w:r>
        <w:rPr>
          <w:rFonts w:ascii="Arial" w:hAnsi="Arial" w:cs="Arial" w:hint="eastAsia"/>
          <w:sz w:val="21"/>
          <w:szCs w:val="21"/>
        </w:rPr>
        <w:t>以上</w:t>
      </w:r>
      <w:r w:rsidRPr="00925EF7">
        <w:rPr>
          <w:rFonts w:ascii="Arial" w:hAnsi="Arial" w:cs="Arial"/>
          <w:sz w:val="21"/>
          <w:szCs w:val="21"/>
        </w:rPr>
        <w:t>，</w:t>
      </w:r>
      <w:r>
        <w:rPr>
          <w:rFonts w:ascii="Arial" w:hAnsi="Arial" w:cs="Arial" w:hint="eastAsia"/>
          <w:sz w:val="21"/>
          <w:szCs w:val="21"/>
        </w:rPr>
        <w:t>开盘当月签约</w:t>
      </w:r>
      <w:r>
        <w:rPr>
          <w:rFonts w:ascii="Arial" w:hAnsi="Arial" w:cs="Arial" w:hint="eastAsia"/>
          <w:sz w:val="21"/>
          <w:szCs w:val="21"/>
        </w:rPr>
        <w:t>208</w:t>
      </w:r>
      <w:r>
        <w:rPr>
          <w:rFonts w:ascii="Arial" w:hAnsi="Arial" w:cs="Arial" w:hint="eastAsia"/>
          <w:sz w:val="21"/>
          <w:szCs w:val="21"/>
        </w:rPr>
        <w:t>套，随后</w:t>
      </w:r>
      <w:r w:rsidRPr="00925EF7">
        <w:rPr>
          <w:rFonts w:ascii="Arial" w:hAnsi="Arial" w:cs="Arial"/>
          <w:sz w:val="21"/>
          <w:szCs w:val="21"/>
        </w:rPr>
        <w:t>近</w:t>
      </w:r>
      <w:r w:rsidRPr="00925EF7">
        <w:rPr>
          <w:rFonts w:ascii="Arial" w:hAnsi="Arial" w:cs="Arial"/>
          <w:sz w:val="21"/>
          <w:szCs w:val="21"/>
        </w:rPr>
        <w:t>8</w:t>
      </w:r>
      <w:r w:rsidRPr="00925EF7">
        <w:rPr>
          <w:rFonts w:ascii="Arial" w:hAnsi="Arial" w:cs="Arial"/>
          <w:sz w:val="21"/>
          <w:szCs w:val="21"/>
        </w:rPr>
        <w:t>个月</w:t>
      </w:r>
      <w:r>
        <w:rPr>
          <w:rFonts w:ascii="Arial" w:hAnsi="Arial" w:cs="Arial" w:hint="eastAsia"/>
          <w:sz w:val="21"/>
          <w:szCs w:val="21"/>
        </w:rPr>
        <w:t>销售相对平稳，</w:t>
      </w:r>
      <w:r w:rsidRPr="00925EF7">
        <w:rPr>
          <w:rFonts w:ascii="Arial" w:hAnsi="Arial" w:cs="Arial"/>
          <w:sz w:val="21"/>
          <w:szCs w:val="21"/>
        </w:rPr>
        <w:t>月均去化</w:t>
      </w:r>
      <w:r w:rsidRPr="00925EF7">
        <w:rPr>
          <w:rFonts w:ascii="Arial" w:hAnsi="Arial" w:cs="Arial"/>
          <w:sz w:val="21"/>
          <w:szCs w:val="21"/>
        </w:rPr>
        <w:t>67</w:t>
      </w:r>
      <w:r w:rsidRPr="00925EF7">
        <w:rPr>
          <w:rFonts w:ascii="Arial" w:hAnsi="Arial" w:cs="Arial"/>
          <w:sz w:val="21"/>
          <w:szCs w:val="21"/>
        </w:rPr>
        <w:t>套。</w:t>
      </w:r>
    </w:p>
    <w:p w14:paraId="4511D3FF" w14:textId="77777777" w:rsidR="00935557" w:rsidRDefault="00935557" w:rsidP="00935557">
      <w:pPr>
        <w:widowControl w:val="0"/>
        <w:tabs>
          <w:tab w:val="left" w:pos="567"/>
        </w:tabs>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2</w:t>
      </w:r>
      <w:r>
        <w:rPr>
          <w:rFonts w:ascii="Arial" w:hAnsi="Arial" w:cs="Arial" w:hint="eastAsia"/>
          <w:sz w:val="21"/>
          <w:szCs w:val="21"/>
        </w:rPr>
        <w:t>、</w:t>
      </w:r>
      <w:r w:rsidRPr="007C598F">
        <w:rPr>
          <w:rFonts w:ascii="Arial" w:hAnsi="Arial" w:cs="Arial" w:hint="eastAsia"/>
          <w:sz w:val="21"/>
          <w:szCs w:val="21"/>
        </w:rPr>
        <w:t>宝能•</w:t>
      </w:r>
      <w:proofErr w:type="gramStart"/>
      <w:r w:rsidRPr="007C598F">
        <w:rPr>
          <w:rFonts w:ascii="Arial" w:hAnsi="Arial" w:cs="Arial" w:hint="eastAsia"/>
          <w:sz w:val="21"/>
          <w:szCs w:val="21"/>
        </w:rPr>
        <w:t>翡</w:t>
      </w:r>
      <w:proofErr w:type="gramEnd"/>
      <w:r w:rsidRPr="007C598F">
        <w:rPr>
          <w:rFonts w:ascii="Arial" w:hAnsi="Arial" w:cs="Arial" w:hint="eastAsia"/>
          <w:sz w:val="21"/>
          <w:szCs w:val="21"/>
        </w:rPr>
        <w:t>丽河滨</w:t>
      </w:r>
      <w:r>
        <w:rPr>
          <w:rFonts w:ascii="Arial" w:hAnsi="Arial" w:cs="Arial" w:hint="eastAsia"/>
          <w:sz w:val="21"/>
          <w:szCs w:val="21"/>
        </w:rPr>
        <w:t>：</w:t>
      </w:r>
    </w:p>
    <w:p w14:paraId="57FEAF9B" w14:textId="77777777" w:rsidR="00935557" w:rsidRDefault="00935557" w:rsidP="00935557">
      <w:pPr>
        <w:widowControl w:val="0"/>
        <w:tabs>
          <w:tab w:val="left" w:pos="567"/>
        </w:tabs>
        <w:adjustRightInd w:val="0"/>
        <w:snapToGrid w:val="0"/>
        <w:spacing w:line="480" w:lineRule="auto"/>
        <w:ind w:firstLineChars="200" w:firstLine="420"/>
        <w:jc w:val="both"/>
        <w:rPr>
          <w:rFonts w:ascii="Arial" w:hAnsi="Arial" w:cs="Arial"/>
          <w:sz w:val="21"/>
          <w:szCs w:val="21"/>
        </w:rPr>
      </w:pPr>
      <w:r w:rsidRPr="007C598F">
        <w:rPr>
          <w:rFonts w:ascii="Arial" w:hAnsi="Arial" w:cs="Arial"/>
          <w:sz w:val="21"/>
          <w:szCs w:val="21"/>
        </w:rPr>
        <w:t>2021</w:t>
      </w:r>
      <w:r w:rsidRPr="007C598F">
        <w:rPr>
          <w:rFonts w:ascii="Arial" w:hAnsi="Arial" w:cs="Arial"/>
          <w:sz w:val="21"/>
          <w:szCs w:val="21"/>
        </w:rPr>
        <w:t>年</w:t>
      </w:r>
      <w:r w:rsidRPr="007C598F">
        <w:rPr>
          <w:rFonts w:ascii="Arial" w:hAnsi="Arial" w:cs="Arial"/>
          <w:sz w:val="21"/>
          <w:szCs w:val="21"/>
        </w:rPr>
        <w:t>5</w:t>
      </w:r>
      <w:r w:rsidRPr="007C598F">
        <w:rPr>
          <w:rFonts w:ascii="Arial" w:hAnsi="Arial" w:cs="Arial"/>
          <w:sz w:val="21"/>
          <w:szCs w:val="21"/>
        </w:rPr>
        <w:t>月开盘，</w:t>
      </w:r>
      <w:r>
        <w:rPr>
          <w:rFonts w:ascii="Arial" w:hAnsi="Arial" w:cs="Arial" w:hint="eastAsia"/>
          <w:sz w:val="21"/>
          <w:szCs w:val="21"/>
        </w:rPr>
        <w:t>高层销售均价</w:t>
      </w:r>
      <w:r>
        <w:rPr>
          <w:rFonts w:ascii="Arial" w:hAnsi="Arial" w:cs="Arial" w:hint="eastAsia"/>
          <w:sz w:val="21"/>
          <w:szCs w:val="21"/>
        </w:rPr>
        <w:t>26700</w:t>
      </w:r>
      <w:r w:rsidRPr="005529FD">
        <w:rPr>
          <w:rFonts w:ascii="Arial" w:hAnsi="Arial" w:cs="Arial"/>
          <w:sz w:val="21"/>
          <w:szCs w:val="21"/>
        </w:rPr>
        <w:t>元</w:t>
      </w:r>
      <w:r w:rsidRPr="005529FD">
        <w:rPr>
          <w:rFonts w:ascii="Arial" w:hAnsi="Arial" w:cs="Arial"/>
          <w:sz w:val="21"/>
          <w:szCs w:val="21"/>
        </w:rPr>
        <w:t>/</w:t>
      </w:r>
      <w:r w:rsidRPr="005529FD">
        <w:rPr>
          <w:rFonts w:ascii="Arial" w:hAnsi="Arial" w:cs="Arial"/>
          <w:sz w:val="21"/>
          <w:szCs w:val="21"/>
        </w:rPr>
        <w:t>㎡</w:t>
      </w:r>
      <w:r>
        <w:rPr>
          <w:rFonts w:ascii="Arial" w:hAnsi="Arial" w:cs="Arial" w:hint="eastAsia"/>
          <w:sz w:val="21"/>
          <w:szCs w:val="21"/>
        </w:rPr>
        <w:t>，目前已</w:t>
      </w:r>
      <w:r w:rsidRPr="007C598F">
        <w:rPr>
          <w:rFonts w:ascii="Arial" w:hAnsi="Arial" w:cs="Arial"/>
          <w:sz w:val="21"/>
          <w:szCs w:val="21"/>
        </w:rPr>
        <w:t>推出</w:t>
      </w:r>
      <w:r w:rsidRPr="007C598F">
        <w:rPr>
          <w:rFonts w:ascii="Arial" w:hAnsi="Arial" w:cs="Arial"/>
          <w:sz w:val="21"/>
          <w:szCs w:val="21"/>
        </w:rPr>
        <w:t>2</w:t>
      </w:r>
      <w:r w:rsidRPr="007C598F">
        <w:rPr>
          <w:rFonts w:ascii="Arial" w:hAnsi="Arial" w:cs="Arial"/>
          <w:sz w:val="21"/>
          <w:szCs w:val="21"/>
        </w:rPr>
        <w:t>栋楼共</w:t>
      </w:r>
      <w:r w:rsidRPr="007C598F">
        <w:rPr>
          <w:rFonts w:ascii="Arial" w:hAnsi="Arial" w:cs="Arial"/>
          <w:sz w:val="21"/>
          <w:szCs w:val="21"/>
        </w:rPr>
        <w:t>199</w:t>
      </w:r>
      <w:r>
        <w:rPr>
          <w:rFonts w:ascii="Arial" w:hAnsi="Arial" w:cs="Arial"/>
          <w:sz w:val="21"/>
          <w:szCs w:val="21"/>
        </w:rPr>
        <w:t>套可售，</w:t>
      </w:r>
      <w:r>
        <w:rPr>
          <w:rFonts w:ascii="Arial" w:hAnsi="Arial" w:cs="Arial" w:hint="eastAsia"/>
          <w:sz w:val="21"/>
          <w:szCs w:val="21"/>
        </w:rPr>
        <w:t>开盘</w:t>
      </w:r>
      <w:r>
        <w:rPr>
          <w:rFonts w:ascii="Arial" w:hAnsi="Arial" w:cs="Arial" w:hint="eastAsia"/>
          <w:sz w:val="21"/>
          <w:szCs w:val="21"/>
        </w:rPr>
        <w:t>1</w:t>
      </w:r>
      <w:r>
        <w:rPr>
          <w:rFonts w:ascii="Arial" w:hAnsi="Arial" w:cs="Arial" w:hint="eastAsia"/>
          <w:sz w:val="21"/>
          <w:szCs w:val="21"/>
        </w:rPr>
        <w:t>个月目前</w:t>
      </w:r>
      <w:r>
        <w:rPr>
          <w:rFonts w:ascii="Arial" w:hAnsi="Arial" w:cs="Arial"/>
          <w:sz w:val="21"/>
          <w:szCs w:val="21"/>
        </w:rPr>
        <w:t>已</w:t>
      </w:r>
      <w:r>
        <w:rPr>
          <w:rFonts w:ascii="Arial" w:hAnsi="Arial" w:cs="Arial" w:hint="eastAsia"/>
          <w:sz w:val="21"/>
          <w:szCs w:val="21"/>
        </w:rPr>
        <w:t>签约</w:t>
      </w:r>
      <w:r w:rsidRPr="007C598F">
        <w:rPr>
          <w:rFonts w:ascii="Arial" w:hAnsi="Arial" w:cs="Arial"/>
          <w:sz w:val="21"/>
          <w:szCs w:val="21"/>
        </w:rPr>
        <w:t>42</w:t>
      </w:r>
      <w:r w:rsidRPr="007C598F">
        <w:rPr>
          <w:rFonts w:ascii="Arial" w:hAnsi="Arial" w:cs="Arial"/>
          <w:sz w:val="21"/>
          <w:szCs w:val="21"/>
        </w:rPr>
        <w:t>套。</w:t>
      </w:r>
    </w:p>
    <w:p w14:paraId="60A3C292" w14:textId="77777777" w:rsidR="00935557" w:rsidRDefault="00935557" w:rsidP="00935557">
      <w:pPr>
        <w:widowControl w:val="0"/>
        <w:tabs>
          <w:tab w:val="left" w:pos="567"/>
        </w:tabs>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3</w:t>
      </w:r>
      <w:r>
        <w:rPr>
          <w:rFonts w:ascii="Arial" w:hAnsi="Arial" w:cs="Arial" w:hint="eastAsia"/>
          <w:sz w:val="21"/>
          <w:szCs w:val="21"/>
        </w:rPr>
        <w:t>、</w:t>
      </w:r>
      <w:r w:rsidRPr="00460052">
        <w:rPr>
          <w:rFonts w:ascii="Arial" w:hAnsi="Arial" w:cs="Arial" w:hint="eastAsia"/>
          <w:sz w:val="21"/>
          <w:szCs w:val="21"/>
        </w:rPr>
        <w:t>电建地产•</w:t>
      </w:r>
      <w:proofErr w:type="gramStart"/>
      <w:r w:rsidRPr="00460052">
        <w:rPr>
          <w:rFonts w:ascii="Arial" w:hAnsi="Arial" w:cs="Arial" w:hint="eastAsia"/>
          <w:sz w:val="21"/>
          <w:szCs w:val="21"/>
        </w:rPr>
        <w:t>洺</w:t>
      </w:r>
      <w:proofErr w:type="gramEnd"/>
      <w:r w:rsidRPr="00460052">
        <w:rPr>
          <w:rFonts w:ascii="Arial" w:hAnsi="Arial" w:cs="Arial" w:hint="eastAsia"/>
          <w:sz w:val="21"/>
          <w:szCs w:val="21"/>
        </w:rPr>
        <w:t>悦华府</w:t>
      </w:r>
      <w:r>
        <w:rPr>
          <w:rFonts w:ascii="Arial" w:hAnsi="Arial" w:cs="Arial" w:hint="eastAsia"/>
          <w:sz w:val="21"/>
          <w:szCs w:val="21"/>
        </w:rPr>
        <w:t>：</w:t>
      </w:r>
    </w:p>
    <w:p w14:paraId="056C3F26" w14:textId="77777777" w:rsidR="00935557" w:rsidRDefault="00935557" w:rsidP="00935557">
      <w:pPr>
        <w:widowControl w:val="0"/>
        <w:tabs>
          <w:tab w:val="left" w:pos="567"/>
        </w:tabs>
        <w:adjustRightInd w:val="0"/>
        <w:snapToGrid w:val="0"/>
        <w:spacing w:line="480" w:lineRule="auto"/>
        <w:ind w:firstLineChars="200" w:firstLine="420"/>
        <w:jc w:val="both"/>
        <w:rPr>
          <w:rFonts w:ascii="Arial" w:hAnsi="Arial" w:cs="Arial"/>
          <w:sz w:val="21"/>
          <w:szCs w:val="21"/>
        </w:rPr>
      </w:pPr>
      <w:r w:rsidRPr="00460052">
        <w:rPr>
          <w:rFonts w:ascii="Arial" w:hAnsi="Arial" w:cs="Arial"/>
          <w:sz w:val="21"/>
          <w:szCs w:val="21"/>
        </w:rPr>
        <w:t>2019</w:t>
      </w:r>
      <w:r w:rsidRPr="00460052">
        <w:rPr>
          <w:rFonts w:ascii="Arial" w:hAnsi="Arial" w:cs="Arial"/>
          <w:sz w:val="21"/>
          <w:szCs w:val="21"/>
        </w:rPr>
        <w:t>年</w:t>
      </w:r>
      <w:r w:rsidRPr="00460052">
        <w:rPr>
          <w:rFonts w:ascii="Arial" w:hAnsi="Arial" w:cs="Arial"/>
          <w:sz w:val="21"/>
          <w:szCs w:val="21"/>
        </w:rPr>
        <w:t>9</w:t>
      </w:r>
      <w:r w:rsidRPr="00460052">
        <w:rPr>
          <w:rFonts w:ascii="Arial" w:hAnsi="Arial" w:cs="Arial"/>
          <w:sz w:val="21"/>
          <w:szCs w:val="21"/>
        </w:rPr>
        <w:t>月</w:t>
      </w:r>
      <w:r>
        <w:rPr>
          <w:rFonts w:ascii="Arial" w:hAnsi="Arial" w:cs="Arial" w:hint="eastAsia"/>
          <w:sz w:val="21"/>
          <w:szCs w:val="21"/>
        </w:rPr>
        <w:t>首开，</w:t>
      </w:r>
      <w:r w:rsidRPr="00460052">
        <w:rPr>
          <w:rFonts w:ascii="Arial" w:hAnsi="Arial" w:cs="Arial" w:hint="eastAsia"/>
          <w:sz w:val="21"/>
          <w:szCs w:val="21"/>
        </w:rPr>
        <w:t>累计</w:t>
      </w:r>
      <w:r>
        <w:rPr>
          <w:rFonts w:ascii="Arial" w:hAnsi="Arial" w:cs="Arial" w:hint="eastAsia"/>
          <w:sz w:val="21"/>
          <w:szCs w:val="21"/>
        </w:rPr>
        <w:t>已</w:t>
      </w:r>
      <w:r w:rsidRPr="00460052">
        <w:rPr>
          <w:rFonts w:ascii="Arial" w:hAnsi="Arial" w:cs="Arial" w:hint="eastAsia"/>
          <w:sz w:val="21"/>
          <w:szCs w:val="21"/>
        </w:rPr>
        <w:t>推出</w:t>
      </w:r>
      <w:r w:rsidRPr="00460052">
        <w:rPr>
          <w:rFonts w:ascii="Arial" w:hAnsi="Arial" w:cs="Arial"/>
          <w:sz w:val="21"/>
          <w:szCs w:val="21"/>
        </w:rPr>
        <w:t>1104</w:t>
      </w:r>
      <w:r w:rsidRPr="00460052">
        <w:rPr>
          <w:rFonts w:ascii="Arial" w:hAnsi="Arial" w:cs="Arial"/>
          <w:sz w:val="21"/>
          <w:szCs w:val="21"/>
        </w:rPr>
        <w:t>套，累计销售</w:t>
      </w:r>
      <w:r w:rsidRPr="00460052">
        <w:rPr>
          <w:rFonts w:ascii="Arial" w:hAnsi="Arial" w:cs="Arial"/>
          <w:sz w:val="21"/>
          <w:szCs w:val="21"/>
        </w:rPr>
        <w:t>804</w:t>
      </w:r>
      <w:r>
        <w:rPr>
          <w:rFonts w:ascii="Arial" w:hAnsi="Arial" w:cs="Arial"/>
          <w:sz w:val="21"/>
          <w:szCs w:val="21"/>
        </w:rPr>
        <w:t>套</w:t>
      </w:r>
      <w:r>
        <w:rPr>
          <w:rFonts w:ascii="Arial" w:hAnsi="Arial" w:cs="Arial" w:hint="eastAsia"/>
          <w:sz w:val="21"/>
          <w:szCs w:val="21"/>
        </w:rPr>
        <w:t>，高层销售均价</w:t>
      </w:r>
      <w:r>
        <w:rPr>
          <w:rFonts w:ascii="Arial" w:hAnsi="Arial" w:cs="Arial" w:hint="eastAsia"/>
          <w:sz w:val="21"/>
          <w:szCs w:val="21"/>
        </w:rPr>
        <w:t>304</w:t>
      </w:r>
      <w:r w:rsidRPr="005529FD">
        <w:rPr>
          <w:rFonts w:ascii="Arial" w:hAnsi="Arial" w:cs="Arial"/>
          <w:sz w:val="21"/>
          <w:szCs w:val="21"/>
        </w:rPr>
        <w:t>00</w:t>
      </w:r>
      <w:r w:rsidRPr="005529FD">
        <w:rPr>
          <w:rFonts w:ascii="Arial" w:hAnsi="Arial" w:cs="Arial"/>
          <w:sz w:val="21"/>
          <w:szCs w:val="21"/>
        </w:rPr>
        <w:t>元</w:t>
      </w:r>
      <w:r w:rsidRPr="005529FD">
        <w:rPr>
          <w:rFonts w:ascii="Arial" w:hAnsi="Arial" w:cs="Arial"/>
          <w:sz w:val="21"/>
          <w:szCs w:val="21"/>
        </w:rPr>
        <w:t>/</w:t>
      </w:r>
      <w:r w:rsidRPr="005529FD">
        <w:rPr>
          <w:rFonts w:ascii="Arial" w:hAnsi="Arial" w:cs="Arial"/>
          <w:sz w:val="21"/>
          <w:szCs w:val="21"/>
        </w:rPr>
        <w:t>㎡</w:t>
      </w:r>
      <w:r>
        <w:rPr>
          <w:rFonts w:ascii="Arial" w:hAnsi="Arial" w:cs="Arial" w:hint="eastAsia"/>
          <w:sz w:val="21"/>
          <w:szCs w:val="21"/>
        </w:rPr>
        <w:t>，</w:t>
      </w:r>
      <w:r>
        <w:rPr>
          <w:rFonts w:ascii="Arial" w:hAnsi="Arial" w:cs="Arial"/>
          <w:sz w:val="21"/>
          <w:szCs w:val="21"/>
        </w:rPr>
        <w:t>近一年累计销售</w:t>
      </w:r>
      <w:r w:rsidRPr="00460052">
        <w:rPr>
          <w:rFonts w:ascii="Arial" w:hAnsi="Arial" w:cs="Arial"/>
          <w:sz w:val="21"/>
          <w:szCs w:val="21"/>
        </w:rPr>
        <w:t>620</w:t>
      </w:r>
      <w:r w:rsidRPr="00460052">
        <w:rPr>
          <w:rFonts w:ascii="Arial" w:hAnsi="Arial" w:cs="Arial"/>
          <w:sz w:val="21"/>
          <w:szCs w:val="21"/>
        </w:rPr>
        <w:t>套，月均去化</w:t>
      </w:r>
      <w:r w:rsidRPr="00460052">
        <w:rPr>
          <w:rFonts w:ascii="Arial" w:hAnsi="Arial" w:cs="Arial"/>
          <w:sz w:val="21"/>
          <w:szCs w:val="21"/>
        </w:rPr>
        <w:t>52</w:t>
      </w:r>
      <w:r w:rsidRPr="00460052">
        <w:rPr>
          <w:rFonts w:ascii="Arial" w:hAnsi="Arial" w:cs="Arial"/>
          <w:sz w:val="21"/>
          <w:szCs w:val="21"/>
        </w:rPr>
        <w:t>套。</w:t>
      </w:r>
      <w:r w:rsidRPr="00460052">
        <w:rPr>
          <w:rFonts w:ascii="Arial" w:hAnsi="Arial" w:cs="Arial"/>
          <w:sz w:val="21"/>
          <w:szCs w:val="21"/>
        </w:rPr>
        <w:t>6</w:t>
      </w:r>
      <w:r w:rsidRPr="00460052">
        <w:rPr>
          <w:rFonts w:ascii="Arial" w:hAnsi="Arial" w:cs="Arial"/>
          <w:sz w:val="21"/>
          <w:szCs w:val="21"/>
        </w:rPr>
        <w:t>月新开盘</w:t>
      </w:r>
      <w:r w:rsidRPr="00460052">
        <w:rPr>
          <w:rFonts w:ascii="Arial" w:hAnsi="Arial" w:cs="Arial"/>
          <w:sz w:val="21"/>
          <w:szCs w:val="21"/>
        </w:rPr>
        <w:t>2</w:t>
      </w:r>
      <w:r w:rsidRPr="00460052">
        <w:rPr>
          <w:rFonts w:ascii="Arial" w:hAnsi="Arial" w:cs="Arial"/>
          <w:sz w:val="21"/>
          <w:szCs w:val="21"/>
        </w:rPr>
        <w:t>栋楼，</w:t>
      </w:r>
      <w:r>
        <w:rPr>
          <w:rFonts w:ascii="Arial" w:hAnsi="Arial" w:cs="Arial" w:hint="eastAsia"/>
          <w:sz w:val="21"/>
          <w:szCs w:val="21"/>
        </w:rPr>
        <w:t>开盘当日</w:t>
      </w:r>
      <w:r w:rsidRPr="00460052">
        <w:rPr>
          <w:rFonts w:ascii="Arial" w:hAnsi="Arial" w:cs="Arial"/>
          <w:sz w:val="21"/>
          <w:szCs w:val="21"/>
        </w:rPr>
        <w:t>认购</w:t>
      </w:r>
      <w:r>
        <w:rPr>
          <w:rFonts w:ascii="Arial" w:hAnsi="Arial" w:cs="Arial" w:hint="eastAsia"/>
          <w:sz w:val="21"/>
          <w:szCs w:val="21"/>
        </w:rPr>
        <w:t>比例</w:t>
      </w:r>
      <w:r w:rsidRPr="00460052">
        <w:rPr>
          <w:rFonts w:ascii="Arial" w:hAnsi="Arial" w:cs="Arial"/>
          <w:sz w:val="21"/>
          <w:szCs w:val="21"/>
        </w:rPr>
        <w:t>达到</w:t>
      </w:r>
      <w:r w:rsidRPr="00460052">
        <w:rPr>
          <w:rFonts w:ascii="Arial" w:hAnsi="Arial" w:cs="Arial"/>
          <w:sz w:val="21"/>
          <w:szCs w:val="21"/>
        </w:rPr>
        <w:t>100%</w:t>
      </w:r>
      <w:r w:rsidRPr="00460052">
        <w:rPr>
          <w:rFonts w:ascii="Arial" w:hAnsi="Arial" w:cs="Arial"/>
          <w:sz w:val="21"/>
          <w:szCs w:val="21"/>
        </w:rPr>
        <w:t>。</w:t>
      </w:r>
    </w:p>
    <w:p w14:paraId="24BF3BB2" w14:textId="77777777" w:rsidR="00935557" w:rsidRDefault="00935557" w:rsidP="00935557">
      <w:pPr>
        <w:widowControl w:val="0"/>
        <w:tabs>
          <w:tab w:val="left" w:pos="567"/>
        </w:tabs>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4</w:t>
      </w:r>
      <w:r>
        <w:rPr>
          <w:rFonts w:ascii="Arial" w:hAnsi="Arial" w:cs="Arial" w:hint="eastAsia"/>
          <w:sz w:val="21"/>
          <w:szCs w:val="21"/>
        </w:rPr>
        <w:t>、</w:t>
      </w:r>
      <w:proofErr w:type="gramStart"/>
      <w:r w:rsidRPr="004F7BEE">
        <w:rPr>
          <w:rFonts w:ascii="Arial" w:hAnsi="Arial" w:cs="Arial" w:hint="eastAsia"/>
          <w:sz w:val="21"/>
          <w:szCs w:val="21"/>
        </w:rPr>
        <w:t>世</w:t>
      </w:r>
      <w:proofErr w:type="gramEnd"/>
      <w:r w:rsidRPr="004F7BEE">
        <w:rPr>
          <w:rFonts w:ascii="Arial" w:hAnsi="Arial" w:cs="Arial" w:hint="eastAsia"/>
          <w:sz w:val="21"/>
          <w:szCs w:val="21"/>
        </w:rPr>
        <w:t>茂•璀璨</w:t>
      </w:r>
      <w:proofErr w:type="gramStart"/>
      <w:r w:rsidRPr="004F7BEE">
        <w:rPr>
          <w:rFonts w:ascii="Arial" w:hAnsi="Arial" w:cs="Arial" w:hint="eastAsia"/>
          <w:sz w:val="21"/>
          <w:szCs w:val="21"/>
        </w:rPr>
        <w:t>睿</w:t>
      </w:r>
      <w:proofErr w:type="gramEnd"/>
      <w:r w:rsidRPr="004F7BEE">
        <w:rPr>
          <w:rFonts w:ascii="Arial" w:hAnsi="Arial" w:cs="Arial" w:hint="eastAsia"/>
          <w:sz w:val="21"/>
          <w:szCs w:val="21"/>
        </w:rPr>
        <w:t>湾</w:t>
      </w:r>
      <w:r>
        <w:rPr>
          <w:rFonts w:ascii="Arial" w:hAnsi="Arial" w:cs="Arial" w:hint="eastAsia"/>
          <w:sz w:val="21"/>
          <w:szCs w:val="21"/>
        </w:rPr>
        <w:t>：</w:t>
      </w:r>
    </w:p>
    <w:p w14:paraId="5761D98E" w14:textId="77777777" w:rsidR="00935557" w:rsidRDefault="00935557" w:rsidP="00935557">
      <w:pPr>
        <w:widowControl w:val="0"/>
        <w:tabs>
          <w:tab w:val="left" w:pos="567"/>
        </w:tabs>
        <w:adjustRightInd w:val="0"/>
        <w:snapToGrid w:val="0"/>
        <w:spacing w:line="480" w:lineRule="auto"/>
        <w:ind w:firstLineChars="200" w:firstLine="420"/>
        <w:jc w:val="both"/>
        <w:rPr>
          <w:rFonts w:ascii="Arial" w:hAnsi="Arial" w:cs="Arial"/>
          <w:sz w:val="21"/>
          <w:szCs w:val="21"/>
        </w:rPr>
      </w:pPr>
      <w:r w:rsidRPr="004F7BEE">
        <w:rPr>
          <w:rFonts w:ascii="Arial" w:hAnsi="Arial" w:cs="Arial"/>
          <w:sz w:val="21"/>
          <w:szCs w:val="21"/>
        </w:rPr>
        <w:t>2019</w:t>
      </w:r>
      <w:r w:rsidRPr="004F7BEE">
        <w:rPr>
          <w:rFonts w:ascii="Arial" w:hAnsi="Arial" w:cs="Arial"/>
          <w:sz w:val="21"/>
          <w:szCs w:val="21"/>
        </w:rPr>
        <w:t>年</w:t>
      </w:r>
      <w:r w:rsidRPr="004F7BEE">
        <w:rPr>
          <w:rFonts w:ascii="Arial" w:hAnsi="Arial" w:cs="Arial"/>
          <w:sz w:val="21"/>
          <w:szCs w:val="21"/>
        </w:rPr>
        <w:t>12</w:t>
      </w:r>
      <w:r w:rsidRPr="004F7BEE">
        <w:rPr>
          <w:rFonts w:ascii="Arial" w:hAnsi="Arial" w:cs="Arial"/>
          <w:sz w:val="21"/>
          <w:szCs w:val="21"/>
        </w:rPr>
        <w:t>月</w:t>
      </w:r>
      <w:r>
        <w:rPr>
          <w:rFonts w:ascii="Arial" w:hAnsi="Arial" w:cs="Arial" w:hint="eastAsia"/>
          <w:sz w:val="21"/>
          <w:szCs w:val="21"/>
        </w:rPr>
        <w:t>开盘，高层销售均价</w:t>
      </w:r>
      <w:r w:rsidRPr="00D60CF3">
        <w:rPr>
          <w:rFonts w:ascii="Arial" w:hAnsi="Arial" w:cs="Arial"/>
          <w:sz w:val="21"/>
          <w:szCs w:val="21"/>
        </w:rPr>
        <w:t>30484</w:t>
      </w:r>
      <w:r w:rsidRPr="005529FD">
        <w:rPr>
          <w:rFonts w:ascii="Arial" w:hAnsi="Arial" w:cs="Arial"/>
          <w:sz w:val="21"/>
          <w:szCs w:val="21"/>
        </w:rPr>
        <w:t>元</w:t>
      </w:r>
      <w:r w:rsidRPr="005529FD">
        <w:rPr>
          <w:rFonts w:ascii="Arial" w:hAnsi="Arial" w:cs="Arial"/>
          <w:sz w:val="21"/>
          <w:szCs w:val="21"/>
        </w:rPr>
        <w:t>/</w:t>
      </w:r>
      <w:r w:rsidRPr="005529FD">
        <w:rPr>
          <w:rFonts w:ascii="Arial" w:hAnsi="Arial" w:cs="Arial"/>
          <w:sz w:val="21"/>
          <w:szCs w:val="21"/>
        </w:rPr>
        <w:t>㎡</w:t>
      </w:r>
      <w:r>
        <w:rPr>
          <w:rFonts w:ascii="Arial" w:hAnsi="Arial" w:cs="Arial" w:hint="eastAsia"/>
          <w:sz w:val="21"/>
          <w:szCs w:val="21"/>
        </w:rPr>
        <w:t>，</w:t>
      </w:r>
      <w:r w:rsidRPr="004F7BEE">
        <w:rPr>
          <w:rFonts w:ascii="Arial" w:hAnsi="Arial" w:cs="Arial" w:hint="eastAsia"/>
          <w:sz w:val="21"/>
          <w:szCs w:val="21"/>
        </w:rPr>
        <w:t>累计</w:t>
      </w:r>
      <w:r>
        <w:rPr>
          <w:rFonts w:ascii="Arial" w:hAnsi="Arial" w:cs="Arial" w:hint="eastAsia"/>
          <w:sz w:val="21"/>
          <w:szCs w:val="21"/>
        </w:rPr>
        <w:t>已</w:t>
      </w:r>
      <w:r w:rsidRPr="004F7BEE">
        <w:rPr>
          <w:rFonts w:ascii="Arial" w:hAnsi="Arial" w:cs="Arial" w:hint="eastAsia"/>
          <w:sz w:val="21"/>
          <w:szCs w:val="21"/>
        </w:rPr>
        <w:t>销售</w:t>
      </w:r>
      <w:r w:rsidRPr="004F7BEE">
        <w:rPr>
          <w:rFonts w:ascii="Arial" w:hAnsi="Arial" w:cs="Arial"/>
          <w:sz w:val="21"/>
          <w:szCs w:val="21"/>
        </w:rPr>
        <w:t>890</w:t>
      </w:r>
      <w:r w:rsidRPr="004F7BEE">
        <w:rPr>
          <w:rFonts w:ascii="Arial" w:hAnsi="Arial" w:cs="Arial"/>
          <w:sz w:val="21"/>
          <w:szCs w:val="21"/>
        </w:rPr>
        <w:t>套；</w:t>
      </w:r>
      <w:r w:rsidRPr="004F7BEE">
        <w:rPr>
          <w:rFonts w:ascii="Arial" w:hAnsi="Arial" w:cs="Arial"/>
          <w:sz w:val="21"/>
          <w:szCs w:val="21"/>
        </w:rPr>
        <w:t>19</w:t>
      </w:r>
      <w:r w:rsidRPr="004F7BEE">
        <w:rPr>
          <w:rFonts w:ascii="Arial" w:hAnsi="Arial" w:cs="Arial"/>
          <w:sz w:val="21"/>
          <w:szCs w:val="21"/>
        </w:rPr>
        <w:t>年</w:t>
      </w:r>
      <w:r w:rsidRPr="004F7BEE">
        <w:rPr>
          <w:rFonts w:ascii="Arial" w:hAnsi="Arial" w:cs="Arial"/>
          <w:sz w:val="21"/>
          <w:szCs w:val="21"/>
        </w:rPr>
        <w:t>12</w:t>
      </w:r>
      <w:r w:rsidRPr="004F7BEE">
        <w:rPr>
          <w:rFonts w:ascii="Arial" w:hAnsi="Arial" w:cs="Arial"/>
          <w:sz w:val="21"/>
          <w:szCs w:val="21"/>
        </w:rPr>
        <w:t>月开盘至</w:t>
      </w:r>
      <w:r w:rsidRPr="004F7BEE">
        <w:rPr>
          <w:rFonts w:ascii="Arial" w:hAnsi="Arial" w:cs="Arial"/>
          <w:sz w:val="21"/>
          <w:szCs w:val="21"/>
        </w:rPr>
        <w:t>2020</w:t>
      </w:r>
      <w:r w:rsidRPr="004F7BEE">
        <w:rPr>
          <w:rFonts w:ascii="Arial" w:hAnsi="Arial" w:cs="Arial"/>
          <w:sz w:val="21"/>
          <w:szCs w:val="21"/>
        </w:rPr>
        <w:t>年</w:t>
      </w:r>
      <w:r w:rsidRPr="004F7BEE">
        <w:rPr>
          <w:rFonts w:ascii="Arial" w:hAnsi="Arial" w:cs="Arial"/>
          <w:sz w:val="21"/>
          <w:szCs w:val="21"/>
        </w:rPr>
        <w:t>12</w:t>
      </w:r>
      <w:r w:rsidRPr="004F7BEE">
        <w:rPr>
          <w:rFonts w:ascii="Arial" w:hAnsi="Arial" w:cs="Arial"/>
          <w:sz w:val="21"/>
          <w:szCs w:val="21"/>
        </w:rPr>
        <w:t>月累计去化</w:t>
      </w:r>
      <w:r w:rsidRPr="004F7BEE">
        <w:rPr>
          <w:rFonts w:ascii="Arial" w:hAnsi="Arial" w:cs="Arial"/>
          <w:sz w:val="21"/>
          <w:szCs w:val="21"/>
        </w:rPr>
        <w:t>877</w:t>
      </w:r>
      <w:r w:rsidRPr="004F7BEE">
        <w:rPr>
          <w:rFonts w:ascii="Arial" w:hAnsi="Arial" w:cs="Arial"/>
          <w:sz w:val="21"/>
          <w:szCs w:val="21"/>
        </w:rPr>
        <w:t>套，月均去化</w:t>
      </w:r>
      <w:r w:rsidRPr="004F7BEE">
        <w:rPr>
          <w:rFonts w:ascii="Arial" w:hAnsi="Arial" w:cs="Arial"/>
          <w:sz w:val="21"/>
          <w:szCs w:val="21"/>
        </w:rPr>
        <w:t>67</w:t>
      </w:r>
      <w:r w:rsidRPr="004F7BEE">
        <w:rPr>
          <w:rFonts w:ascii="Arial" w:hAnsi="Arial" w:cs="Arial"/>
          <w:sz w:val="21"/>
          <w:szCs w:val="21"/>
        </w:rPr>
        <w:t>套。</w:t>
      </w:r>
    </w:p>
    <w:p w14:paraId="5FE3F7C6" w14:textId="77777777" w:rsidR="00935557" w:rsidRDefault="00935557" w:rsidP="00935557">
      <w:pPr>
        <w:widowControl w:val="0"/>
        <w:tabs>
          <w:tab w:val="left" w:pos="567"/>
        </w:tabs>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5</w:t>
      </w:r>
      <w:r>
        <w:rPr>
          <w:rFonts w:ascii="Arial" w:hAnsi="Arial" w:cs="Arial" w:hint="eastAsia"/>
          <w:sz w:val="21"/>
          <w:szCs w:val="21"/>
        </w:rPr>
        <w:t>、</w:t>
      </w:r>
      <w:r w:rsidRPr="00D60CF3">
        <w:rPr>
          <w:rFonts w:ascii="Arial" w:hAnsi="Arial" w:cs="Arial" w:hint="eastAsia"/>
          <w:sz w:val="21"/>
          <w:szCs w:val="21"/>
        </w:rPr>
        <w:t>锦绣云</w:t>
      </w:r>
      <w:proofErr w:type="gramStart"/>
      <w:r w:rsidRPr="00D60CF3">
        <w:rPr>
          <w:rFonts w:ascii="Arial" w:hAnsi="Arial" w:cs="Arial" w:hint="eastAsia"/>
          <w:sz w:val="21"/>
          <w:szCs w:val="21"/>
        </w:rPr>
        <w:t>麓</w:t>
      </w:r>
      <w:proofErr w:type="gramEnd"/>
      <w:r>
        <w:rPr>
          <w:rFonts w:ascii="Arial" w:hAnsi="Arial" w:cs="Arial" w:hint="eastAsia"/>
          <w:sz w:val="21"/>
          <w:szCs w:val="21"/>
        </w:rPr>
        <w:t>：</w:t>
      </w:r>
    </w:p>
    <w:p w14:paraId="47A542F1" w14:textId="77777777" w:rsidR="00935557" w:rsidRDefault="00935557" w:rsidP="00935557">
      <w:pPr>
        <w:widowControl w:val="0"/>
        <w:tabs>
          <w:tab w:val="left" w:pos="567"/>
        </w:tabs>
        <w:adjustRightInd w:val="0"/>
        <w:snapToGrid w:val="0"/>
        <w:spacing w:line="480" w:lineRule="auto"/>
        <w:ind w:firstLineChars="200" w:firstLine="420"/>
        <w:jc w:val="both"/>
        <w:rPr>
          <w:rFonts w:ascii="Arial" w:hAnsi="Arial" w:cs="Arial"/>
          <w:sz w:val="21"/>
          <w:szCs w:val="21"/>
        </w:rPr>
      </w:pPr>
      <w:r w:rsidRPr="004F7BEE">
        <w:rPr>
          <w:rFonts w:ascii="Arial" w:hAnsi="Arial" w:cs="Arial"/>
          <w:sz w:val="21"/>
          <w:szCs w:val="21"/>
        </w:rPr>
        <w:t>2021</w:t>
      </w:r>
      <w:r w:rsidRPr="004F7BEE">
        <w:rPr>
          <w:rFonts w:ascii="Arial" w:hAnsi="Arial" w:cs="Arial"/>
          <w:sz w:val="21"/>
          <w:szCs w:val="21"/>
        </w:rPr>
        <w:t>年</w:t>
      </w:r>
      <w:r w:rsidRPr="004F7BEE">
        <w:rPr>
          <w:rFonts w:ascii="Arial" w:hAnsi="Arial" w:cs="Arial"/>
          <w:sz w:val="21"/>
          <w:szCs w:val="21"/>
        </w:rPr>
        <w:t>4</w:t>
      </w:r>
      <w:r w:rsidRPr="004F7BEE">
        <w:rPr>
          <w:rFonts w:ascii="Arial" w:hAnsi="Arial" w:cs="Arial"/>
          <w:sz w:val="21"/>
          <w:szCs w:val="21"/>
        </w:rPr>
        <w:t>月</w:t>
      </w:r>
      <w:r w:rsidRPr="004F7BEE">
        <w:rPr>
          <w:rFonts w:ascii="Arial" w:hAnsi="Arial" w:cs="Arial"/>
          <w:sz w:val="21"/>
          <w:szCs w:val="21"/>
        </w:rPr>
        <w:t>30</w:t>
      </w:r>
      <w:r w:rsidRPr="004F7BEE">
        <w:rPr>
          <w:rFonts w:ascii="Arial" w:hAnsi="Arial" w:cs="Arial"/>
          <w:sz w:val="21"/>
          <w:szCs w:val="21"/>
        </w:rPr>
        <w:t>日开盘，</w:t>
      </w:r>
      <w:r>
        <w:rPr>
          <w:rFonts w:ascii="Arial" w:hAnsi="Arial" w:cs="Arial" w:hint="eastAsia"/>
          <w:sz w:val="21"/>
          <w:szCs w:val="21"/>
        </w:rPr>
        <w:t>高层售价</w:t>
      </w:r>
      <w:r w:rsidRPr="00006D51">
        <w:rPr>
          <w:rFonts w:ascii="Arial" w:hAnsi="Arial" w:cs="Arial"/>
          <w:sz w:val="21"/>
          <w:szCs w:val="21"/>
        </w:rPr>
        <w:t>24000</w:t>
      </w:r>
      <w:r w:rsidRPr="00006D51">
        <w:rPr>
          <w:rFonts w:ascii="Arial" w:hAnsi="Arial" w:cs="Arial"/>
          <w:sz w:val="21"/>
          <w:szCs w:val="21"/>
        </w:rPr>
        <w:t>元</w:t>
      </w:r>
      <w:r w:rsidRPr="00006D51">
        <w:rPr>
          <w:rFonts w:ascii="Arial" w:hAnsi="Arial" w:cs="Arial"/>
          <w:sz w:val="21"/>
          <w:szCs w:val="21"/>
        </w:rPr>
        <w:t>/</w:t>
      </w:r>
      <w:r w:rsidRPr="00006D51">
        <w:rPr>
          <w:rFonts w:ascii="Arial" w:hAnsi="Arial" w:cs="Arial"/>
          <w:sz w:val="21"/>
          <w:szCs w:val="21"/>
        </w:rPr>
        <w:t>㎡</w:t>
      </w:r>
      <w:r>
        <w:rPr>
          <w:rFonts w:ascii="Arial" w:hAnsi="Arial" w:cs="Arial" w:hint="eastAsia"/>
          <w:sz w:val="21"/>
          <w:szCs w:val="21"/>
        </w:rPr>
        <w:t>，共</w:t>
      </w:r>
      <w:r w:rsidRPr="004F7BEE">
        <w:rPr>
          <w:rFonts w:ascii="Arial" w:hAnsi="Arial" w:cs="Arial"/>
          <w:sz w:val="21"/>
          <w:szCs w:val="21"/>
        </w:rPr>
        <w:t>推出</w:t>
      </w:r>
      <w:r w:rsidRPr="004F7BEE">
        <w:rPr>
          <w:rFonts w:ascii="Arial" w:hAnsi="Arial" w:cs="Arial"/>
          <w:sz w:val="21"/>
          <w:szCs w:val="21"/>
        </w:rPr>
        <w:t>368</w:t>
      </w:r>
      <w:r w:rsidRPr="004F7BEE">
        <w:rPr>
          <w:rFonts w:ascii="Arial" w:hAnsi="Arial" w:cs="Arial"/>
          <w:sz w:val="21"/>
          <w:szCs w:val="21"/>
        </w:rPr>
        <w:t>套可售</w:t>
      </w:r>
      <w:r>
        <w:rPr>
          <w:rFonts w:ascii="Arial" w:hAnsi="Arial" w:cs="Arial" w:hint="eastAsia"/>
          <w:sz w:val="21"/>
          <w:szCs w:val="21"/>
        </w:rPr>
        <w:t>房源</w:t>
      </w:r>
      <w:r w:rsidRPr="004F7BEE">
        <w:rPr>
          <w:rFonts w:ascii="Arial" w:hAnsi="Arial" w:cs="Arial"/>
          <w:sz w:val="21"/>
          <w:szCs w:val="21"/>
        </w:rPr>
        <w:t>，目前已售</w:t>
      </w:r>
      <w:r w:rsidRPr="004F7BEE">
        <w:rPr>
          <w:rFonts w:ascii="Arial" w:hAnsi="Arial" w:cs="Arial"/>
          <w:sz w:val="21"/>
          <w:szCs w:val="21"/>
        </w:rPr>
        <w:t>229</w:t>
      </w:r>
      <w:r w:rsidRPr="004F7BEE">
        <w:rPr>
          <w:rFonts w:ascii="Arial" w:hAnsi="Arial" w:cs="Arial"/>
          <w:sz w:val="21"/>
          <w:szCs w:val="21"/>
        </w:rPr>
        <w:t>套。开盘</w:t>
      </w:r>
      <w:r>
        <w:rPr>
          <w:rFonts w:ascii="Arial" w:hAnsi="Arial" w:cs="Arial" w:hint="eastAsia"/>
          <w:sz w:val="21"/>
          <w:szCs w:val="21"/>
        </w:rPr>
        <w:t>仅</w:t>
      </w:r>
      <w:r w:rsidRPr="004F7BEE">
        <w:rPr>
          <w:rFonts w:ascii="Arial" w:hAnsi="Arial" w:cs="Arial"/>
          <w:sz w:val="21"/>
          <w:szCs w:val="21"/>
        </w:rPr>
        <w:t>1</w:t>
      </w:r>
      <w:r w:rsidRPr="004F7BEE">
        <w:rPr>
          <w:rFonts w:ascii="Arial" w:hAnsi="Arial" w:cs="Arial"/>
          <w:sz w:val="21"/>
          <w:szCs w:val="21"/>
        </w:rPr>
        <w:t>个月去化已达</w:t>
      </w:r>
      <w:r w:rsidRPr="004F7BEE">
        <w:rPr>
          <w:rFonts w:ascii="Arial" w:hAnsi="Arial" w:cs="Arial"/>
          <w:sz w:val="21"/>
          <w:szCs w:val="21"/>
        </w:rPr>
        <w:t>6</w:t>
      </w:r>
      <w:r w:rsidRPr="004F7BEE">
        <w:rPr>
          <w:rFonts w:ascii="Arial" w:hAnsi="Arial" w:cs="Arial"/>
          <w:sz w:val="21"/>
          <w:szCs w:val="21"/>
        </w:rPr>
        <w:t>成。</w:t>
      </w:r>
    </w:p>
    <w:p w14:paraId="2A05F37D" w14:textId="77777777" w:rsidR="00935557" w:rsidRDefault="00935557" w:rsidP="00935557">
      <w:pPr>
        <w:widowControl w:val="0"/>
        <w:tabs>
          <w:tab w:val="left" w:pos="567"/>
        </w:tabs>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6</w:t>
      </w:r>
      <w:r>
        <w:rPr>
          <w:rFonts w:ascii="Arial" w:hAnsi="Arial" w:cs="Arial" w:hint="eastAsia"/>
          <w:sz w:val="21"/>
          <w:szCs w:val="21"/>
        </w:rPr>
        <w:t>、</w:t>
      </w:r>
      <w:proofErr w:type="gramStart"/>
      <w:r w:rsidRPr="00D60CF3">
        <w:rPr>
          <w:rFonts w:ascii="Arial" w:hAnsi="Arial" w:cs="Arial" w:hint="eastAsia"/>
          <w:sz w:val="21"/>
          <w:szCs w:val="21"/>
        </w:rPr>
        <w:t>彰泰观南</w:t>
      </w:r>
      <w:proofErr w:type="gramEnd"/>
      <w:r w:rsidRPr="00D60CF3">
        <w:rPr>
          <w:rFonts w:ascii="Arial" w:hAnsi="Arial" w:cs="Arial" w:hint="eastAsia"/>
          <w:sz w:val="21"/>
          <w:szCs w:val="21"/>
        </w:rPr>
        <w:t>府</w:t>
      </w:r>
      <w:r>
        <w:rPr>
          <w:rFonts w:ascii="Arial" w:hAnsi="Arial" w:cs="Arial" w:hint="eastAsia"/>
          <w:sz w:val="21"/>
          <w:szCs w:val="21"/>
        </w:rPr>
        <w:t>：</w:t>
      </w:r>
    </w:p>
    <w:p w14:paraId="415AD761" w14:textId="77777777" w:rsidR="00935557" w:rsidRDefault="00935557" w:rsidP="00935557">
      <w:pPr>
        <w:widowControl w:val="0"/>
        <w:tabs>
          <w:tab w:val="left" w:pos="567"/>
        </w:tabs>
        <w:adjustRightInd w:val="0"/>
        <w:snapToGrid w:val="0"/>
        <w:spacing w:line="480" w:lineRule="auto"/>
        <w:ind w:firstLineChars="200" w:firstLine="420"/>
        <w:jc w:val="both"/>
        <w:rPr>
          <w:rFonts w:ascii="Arial" w:hAnsi="Arial" w:cs="Arial"/>
          <w:sz w:val="21"/>
          <w:szCs w:val="21"/>
        </w:rPr>
      </w:pPr>
      <w:r w:rsidRPr="004F7BEE">
        <w:rPr>
          <w:rFonts w:ascii="Arial" w:hAnsi="Arial" w:cs="Arial"/>
          <w:sz w:val="21"/>
          <w:szCs w:val="21"/>
        </w:rPr>
        <w:t>2020</w:t>
      </w:r>
      <w:r w:rsidRPr="004F7BEE">
        <w:rPr>
          <w:rFonts w:ascii="Arial" w:hAnsi="Arial" w:cs="Arial"/>
          <w:sz w:val="21"/>
          <w:szCs w:val="21"/>
        </w:rPr>
        <w:t>年</w:t>
      </w:r>
      <w:r w:rsidRPr="004F7BEE">
        <w:rPr>
          <w:rFonts w:ascii="Arial" w:hAnsi="Arial" w:cs="Arial"/>
          <w:sz w:val="21"/>
          <w:szCs w:val="21"/>
        </w:rPr>
        <w:t>12</w:t>
      </w:r>
      <w:r w:rsidRPr="004F7BEE">
        <w:rPr>
          <w:rFonts w:ascii="Arial" w:hAnsi="Arial" w:cs="Arial"/>
          <w:sz w:val="21"/>
          <w:szCs w:val="21"/>
        </w:rPr>
        <w:t>月</w:t>
      </w:r>
      <w:r>
        <w:rPr>
          <w:rFonts w:ascii="Arial" w:hAnsi="Arial" w:cs="Arial" w:hint="eastAsia"/>
          <w:sz w:val="21"/>
          <w:szCs w:val="21"/>
        </w:rPr>
        <w:t>开盘，高层均价</w:t>
      </w:r>
      <w:r w:rsidRPr="00D60CF3">
        <w:rPr>
          <w:rFonts w:ascii="Arial" w:hAnsi="Arial" w:cs="Arial"/>
          <w:sz w:val="21"/>
          <w:szCs w:val="21"/>
        </w:rPr>
        <w:t>34000</w:t>
      </w:r>
      <w:r w:rsidRPr="005529FD">
        <w:rPr>
          <w:rFonts w:ascii="Arial" w:hAnsi="Arial" w:cs="Arial"/>
          <w:sz w:val="21"/>
          <w:szCs w:val="21"/>
        </w:rPr>
        <w:t>元</w:t>
      </w:r>
      <w:r w:rsidRPr="005529FD">
        <w:rPr>
          <w:rFonts w:ascii="Arial" w:hAnsi="Arial" w:cs="Arial"/>
          <w:sz w:val="21"/>
          <w:szCs w:val="21"/>
        </w:rPr>
        <w:t>/</w:t>
      </w:r>
      <w:r w:rsidRPr="005529FD">
        <w:rPr>
          <w:rFonts w:ascii="Arial" w:hAnsi="Arial" w:cs="Arial"/>
          <w:sz w:val="21"/>
          <w:szCs w:val="21"/>
        </w:rPr>
        <w:t>㎡</w:t>
      </w:r>
      <w:r>
        <w:rPr>
          <w:rFonts w:ascii="Arial" w:hAnsi="Arial" w:cs="Arial" w:hint="eastAsia"/>
          <w:sz w:val="21"/>
          <w:szCs w:val="21"/>
        </w:rPr>
        <w:t>，</w:t>
      </w:r>
      <w:r w:rsidRPr="004F7BEE">
        <w:rPr>
          <w:rFonts w:ascii="Arial" w:hAnsi="Arial" w:cs="Arial" w:hint="eastAsia"/>
          <w:sz w:val="21"/>
          <w:szCs w:val="21"/>
        </w:rPr>
        <w:t>累计推出</w:t>
      </w:r>
      <w:r w:rsidRPr="004F7BEE">
        <w:rPr>
          <w:rFonts w:ascii="Arial" w:hAnsi="Arial" w:cs="Arial"/>
          <w:sz w:val="21"/>
          <w:szCs w:val="21"/>
        </w:rPr>
        <w:t>372</w:t>
      </w:r>
      <w:r>
        <w:rPr>
          <w:rFonts w:ascii="Arial" w:hAnsi="Arial" w:cs="Arial"/>
          <w:sz w:val="21"/>
          <w:szCs w:val="21"/>
        </w:rPr>
        <w:t>套</w:t>
      </w:r>
      <w:r>
        <w:rPr>
          <w:rFonts w:ascii="Arial" w:hAnsi="Arial" w:cs="Arial" w:hint="eastAsia"/>
          <w:sz w:val="21"/>
          <w:szCs w:val="21"/>
        </w:rPr>
        <w:t>，</w:t>
      </w:r>
      <w:r w:rsidRPr="004F7BEE">
        <w:rPr>
          <w:rFonts w:ascii="Arial" w:hAnsi="Arial" w:cs="Arial"/>
          <w:sz w:val="21"/>
          <w:szCs w:val="21"/>
        </w:rPr>
        <w:t>累计销售</w:t>
      </w:r>
      <w:r w:rsidRPr="004F7BEE">
        <w:rPr>
          <w:rFonts w:ascii="Arial" w:hAnsi="Arial" w:cs="Arial"/>
          <w:sz w:val="21"/>
          <w:szCs w:val="21"/>
        </w:rPr>
        <w:t>311</w:t>
      </w:r>
      <w:r w:rsidRPr="004F7BEE">
        <w:rPr>
          <w:rFonts w:ascii="Arial" w:hAnsi="Arial" w:cs="Arial"/>
          <w:sz w:val="21"/>
          <w:szCs w:val="21"/>
        </w:rPr>
        <w:t>套；首开</w:t>
      </w:r>
      <w:r w:rsidRPr="004F7BEE">
        <w:rPr>
          <w:rFonts w:ascii="Arial" w:hAnsi="Arial" w:cs="Arial"/>
          <w:sz w:val="21"/>
          <w:szCs w:val="21"/>
        </w:rPr>
        <w:t>216</w:t>
      </w:r>
      <w:r w:rsidRPr="004F7BEE">
        <w:rPr>
          <w:rFonts w:ascii="Arial" w:hAnsi="Arial" w:cs="Arial"/>
          <w:sz w:val="21"/>
          <w:szCs w:val="21"/>
        </w:rPr>
        <w:t>套，</w:t>
      </w:r>
      <w:r w:rsidRPr="004F7BEE">
        <w:rPr>
          <w:rFonts w:ascii="Arial" w:hAnsi="Arial" w:cs="Arial"/>
          <w:sz w:val="21"/>
          <w:szCs w:val="21"/>
        </w:rPr>
        <w:t>3</w:t>
      </w:r>
      <w:r w:rsidRPr="004F7BEE">
        <w:rPr>
          <w:rFonts w:ascii="Arial" w:hAnsi="Arial" w:cs="Arial"/>
          <w:sz w:val="21"/>
          <w:szCs w:val="21"/>
        </w:rPr>
        <w:t>个月去化</w:t>
      </w:r>
      <w:r w:rsidRPr="004F7BEE">
        <w:rPr>
          <w:rFonts w:ascii="Arial" w:hAnsi="Arial" w:cs="Arial"/>
          <w:sz w:val="21"/>
          <w:szCs w:val="21"/>
        </w:rPr>
        <w:t>176</w:t>
      </w:r>
      <w:r w:rsidRPr="004F7BEE">
        <w:rPr>
          <w:rFonts w:ascii="Arial" w:hAnsi="Arial" w:cs="Arial"/>
          <w:sz w:val="21"/>
          <w:szCs w:val="21"/>
        </w:rPr>
        <w:t>套，去化达</w:t>
      </w:r>
      <w:r w:rsidRPr="004F7BEE">
        <w:rPr>
          <w:rFonts w:ascii="Arial" w:hAnsi="Arial" w:cs="Arial"/>
          <w:sz w:val="21"/>
          <w:szCs w:val="21"/>
        </w:rPr>
        <w:t>81.5%</w:t>
      </w:r>
      <w:r w:rsidRPr="004F7BEE">
        <w:rPr>
          <w:rFonts w:ascii="Arial" w:hAnsi="Arial" w:cs="Arial"/>
          <w:sz w:val="21"/>
          <w:szCs w:val="21"/>
        </w:rPr>
        <w:t>，月均去化</w:t>
      </w:r>
      <w:r w:rsidRPr="004F7BEE">
        <w:rPr>
          <w:rFonts w:ascii="Arial" w:hAnsi="Arial" w:cs="Arial"/>
          <w:sz w:val="21"/>
          <w:szCs w:val="21"/>
        </w:rPr>
        <w:t>59</w:t>
      </w:r>
      <w:r>
        <w:rPr>
          <w:rFonts w:ascii="Arial" w:hAnsi="Arial" w:cs="Arial"/>
          <w:sz w:val="21"/>
          <w:szCs w:val="21"/>
        </w:rPr>
        <w:t>套。今</w:t>
      </w:r>
      <w:r>
        <w:rPr>
          <w:rFonts w:ascii="Arial" w:hAnsi="Arial" w:cs="Arial" w:hint="eastAsia"/>
          <w:sz w:val="21"/>
          <w:szCs w:val="21"/>
        </w:rPr>
        <w:t>5</w:t>
      </w:r>
      <w:r>
        <w:rPr>
          <w:rFonts w:ascii="Arial" w:hAnsi="Arial" w:cs="Arial" w:hint="eastAsia"/>
          <w:sz w:val="21"/>
          <w:szCs w:val="21"/>
        </w:rPr>
        <w:t>月</w:t>
      </w:r>
      <w:r w:rsidRPr="004F7BEE">
        <w:rPr>
          <w:rFonts w:ascii="Arial" w:hAnsi="Arial" w:cs="Arial"/>
          <w:sz w:val="21"/>
          <w:szCs w:val="21"/>
        </w:rPr>
        <w:t>加推</w:t>
      </w:r>
      <w:r w:rsidRPr="004F7BEE">
        <w:rPr>
          <w:rFonts w:ascii="Arial" w:hAnsi="Arial" w:cs="Arial"/>
          <w:sz w:val="21"/>
          <w:szCs w:val="21"/>
        </w:rPr>
        <w:t>156</w:t>
      </w:r>
      <w:r w:rsidRPr="004F7BEE">
        <w:rPr>
          <w:rFonts w:ascii="Arial" w:hAnsi="Arial" w:cs="Arial"/>
          <w:sz w:val="21"/>
          <w:szCs w:val="21"/>
        </w:rPr>
        <w:t>套，</w:t>
      </w:r>
      <w:r w:rsidRPr="004F7BEE">
        <w:rPr>
          <w:rFonts w:ascii="Arial" w:hAnsi="Arial" w:cs="Arial"/>
          <w:sz w:val="21"/>
          <w:szCs w:val="21"/>
        </w:rPr>
        <w:t>6</w:t>
      </w:r>
      <w:r w:rsidRPr="004F7BEE">
        <w:rPr>
          <w:rFonts w:ascii="Arial" w:hAnsi="Arial" w:cs="Arial"/>
          <w:sz w:val="21"/>
          <w:szCs w:val="21"/>
        </w:rPr>
        <w:t>月集中签约</w:t>
      </w:r>
      <w:r w:rsidRPr="004F7BEE">
        <w:rPr>
          <w:rFonts w:ascii="Arial" w:hAnsi="Arial" w:cs="Arial"/>
          <w:sz w:val="21"/>
          <w:szCs w:val="21"/>
        </w:rPr>
        <w:t>125</w:t>
      </w:r>
      <w:r w:rsidRPr="004F7BEE">
        <w:rPr>
          <w:rFonts w:ascii="Arial" w:hAnsi="Arial" w:cs="Arial"/>
          <w:sz w:val="21"/>
          <w:szCs w:val="21"/>
        </w:rPr>
        <w:t>套。</w:t>
      </w:r>
    </w:p>
    <w:p w14:paraId="6CA7A80C" w14:textId="55057D54" w:rsidR="00C97EC8" w:rsidRDefault="00935557" w:rsidP="00935557">
      <w:pPr>
        <w:widowControl w:val="0"/>
        <w:adjustRightInd w:val="0"/>
        <w:snapToGrid w:val="0"/>
        <w:spacing w:line="480" w:lineRule="auto"/>
        <w:ind w:firstLineChars="200" w:firstLine="420"/>
        <w:rPr>
          <w:rFonts w:ascii="Arial" w:hAnsi="Arial" w:cs="Arial"/>
          <w:color w:val="000000"/>
          <w:sz w:val="21"/>
          <w:szCs w:val="21"/>
        </w:rPr>
      </w:pPr>
      <w:r w:rsidRPr="000F61C8">
        <w:rPr>
          <w:rFonts w:ascii="Arial" w:hAnsi="Arial" w:cs="Arial"/>
          <w:color w:val="000000"/>
          <w:sz w:val="21"/>
          <w:szCs w:val="21"/>
        </w:rPr>
        <w:t>项目周边</w:t>
      </w:r>
      <w:r w:rsidRPr="000F61C8">
        <w:rPr>
          <w:rFonts w:ascii="Arial" w:hAnsi="Arial" w:cs="Arial" w:hint="eastAsia"/>
          <w:color w:val="000000"/>
          <w:sz w:val="21"/>
          <w:szCs w:val="21"/>
        </w:rPr>
        <w:t>部分在售居住项目详情见</w:t>
      </w:r>
      <w:r>
        <w:rPr>
          <w:rFonts w:ascii="Arial" w:hAnsi="Arial" w:cs="Arial" w:hint="eastAsia"/>
          <w:color w:val="000000"/>
          <w:sz w:val="21"/>
          <w:szCs w:val="21"/>
        </w:rPr>
        <w:t>下图及下表：</w:t>
      </w:r>
    </w:p>
    <w:p w14:paraId="7C6F6C1C" w14:textId="11612DA9" w:rsidR="009E6721" w:rsidRPr="00E05368" w:rsidRDefault="00935557" w:rsidP="008342FE">
      <w:pPr>
        <w:jc w:val="center"/>
      </w:pPr>
      <w:r>
        <w:rPr>
          <w:noProof/>
        </w:rPr>
        <w:lastRenderedPageBreak/>
        <w:drawing>
          <wp:inline distT="0" distB="0" distL="0" distR="0" wp14:anchorId="5821681C" wp14:editId="2DA2D759">
            <wp:extent cx="5904230" cy="4190365"/>
            <wp:effectExtent l="0" t="0" r="1270" b="635"/>
            <wp:docPr id="2" name="图片 2" descr="C:\DOCUME~1\ADMINI~1\LOCALS~1\Temp\16232228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1\ADMINI~1\LOCALS~1\Temp\1623222823.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04230" cy="4190365"/>
                    </a:xfrm>
                    <a:prstGeom prst="rect">
                      <a:avLst/>
                    </a:prstGeom>
                    <a:noFill/>
                    <a:ln>
                      <a:noFill/>
                    </a:ln>
                  </pic:spPr>
                </pic:pic>
              </a:graphicData>
            </a:graphic>
          </wp:inline>
        </w:drawing>
      </w:r>
    </w:p>
    <w:p w14:paraId="4D5025CB" w14:textId="18C45DE7" w:rsidR="00B21766" w:rsidRPr="00E05368" w:rsidRDefault="00B21766" w:rsidP="00B21766">
      <w:pPr>
        <w:widowControl w:val="0"/>
        <w:adjustRightInd w:val="0"/>
        <w:snapToGrid w:val="0"/>
        <w:spacing w:line="360" w:lineRule="auto"/>
        <w:jc w:val="center"/>
        <w:rPr>
          <w:rFonts w:ascii="Arial" w:hAnsi="Arial" w:cs="Arial"/>
          <w:color w:val="000000"/>
          <w:sz w:val="21"/>
          <w:szCs w:val="21"/>
        </w:rPr>
      </w:pPr>
    </w:p>
    <w:p w14:paraId="16C6C4F9" w14:textId="77777777" w:rsidR="00B21766" w:rsidRPr="00E05368" w:rsidRDefault="00B21766" w:rsidP="00B21766">
      <w:pPr>
        <w:widowControl w:val="0"/>
        <w:adjustRightInd w:val="0"/>
        <w:snapToGrid w:val="0"/>
        <w:spacing w:line="480" w:lineRule="auto"/>
        <w:ind w:firstLineChars="200" w:firstLine="420"/>
        <w:jc w:val="both"/>
        <w:rPr>
          <w:rFonts w:ascii="Arial" w:hAnsi="Arial" w:cs="Arial"/>
          <w:color w:val="000000"/>
          <w:sz w:val="21"/>
          <w:szCs w:val="21"/>
        </w:rPr>
      </w:pPr>
    </w:p>
    <w:p w14:paraId="627F5155" w14:textId="77777777" w:rsidR="00B21766" w:rsidRPr="00E05368" w:rsidRDefault="00B21766" w:rsidP="00B21766">
      <w:pPr>
        <w:widowControl w:val="0"/>
        <w:adjustRightInd w:val="0"/>
        <w:snapToGrid w:val="0"/>
        <w:spacing w:line="480" w:lineRule="auto"/>
        <w:ind w:firstLineChars="200" w:firstLine="420"/>
        <w:jc w:val="both"/>
        <w:rPr>
          <w:rFonts w:ascii="Arial" w:hAnsi="Arial" w:cs="Arial"/>
          <w:color w:val="000000"/>
          <w:sz w:val="21"/>
          <w:szCs w:val="21"/>
        </w:rPr>
      </w:pPr>
    </w:p>
    <w:p w14:paraId="2B5E24AE" w14:textId="77777777" w:rsidR="00E03EB1" w:rsidRPr="00E05368" w:rsidRDefault="00E03EB1" w:rsidP="00E03EB1">
      <w:pPr>
        <w:widowControl w:val="0"/>
        <w:adjustRightInd w:val="0"/>
        <w:snapToGrid w:val="0"/>
        <w:spacing w:line="480" w:lineRule="auto"/>
        <w:ind w:firstLineChars="200" w:firstLine="420"/>
        <w:jc w:val="both"/>
        <w:rPr>
          <w:rFonts w:ascii="Arial" w:hAnsi="Arial" w:cs="Arial"/>
          <w:color w:val="000000"/>
          <w:sz w:val="21"/>
          <w:szCs w:val="21"/>
        </w:rPr>
        <w:sectPr w:rsidR="00E03EB1" w:rsidRPr="00E05368" w:rsidSect="00B21766">
          <w:headerReference w:type="even" r:id="rId60"/>
          <w:headerReference w:type="default" r:id="rId61"/>
          <w:headerReference w:type="first" r:id="rId62"/>
          <w:pgSz w:w="11906" w:h="16838" w:code="9"/>
          <w:pgMar w:top="1843" w:right="1304" w:bottom="1134" w:left="1304" w:header="1134" w:footer="907" w:gutter="0"/>
          <w:cols w:space="425"/>
          <w:titlePg/>
          <w:docGrid w:linePitch="312"/>
        </w:sectPr>
      </w:pPr>
    </w:p>
    <w:tbl>
      <w:tblPr>
        <w:tblW w:w="14629" w:type="dxa"/>
        <w:jc w:val="center"/>
        <w:tblCellMar>
          <w:top w:w="57" w:type="dxa"/>
          <w:left w:w="57" w:type="dxa"/>
          <w:bottom w:w="57" w:type="dxa"/>
          <w:right w:w="57" w:type="dxa"/>
        </w:tblCellMar>
        <w:tblLook w:val="04A0" w:firstRow="1" w:lastRow="0" w:firstColumn="1" w:lastColumn="0" w:noHBand="0" w:noVBand="1"/>
      </w:tblPr>
      <w:tblGrid>
        <w:gridCol w:w="482"/>
        <w:gridCol w:w="2312"/>
        <w:gridCol w:w="2394"/>
        <w:gridCol w:w="2432"/>
        <w:gridCol w:w="2462"/>
        <w:gridCol w:w="2259"/>
        <w:gridCol w:w="2288"/>
      </w:tblGrid>
      <w:tr w:rsidR="00152865" w:rsidRPr="00C253C2" w14:paraId="7534BB41" w14:textId="77777777" w:rsidTr="00193F01">
        <w:trPr>
          <w:cantSplit/>
          <w:trHeight w:val="283"/>
          <w:tblHeader/>
          <w:jc w:val="center"/>
        </w:trPr>
        <w:tc>
          <w:tcPr>
            <w:tcW w:w="562" w:type="dxa"/>
            <w:tcBorders>
              <w:top w:val="single" w:sz="12" w:space="0" w:color="auto"/>
              <w:bottom w:val="single" w:sz="12" w:space="0" w:color="auto"/>
            </w:tcBorders>
            <w:shd w:val="clear" w:color="000000" w:fill="963634"/>
            <w:vAlign w:val="center"/>
            <w:hideMark/>
          </w:tcPr>
          <w:p w14:paraId="4543EE92" w14:textId="77777777" w:rsidR="00935557" w:rsidRPr="00C253C2" w:rsidRDefault="00935557" w:rsidP="00193F01">
            <w:pPr>
              <w:rPr>
                <w:rFonts w:ascii="Arial" w:eastAsia="华文细黑" w:hAnsi="Arial" w:cs="Arial"/>
                <w:b/>
                <w:bCs/>
                <w:color w:val="FFFFFF" w:themeColor="background1"/>
                <w:sz w:val="15"/>
                <w:szCs w:val="15"/>
              </w:rPr>
            </w:pPr>
            <w:r w:rsidRPr="00C253C2">
              <w:rPr>
                <w:rFonts w:ascii="Arial" w:eastAsia="华文细黑" w:hAnsi="Arial" w:cs="Arial"/>
                <w:b/>
                <w:bCs/>
                <w:color w:val="FFFFFF" w:themeColor="background1"/>
                <w:sz w:val="15"/>
                <w:szCs w:val="15"/>
              </w:rPr>
              <w:lastRenderedPageBreak/>
              <w:t>项目名称</w:t>
            </w:r>
          </w:p>
        </w:tc>
        <w:tc>
          <w:tcPr>
            <w:tcW w:w="2315" w:type="dxa"/>
            <w:tcBorders>
              <w:top w:val="single" w:sz="12" w:space="0" w:color="auto"/>
              <w:bottom w:val="single" w:sz="12" w:space="0" w:color="auto"/>
            </w:tcBorders>
            <w:shd w:val="clear" w:color="000000" w:fill="963634"/>
            <w:vAlign w:val="center"/>
          </w:tcPr>
          <w:p w14:paraId="5A243EF7" w14:textId="77777777" w:rsidR="00935557" w:rsidRPr="00C253C2" w:rsidRDefault="00935557" w:rsidP="00193F01">
            <w:pPr>
              <w:jc w:val="both"/>
              <w:rPr>
                <w:rFonts w:ascii="Arial" w:eastAsia="华文细黑" w:hAnsi="Arial" w:cs="Arial"/>
                <w:b/>
                <w:bCs/>
                <w:color w:val="FFFFFF" w:themeColor="background1"/>
                <w:sz w:val="15"/>
                <w:szCs w:val="15"/>
              </w:rPr>
            </w:pPr>
            <w:r w:rsidRPr="00FB7EFF">
              <w:rPr>
                <w:rFonts w:ascii="Arial" w:eastAsia="华文细黑" w:hAnsi="Arial" w:cs="Arial" w:hint="eastAsia"/>
                <w:b/>
                <w:bCs/>
                <w:color w:val="FFFFFF" w:themeColor="background1"/>
                <w:sz w:val="15"/>
                <w:szCs w:val="15"/>
              </w:rPr>
              <w:t>宋都柏悦府</w:t>
            </w:r>
          </w:p>
        </w:tc>
        <w:tc>
          <w:tcPr>
            <w:tcW w:w="2343" w:type="dxa"/>
            <w:tcBorders>
              <w:top w:val="single" w:sz="12" w:space="0" w:color="auto"/>
              <w:bottom w:val="single" w:sz="12" w:space="0" w:color="auto"/>
            </w:tcBorders>
            <w:shd w:val="clear" w:color="000000" w:fill="963634"/>
            <w:vAlign w:val="center"/>
          </w:tcPr>
          <w:p w14:paraId="3B906119" w14:textId="77777777" w:rsidR="00935557" w:rsidRPr="00C253C2" w:rsidRDefault="00935557" w:rsidP="00193F01">
            <w:pPr>
              <w:jc w:val="both"/>
              <w:rPr>
                <w:rFonts w:ascii="Arial" w:eastAsia="华文细黑" w:hAnsi="Arial" w:cs="Arial"/>
                <w:b/>
                <w:bCs/>
                <w:color w:val="FFFFFF" w:themeColor="background1"/>
                <w:sz w:val="15"/>
                <w:szCs w:val="15"/>
              </w:rPr>
            </w:pPr>
            <w:r w:rsidRPr="00FB7EFF">
              <w:rPr>
                <w:rFonts w:ascii="Arial" w:eastAsia="华文细黑" w:hAnsi="Arial" w:cs="Arial"/>
                <w:b/>
                <w:bCs/>
                <w:color w:val="FFFFFF" w:themeColor="background1"/>
                <w:sz w:val="15"/>
                <w:szCs w:val="15"/>
              </w:rPr>
              <w:t>宝能</w:t>
            </w:r>
            <w:r w:rsidRPr="00FB7EFF">
              <w:rPr>
                <w:rFonts w:ascii="Arial" w:eastAsia="华文细黑" w:hAnsi="Arial" w:cs="Arial"/>
                <w:b/>
                <w:bCs/>
                <w:color w:val="FFFFFF" w:themeColor="background1"/>
                <w:sz w:val="15"/>
                <w:szCs w:val="15"/>
              </w:rPr>
              <w:t>·</w:t>
            </w:r>
            <w:proofErr w:type="gramStart"/>
            <w:r w:rsidRPr="00FB7EFF">
              <w:rPr>
                <w:rFonts w:ascii="Arial" w:eastAsia="华文细黑" w:hAnsi="Arial" w:cs="Arial"/>
                <w:b/>
                <w:bCs/>
                <w:color w:val="FFFFFF" w:themeColor="background1"/>
                <w:sz w:val="15"/>
                <w:szCs w:val="15"/>
              </w:rPr>
              <w:t>翡</w:t>
            </w:r>
            <w:proofErr w:type="gramEnd"/>
            <w:r w:rsidRPr="00FB7EFF">
              <w:rPr>
                <w:rFonts w:ascii="Arial" w:eastAsia="华文细黑" w:hAnsi="Arial" w:cs="Arial"/>
                <w:b/>
                <w:bCs/>
                <w:color w:val="FFFFFF" w:themeColor="background1"/>
                <w:sz w:val="15"/>
                <w:szCs w:val="15"/>
              </w:rPr>
              <w:t>丽河滨</w:t>
            </w:r>
          </w:p>
        </w:tc>
        <w:tc>
          <w:tcPr>
            <w:tcW w:w="2454" w:type="dxa"/>
            <w:tcBorders>
              <w:top w:val="single" w:sz="12" w:space="0" w:color="auto"/>
              <w:bottom w:val="single" w:sz="12" w:space="0" w:color="auto"/>
            </w:tcBorders>
            <w:shd w:val="clear" w:color="000000" w:fill="963634"/>
            <w:vAlign w:val="center"/>
          </w:tcPr>
          <w:p w14:paraId="2CE9CDFB" w14:textId="77777777" w:rsidR="00935557" w:rsidRPr="00C253C2" w:rsidRDefault="00935557" w:rsidP="00193F01">
            <w:pPr>
              <w:jc w:val="both"/>
              <w:rPr>
                <w:rFonts w:ascii="Arial" w:eastAsia="华文细黑" w:hAnsi="Arial" w:cs="Arial"/>
                <w:b/>
                <w:bCs/>
                <w:color w:val="FFFFFF" w:themeColor="background1"/>
                <w:sz w:val="15"/>
                <w:szCs w:val="15"/>
              </w:rPr>
            </w:pPr>
            <w:r w:rsidRPr="00FB7EFF">
              <w:rPr>
                <w:rFonts w:ascii="Arial" w:eastAsia="华文细黑" w:hAnsi="Arial" w:cs="Arial"/>
                <w:b/>
                <w:bCs/>
                <w:color w:val="FFFFFF" w:themeColor="background1"/>
                <w:sz w:val="15"/>
                <w:szCs w:val="15"/>
              </w:rPr>
              <w:t>电建地产</w:t>
            </w:r>
            <w:r w:rsidRPr="00FB7EFF">
              <w:rPr>
                <w:rFonts w:ascii="Arial" w:eastAsia="华文细黑" w:hAnsi="Arial" w:cs="Arial"/>
                <w:b/>
                <w:bCs/>
                <w:color w:val="FFFFFF" w:themeColor="background1"/>
                <w:sz w:val="15"/>
                <w:szCs w:val="15"/>
              </w:rPr>
              <w:t>·</w:t>
            </w:r>
            <w:proofErr w:type="gramStart"/>
            <w:r w:rsidRPr="00FB7EFF">
              <w:rPr>
                <w:rFonts w:ascii="Arial" w:eastAsia="华文细黑" w:hAnsi="Arial" w:cs="Arial"/>
                <w:b/>
                <w:bCs/>
                <w:color w:val="FFFFFF" w:themeColor="background1"/>
                <w:sz w:val="15"/>
                <w:szCs w:val="15"/>
              </w:rPr>
              <w:t>洺</w:t>
            </w:r>
            <w:proofErr w:type="gramEnd"/>
            <w:r w:rsidRPr="00FB7EFF">
              <w:rPr>
                <w:rFonts w:ascii="Arial" w:eastAsia="华文细黑" w:hAnsi="Arial" w:cs="Arial"/>
                <w:b/>
                <w:bCs/>
                <w:color w:val="FFFFFF" w:themeColor="background1"/>
                <w:sz w:val="15"/>
                <w:szCs w:val="15"/>
              </w:rPr>
              <w:t>悦华府</w:t>
            </w:r>
          </w:p>
        </w:tc>
        <w:tc>
          <w:tcPr>
            <w:tcW w:w="2364" w:type="dxa"/>
            <w:tcBorders>
              <w:top w:val="single" w:sz="12" w:space="0" w:color="auto"/>
              <w:bottom w:val="single" w:sz="12" w:space="0" w:color="auto"/>
            </w:tcBorders>
            <w:shd w:val="clear" w:color="000000" w:fill="963634"/>
            <w:vAlign w:val="center"/>
          </w:tcPr>
          <w:p w14:paraId="208FDE1E" w14:textId="77777777" w:rsidR="00935557" w:rsidRPr="00C253C2" w:rsidRDefault="00935557" w:rsidP="00193F01">
            <w:pPr>
              <w:jc w:val="both"/>
              <w:rPr>
                <w:rFonts w:ascii="Arial" w:eastAsia="华文细黑" w:hAnsi="Arial" w:cs="Arial"/>
                <w:b/>
                <w:bCs/>
                <w:color w:val="FFFFFF" w:themeColor="background1"/>
                <w:sz w:val="15"/>
                <w:szCs w:val="15"/>
              </w:rPr>
            </w:pPr>
            <w:proofErr w:type="gramStart"/>
            <w:r w:rsidRPr="00FB7EFF">
              <w:rPr>
                <w:rFonts w:ascii="Arial" w:eastAsia="华文细黑" w:hAnsi="Arial" w:cs="Arial"/>
                <w:b/>
                <w:bCs/>
                <w:color w:val="FFFFFF" w:themeColor="background1"/>
                <w:sz w:val="15"/>
                <w:szCs w:val="15"/>
              </w:rPr>
              <w:t>世</w:t>
            </w:r>
            <w:proofErr w:type="gramEnd"/>
            <w:r w:rsidRPr="00FB7EFF">
              <w:rPr>
                <w:rFonts w:ascii="Arial" w:eastAsia="华文细黑" w:hAnsi="Arial" w:cs="Arial"/>
                <w:b/>
                <w:bCs/>
                <w:color w:val="FFFFFF" w:themeColor="background1"/>
                <w:sz w:val="15"/>
                <w:szCs w:val="15"/>
              </w:rPr>
              <w:t>茂</w:t>
            </w:r>
            <w:r w:rsidRPr="00FB7EFF">
              <w:rPr>
                <w:rFonts w:ascii="Arial" w:eastAsia="华文细黑" w:hAnsi="Arial" w:cs="Arial"/>
                <w:b/>
                <w:bCs/>
                <w:color w:val="FFFFFF" w:themeColor="background1"/>
                <w:sz w:val="15"/>
                <w:szCs w:val="15"/>
              </w:rPr>
              <w:t>·</w:t>
            </w:r>
            <w:r w:rsidRPr="00FB7EFF">
              <w:rPr>
                <w:rFonts w:ascii="Arial" w:eastAsia="华文细黑" w:hAnsi="Arial" w:cs="Arial"/>
                <w:b/>
                <w:bCs/>
                <w:color w:val="FFFFFF" w:themeColor="background1"/>
                <w:sz w:val="15"/>
                <w:szCs w:val="15"/>
              </w:rPr>
              <w:t>璀璨</w:t>
            </w:r>
            <w:proofErr w:type="gramStart"/>
            <w:r w:rsidRPr="00FB7EFF">
              <w:rPr>
                <w:rFonts w:ascii="Arial" w:eastAsia="华文细黑" w:hAnsi="Arial" w:cs="Arial"/>
                <w:b/>
                <w:bCs/>
                <w:color w:val="FFFFFF" w:themeColor="background1"/>
                <w:sz w:val="15"/>
                <w:szCs w:val="15"/>
              </w:rPr>
              <w:t>睿</w:t>
            </w:r>
            <w:proofErr w:type="gramEnd"/>
            <w:r w:rsidRPr="00FB7EFF">
              <w:rPr>
                <w:rFonts w:ascii="Arial" w:eastAsia="华文细黑" w:hAnsi="Arial" w:cs="Arial"/>
                <w:b/>
                <w:bCs/>
                <w:color w:val="FFFFFF" w:themeColor="background1"/>
                <w:sz w:val="15"/>
                <w:szCs w:val="15"/>
              </w:rPr>
              <w:t>湾</w:t>
            </w:r>
          </w:p>
        </w:tc>
        <w:tc>
          <w:tcPr>
            <w:tcW w:w="2287" w:type="dxa"/>
            <w:tcBorders>
              <w:top w:val="single" w:sz="12" w:space="0" w:color="auto"/>
              <w:bottom w:val="single" w:sz="12" w:space="0" w:color="auto"/>
            </w:tcBorders>
            <w:shd w:val="clear" w:color="000000" w:fill="963634"/>
            <w:vAlign w:val="center"/>
          </w:tcPr>
          <w:p w14:paraId="4A48E6C3" w14:textId="77777777" w:rsidR="00935557" w:rsidRPr="00C253C2" w:rsidRDefault="00935557" w:rsidP="00193F01">
            <w:pPr>
              <w:jc w:val="both"/>
              <w:rPr>
                <w:rFonts w:ascii="Arial" w:eastAsia="华文细黑" w:hAnsi="Arial" w:cs="Arial"/>
                <w:b/>
                <w:bCs/>
                <w:color w:val="FFFFFF" w:themeColor="background1"/>
                <w:sz w:val="15"/>
                <w:szCs w:val="15"/>
              </w:rPr>
            </w:pPr>
            <w:r w:rsidRPr="00FB7EFF">
              <w:rPr>
                <w:rFonts w:ascii="Arial" w:eastAsia="华文细黑" w:hAnsi="Arial" w:cs="Arial"/>
                <w:b/>
                <w:bCs/>
                <w:color w:val="FFFFFF" w:themeColor="background1"/>
                <w:sz w:val="15"/>
                <w:szCs w:val="15"/>
              </w:rPr>
              <w:t>锦绣云</w:t>
            </w:r>
            <w:proofErr w:type="gramStart"/>
            <w:r w:rsidRPr="00FB7EFF">
              <w:rPr>
                <w:rFonts w:ascii="Arial" w:eastAsia="华文细黑" w:hAnsi="Arial" w:cs="Arial"/>
                <w:b/>
                <w:bCs/>
                <w:color w:val="FFFFFF" w:themeColor="background1"/>
                <w:sz w:val="15"/>
                <w:szCs w:val="15"/>
              </w:rPr>
              <w:t>麓</w:t>
            </w:r>
            <w:proofErr w:type="gramEnd"/>
          </w:p>
        </w:tc>
        <w:tc>
          <w:tcPr>
            <w:tcW w:w="2304" w:type="dxa"/>
            <w:tcBorders>
              <w:top w:val="single" w:sz="12" w:space="0" w:color="auto"/>
              <w:bottom w:val="single" w:sz="12" w:space="0" w:color="auto"/>
            </w:tcBorders>
            <w:shd w:val="clear" w:color="000000" w:fill="963634"/>
            <w:vAlign w:val="center"/>
          </w:tcPr>
          <w:p w14:paraId="69C993B7" w14:textId="77777777" w:rsidR="00935557" w:rsidRPr="00C253C2" w:rsidRDefault="00935557" w:rsidP="00193F01">
            <w:pPr>
              <w:ind w:firstLineChars="50" w:firstLine="75"/>
              <w:jc w:val="both"/>
              <w:rPr>
                <w:rFonts w:ascii="Arial" w:eastAsia="华文细黑" w:hAnsi="Arial" w:cs="Arial"/>
                <w:b/>
                <w:bCs/>
                <w:color w:val="FFFFFF" w:themeColor="background1"/>
                <w:sz w:val="15"/>
                <w:szCs w:val="15"/>
              </w:rPr>
            </w:pPr>
            <w:proofErr w:type="gramStart"/>
            <w:r w:rsidRPr="00FB7EFF">
              <w:rPr>
                <w:rFonts w:ascii="Arial" w:eastAsia="华文细黑" w:hAnsi="Arial" w:cs="Arial"/>
                <w:b/>
                <w:bCs/>
                <w:color w:val="FFFFFF" w:themeColor="background1"/>
                <w:sz w:val="15"/>
                <w:szCs w:val="15"/>
              </w:rPr>
              <w:t>彰泰观南</w:t>
            </w:r>
            <w:proofErr w:type="gramEnd"/>
            <w:r w:rsidRPr="00FB7EFF">
              <w:rPr>
                <w:rFonts w:ascii="Arial" w:eastAsia="华文细黑" w:hAnsi="Arial" w:cs="Arial"/>
                <w:b/>
                <w:bCs/>
                <w:color w:val="FFFFFF" w:themeColor="background1"/>
                <w:sz w:val="15"/>
                <w:szCs w:val="15"/>
              </w:rPr>
              <w:t>府</w:t>
            </w:r>
          </w:p>
        </w:tc>
      </w:tr>
      <w:tr w:rsidR="00152865" w:rsidRPr="00C253C2" w14:paraId="6C4C31BF" w14:textId="77777777" w:rsidTr="00193F01">
        <w:trPr>
          <w:cantSplit/>
          <w:trHeight w:val="283"/>
          <w:jc w:val="center"/>
        </w:trPr>
        <w:tc>
          <w:tcPr>
            <w:tcW w:w="562" w:type="dxa"/>
            <w:shd w:val="clear" w:color="000000" w:fill="963634"/>
            <w:vAlign w:val="center"/>
            <w:hideMark/>
          </w:tcPr>
          <w:p w14:paraId="03009C69" w14:textId="77777777" w:rsidR="00935557" w:rsidRPr="00C253C2" w:rsidRDefault="00935557" w:rsidP="00193F01">
            <w:pPr>
              <w:jc w:val="center"/>
              <w:rPr>
                <w:rFonts w:ascii="Arial" w:eastAsia="华文细黑" w:hAnsi="Arial" w:cs="Arial"/>
                <w:b/>
                <w:bCs/>
                <w:sz w:val="15"/>
                <w:szCs w:val="15"/>
              </w:rPr>
            </w:pPr>
          </w:p>
        </w:tc>
        <w:tc>
          <w:tcPr>
            <w:tcW w:w="2315" w:type="dxa"/>
            <w:shd w:val="clear" w:color="auto" w:fill="auto"/>
            <w:vAlign w:val="center"/>
          </w:tcPr>
          <w:p w14:paraId="497D1BEB" w14:textId="64DC854A" w:rsidR="00935557" w:rsidRPr="00C253C2" w:rsidRDefault="00152865" w:rsidP="00193F01">
            <w:pPr>
              <w:jc w:val="center"/>
              <w:rPr>
                <w:rFonts w:ascii="Arial" w:eastAsia="华文细黑" w:hAnsi="Arial" w:cs="Arial"/>
                <w:sz w:val="15"/>
                <w:szCs w:val="15"/>
              </w:rPr>
            </w:pPr>
            <w:r>
              <w:rPr>
                <w:noProof/>
              </w:rPr>
              <w:drawing>
                <wp:inline distT="0" distB="0" distL="0" distR="0" wp14:anchorId="7AF25487" wp14:editId="105C7731">
                  <wp:extent cx="1382265" cy="1028700"/>
                  <wp:effectExtent l="0" t="0" r="889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1378665" cy="1026021"/>
                          </a:xfrm>
                          <a:prstGeom prst="rect">
                            <a:avLst/>
                          </a:prstGeom>
                        </pic:spPr>
                      </pic:pic>
                    </a:graphicData>
                  </a:graphic>
                </wp:inline>
              </w:drawing>
            </w:r>
          </w:p>
        </w:tc>
        <w:tc>
          <w:tcPr>
            <w:tcW w:w="2343" w:type="dxa"/>
            <w:shd w:val="clear" w:color="auto" w:fill="auto"/>
            <w:vAlign w:val="center"/>
          </w:tcPr>
          <w:p w14:paraId="5FA4F3EB" w14:textId="2BF9D4D3" w:rsidR="00935557" w:rsidRPr="00C253C2" w:rsidRDefault="00152865" w:rsidP="00193F01">
            <w:pPr>
              <w:jc w:val="center"/>
              <w:rPr>
                <w:rFonts w:ascii="Arial" w:eastAsia="华文细黑" w:hAnsi="Arial" w:cs="Arial"/>
                <w:sz w:val="15"/>
                <w:szCs w:val="15"/>
              </w:rPr>
            </w:pPr>
            <w:r>
              <w:rPr>
                <w:noProof/>
              </w:rPr>
              <w:drawing>
                <wp:inline distT="0" distB="0" distL="0" distR="0" wp14:anchorId="2A667D05" wp14:editId="22AE835A">
                  <wp:extent cx="1440847" cy="1070462"/>
                  <wp:effectExtent l="0" t="0" r="6985"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1446554" cy="1074702"/>
                          </a:xfrm>
                          <a:prstGeom prst="rect">
                            <a:avLst/>
                          </a:prstGeom>
                        </pic:spPr>
                      </pic:pic>
                    </a:graphicData>
                  </a:graphic>
                </wp:inline>
              </w:drawing>
            </w:r>
          </w:p>
        </w:tc>
        <w:tc>
          <w:tcPr>
            <w:tcW w:w="2454" w:type="dxa"/>
            <w:shd w:val="clear" w:color="auto" w:fill="auto"/>
            <w:vAlign w:val="center"/>
          </w:tcPr>
          <w:p w14:paraId="562E5E47" w14:textId="72BBF7E4" w:rsidR="00935557" w:rsidRPr="00C253C2" w:rsidRDefault="00152865" w:rsidP="00193F01">
            <w:pPr>
              <w:jc w:val="center"/>
              <w:rPr>
                <w:rFonts w:ascii="Arial" w:eastAsia="华文细黑" w:hAnsi="Arial" w:cs="Arial"/>
                <w:sz w:val="15"/>
                <w:szCs w:val="15"/>
              </w:rPr>
            </w:pPr>
            <w:r>
              <w:rPr>
                <w:noProof/>
              </w:rPr>
              <w:drawing>
                <wp:inline distT="0" distB="0" distL="0" distR="0" wp14:anchorId="3021EC53" wp14:editId="5C6A8AB7">
                  <wp:extent cx="1435074" cy="1074147"/>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1445487" cy="1081941"/>
                          </a:xfrm>
                          <a:prstGeom prst="rect">
                            <a:avLst/>
                          </a:prstGeom>
                        </pic:spPr>
                      </pic:pic>
                    </a:graphicData>
                  </a:graphic>
                </wp:inline>
              </w:drawing>
            </w:r>
          </w:p>
        </w:tc>
        <w:tc>
          <w:tcPr>
            <w:tcW w:w="2364" w:type="dxa"/>
            <w:vAlign w:val="center"/>
          </w:tcPr>
          <w:p w14:paraId="4BE3B6D0" w14:textId="31759157" w:rsidR="00935557" w:rsidRPr="00C253C2" w:rsidRDefault="00152865" w:rsidP="00193F01">
            <w:pPr>
              <w:jc w:val="center"/>
              <w:rPr>
                <w:rFonts w:ascii="Arial" w:eastAsia="华文细黑" w:hAnsi="Arial" w:cs="Arial"/>
                <w:sz w:val="15"/>
                <w:szCs w:val="15"/>
              </w:rPr>
            </w:pPr>
            <w:r>
              <w:rPr>
                <w:noProof/>
              </w:rPr>
              <w:drawing>
                <wp:inline distT="0" distB="0" distL="0" distR="0" wp14:anchorId="06559099" wp14:editId="3ADB1747">
                  <wp:extent cx="1491335" cy="110711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1495789" cy="1110416"/>
                          </a:xfrm>
                          <a:prstGeom prst="rect">
                            <a:avLst/>
                          </a:prstGeom>
                        </pic:spPr>
                      </pic:pic>
                    </a:graphicData>
                  </a:graphic>
                </wp:inline>
              </w:drawing>
            </w:r>
          </w:p>
        </w:tc>
        <w:tc>
          <w:tcPr>
            <w:tcW w:w="2287" w:type="dxa"/>
            <w:vAlign w:val="center"/>
          </w:tcPr>
          <w:p w14:paraId="79E92E6A" w14:textId="408C0C05" w:rsidR="00935557" w:rsidRPr="00C253C2" w:rsidRDefault="00152865" w:rsidP="00193F01">
            <w:pPr>
              <w:jc w:val="center"/>
              <w:rPr>
                <w:rFonts w:ascii="Arial" w:eastAsia="华文细黑" w:hAnsi="Arial" w:cs="Arial"/>
                <w:sz w:val="15"/>
                <w:szCs w:val="15"/>
              </w:rPr>
            </w:pPr>
            <w:r>
              <w:rPr>
                <w:noProof/>
              </w:rPr>
              <w:drawing>
                <wp:inline distT="0" distB="0" distL="0" distR="0" wp14:anchorId="57B5EC70" wp14:editId="5BA446D1">
                  <wp:extent cx="1314450" cy="1057275"/>
                  <wp:effectExtent l="0" t="0" r="0" b="9525"/>
                  <wp:docPr id="5154" name="图片 5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1322446" cy="1063707"/>
                          </a:xfrm>
                          <a:prstGeom prst="rect">
                            <a:avLst/>
                          </a:prstGeom>
                        </pic:spPr>
                      </pic:pic>
                    </a:graphicData>
                  </a:graphic>
                </wp:inline>
              </w:drawing>
            </w:r>
          </w:p>
        </w:tc>
        <w:tc>
          <w:tcPr>
            <w:tcW w:w="2304" w:type="dxa"/>
            <w:vAlign w:val="center"/>
          </w:tcPr>
          <w:p w14:paraId="01A68515" w14:textId="4A1FE1AA" w:rsidR="00935557" w:rsidRPr="00C253C2" w:rsidRDefault="00152865" w:rsidP="00193F01">
            <w:pPr>
              <w:jc w:val="center"/>
              <w:rPr>
                <w:rFonts w:ascii="Arial" w:eastAsia="华文细黑" w:hAnsi="Arial" w:cs="Arial"/>
                <w:sz w:val="15"/>
                <w:szCs w:val="15"/>
              </w:rPr>
            </w:pPr>
            <w:r>
              <w:rPr>
                <w:noProof/>
              </w:rPr>
              <w:drawing>
                <wp:inline distT="0" distB="0" distL="0" distR="0" wp14:anchorId="442115B1" wp14:editId="769B651C">
                  <wp:extent cx="1351191" cy="1076325"/>
                  <wp:effectExtent l="0" t="0" r="1905" b="0"/>
                  <wp:docPr id="5158" name="图片 5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1351984" cy="1076957"/>
                          </a:xfrm>
                          <a:prstGeom prst="rect">
                            <a:avLst/>
                          </a:prstGeom>
                        </pic:spPr>
                      </pic:pic>
                    </a:graphicData>
                  </a:graphic>
                </wp:inline>
              </w:drawing>
            </w:r>
          </w:p>
        </w:tc>
      </w:tr>
      <w:tr w:rsidR="00152865" w:rsidRPr="00C253C2" w14:paraId="78CCA6DD" w14:textId="77777777" w:rsidTr="00193F01">
        <w:trPr>
          <w:cantSplit/>
          <w:trHeight w:val="283"/>
          <w:jc w:val="center"/>
        </w:trPr>
        <w:tc>
          <w:tcPr>
            <w:tcW w:w="562" w:type="dxa"/>
            <w:tcBorders>
              <w:top w:val="single" w:sz="4" w:space="0" w:color="auto"/>
            </w:tcBorders>
            <w:shd w:val="clear" w:color="000000" w:fill="C0C0C0"/>
            <w:vAlign w:val="center"/>
            <w:hideMark/>
          </w:tcPr>
          <w:p w14:paraId="421D524A" w14:textId="77777777" w:rsidR="00935557" w:rsidRPr="00C253C2" w:rsidRDefault="00935557" w:rsidP="00193F01">
            <w:pPr>
              <w:rPr>
                <w:rFonts w:ascii="Arial" w:eastAsia="华文细黑" w:hAnsi="Arial" w:cs="Arial"/>
                <w:b/>
                <w:bCs/>
                <w:sz w:val="15"/>
                <w:szCs w:val="15"/>
              </w:rPr>
            </w:pPr>
            <w:r w:rsidRPr="00C253C2">
              <w:rPr>
                <w:rFonts w:ascii="Arial" w:eastAsia="华文细黑" w:hAnsi="Arial" w:cs="Arial"/>
                <w:b/>
                <w:bCs/>
                <w:sz w:val="15"/>
                <w:szCs w:val="15"/>
              </w:rPr>
              <w:t>与本项目直线距离</w:t>
            </w:r>
          </w:p>
        </w:tc>
        <w:tc>
          <w:tcPr>
            <w:tcW w:w="2315" w:type="dxa"/>
            <w:tcBorders>
              <w:top w:val="single" w:sz="4" w:space="0" w:color="auto"/>
            </w:tcBorders>
            <w:shd w:val="clear" w:color="auto" w:fill="auto"/>
            <w:vAlign w:val="center"/>
          </w:tcPr>
          <w:p w14:paraId="79EAC775" w14:textId="77777777" w:rsidR="00935557" w:rsidRPr="001F4EE7" w:rsidRDefault="00935557" w:rsidP="00193F01">
            <w:pPr>
              <w:jc w:val="both"/>
              <w:rPr>
                <w:rFonts w:ascii="Arial" w:eastAsia="华文细黑" w:hAnsi="Arial" w:cs="Arial"/>
                <w:sz w:val="15"/>
                <w:szCs w:val="15"/>
                <w:highlight w:val="yellow"/>
              </w:rPr>
            </w:pPr>
            <w:r>
              <w:rPr>
                <w:rFonts w:ascii="Arial" w:eastAsia="华文细黑" w:hAnsi="Arial" w:cs="Arial" w:hint="eastAsia"/>
                <w:sz w:val="15"/>
                <w:szCs w:val="15"/>
              </w:rPr>
              <w:t>0.85</w:t>
            </w:r>
            <w:r>
              <w:rPr>
                <w:rFonts w:ascii="Arial" w:eastAsia="华文细黑" w:hAnsi="Arial" w:cs="Arial" w:hint="eastAsia"/>
                <w:sz w:val="15"/>
                <w:szCs w:val="15"/>
              </w:rPr>
              <w:t>公里</w:t>
            </w:r>
          </w:p>
        </w:tc>
        <w:tc>
          <w:tcPr>
            <w:tcW w:w="2343" w:type="dxa"/>
            <w:tcBorders>
              <w:top w:val="single" w:sz="4" w:space="0" w:color="auto"/>
            </w:tcBorders>
            <w:shd w:val="clear" w:color="auto" w:fill="auto"/>
            <w:vAlign w:val="center"/>
          </w:tcPr>
          <w:p w14:paraId="3EF2C6E5" w14:textId="77777777" w:rsidR="00935557" w:rsidRPr="001F4EE7" w:rsidRDefault="00935557" w:rsidP="00193F01">
            <w:pPr>
              <w:jc w:val="both"/>
              <w:rPr>
                <w:rFonts w:ascii="Arial" w:eastAsia="华文细黑" w:hAnsi="Arial" w:cs="Arial"/>
                <w:sz w:val="15"/>
                <w:szCs w:val="15"/>
                <w:highlight w:val="yellow"/>
              </w:rPr>
            </w:pPr>
            <w:r>
              <w:rPr>
                <w:rFonts w:ascii="Arial" w:eastAsia="华文细黑" w:hAnsi="Arial" w:cs="Arial" w:hint="eastAsia"/>
                <w:sz w:val="15"/>
                <w:szCs w:val="15"/>
              </w:rPr>
              <w:t>1</w:t>
            </w:r>
            <w:r>
              <w:rPr>
                <w:rFonts w:ascii="Arial" w:eastAsia="华文细黑" w:hAnsi="Arial" w:cs="Arial" w:hint="eastAsia"/>
                <w:sz w:val="15"/>
                <w:szCs w:val="15"/>
              </w:rPr>
              <w:t>公里</w:t>
            </w:r>
          </w:p>
        </w:tc>
        <w:tc>
          <w:tcPr>
            <w:tcW w:w="2454" w:type="dxa"/>
            <w:tcBorders>
              <w:top w:val="single" w:sz="4" w:space="0" w:color="auto"/>
            </w:tcBorders>
            <w:shd w:val="clear" w:color="auto" w:fill="auto"/>
            <w:vAlign w:val="center"/>
          </w:tcPr>
          <w:p w14:paraId="02C50E8B" w14:textId="77777777" w:rsidR="00935557" w:rsidRPr="001F4EE7" w:rsidRDefault="00935557" w:rsidP="00193F01">
            <w:pPr>
              <w:jc w:val="both"/>
              <w:rPr>
                <w:rFonts w:ascii="Arial" w:eastAsia="华文细黑" w:hAnsi="Arial" w:cs="Arial"/>
                <w:sz w:val="15"/>
                <w:szCs w:val="15"/>
                <w:highlight w:val="yellow"/>
              </w:rPr>
            </w:pPr>
            <w:r>
              <w:rPr>
                <w:rFonts w:ascii="Arial" w:eastAsia="华文细黑" w:hAnsi="Arial" w:cs="Arial" w:hint="eastAsia"/>
                <w:sz w:val="15"/>
                <w:szCs w:val="15"/>
              </w:rPr>
              <w:t>3.9</w:t>
            </w:r>
            <w:r>
              <w:rPr>
                <w:rFonts w:ascii="Arial" w:eastAsia="华文细黑" w:hAnsi="Arial" w:cs="Arial" w:hint="eastAsia"/>
                <w:sz w:val="15"/>
                <w:szCs w:val="15"/>
              </w:rPr>
              <w:t>公里</w:t>
            </w:r>
          </w:p>
        </w:tc>
        <w:tc>
          <w:tcPr>
            <w:tcW w:w="2364" w:type="dxa"/>
            <w:tcBorders>
              <w:top w:val="single" w:sz="4" w:space="0" w:color="auto"/>
            </w:tcBorders>
            <w:vAlign w:val="center"/>
          </w:tcPr>
          <w:p w14:paraId="5CCBABAF" w14:textId="77777777" w:rsidR="00935557" w:rsidRPr="00C253C2" w:rsidRDefault="00935557" w:rsidP="00193F01">
            <w:pPr>
              <w:jc w:val="both"/>
              <w:rPr>
                <w:rFonts w:ascii="Arial" w:eastAsia="华文细黑" w:hAnsi="Arial" w:cs="Arial"/>
                <w:sz w:val="15"/>
                <w:szCs w:val="15"/>
              </w:rPr>
            </w:pPr>
            <w:r>
              <w:rPr>
                <w:rFonts w:ascii="Arial" w:eastAsia="华文细黑" w:hAnsi="Arial" w:cs="Arial" w:hint="eastAsia"/>
                <w:sz w:val="15"/>
                <w:szCs w:val="15"/>
              </w:rPr>
              <w:t>4.1</w:t>
            </w:r>
            <w:r w:rsidRPr="00C233EB">
              <w:rPr>
                <w:rFonts w:ascii="Arial" w:eastAsia="华文细黑" w:hAnsi="Arial" w:cs="Arial" w:hint="eastAsia"/>
                <w:sz w:val="15"/>
                <w:szCs w:val="15"/>
              </w:rPr>
              <w:t>公里</w:t>
            </w:r>
          </w:p>
        </w:tc>
        <w:tc>
          <w:tcPr>
            <w:tcW w:w="2287" w:type="dxa"/>
            <w:tcBorders>
              <w:top w:val="single" w:sz="4" w:space="0" w:color="auto"/>
            </w:tcBorders>
            <w:vAlign w:val="center"/>
          </w:tcPr>
          <w:p w14:paraId="0C863378" w14:textId="77777777" w:rsidR="00935557" w:rsidRPr="00C253C2" w:rsidRDefault="00935557" w:rsidP="00193F01">
            <w:pPr>
              <w:jc w:val="both"/>
              <w:rPr>
                <w:rFonts w:ascii="Arial" w:eastAsia="华文细黑" w:hAnsi="Arial" w:cs="Arial"/>
                <w:sz w:val="15"/>
                <w:szCs w:val="15"/>
              </w:rPr>
            </w:pPr>
            <w:r>
              <w:rPr>
                <w:rFonts w:ascii="Arial" w:eastAsia="华文细黑" w:hAnsi="Arial" w:cs="Arial" w:hint="eastAsia"/>
                <w:sz w:val="15"/>
                <w:szCs w:val="15"/>
              </w:rPr>
              <w:t>3.5</w:t>
            </w:r>
            <w:r>
              <w:rPr>
                <w:rFonts w:ascii="Arial" w:eastAsia="华文细黑" w:hAnsi="Arial" w:cs="Arial" w:hint="eastAsia"/>
                <w:sz w:val="15"/>
                <w:szCs w:val="15"/>
              </w:rPr>
              <w:t>公里</w:t>
            </w:r>
          </w:p>
        </w:tc>
        <w:tc>
          <w:tcPr>
            <w:tcW w:w="2304" w:type="dxa"/>
            <w:tcBorders>
              <w:top w:val="single" w:sz="4" w:space="0" w:color="auto"/>
            </w:tcBorders>
            <w:vAlign w:val="center"/>
          </w:tcPr>
          <w:p w14:paraId="13713360" w14:textId="77777777" w:rsidR="00935557" w:rsidRPr="00C253C2" w:rsidRDefault="00935557" w:rsidP="00193F01">
            <w:pPr>
              <w:jc w:val="both"/>
              <w:rPr>
                <w:rFonts w:ascii="Arial" w:eastAsia="华文细黑" w:hAnsi="Arial" w:cs="Arial"/>
                <w:sz w:val="15"/>
                <w:szCs w:val="15"/>
              </w:rPr>
            </w:pPr>
            <w:r>
              <w:rPr>
                <w:rFonts w:ascii="Arial" w:eastAsia="华文细黑" w:hAnsi="Arial" w:cs="Arial" w:hint="eastAsia"/>
                <w:sz w:val="15"/>
                <w:szCs w:val="15"/>
              </w:rPr>
              <w:t>7</w:t>
            </w:r>
            <w:r>
              <w:rPr>
                <w:rFonts w:ascii="Arial" w:eastAsia="华文细黑" w:hAnsi="Arial" w:cs="Arial" w:hint="eastAsia"/>
                <w:sz w:val="15"/>
                <w:szCs w:val="15"/>
              </w:rPr>
              <w:t>公里</w:t>
            </w:r>
          </w:p>
        </w:tc>
      </w:tr>
      <w:tr w:rsidR="00152865" w:rsidRPr="00C253C2" w14:paraId="36F26A81" w14:textId="77777777" w:rsidTr="00193F01">
        <w:trPr>
          <w:cantSplit/>
          <w:trHeight w:val="283"/>
          <w:jc w:val="center"/>
        </w:trPr>
        <w:tc>
          <w:tcPr>
            <w:tcW w:w="562" w:type="dxa"/>
            <w:shd w:val="clear" w:color="000000" w:fill="C0C0C0"/>
            <w:vAlign w:val="center"/>
            <w:hideMark/>
          </w:tcPr>
          <w:p w14:paraId="5E2A66F1" w14:textId="77777777" w:rsidR="00935557" w:rsidRPr="00C253C2" w:rsidRDefault="00935557" w:rsidP="00193F01">
            <w:pPr>
              <w:rPr>
                <w:rFonts w:ascii="Arial" w:eastAsia="华文细黑" w:hAnsi="Arial" w:cs="Arial"/>
                <w:b/>
                <w:bCs/>
                <w:sz w:val="15"/>
                <w:szCs w:val="15"/>
              </w:rPr>
            </w:pPr>
            <w:r w:rsidRPr="00C253C2">
              <w:rPr>
                <w:rFonts w:ascii="Arial" w:eastAsia="华文细黑" w:hAnsi="Arial" w:cs="Arial"/>
                <w:b/>
                <w:bCs/>
                <w:sz w:val="15"/>
                <w:szCs w:val="15"/>
              </w:rPr>
              <w:t>开发商</w:t>
            </w:r>
          </w:p>
        </w:tc>
        <w:tc>
          <w:tcPr>
            <w:tcW w:w="2315" w:type="dxa"/>
            <w:shd w:val="clear" w:color="auto" w:fill="auto"/>
            <w:vAlign w:val="center"/>
          </w:tcPr>
          <w:p w14:paraId="1BBC12BB"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hint="eastAsia"/>
                <w:sz w:val="15"/>
                <w:szCs w:val="15"/>
              </w:rPr>
              <w:t>南京恒都房地产开发有限公司</w:t>
            </w:r>
          </w:p>
        </w:tc>
        <w:tc>
          <w:tcPr>
            <w:tcW w:w="2343" w:type="dxa"/>
            <w:shd w:val="clear" w:color="auto" w:fill="auto"/>
            <w:vAlign w:val="center"/>
          </w:tcPr>
          <w:p w14:paraId="192747FC"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南京宝能置业有限公司</w:t>
            </w:r>
          </w:p>
        </w:tc>
        <w:tc>
          <w:tcPr>
            <w:tcW w:w="2454" w:type="dxa"/>
            <w:shd w:val="clear" w:color="auto" w:fill="auto"/>
            <w:vAlign w:val="center"/>
          </w:tcPr>
          <w:p w14:paraId="13013CEE"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中国电建地产集团有限公司</w:t>
            </w:r>
          </w:p>
        </w:tc>
        <w:tc>
          <w:tcPr>
            <w:tcW w:w="2364" w:type="dxa"/>
            <w:vAlign w:val="center"/>
          </w:tcPr>
          <w:p w14:paraId="318B3AA6"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南京世耀置业有限公司</w:t>
            </w:r>
          </w:p>
        </w:tc>
        <w:tc>
          <w:tcPr>
            <w:tcW w:w="2287" w:type="dxa"/>
            <w:vAlign w:val="center"/>
          </w:tcPr>
          <w:p w14:paraId="4555B105"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南京海乾房地产开发有限公司（华宇</w:t>
            </w:r>
            <w:r w:rsidRPr="00FB7EFF">
              <w:rPr>
                <w:rFonts w:ascii="Arial" w:eastAsia="华文细黑" w:hAnsi="Arial" w:cs="Arial"/>
                <w:sz w:val="15"/>
                <w:szCs w:val="15"/>
              </w:rPr>
              <w:t>/</w:t>
            </w:r>
            <w:r w:rsidRPr="00FB7EFF">
              <w:rPr>
                <w:rFonts w:ascii="Arial" w:eastAsia="华文细黑" w:hAnsi="Arial" w:cs="Arial"/>
                <w:sz w:val="15"/>
                <w:szCs w:val="15"/>
              </w:rPr>
              <w:t>海伦堡</w:t>
            </w:r>
            <w:r w:rsidRPr="00FB7EFF">
              <w:rPr>
                <w:rFonts w:ascii="Arial" w:eastAsia="华文细黑" w:hAnsi="Arial" w:cs="Arial"/>
                <w:sz w:val="15"/>
                <w:szCs w:val="15"/>
              </w:rPr>
              <w:t>/</w:t>
            </w:r>
            <w:proofErr w:type="gramStart"/>
            <w:r w:rsidRPr="00FB7EFF">
              <w:rPr>
                <w:rFonts w:ascii="Arial" w:eastAsia="华文细黑" w:hAnsi="Arial" w:cs="Arial"/>
                <w:sz w:val="15"/>
                <w:szCs w:val="15"/>
              </w:rPr>
              <w:t>世</w:t>
            </w:r>
            <w:proofErr w:type="gramEnd"/>
            <w:r w:rsidRPr="00FB7EFF">
              <w:rPr>
                <w:rFonts w:ascii="Arial" w:eastAsia="华文细黑" w:hAnsi="Arial" w:cs="Arial"/>
                <w:sz w:val="15"/>
                <w:szCs w:val="15"/>
              </w:rPr>
              <w:t>茂）</w:t>
            </w:r>
          </w:p>
        </w:tc>
        <w:tc>
          <w:tcPr>
            <w:tcW w:w="2304" w:type="dxa"/>
            <w:vAlign w:val="center"/>
          </w:tcPr>
          <w:p w14:paraId="0374E7EF" w14:textId="77777777" w:rsidR="00935557" w:rsidRPr="00C253C2" w:rsidRDefault="00935557" w:rsidP="00193F01">
            <w:pPr>
              <w:jc w:val="both"/>
              <w:rPr>
                <w:rFonts w:ascii="Arial" w:eastAsia="华文细黑" w:hAnsi="Arial" w:cs="Arial"/>
                <w:sz w:val="15"/>
                <w:szCs w:val="15"/>
              </w:rPr>
            </w:pPr>
            <w:proofErr w:type="gramStart"/>
            <w:r w:rsidRPr="00FB7EFF">
              <w:rPr>
                <w:rFonts w:ascii="Arial" w:eastAsia="华文细黑" w:hAnsi="Arial" w:cs="Arial"/>
                <w:sz w:val="15"/>
                <w:szCs w:val="15"/>
              </w:rPr>
              <w:t>彰泰</w:t>
            </w:r>
            <w:proofErr w:type="gramEnd"/>
          </w:p>
        </w:tc>
      </w:tr>
      <w:tr w:rsidR="00152865" w:rsidRPr="00C253C2" w14:paraId="77F748C9" w14:textId="77777777" w:rsidTr="00193F01">
        <w:trPr>
          <w:cantSplit/>
          <w:trHeight w:val="283"/>
          <w:jc w:val="center"/>
        </w:trPr>
        <w:tc>
          <w:tcPr>
            <w:tcW w:w="562" w:type="dxa"/>
            <w:shd w:val="clear" w:color="000000" w:fill="C0C0C0"/>
            <w:vAlign w:val="center"/>
            <w:hideMark/>
          </w:tcPr>
          <w:p w14:paraId="0CECB6ED" w14:textId="77777777" w:rsidR="00935557" w:rsidRPr="00C253C2" w:rsidRDefault="00935557" w:rsidP="00193F01">
            <w:pPr>
              <w:rPr>
                <w:rFonts w:ascii="Arial" w:eastAsia="华文细黑" w:hAnsi="Arial" w:cs="Arial"/>
                <w:b/>
                <w:bCs/>
                <w:sz w:val="15"/>
                <w:szCs w:val="15"/>
              </w:rPr>
            </w:pPr>
            <w:r w:rsidRPr="00C253C2">
              <w:rPr>
                <w:rFonts w:ascii="Arial" w:eastAsia="华文细黑" w:hAnsi="Arial" w:cs="Arial"/>
                <w:b/>
                <w:bCs/>
                <w:sz w:val="15"/>
                <w:szCs w:val="15"/>
              </w:rPr>
              <w:t>项目位置</w:t>
            </w:r>
          </w:p>
        </w:tc>
        <w:tc>
          <w:tcPr>
            <w:tcW w:w="2315" w:type="dxa"/>
            <w:shd w:val="clear" w:color="auto" w:fill="auto"/>
            <w:vAlign w:val="center"/>
          </w:tcPr>
          <w:p w14:paraId="70325053"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hint="eastAsia"/>
                <w:sz w:val="15"/>
                <w:szCs w:val="15"/>
              </w:rPr>
              <w:t>雨花板桥新城新湖大道与华兴大街交汇处</w:t>
            </w:r>
          </w:p>
        </w:tc>
        <w:tc>
          <w:tcPr>
            <w:tcW w:w="2343" w:type="dxa"/>
            <w:shd w:val="clear" w:color="auto" w:fill="auto"/>
            <w:vAlign w:val="center"/>
          </w:tcPr>
          <w:p w14:paraId="55408320"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雨花东至规划道路，南</w:t>
            </w:r>
            <w:proofErr w:type="gramStart"/>
            <w:r w:rsidRPr="00FB7EFF">
              <w:rPr>
                <w:rFonts w:ascii="Arial" w:eastAsia="华文细黑" w:hAnsi="Arial" w:cs="Arial"/>
                <w:sz w:val="15"/>
                <w:szCs w:val="15"/>
              </w:rPr>
              <w:t>至规划</w:t>
            </w:r>
            <w:proofErr w:type="gramEnd"/>
            <w:r w:rsidRPr="00FB7EFF">
              <w:rPr>
                <w:rFonts w:ascii="Arial" w:eastAsia="华文细黑" w:hAnsi="Arial" w:cs="Arial"/>
                <w:sz w:val="15"/>
                <w:szCs w:val="15"/>
              </w:rPr>
              <w:t>道路，西</w:t>
            </w:r>
            <w:proofErr w:type="gramStart"/>
            <w:r w:rsidRPr="00FB7EFF">
              <w:rPr>
                <w:rFonts w:ascii="Arial" w:eastAsia="华文细黑" w:hAnsi="Arial" w:cs="Arial"/>
                <w:sz w:val="15"/>
                <w:szCs w:val="15"/>
              </w:rPr>
              <w:t>至规划</w:t>
            </w:r>
            <w:proofErr w:type="gramEnd"/>
            <w:r w:rsidRPr="00FB7EFF">
              <w:rPr>
                <w:rFonts w:ascii="Arial" w:eastAsia="华文细黑" w:hAnsi="Arial" w:cs="Arial"/>
                <w:sz w:val="15"/>
                <w:szCs w:val="15"/>
              </w:rPr>
              <w:t>道路，北至规划道路</w:t>
            </w:r>
          </w:p>
        </w:tc>
        <w:tc>
          <w:tcPr>
            <w:tcW w:w="2454" w:type="dxa"/>
            <w:shd w:val="clear" w:color="auto" w:fill="auto"/>
            <w:vAlign w:val="center"/>
          </w:tcPr>
          <w:p w14:paraId="26F34FF2" w14:textId="77777777" w:rsidR="00935557" w:rsidRPr="00C253C2" w:rsidRDefault="00935557" w:rsidP="00193F01">
            <w:pPr>
              <w:jc w:val="both"/>
              <w:rPr>
                <w:rFonts w:ascii="Arial" w:eastAsia="华文细黑" w:hAnsi="Arial" w:cs="Arial"/>
                <w:sz w:val="15"/>
                <w:szCs w:val="15"/>
              </w:rPr>
            </w:pPr>
            <w:proofErr w:type="gramStart"/>
            <w:r w:rsidRPr="00FB7EFF">
              <w:rPr>
                <w:rFonts w:ascii="Arial" w:eastAsia="华文细黑" w:hAnsi="Arial" w:cs="Arial"/>
                <w:sz w:val="15"/>
                <w:szCs w:val="15"/>
              </w:rPr>
              <w:t>雨花岱山东路</w:t>
            </w:r>
            <w:proofErr w:type="gramEnd"/>
            <w:r w:rsidRPr="00FB7EFF">
              <w:rPr>
                <w:rFonts w:ascii="Arial" w:eastAsia="华文细黑" w:hAnsi="Arial" w:cs="Arial"/>
                <w:sz w:val="15"/>
                <w:szCs w:val="15"/>
              </w:rPr>
              <w:t>与岱山北路交界处向东</w:t>
            </w:r>
            <w:r w:rsidRPr="00FB7EFF">
              <w:rPr>
                <w:rFonts w:ascii="Arial" w:eastAsia="华文细黑" w:hAnsi="Arial" w:cs="Arial"/>
                <w:sz w:val="15"/>
                <w:szCs w:val="15"/>
              </w:rPr>
              <w:t>300</w:t>
            </w:r>
            <w:r w:rsidRPr="00FB7EFF">
              <w:rPr>
                <w:rFonts w:ascii="Arial" w:eastAsia="华文细黑" w:hAnsi="Arial" w:cs="Arial"/>
                <w:sz w:val="15"/>
                <w:szCs w:val="15"/>
              </w:rPr>
              <w:t>米</w:t>
            </w:r>
          </w:p>
        </w:tc>
        <w:tc>
          <w:tcPr>
            <w:tcW w:w="2364" w:type="dxa"/>
            <w:vAlign w:val="center"/>
          </w:tcPr>
          <w:p w14:paraId="5F4ED147"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雨花</w:t>
            </w:r>
            <w:proofErr w:type="gramStart"/>
            <w:r w:rsidRPr="00FB7EFF">
              <w:rPr>
                <w:rFonts w:ascii="Arial" w:eastAsia="华文细黑" w:hAnsi="Arial" w:cs="Arial"/>
                <w:sz w:val="15"/>
                <w:szCs w:val="15"/>
              </w:rPr>
              <w:t>中央科创生活区</w:t>
            </w:r>
            <w:proofErr w:type="gramEnd"/>
            <w:r w:rsidRPr="00FB7EFF">
              <w:rPr>
                <w:rFonts w:ascii="Arial" w:eastAsia="华文细黑" w:hAnsi="Arial" w:cs="Arial"/>
                <w:sz w:val="15"/>
                <w:szCs w:val="15"/>
              </w:rPr>
              <w:t>规划</w:t>
            </w:r>
            <w:proofErr w:type="gramStart"/>
            <w:r w:rsidRPr="00FB7EFF">
              <w:rPr>
                <w:rFonts w:ascii="Arial" w:eastAsia="华文细黑" w:hAnsi="Arial" w:cs="Arial"/>
                <w:sz w:val="15"/>
                <w:szCs w:val="15"/>
              </w:rPr>
              <w:t>檀</w:t>
            </w:r>
            <w:proofErr w:type="gramEnd"/>
            <w:r w:rsidRPr="00FB7EFF">
              <w:rPr>
                <w:rFonts w:ascii="Arial" w:eastAsia="华文细黑" w:hAnsi="Arial" w:cs="Arial"/>
                <w:sz w:val="15"/>
                <w:szCs w:val="15"/>
              </w:rPr>
              <w:t>山路与吴山路交汇处</w:t>
            </w:r>
          </w:p>
        </w:tc>
        <w:tc>
          <w:tcPr>
            <w:tcW w:w="2287" w:type="dxa"/>
            <w:vAlign w:val="center"/>
          </w:tcPr>
          <w:p w14:paraId="6DBF6CE1"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雨花宁</w:t>
            </w:r>
            <w:proofErr w:type="gramStart"/>
            <w:r w:rsidRPr="00FB7EFF">
              <w:rPr>
                <w:rFonts w:ascii="Arial" w:eastAsia="华文细黑" w:hAnsi="Arial" w:cs="Arial"/>
                <w:sz w:val="15"/>
                <w:szCs w:val="15"/>
              </w:rPr>
              <w:t>芜</w:t>
            </w:r>
            <w:proofErr w:type="gramEnd"/>
            <w:r w:rsidRPr="00FB7EFF">
              <w:rPr>
                <w:rFonts w:ascii="Arial" w:eastAsia="华文细黑" w:hAnsi="Arial" w:cs="Arial"/>
                <w:sz w:val="15"/>
                <w:szCs w:val="15"/>
              </w:rPr>
              <w:t>公路和乐欣路交汇处</w:t>
            </w:r>
          </w:p>
        </w:tc>
        <w:tc>
          <w:tcPr>
            <w:tcW w:w="2304" w:type="dxa"/>
            <w:vAlign w:val="center"/>
          </w:tcPr>
          <w:p w14:paraId="63C0D6A4"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龙西路与纵七路交汇处</w:t>
            </w:r>
          </w:p>
        </w:tc>
      </w:tr>
      <w:tr w:rsidR="00152865" w:rsidRPr="00C253C2" w14:paraId="48951B56" w14:textId="77777777" w:rsidTr="00193F01">
        <w:trPr>
          <w:cantSplit/>
          <w:trHeight w:val="680"/>
          <w:jc w:val="center"/>
        </w:trPr>
        <w:tc>
          <w:tcPr>
            <w:tcW w:w="562" w:type="dxa"/>
            <w:shd w:val="clear" w:color="000000" w:fill="C0C0C0"/>
            <w:vAlign w:val="center"/>
            <w:hideMark/>
          </w:tcPr>
          <w:p w14:paraId="64B046D8" w14:textId="77777777" w:rsidR="00935557" w:rsidRPr="00C253C2" w:rsidRDefault="00935557" w:rsidP="00193F01">
            <w:pPr>
              <w:rPr>
                <w:rFonts w:ascii="Arial" w:eastAsia="华文细黑" w:hAnsi="Arial" w:cs="Arial"/>
                <w:b/>
                <w:bCs/>
                <w:sz w:val="15"/>
                <w:szCs w:val="15"/>
              </w:rPr>
            </w:pPr>
            <w:r w:rsidRPr="00C253C2">
              <w:rPr>
                <w:rFonts w:ascii="Arial" w:eastAsia="华文细黑" w:hAnsi="Arial" w:cs="Arial"/>
                <w:b/>
                <w:bCs/>
                <w:sz w:val="15"/>
                <w:szCs w:val="15"/>
              </w:rPr>
              <w:t>项目规模</w:t>
            </w:r>
          </w:p>
        </w:tc>
        <w:tc>
          <w:tcPr>
            <w:tcW w:w="2315" w:type="dxa"/>
            <w:shd w:val="clear" w:color="auto" w:fill="auto"/>
            <w:vAlign w:val="center"/>
          </w:tcPr>
          <w:p w14:paraId="599AC806"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hint="eastAsia"/>
                <w:sz w:val="15"/>
                <w:szCs w:val="15"/>
              </w:rPr>
              <w:t>占地面积：</w:t>
            </w:r>
            <w:r w:rsidRPr="00FB7EFF">
              <w:rPr>
                <w:rFonts w:ascii="Arial" w:eastAsia="华文细黑" w:hAnsi="Arial" w:cs="Arial"/>
                <w:sz w:val="15"/>
                <w:szCs w:val="15"/>
              </w:rPr>
              <w:t xml:space="preserve">89770 </w:t>
            </w:r>
            <w:r w:rsidRPr="00FB7EFF">
              <w:rPr>
                <w:rFonts w:ascii="Arial" w:eastAsia="华文细黑" w:hAnsi="Arial" w:cs="Arial"/>
                <w:sz w:val="15"/>
                <w:szCs w:val="15"/>
              </w:rPr>
              <w:t>㎡；建筑面积：</w:t>
            </w:r>
            <w:r w:rsidRPr="00FB7EFF">
              <w:rPr>
                <w:rFonts w:ascii="Arial" w:eastAsia="华文细黑" w:hAnsi="Arial" w:cs="Arial"/>
                <w:sz w:val="15"/>
                <w:szCs w:val="15"/>
              </w:rPr>
              <w:t xml:space="preserve">282987.8 </w:t>
            </w:r>
            <w:r w:rsidRPr="00FB7EFF">
              <w:rPr>
                <w:rFonts w:ascii="Arial" w:eastAsia="华文细黑" w:hAnsi="Arial" w:cs="Arial"/>
                <w:sz w:val="15"/>
                <w:szCs w:val="15"/>
              </w:rPr>
              <w:t>㎡</w:t>
            </w:r>
          </w:p>
        </w:tc>
        <w:tc>
          <w:tcPr>
            <w:tcW w:w="2343" w:type="dxa"/>
            <w:shd w:val="clear" w:color="auto" w:fill="auto"/>
            <w:vAlign w:val="center"/>
          </w:tcPr>
          <w:p w14:paraId="21F87C2D"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占地面积：</w:t>
            </w:r>
            <w:r w:rsidRPr="00FB7EFF">
              <w:rPr>
                <w:rFonts w:ascii="Arial" w:eastAsia="华文细黑" w:hAnsi="Arial" w:cs="Arial"/>
                <w:sz w:val="15"/>
                <w:szCs w:val="15"/>
              </w:rPr>
              <w:t xml:space="preserve">74000 </w:t>
            </w:r>
            <w:r w:rsidRPr="00FB7EFF">
              <w:rPr>
                <w:rFonts w:ascii="Arial" w:eastAsia="华文细黑" w:hAnsi="Arial" w:cs="Arial"/>
                <w:sz w:val="15"/>
                <w:szCs w:val="15"/>
              </w:rPr>
              <w:t>㎡；建筑面积：</w:t>
            </w:r>
            <w:r w:rsidRPr="00FB7EFF">
              <w:rPr>
                <w:rFonts w:ascii="Arial" w:eastAsia="华文细黑" w:hAnsi="Arial" w:cs="Arial"/>
                <w:sz w:val="15"/>
                <w:szCs w:val="15"/>
              </w:rPr>
              <w:t xml:space="preserve">237500 </w:t>
            </w:r>
            <w:r w:rsidRPr="00FB7EFF">
              <w:rPr>
                <w:rFonts w:ascii="Arial" w:eastAsia="华文细黑" w:hAnsi="Arial" w:cs="Arial"/>
                <w:sz w:val="15"/>
                <w:szCs w:val="15"/>
              </w:rPr>
              <w:t>㎡</w:t>
            </w:r>
          </w:p>
        </w:tc>
        <w:tc>
          <w:tcPr>
            <w:tcW w:w="2454" w:type="dxa"/>
            <w:shd w:val="clear" w:color="auto" w:fill="auto"/>
            <w:vAlign w:val="center"/>
          </w:tcPr>
          <w:p w14:paraId="54C096B3"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占地面积：</w:t>
            </w:r>
            <w:r w:rsidRPr="00FB7EFF">
              <w:rPr>
                <w:rFonts w:ascii="Arial" w:eastAsia="华文细黑" w:hAnsi="Arial" w:cs="Arial"/>
                <w:sz w:val="15"/>
                <w:szCs w:val="15"/>
              </w:rPr>
              <w:t xml:space="preserve">66970 </w:t>
            </w:r>
            <w:r w:rsidRPr="00FB7EFF">
              <w:rPr>
                <w:rFonts w:ascii="Arial" w:eastAsia="华文细黑" w:hAnsi="Arial" w:cs="Arial"/>
                <w:sz w:val="15"/>
                <w:szCs w:val="15"/>
              </w:rPr>
              <w:t>㎡；建筑面积：</w:t>
            </w:r>
            <w:r w:rsidRPr="00FB7EFF">
              <w:rPr>
                <w:rFonts w:ascii="Arial" w:eastAsia="华文细黑" w:hAnsi="Arial" w:cs="Arial"/>
                <w:sz w:val="15"/>
                <w:szCs w:val="15"/>
              </w:rPr>
              <w:t xml:space="preserve">216700 </w:t>
            </w:r>
            <w:r w:rsidRPr="00FB7EFF">
              <w:rPr>
                <w:rFonts w:ascii="Arial" w:eastAsia="华文细黑" w:hAnsi="Arial" w:cs="Arial"/>
                <w:sz w:val="15"/>
                <w:szCs w:val="15"/>
              </w:rPr>
              <w:t>㎡</w:t>
            </w:r>
          </w:p>
        </w:tc>
        <w:tc>
          <w:tcPr>
            <w:tcW w:w="2364" w:type="dxa"/>
            <w:vAlign w:val="center"/>
          </w:tcPr>
          <w:p w14:paraId="7B622E62"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占地面积：</w:t>
            </w:r>
            <w:r w:rsidRPr="00FB7EFF">
              <w:rPr>
                <w:rFonts w:ascii="Arial" w:eastAsia="华文细黑" w:hAnsi="Arial" w:cs="Arial"/>
                <w:sz w:val="15"/>
                <w:szCs w:val="15"/>
              </w:rPr>
              <w:t xml:space="preserve">42496.95 </w:t>
            </w:r>
            <w:r w:rsidRPr="00FB7EFF">
              <w:rPr>
                <w:rFonts w:ascii="Arial" w:eastAsia="华文细黑" w:hAnsi="Arial" w:cs="Arial"/>
                <w:sz w:val="15"/>
                <w:szCs w:val="15"/>
              </w:rPr>
              <w:t>㎡；建筑面积：</w:t>
            </w:r>
            <w:r w:rsidRPr="00FB7EFF">
              <w:rPr>
                <w:rFonts w:ascii="Arial" w:eastAsia="华文细黑" w:hAnsi="Arial" w:cs="Arial"/>
                <w:sz w:val="15"/>
                <w:szCs w:val="15"/>
              </w:rPr>
              <w:t xml:space="preserve">155234.06 </w:t>
            </w:r>
            <w:r w:rsidRPr="00FB7EFF">
              <w:rPr>
                <w:rFonts w:ascii="Arial" w:eastAsia="华文细黑" w:hAnsi="Arial" w:cs="Arial"/>
                <w:sz w:val="15"/>
                <w:szCs w:val="15"/>
              </w:rPr>
              <w:t>㎡</w:t>
            </w:r>
          </w:p>
        </w:tc>
        <w:tc>
          <w:tcPr>
            <w:tcW w:w="2287" w:type="dxa"/>
            <w:vAlign w:val="center"/>
          </w:tcPr>
          <w:p w14:paraId="009A723F"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占地面积：</w:t>
            </w:r>
            <w:r w:rsidRPr="00FB7EFF">
              <w:rPr>
                <w:rFonts w:ascii="Arial" w:eastAsia="华文细黑" w:hAnsi="Arial" w:cs="Arial"/>
                <w:sz w:val="15"/>
                <w:szCs w:val="15"/>
              </w:rPr>
              <w:t xml:space="preserve">60087.81 </w:t>
            </w:r>
            <w:r w:rsidRPr="00FB7EFF">
              <w:rPr>
                <w:rFonts w:ascii="Arial" w:eastAsia="华文细黑" w:hAnsi="Arial" w:cs="Arial"/>
                <w:sz w:val="15"/>
                <w:szCs w:val="15"/>
              </w:rPr>
              <w:t>㎡；建筑面积：</w:t>
            </w:r>
            <w:r w:rsidRPr="00FB7EFF">
              <w:rPr>
                <w:rFonts w:ascii="Arial" w:eastAsia="华文细黑" w:hAnsi="Arial" w:cs="Arial"/>
                <w:sz w:val="15"/>
                <w:szCs w:val="15"/>
              </w:rPr>
              <w:t xml:space="preserve">205774.37 </w:t>
            </w:r>
            <w:r w:rsidRPr="00FB7EFF">
              <w:rPr>
                <w:rFonts w:ascii="Arial" w:eastAsia="华文细黑" w:hAnsi="Arial" w:cs="Arial"/>
                <w:sz w:val="15"/>
                <w:szCs w:val="15"/>
              </w:rPr>
              <w:t>㎡</w:t>
            </w:r>
          </w:p>
        </w:tc>
        <w:tc>
          <w:tcPr>
            <w:tcW w:w="2304" w:type="dxa"/>
            <w:vAlign w:val="center"/>
          </w:tcPr>
          <w:p w14:paraId="401D8C1D"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占地面积：</w:t>
            </w:r>
            <w:r w:rsidRPr="00FB7EFF">
              <w:rPr>
                <w:rFonts w:ascii="Arial" w:eastAsia="华文细黑" w:hAnsi="Arial" w:cs="Arial"/>
                <w:sz w:val="15"/>
                <w:szCs w:val="15"/>
              </w:rPr>
              <w:t xml:space="preserve">16441 </w:t>
            </w:r>
            <w:r w:rsidRPr="00FB7EFF">
              <w:rPr>
                <w:rFonts w:ascii="Arial" w:eastAsia="华文细黑" w:hAnsi="Arial" w:cs="Arial"/>
                <w:sz w:val="15"/>
                <w:szCs w:val="15"/>
              </w:rPr>
              <w:t>㎡；建筑面积：</w:t>
            </w:r>
            <w:r w:rsidRPr="00FB7EFF">
              <w:rPr>
                <w:rFonts w:ascii="Arial" w:eastAsia="华文细黑" w:hAnsi="Arial" w:cs="Arial"/>
                <w:sz w:val="15"/>
                <w:szCs w:val="15"/>
              </w:rPr>
              <w:t xml:space="preserve">46021 </w:t>
            </w:r>
            <w:r w:rsidRPr="00FB7EFF">
              <w:rPr>
                <w:rFonts w:ascii="Arial" w:eastAsia="华文细黑" w:hAnsi="Arial" w:cs="Arial"/>
                <w:sz w:val="15"/>
                <w:szCs w:val="15"/>
              </w:rPr>
              <w:t>㎡</w:t>
            </w:r>
          </w:p>
        </w:tc>
      </w:tr>
      <w:tr w:rsidR="00152865" w:rsidRPr="00C253C2" w14:paraId="4A6F730F" w14:textId="77777777" w:rsidTr="00193F01">
        <w:trPr>
          <w:cantSplit/>
          <w:trHeight w:val="283"/>
          <w:jc w:val="center"/>
        </w:trPr>
        <w:tc>
          <w:tcPr>
            <w:tcW w:w="562" w:type="dxa"/>
            <w:shd w:val="clear" w:color="000000" w:fill="C0C0C0"/>
            <w:vAlign w:val="center"/>
            <w:hideMark/>
          </w:tcPr>
          <w:p w14:paraId="1B469FA4" w14:textId="77777777" w:rsidR="00935557" w:rsidRPr="00C253C2" w:rsidRDefault="00935557" w:rsidP="00193F01">
            <w:pPr>
              <w:rPr>
                <w:rFonts w:ascii="Arial" w:eastAsia="华文细黑" w:hAnsi="Arial" w:cs="Arial"/>
                <w:b/>
                <w:bCs/>
                <w:sz w:val="15"/>
                <w:szCs w:val="15"/>
              </w:rPr>
            </w:pPr>
            <w:r w:rsidRPr="00C253C2">
              <w:rPr>
                <w:rFonts w:ascii="Arial" w:eastAsia="华文细黑" w:hAnsi="Arial" w:cs="Arial"/>
                <w:b/>
                <w:bCs/>
                <w:sz w:val="15"/>
                <w:szCs w:val="15"/>
              </w:rPr>
              <w:t>容积率</w:t>
            </w:r>
          </w:p>
        </w:tc>
        <w:tc>
          <w:tcPr>
            <w:tcW w:w="2315" w:type="dxa"/>
            <w:shd w:val="clear" w:color="auto" w:fill="auto"/>
            <w:vAlign w:val="center"/>
          </w:tcPr>
          <w:p w14:paraId="7F67118B"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2.3</w:t>
            </w:r>
          </w:p>
        </w:tc>
        <w:tc>
          <w:tcPr>
            <w:tcW w:w="2343" w:type="dxa"/>
            <w:shd w:val="clear" w:color="auto" w:fill="auto"/>
            <w:vAlign w:val="center"/>
          </w:tcPr>
          <w:p w14:paraId="3018FFD4"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2.4</w:t>
            </w:r>
          </w:p>
        </w:tc>
        <w:tc>
          <w:tcPr>
            <w:tcW w:w="2454" w:type="dxa"/>
            <w:shd w:val="clear" w:color="auto" w:fill="auto"/>
            <w:vAlign w:val="center"/>
          </w:tcPr>
          <w:p w14:paraId="4A1B24EF"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2.75</w:t>
            </w:r>
          </w:p>
        </w:tc>
        <w:tc>
          <w:tcPr>
            <w:tcW w:w="2364" w:type="dxa"/>
            <w:vAlign w:val="center"/>
          </w:tcPr>
          <w:p w14:paraId="0E64B227"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2.8</w:t>
            </w:r>
          </w:p>
        </w:tc>
        <w:tc>
          <w:tcPr>
            <w:tcW w:w="2287" w:type="dxa"/>
            <w:vAlign w:val="center"/>
          </w:tcPr>
          <w:p w14:paraId="48134707"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2.7</w:t>
            </w:r>
          </w:p>
        </w:tc>
        <w:tc>
          <w:tcPr>
            <w:tcW w:w="2304" w:type="dxa"/>
            <w:vAlign w:val="center"/>
          </w:tcPr>
          <w:p w14:paraId="2698AE9D"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1</w:t>
            </w:r>
          </w:p>
        </w:tc>
      </w:tr>
      <w:tr w:rsidR="00152865" w:rsidRPr="00C253C2" w14:paraId="7BF373CE" w14:textId="77777777" w:rsidTr="00193F01">
        <w:trPr>
          <w:cantSplit/>
          <w:trHeight w:val="283"/>
          <w:jc w:val="center"/>
        </w:trPr>
        <w:tc>
          <w:tcPr>
            <w:tcW w:w="562" w:type="dxa"/>
            <w:shd w:val="clear" w:color="000000" w:fill="C0C0C0"/>
            <w:vAlign w:val="center"/>
          </w:tcPr>
          <w:p w14:paraId="309DDEDE" w14:textId="77777777" w:rsidR="00935557" w:rsidRPr="00C253C2" w:rsidRDefault="00935557" w:rsidP="00193F01">
            <w:pPr>
              <w:rPr>
                <w:rFonts w:ascii="Arial" w:eastAsia="华文细黑" w:hAnsi="Arial" w:cs="Arial"/>
                <w:b/>
                <w:bCs/>
                <w:sz w:val="15"/>
                <w:szCs w:val="15"/>
              </w:rPr>
            </w:pPr>
            <w:r w:rsidRPr="00C253C2">
              <w:rPr>
                <w:rFonts w:ascii="Arial" w:eastAsia="华文细黑" w:hAnsi="Arial" w:cs="Arial"/>
                <w:b/>
                <w:bCs/>
                <w:sz w:val="15"/>
                <w:szCs w:val="15"/>
              </w:rPr>
              <w:t>绿化率</w:t>
            </w:r>
          </w:p>
        </w:tc>
        <w:tc>
          <w:tcPr>
            <w:tcW w:w="2315" w:type="dxa"/>
            <w:shd w:val="clear" w:color="auto" w:fill="auto"/>
            <w:vAlign w:val="center"/>
          </w:tcPr>
          <w:p w14:paraId="337BAB03"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35.00%</w:t>
            </w:r>
          </w:p>
        </w:tc>
        <w:tc>
          <w:tcPr>
            <w:tcW w:w="2343" w:type="dxa"/>
            <w:shd w:val="clear" w:color="auto" w:fill="auto"/>
            <w:vAlign w:val="center"/>
          </w:tcPr>
          <w:p w14:paraId="2A5C6D0E"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30.00%</w:t>
            </w:r>
          </w:p>
        </w:tc>
        <w:tc>
          <w:tcPr>
            <w:tcW w:w="2454" w:type="dxa"/>
            <w:shd w:val="clear" w:color="auto" w:fill="auto"/>
            <w:vAlign w:val="center"/>
          </w:tcPr>
          <w:p w14:paraId="36D07932"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35.00%</w:t>
            </w:r>
          </w:p>
        </w:tc>
        <w:tc>
          <w:tcPr>
            <w:tcW w:w="2364" w:type="dxa"/>
            <w:vAlign w:val="center"/>
          </w:tcPr>
          <w:p w14:paraId="76C63519"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30.50%</w:t>
            </w:r>
          </w:p>
        </w:tc>
        <w:tc>
          <w:tcPr>
            <w:tcW w:w="2287" w:type="dxa"/>
            <w:vAlign w:val="center"/>
          </w:tcPr>
          <w:p w14:paraId="2CEFFA4B"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30%</w:t>
            </w:r>
          </w:p>
        </w:tc>
        <w:tc>
          <w:tcPr>
            <w:tcW w:w="2304" w:type="dxa"/>
            <w:vAlign w:val="center"/>
          </w:tcPr>
          <w:p w14:paraId="0D61CC9E"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35%</w:t>
            </w:r>
          </w:p>
        </w:tc>
      </w:tr>
      <w:tr w:rsidR="00152865" w:rsidRPr="00C253C2" w14:paraId="54984FC9" w14:textId="77777777" w:rsidTr="00193F01">
        <w:trPr>
          <w:cantSplit/>
          <w:trHeight w:val="283"/>
          <w:jc w:val="center"/>
        </w:trPr>
        <w:tc>
          <w:tcPr>
            <w:tcW w:w="562" w:type="dxa"/>
            <w:shd w:val="clear" w:color="000000" w:fill="C0C0C0"/>
            <w:vAlign w:val="center"/>
          </w:tcPr>
          <w:p w14:paraId="45AE9EB2" w14:textId="77777777" w:rsidR="00935557" w:rsidRPr="00C253C2" w:rsidRDefault="00935557" w:rsidP="00193F01">
            <w:pPr>
              <w:rPr>
                <w:rFonts w:ascii="Arial" w:eastAsia="华文细黑" w:hAnsi="Arial" w:cs="Arial"/>
                <w:b/>
                <w:bCs/>
                <w:sz w:val="15"/>
                <w:szCs w:val="15"/>
              </w:rPr>
            </w:pPr>
            <w:r w:rsidRPr="00C253C2">
              <w:rPr>
                <w:rFonts w:ascii="Arial" w:eastAsia="华文细黑" w:hAnsi="Arial" w:cs="Arial"/>
                <w:b/>
                <w:bCs/>
                <w:sz w:val="15"/>
                <w:szCs w:val="15"/>
              </w:rPr>
              <w:t>楼栋总数</w:t>
            </w:r>
          </w:p>
        </w:tc>
        <w:tc>
          <w:tcPr>
            <w:tcW w:w="2315" w:type="dxa"/>
            <w:shd w:val="clear" w:color="auto" w:fill="auto"/>
            <w:vAlign w:val="center"/>
          </w:tcPr>
          <w:p w14:paraId="570AEC0D"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19</w:t>
            </w:r>
            <w:r w:rsidRPr="00FB7EFF">
              <w:rPr>
                <w:rFonts w:ascii="Arial" w:eastAsia="华文细黑" w:hAnsi="Arial" w:cs="Arial"/>
                <w:sz w:val="15"/>
                <w:szCs w:val="15"/>
              </w:rPr>
              <w:t>栋</w:t>
            </w:r>
          </w:p>
        </w:tc>
        <w:tc>
          <w:tcPr>
            <w:tcW w:w="2343" w:type="dxa"/>
            <w:shd w:val="clear" w:color="auto" w:fill="auto"/>
            <w:vAlign w:val="center"/>
          </w:tcPr>
          <w:p w14:paraId="590EA34F"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14</w:t>
            </w:r>
            <w:r w:rsidRPr="00FB7EFF">
              <w:rPr>
                <w:rFonts w:ascii="Arial" w:eastAsia="华文细黑" w:hAnsi="Arial" w:cs="Arial"/>
                <w:sz w:val="15"/>
                <w:szCs w:val="15"/>
              </w:rPr>
              <w:t>栋</w:t>
            </w:r>
          </w:p>
        </w:tc>
        <w:tc>
          <w:tcPr>
            <w:tcW w:w="2454" w:type="dxa"/>
            <w:shd w:val="clear" w:color="auto" w:fill="auto"/>
            <w:vAlign w:val="center"/>
          </w:tcPr>
          <w:p w14:paraId="219BFFD1"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12</w:t>
            </w:r>
            <w:r w:rsidRPr="00FB7EFF">
              <w:rPr>
                <w:rFonts w:ascii="Arial" w:eastAsia="华文细黑" w:hAnsi="Arial" w:cs="Arial"/>
                <w:sz w:val="15"/>
                <w:szCs w:val="15"/>
              </w:rPr>
              <w:t>栋</w:t>
            </w:r>
          </w:p>
        </w:tc>
        <w:tc>
          <w:tcPr>
            <w:tcW w:w="2364" w:type="dxa"/>
            <w:vAlign w:val="center"/>
          </w:tcPr>
          <w:p w14:paraId="78B1C0E6"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8</w:t>
            </w:r>
            <w:r w:rsidRPr="00FB7EFF">
              <w:rPr>
                <w:rFonts w:ascii="Arial" w:eastAsia="华文细黑" w:hAnsi="Arial" w:cs="Arial"/>
                <w:sz w:val="15"/>
                <w:szCs w:val="15"/>
              </w:rPr>
              <w:t>栋</w:t>
            </w:r>
          </w:p>
        </w:tc>
        <w:tc>
          <w:tcPr>
            <w:tcW w:w="2287" w:type="dxa"/>
            <w:vAlign w:val="center"/>
          </w:tcPr>
          <w:p w14:paraId="56423ECD"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w:t>
            </w:r>
          </w:p>
        </w:tc>
        <w:tc>
          <w:tcPr>
            <w:tcW w:w="2304" w:type="dxa"/>
            <w:vAlign w:val="center"/>
          </w:tcPr>
          <w:p w14:paraId="46701311"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4</w:t>
            </w:r>
            <w:r w:rsidRPr="00FB7EFF">
              <w:rPr>
                <w:rFonts w:ascii="Arial" w:eastAsia="华文细黑" w:hAnsi="Arial" w:cs="Arial"/>
                <w:sz w:val="15"/>
                <w:szCs w:val="15"/>
              </w:rPr>
              <w:t>栋</w:t>
            </w:r>
          </w:p>
        </w:tc>
      </w:tr>
      <w:tr w:rsidR="00152865" w:rsidRPr="00C253C2" w14:paraId="58E63459" w14:textId="77777777" w:rsidTr="00193F01">
        <w:trPr>
          <w:cantSplit/>
          <w:trHeight w:val="283"/>
          <w:jc w:val="center"/>
        </w:trPr>
        <w:tc>
          <w:tcPr>
            <w:tcW w:w="562" w:type="dxa"/>
            <w:shd w:val="clear" w:color="000000" w:fill="C0C0C0"/>
            <w:vAlign w:val="center"/>
            <w:hideMark/>
          </w:tcPr>
          <w:p w14:paraId="7239BF56" w14:textId="77777777" w:rsidR="00935557" w:rsidRPr="00C253C2" w:rsidRDefault="00935557" w:rsidP="00193F01">
            <w:pPr>
              <w:rPr>
                <w:rFonts w:ascii="Arial" w:eastAsia="华文细黑" w:hAnsi="Arial" w:cs="Arial"/>
                <w:b/>
                <w:bCs/>
                <w:sz w:val="15"/>
                <w:szCs w:val="15"/>
              </w:rPr>
            </w:pPr>
            <w:r w:rsidRPr="00C253C2">
              <w:rPr>
                <w:rFonts w:ascii="Arial" w:eastAsia="华文细黑" w:hAnsi="Arial" w:cs="Arial"/>
                <w:b/>
                <w:bCs/>
                <w:sz w:val="15"/>
                <w:szCs w:val="15"/>
              </w:rPr>
              <w:t>楼层状况</w:t>
            </w:r>
          </w:p>
        </w:tc>
        <w:tc>
          <w:tcPr>
            <w:tcW w:w="2315" w:type="dxa"/>
            <w:shd w:val="clear" w:color="auto" w:fill="auto"/>
            <w:vAlign w:val="center"/>
          </w:tcPr>
          <w:p w14:paraId="2C6E46F8"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7</w:t>
            </w:r>
            <w:r w:rsidRPr="00FB7EFF">
              <w:rPr>
                <w:rFonts w:ascii="Arial" w:eastAsia="华文细黑" w:hAnsi="Arial" w:cs="Arial"/>
                <w:sz w:val="15"/>
                <w:szCs w:val="15"/>
              </w:rPr>
              <w:t>栋</w:t>
            </w:r>
            <w:r w:rsidRPr="00FB7EFF">
              <w:rPr>
                <w:rFonts w:ascii="Arial" w:eastAsia="华文细黑" w:hAnsi="Arial" w:cs="Arial"/>
                <w:sz w:val="15"/>
                <w:szCs w:val="15"/>
              </w:rPr>
              <w:t>11</w:t>
            </w:r>
            <w:r w:rsidRPr="00FB7EFF">
              <w:rPr>
                <w:rFonts w:ascii="Arial" w:eastAsia="华文细黑" w:hAnsi="Arial" w:cs="Arial"/>
                <w:sz w:val="15"/>
                <w:szCs w:val="15"/>
              </w:rPr>
              <w:t>层小高层，</w:t>
            </w:r>
            <w:r w:rsidRPr="00FB7EFF">
              <w:rPr>
                <w:rFonts w:ascii="Arial" w:eastAsia="华文细黑" w:hAnsi="Arial" w:cs="Arial"/>
                <w:sz w:val="15"/>
                <w:szCs w:val="15"/>
              </w:rPr>
              <w:t>11</w:t>
            </w:r>
            <w:r w:rsidRPr="00FB7EFF">
              <w:rPr>
                <w:rFonts w:ascii="Arial" w:eastAsia="华文细黑" w:hAnsi="Arial" w:cs="Arial"/>
                <w:sz w:val="15"/>
                <w:szCs w:val="15"/>
              </w:rPr>
              <w:t>栋</w:t>
            </w:r>
            <w:r w:rsidRPr="00FB7EFF">
              <w:rPr>
                <w:rFonts w:ascii="Arial" w:eastAsia="华文细黑" w:hAnsi="Arial" w:cs="Arial"/>
                <w:sz w:val="15"/>
                <w:szCs w:val="15"/>
              </w:rPr>
              <w:t>26-27</w:t>
            </w:r>
            <w:r w:rsidRPr="00FB7EFF">
              <w:rPr>
                <w:rFonts w:ascii="Arial" w:eastAsia="华文细黑" w:hAnsi="Arial" w:cs="Arial"/>
                <w:sz w:val="15"/>
                <w:szCs w:val="15"/>
              </w:rPr>
              <w:t>层高层住宅</w:t>
            </w:r>
          </w:p>
        </w:tc>
        <w:tc>
          <w:tcPr>
            <w:tcW w:w="2343" w:type="dxa"/>
            <w:shd w:val="clear" w:color="auto" w:fill="auto"/>
            <w:vAlign w:val="center"/>
          </w:tcPr>
          <w:p w14:paraId="1DA5742F"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25-27F</w:t>
            </w:r>
            <w:r w:rsidRPr="00FB7EFF">
              <w:rPr>
                <w:rFonts w:ascii="Arial" w:eastAsia="华文细黑" w:hAnsi="Arial" w:cs="Arial"/>
                <w:sz w:val="15"/>
                <w:szCs w:val="15"/>
              </w:rPr>
              <w:t>高层</w:t>
            </w:r>
          </w:p>
        </w:tc>
        <w:tc>
          <w:tcPr>
            <w:tcW w:w="2454" w:type="dxa"/>
            <w:shd w:val="clear" w:color="auto" w:fill="auto"/>
            <w:vAlign w:val="center"/>
          </w:tcPr>
          <w:p w14:paraId="6F66EB9D"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10</w:t>
            </w:r>
            <w:r w:rsidRPr="00FB7EFF">
              <w:rPr>
                <w:rFonts w:ascii="Arial" w:eastAsia="华文细黑" w:hAnsi="Arial" w:cs="Arial"/>
                <w:sz w:val="15"/>
                <w:szCs w:val="15"/>
              </w:rPr>
              <w:t>栋</w:t>
            </w:r>
            <w:r w:rsidRPr="00FB7EFF">
              <w:rPr>
                <w:rFonts w:ascii="Arial" w:eastAsia="华文细黑" w:hAnsi="Arial" w:cs="Arial"/>
                <w:sz w:val="15"/>
                <w:szCs w:val="15"/>
              </w:rPr>
              <w:t>33F</w:t>
            </w:r>
            <w:r w:rsidRPr="00FB7EFF">
              <w:rPr>
                <w:rFonts w:ascii="Arial" w:eastAsia="华文细黑" w:hAnsi="Arial" w:cs="Arial"/>
                <w:sz w:val="15"/>
                <w:szCs w:val="15"/>
              </w:rPr>
              <w:t>住宅、</w:t>
            </w:r>
            <w:r w:rsidRPr="00FB7EFF">
              <w:rPr>
                <w:rFonts w:ascii="Arial" w:eastAsia="华文细黑" w:hAnsi="Arial" w:cs="Arial"/>
                <w:sz w:val="15"/>
                <w:szCs w:val="15"/>
              </w:rPr>
              <w:t>2</w:t>
            </w:r>
            <w:r w:rsidRPr="00FB7EFF">
              <w:rPr>
                <w:rFonts w:ascii="Arial" w:eastAsia="华文细黑" w:hAnsi="Arial" w:cs="Arial"/>
                <w:sz w:val="15"/>
                <w:szCs w:val="15"/>
              </w:rPr>
              <w:t>栋</w:t>
            </w:r>
            <w:r w:rsidRPr="00FB7EFF">
              <w:rPr>
                <w:rFonts w:ascii="Arial" w:eastAsia="华文细黑" w:hAnsi="Arial" w:cs="Arial"/>
                <w:sz w:val="15"/>
                <w:szCs w:val="15"/>
              </w:rPr>
              <w:t>29F</w:t>
            </w:r>
            <w:r w:rsidRPr="00FB7EFF">
              <w:rPr>
                <w:rFonts w:ascii="Arial" w:eastAsia="华文细黑" w:hAnsi="Arial" w:cs="Arial"/>
                <w:sz w:val="15"/>
                <w:szCs w:val="15"/>
              </w:rPr>
              <w:t>住宅</w:t>
            </w:r>
          </w:p>
        </w:tc>
        <w:tc>
          <w:tcPr>
            <w:tcW w:w="2364" w:type="dxa"/>
            <w:vAlign w:val="center"/>
          </w:tcPr>
          <w:p w14:paraId="5A69DD3F"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高层</w:t>
            </w:r>
          </w:p>
        </w:tc>
        <w:tc>
          <w:tcPr>
            <w:tcW w:w="2287" w:type="dxa"/>
            <w:vAlign w:val="center"/>
          </w:tcPr>
          <w:p w14:paraId="2A59936D"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28-34</w:t>
            </w:r>
            <w:r w:rsidRPr="00FB7EFF">
              <w:rPr>
                <w:rFonts w:ascii="Arial" w:eastAsia="华文细黑" w:hAnsi="Arial" w:cs="Arial"/>
                <w:sz w:val="15"/>
                <w:szCs w:val="15"/>
              </w:rPr>
              <w:t>层</w:t>
            </w:r>
          </w:p>
        </w:tc>
        <w:tc>
          <w:tcPr>
            <w:tcW w:w="2304" w:type="dxa"/>
            <w:vAlign w:val="center"/>
          </w:tcPr>
          <w:p w14:paraId="497998C2"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27</w:t>
            </w:r>
            <w:r w:rsidRPr="00FB7EFF">
              <w:rPr>
                <w:rFonts w:ascii="Arial" w:eastAsia="华文细黑" w:hAnsi="Arial" w:cs="Arial"/>
                <w:sz w:val="15"/>
                <w:szCs w:val="15"/>
              </w:rPr>
              <w:t>层高层</w:t>
            </w:r>
          </w:p>
        </w:tc>
      </w:tr>
      <w:tr w:rsidR="00152865" w:rsidRPr="00C253C2" w14:paraId="523FEBF9" w14:textId="77777777" w:rsidTr="00193F01">
        <w:trPr>
          <w:cantSplit/>
          <w:trHeight w:val="283"/>
          <w:jc w:val="center"/>
        </w:trPr>
        <w:tc>
          <w:tcPr>
            <w:tcW w:w="562" w:type="dxa"/>
            <w:shd w:val="clear" w:color="000000" w:fill="C0C0C0"/>
            <w:vAlign w:val="center"/>
          </w:tcPr>
          <w:p w14:paraId="12732D6D" w14:textId="77777777" w:rsidR="00935557" w:rsidRPr="00C253C2" w:rsidRDefault="00935557" w:rsidP="00193F01">
            <w:pPr>
              <w:rPr>
                <w:rFonts w:ascii="Arial" w:eastAsia="华文细黑" w:hAnsi="Arial" w:cs="Arial"/>
                <w:b/>
                <w:bCs/>
                <w:sz w:val="15"/>
                <w:szCs w:val="15"/>
              </w:rPr>
            </w:pPr>
            <w:r>
              <w:rPr>
                <w:rFonts w:ascii="Arial" w:eastAsia="华文细黑" w:hAnsi="Arial" w:cs="Arial" w:hint="eastAsia"/>
                <w:b/>
                <w:bCs/>
                <w:sz w:val="15"/>
                <w:szCs w:val="15"/>
              </w:rPr>
              <w:t>开盘时间</w:t>
            </w:r>
          </w:p>
        </w:tc>
        <w:tc>
          <w:tcPr>
            <w:tcW w:w="2315" w:type="dxa"/>
            <w:shd w:val="clear" w:color="auto" w:fill="auto"/>
            <w:vAlign w:val="center"/>
          </w:tcPr>
          <w:p w14:paraId="67A26212"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2020</w:t>
            </w:r>
            <w:r w:rsidRPr="00FB7EFF">
              <w:rPr>
                <w:rFonts w:ascii="Arial" w:eastAsia="华文细黑" w:hAnsi="Arial" w:cs="Arial"/>
                <w:sz w:val="15"/>
                <w:szCs w:val="15"/>
              </w:rPr>
              <w:t>年</w:t>
            </w:r>
            <w:r w:rsidRPr="00FB7EFF">
              <w:rPr>
                <w:rFonts w:ascii="Arial" w:eastAsia="华文细黑" w:hAnsi="Arial" w:cs="Arial"/>
                <w:sz w:val="15"/>
                <w:szCs w:val="15"/>
              </w:rPr>
              <w:t>10</w:t>
            </w:r>
            <w:r w:rsidRPr="00FB7EFF">
              <w:rPr>
                <w:rFonts w:ascii="Arial" w:eastAsia="华文细黑" w:hAnsi="Arial" w:cs="Arial"/>
                <w:sz w:val="15"/>
                <w:szCs w:val="15"/>
              </w:rPr>
              <w:t>月</w:t>
            </w:r>
          </w:p>
        </w:tc>
        <w:tc>
          <w:tcPr>
            <w:tcW w:w="2343" w:type="dxa"/>
            <w:shd w:val="clear" w:color="auto" w:fill="auto"/>
            <w:vAlign w:val="center"/>
          </w:tcPr>
          <w:p w14:paraId="5B994493"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2021</w:t>
            </w:r>
            <w:r w:rsidRPr="00FB7EFF">
              <w:rPr>
                <w:rFonts w:ascii="Arial" w:eastAsia="华文细黑" w:hAnsi="Arial" w:cs="Arial"/>
                <w:sz w:val="15"/>
                <w:szCs w:val="15"/>
              </w:rPr>
              <w:t>年</w:t>
            </w:r>
            <w:r w:rsidRPr="00FB7EFF">
              <w:rPr>
                <w:rFonts w:ascii="Arial" w:eastAsia="华文细黑" w:hAnsi="Arial" w:cs="Arial"/>
                <w:sz w:val="15"/>
                <w:szCs w:val="15"/>
              </w:rPr>
              <w:t>5</w:t>
            </w:r>
            <w:r w:rsidRPr="00FB7EFF">
              <w:rPr>
                <w:rFonts w:ascii="Arial" w:eastAsia="华文细黑" w:hAnsi="Arial" w:cs="Arial"/>
                <w:sz w:val="15"/>
                <w:szCs w:val="15"/>
              </w:rPr>
              <w:t>月</w:t>
            </w:r>
          </w:p>
        </w:tc>
        <w:tc>
          <w:tcPr>
            <w:tcW w:w="2454" w:type="dxa"/>
            <w:shd w:val="clear" w:color="auto" w:fill="auto"/>
            <w:vAlign w:val="center"/>
          </w:tcPr>
          <w:p w14:paraId="21E894CB"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2019</w:t>
            </w:r>
            <w:r w:rsidRPr="00FB7EFF">
              <w:rPr>
                <w:rFonts w:ascii="Arial" w:eastAsia="华文细黑" w:hAnsi="Arial" w:cs="Arial"/>
                <w:sz w:val="15"/>
                <w:szCs w:val="15"/>
              </w:rPr>
              <w:t>年</w:t>
            </w:r>
            <w:r w:rsidRPr="00FB7EFF">
              <w:rPr>
                <w:rFonts w:ascii="Arial" w:eastAsia="华文细黑" w:hAnsi="Arial" w:cs="Arial"/>
                <w:sz w:val="15"/>
                <w:szCs w:val="15"/>
              </w:rPr>
              <w:t>9</w:t>
            </w:r>
            <w:r w:rsidRPr="00FB7EFF">
              <w:rPr>
                <w:rFonts w:ascii="Arial" w:eastAsia="华文细黑" w:hAnsi="Arial" w:cs="Arial"/>
                <w:sz w:val="15"/>
                <w:szCs w:val="15"/>
              </w:rPr>
              <w:t>月</w:t>
            </w:r>
          </w:p>
        </w:tc>
        <w:tc>
          <w:tcPr>
            <w:tcW w:w="2364" w:type="dxa"/>
            <w:vAlign w:val="center"/>
          </w:tcPr>
          <w:p w14:paraId="72A0FDF8"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2019</w:t>
            </w:r>
            <w:r w:rsidRPr="00FB7EFF">
              <w:rPr>
                <w:rFonts w:ascii="Arial" w:eastAsia="华文细黑" w:hAnsi="Arial" w:cs="Arial"/>
                <w:sz w:val="15"/>
                <w:szCs w:val="15"/>
              </w:rPr>
              <w:t>年</w:t>
            </w:r>
            <w:r w:rsidRPr="00FB7EFF">
              <w:rPr>
                <w:rFonts w:ascii="Arial" w:eastAsia="华文细黑" w:hAnsi="Arial" w:cs="Arial"/>
                <w:sz w:val="15"/>
                <w:szCs w:val="15"/>
              </w:rPr>
              <w:t>12</w:t>
            </w:r>
            <w:r w:rsidRPr="00FB7EFF">
              <w:rPr>
                <w:rFonts w:ascii="Arial" w:eastAsia="华文细黑" w:hAnsi="Arial" w:cs="Arial"/>
                <w:sz w:val="15"/>
                <w:szCs w:val="15"/>
              </w:rPr>
              <w:t>月</w:t>
            </w:r>
          </w:p>
        </w:tc>
        <w:tc>
          <w:tcPr>
            <w:tcW w:w="2287" w:type="dxa"/>
            <w:vAlign w:val="center"/>
          </w:tcPr>
          <w:p w14:paraId="253C0536"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2021</w:t>
            </w:r>
            <w:r w:rsidRPr="00FB7EFF">
              <w:rPr>
                <w:rFonts w:ascii="Arial" w:eastAsia="华文细黑" w:hAnsi="Arial" w:cs="Arial"/>
                <w:sz w:val="15"/>
                <w:szCs w:val="15"/>
              </w:rPr>
              <w:t>年</w:t>
            </w:r>
            <w:r w:rsidRPr="00FB7EFF">
              <w:rPr>
                <w:rFonts w:ascii="Arial" w:eastAsia="华文细黑" w:hAnsi="Arial" w:cs="Arial"/>
                <w:sz w:val="15"/>
                <w:szCs w:val="15"/>
              </w:rPr>
              <w:t>4</w:t>
            </w:r>
            <w:r w:rsidRPr="00FB7EFF">
              <w:rPr>
                <w:rFonts w:ascii="Arial" w:eastAsia="华文细黑" w:hAnsi="Arial" w:cs="Arial"/>
                <w:sz w:val="15"/>
                <w:szCs w:val="15"/>
              </w:rPr>
              <w:t>月</w:t>
            </w:r>
          </w:p>
        </w:tc>
        <w:tc>
          <w:tcPr>
            <w:tcW w:w="2304" w:type="dxa"/>
            <w:vAlign w:val="center"/>
          </w:tcPr>
          <w:p w14:paraId="0AA0B4AC" w14:textId="77777777" w:rsidR="00935557" w:rsidRPr="00204B22" w:rsidRDefault="00935557" w:rsidP="00193F01">
            <w:pPr>
              <w:jc w:val="both"/>
              <w:rPr>
                <w:rFonts w:ascii="Arial" w:eastAsia="华文细黑" w:hAnsi="Arial" w:cs="Arial"/>
                <w:sz w:val="15"/>
                <w:szCs w:val="15"/>
              </w:rPr>
            </w:pPr>
            <w:r w:rsidRPr="00FB7EFF">
              <w:rPr>
                <w:rFonts w:ascii="Arial" w:eastAsia="华文细黑" w:hAnsi="Arial" w:cs="Arial"/>
                <w:sz w:val="15"/>
                <w:szCs w:val="15"/>
              </w:rPr>
              <w:t>2020</w:t>
            </w:r>
            <w:r w:rsidRPr="00FB7EFF">
              <w:rPr>
                <w:rFonts w:ascii="Arial" w:eastAsia="华文细黑" w:hAnsi="Arial" w:cs="Arial"/>
                <w:sz w:val="15"/>
                <w:szCs w:val="15"/>
              </w:rPr>
              <w:t>年</w:t>
            </w:r>
            <w:r w:rsidRPr="00FB7EFF">
              <w:rPr>
                <w:rFonts w:ascii="Arial" w:eastAsia="华文细黑" w:hAnsi="Arial" w:cs="Arial"/>
                <w:sz w:val="15"/>
                <w:szCs w:val="15"/>
              </w:rPr>
              <w:t>12</w:t>
            </w:r>
            <w:r w:rsidRPr="00FB7EFF">
              <w:rPr>
                <w:rFonts w:ascii="Arial" w:eastAsia="华文细黑" w:hAnsi="Arial" w:cs="Arial"/>
                <w:sz w:val="15"/>
                <w:szCs w:val="15"/>
              </w:rPr>
              <w:t>月</w:t>
            </w:r>
          </w:p>
        </w:tc>
      </w:tr>
      <w:tr w:rsidR="00152865" w:rsidRPr="00C253C2" w14:paraId="4BDEC854" w14:textId="77777777" w:rsidTr="00193F01">
        <w:trPr>
          <w:cantSplit/>
          <w:trHeight w:val="283"/>
          <w:jc w:val="center"/>
        </w:trPr>
        <w:tc>
          <w:tcPr>
            <w:tcW w:w="562" w:type="dxa"/>
            <w:shd w:val="clear" w:color="000000" w:fill="C0C0C0"/>
            <w:vAlign w:val="center"/>
            <w:hideMark/>
          </w:tcPr>
          <w:p w14:paraId="794C7FDA" w14:textId="77777777" w:rsidR="00935557" w:rsidRPr="00C253C2" w:rsidRDefault="00935557" w:rsidP="00193F01">
            <w:pPr>
              <w:rPr>
                <w:rFonts w:ascii="Arial" w:eastAsia="华文细黑" w:hAnsi="Arial" w:cs="Arial"/>
                <w:b/>
                <w:bCs/>
                <w:sz w:val="15"/>
                <w:szCs w:val="15"/>
              </w:rPr>
            </w:pPr>
            <w:r w:rsidRPr="00C253C2">
              <w:rPr>
                <w:rFonts w:ascii="Arial" w:eastAsia="华文细黑" w:hAnsi="Arial" w:cs="Arial"/>
                <w:b/>
                <w:bCs/>
                <w:sz w:val="15"/>
                <w:szCs w:val="15"/>
              </w:rPr>
              <w:t>主力产品</w:t>
            </w:r>
          </w:p>
        </w:tc>
        <w:tc>
          <w:tcPr>
            <w:tcW w:w="2315" w:type="dxa"/>
            <w:shd w:val="clear" w:color="auto" w:fill="auto"/>
            <w:vAlign w:val="center"/>
          </w:tcPr>
          <w:p w14:paraId="06D1CA95"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92</w:t>
            </w:r>
            <w:r w:rsidRPr="00FB7EFF">
              <w:rPr>
                <w:rFonts w:ascii="Arial" w:eastAsia="华文细黑" w:hAnsi="Arial" w:cs="Arial"/>
                <w:sz w:val="15"/>
                <w:szCs w:val="15"/>
              </w:rPr>
              <w:t>、</w:t>
            </w:r>
            <w:r w:rsidRPr="00FB7EFF">
              <w:rPr>
                <w:rFonts w:ascii="Arial" w:eastAsia="华文细黑" w:hAnsi="Arial" w:cs="Arial"/>
                <w:sz w:val="15"/>
                <w:szCs w:val="15"/>
              </w:rPr>
              <w:t>126</w:t>
            </w:r>
            <w:r w:rsidRPr="00FB7EFF">
              <w:rPr>
                <w:rFonts w:ascii="Arial" w:eastAsia="华文细黑" w:hAnsi="Arial" w:cs="Arial"/>
                <w:sz w:val="15"/>
                <w:szCs w:val="15"/>
              </w:rPr>
              <w:t>、</w:t>
            </w:r>
            <w:r w:rsidRPr="00FB7EFF">
              <w:rPr>
                <w:rFonts w:ascii="Arial" w:eastAsia="华文细黑" w:hAnsi="Arial" w:cs="Arial"/>
                <w:sz w:val="15"/>
                <w:szCs w:val="15"/>
              </w:rPr>
              <w:t>127</w:t>
            </w:r>
            <w:r w:rsidRPr="00FB7EFF">
              <w:rPr>
                <w:rFonts w:ascii="Arial" w:eastAsia="华文细黑" w:hAnsi="Arial" w:cs="Arial"/>
                <w:sz w:val="15"/>
                <w:szCs w:val="15"/>
              </w:rPr>
              <w:t>㎡</w:t>
            </w:r>
          </w:p>
        </w:tc>
        <w:tc>
          <w:tcPr>
            <w:tcW w:w="2343" w:type="dxa"/>
            <w:shd w:val="clear" w:color="auto" w:fill="auto"/>
            <w:vAlign w:val="center"/>
          </w:tcPr>
          <w:p w14:paraId="39555753"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90</w:t>
            </w:r>
            <w:r w:rsidRPr="00FB7EFF">
              <w:rPr>
                <w:rFonts w:ascii="Arial" w:eastAsia="华文细黑" w:hAnsi="Arial" w:cs="Arial"/>
                <w:sz w:val="15"/>
                <w:szCs w:val="15"/>
              </w:rPr>
              <w:t>、</w:t>
            </w:r>
            <w:r w:rsidRPr="00FB7EFF">
              <w:rPr>
                <w:rFonts w:ascii="Arial" w:eastAsia="华文细黑" w:hAnsi="Arial" w:cs="Arial"/>
                <w:sz w:val="15"/>
                <w:szCs w:val="15"/>
              </w:rPr>
              <w:t>120</w:t>
            </w:r>
            <w:r w:rsidRPr="00FB7EFF">
              <w:rPr>
                <w:rFonts w:ascii="Arial" w:eastAsia="华文细黑" w:hAnsi="Arial" w:cs="Arial"/>
                <w:sz w:val="15"/>
                <w:szCs w:val="15"/>
              </w:rPr>
              <w:t>、</w:t>
            </w:r>
            <w:r w:rsidRPr="00FB7EFF">
              <w:rPr>
                <w:rFonts w:ascii="Arial" w:eastAsia="华文细黑" w:hAnsi="Arial" w:cs="Arial"/>
                <w:sz w:val="15"/>
                <w:szCs w:val="15"/>
              </w:rPr>
              <w:t>142</w:t>
            </w:r>
            <w:r w:rsidRPr="00FB7EFF">
              <w:rPr>
                <w:rFonts w:ascii="Arial" w:eastAsia="华文细黑" w:hAnsi="Arial" w:cs="Arial"/>
                <w:sz w:val="15"/>
                <w:szCs w:val="15"/>
              </w:rPr>
              <w:t>㎡</w:t>
            </w:r>
          </w:p>
        </w:tc>
        <w:tc>
          <w:tcPr>
            <w:tcW w:w="2454" w:type="dxa"/>
            <w:shd w:val="clear" w:color="auto" w:fill="auto"/>
            <w:vAlign w:val="center"/>
          </w:tcPr>
          <w:p w14:paraId="1A03D08A"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89</w:t>
            </w:r>
            <w:r w:rsidRPr="00FB7EFF">
              <w:rPr>
                <w:rFonts w:ascii="Arial" w:eastAsia="华文细黑" w:hAnsi="Arial" w:cs="Arial"/>
                <w:sz w:val="15"/>
                <w:szCs w:val="15"/>
              </w:rPr>
              <w:t>、</w:t>
            </w:r>
            <w:r w:rsidRPr="00FB7EFF">
              <w:rPr>
                <w:rFonts w:ascii="Arial" w:eastAsia="华文细黑" w:hAnsi="Arial" w:cs="Arial"/>
                <w:sz w:val="15"/>
                <w:szCs w:val="15"/>
              </w:rPr>
              <w:t>113</w:t>
            </w:r>
            <w:r w:rsidRPr="00FB7EFF">
              <w:rPr>
                <w:rFonts w:ascii="Arial" w:eastAsia="华文细黑" w:hAnsi="Arial" w:cs="Arial"/>
                <w:sz w:val="15"/>
                <w:szCs w:val="15"/>
              </w:rPr>
              <w:t>㎡</w:t>
            </w:r>
          </w:p>
        </w:tc>
        <w:tc>
          <w:tcPr>
            <w:tcW w:w="2364" w:type="dxa"/>
            <w:vAlign w:val="center"/>
          </w:tcPr>
          <w:p w14:paraId="1F63F941"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95</w:t>
            </w:r>
            <w:r w:rsidRPr="00FB7EFF">
              <w:rPr>
                <w:rFonts w:ascii="Arial" w:eastAsia="华文细黑" w:hAnsi="Arial" w:cs="Arial"/>
                <w:sz w:val="15"/>
                <w:szCs w:val="15"/>
              </w:rPr>
              <w:t>、</w:t>
            </w:r>
            <w:r w:rsidRPr="00FB7EFF">
              <w:rPr>
                <w:rFonts w:ascii="Arial" w:eastAsia="华文细黑" w:hAnsi="Arial" w:cs="Arial"/>
                <w:sz w:val="15"/>
                <w:szCs w:val="15"/>
              </w:rPr>
              <w:t>117</w:t>
            </w:r>
            <w:r w:rsidRPr="00FB7EFF">
              <w:rPr>
                <w:rFonts w:ascii="Arial" w:eastAsia="华文细黑" w:hAnsi="Arial" w:cs="Arial"/>
                <w:sz w:val="15"/>
                <w:szCs w:val="15"/>
              </w:rPr>
              <w:t>、</w:t>
            </w:r>
            <w:r w:rsidRPr="00FB7EFF">
              <w:rPr>
                <w:rFonts w:ascii="Arial" w:eastAsia="华文细黑" w:hAnsi="Arial" w:cs="Arial"/>
                <w:sz w:val="15"/>
                <w:szCs w:val="15"/>
              </w:rPr>
              <w:t>119</w:t>
            </w:r>
            <w:r w:rsidRPr="00FB7EFF">
              <w:rPr>
                <w:rFonts w:ascii="Arial" w:eastAsia="华文细黑" w:hAnsi="Arial" w:cs="Arial"/>
                <w:sz w:val="15"/>
                <w:szCs w:val="15"/>
              </w:rPr>
              <w:t>、</w:t>
            </w:r>
            <w:r w:rsidRPr="00FB7EFF">
              <w:rPr>
                <w:rFonts w:ascii="Arial" w:eastAsia="华文细黑" w:hAnsi="Arial" w:cs="Arial"/>
                <w:sz w:val="15"/>
                <w:szCs w:val="15"/>
              </w:rPr>
              <w:t>138</w:t>
            </w:r>
            <w:r w:rsidRPr="00FB7EFF">
              <w:rPr>
                <w:rFonts w:ascii="Arial" w:eastAsia="华文细黑" w:hAnsi="Arial" w:cs="Arial"/>
                <w:sz w:val="15"/>
                <w:szCs w:val="15"/>
              </w:rPr>
              <w:t>㎡</w:t>
            </w:r>
          </w:p>
        </w:tc>
        <w:tc>
          <w:tcPr>
            <w:tcW w:w="2287" w:type="dxa"/>
            <w:vAlign w:val="center"/>
          </w:tcPr>
          <w:p w14:paraId="595DF227"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76</w:t>
            </w:r>
            <w:r w:rsidRPr="00FB7EFF">
              <w:rPr>
                <w:rFonts w:ascii="Arial" w:eastAsia="华文细黑" w:hAnsi="Arial" w:cs="Arial"/>
                <w:sz w:val="15"/>
                <w:szCs w:val="15"/>
              </w:rPr>
              <w:t>、</w:t>
            </w:r>
            <w:r w:rsidRPr="00FB7EFF">
              <w:rPr>
                <w:rFonts w:ascii="Arial" w:eastAsia="华文细黑" w:hAnsi="Arial" w:cs="Arial"/>
                <w:sz w:val="15"/>
                <w:szCs w:val="15"/>
              </w:rPr>
              <w:t>89</w:t>
            </w:r>
            <w:r w:rsidRPr="00FB7EFF">
              <w:rPr>
                <w:rFonts w:ascii="Arial" w:eastAsia="华文细黑" w:hAnsi="Arial" w:cs="Arial"/>
                <w:sz w:val="15"/>
                <w:szCs w:val="15"/>
              </w:rPr>
              <w:t>、</w:t>
            </w:r>
            <w:r w:rsidRPr="00FB7EFF">
              <w:rPr>
                <w:rFonts w:ascii="Arial" w:eastAsia="华文细黑" w:hAnsi="Arial" w:cs="Arial"/>
                <w:sz w:val="15"/>
                <w:szCs w:val="15"/>
              </w:rPr>
              <w:t>110</w:t>
            </w:r>
            <w:r w:rsidRPr="00FB7EFF">
              <w:rPr>
                <w:rFonts w:ascii="Arial" w:eastAsia="华文细黑" w:hAnsi="Arial" w:cs="Arial"/>
                <w:sz w:val="15"/>
                <w:szCs w:val="15"/>
              </w:rPr>
              <w:t>㎡</w:t>
            </w:r>
          </w:p>
        </w:tc>
        <w:tc>
          <w:tcPr>
            <w:tcW w:w="2304" w:type="dxa"/>
            <w:vAlign w:val="center"/>
          </w:tcPr>
          <w:p w14:paraId="041F9D36"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128</w:t>
            </w:r>
            <w:r w:rsidRPr="00FB7EFF">
              <w:rPr>
                <w:rFonts w:ascii="Arial" w:eastAsia="华文细黑" w:hAnsi="Arial" w:cs="Arial"/>
                <w:sz w:val="15"/>
                <w:szCs w:val="15"/>
              </w:rPr>
              <w:t>、</w:t>
            </w:r>
            <w:r w:rsidRPr="00FB7EFF">
              <w:rPr>
                <w:rFonts w:ascii="Arial" w:eastAsia="华文细黑" w:hAnsi="Arial" w:cs="Arial"/>
                <w:sz w:val="15"/>
                <w:szCs w:val="15"/>
              </w:rPr>
              <w:t>96</w:t>
            </w:r>
            <w:r w:rsidRPr="00FB7EFF">
              <w:rPr>
                <w:rFonts w:ascii="Arial" w:eastAsia="华文细黑" w:hAnsi="Arial" w:cs="Arial"/>
                <w:sz w:val="15"/>
                <w:szCs w:val="15"/>
              </w:rPr>
              <w:t>㎡</w:t>
            </w:r>
          </w:p>
        </w:tc>
      </w:tr>
      <w:tr w:rsidR="00152865" w:rsidRPr="00C253C2" w14:paraId="622250A0" w14:textId="77777777" w:rsidTr="00193F01">
        <w:trPr>
          <w:cantSplit/>
          <w:trHeight w:val="283"/>
          <w:jc w:val="center"/>
        </w:trPr>
        <w:tc>
          <w:tcPr>
            <w:tcW w:w="562" w:type="dxa"/>
            <w:shd w:val="clear" w:color="000000" w:fill="C0C0C0"/>
            <w:vAlign w:val="center"/>
          </w:tcPr>
          <w:p w14:paraId="3CB822B2" w14:textId="77777777" w:rsidR="00935557" w:rsidRPr="00C253C2" w:rsidRDefault="00935557" w:rsidP="00193F01">
            <w:pPr>
              <w:rPr>
                <w:rFonts w:ascii="Arial" w:eastAsia="华文细黑" w:hAnsi="Arial" w:cs="Arial"/>
                <w:b/>
                <w:bCs/>
                <w:sz w:val="15"/>
                <w:szCs w:val="15"/>
              </w:rPr>
            </w:pPr>
            <w:r w:rsidRPr="00C253C2">
              <w:rPr>
                <w:rFonts w:ascii="Arial" w:eastAsia="华文细黑" w:hAnsi="Arial" w:cs="Arial"/>
                <w:b/>
                <w:bCs/>
                <w:sz w:val="15"/>
                <w:szCs w:val="15"/>
              </w:rPr>
              <w:t>停车位</w:t>
            </w:r>
          </w:p>
        </w:tc>
        <w:tc>
          <w:tcPr>
            <w:tcW w:w="2315" w:type="dxa"/>
            <w:shd w:val="clear" w:color="auto" w:fill="auto"/>
            <w:vAlign w:val="center"/>
          </w:tcPr>
          <w:p w14:paraId="7F17DAE1"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hint="eastAsia"/>
                <w:sz w:val="15"/>
                <w:szCs w:val="15"/>
              </w:rPr>
              <w:t>车位数</w:t>
            </w:r>
            <w:r w:rsidRPr="00FB7EFF">
              <w:rPr>
                <w:rFonts w:ascii="Arial" w:eastAsia="华文细黑" w:hAnsi="Arial" w:cs="Arial"/>
                <w:sz w:val="15"/>
                <w:szCs w:val="15"/>
              </w:rPr>
              <w:t>2218</w:t>
            </w:r>
            <w:r w:rsidRPr="00FB7EFF">
              <w:rPr>
                <w:rFonts w:ascii="Arial" w:eastAsia="华文细黑" w:hAnsi="Arial" w:cs="Arial"/>
                <w:sz w:val="15"/>
                <w:szCs w:val="15"/>
              </w:rPr>
              <w:t>个，车位比</w:t>
            </w:r>
            <w:r w:rsidRPr="00FB7EFF">
              <w:rPr>
                <w:rFonts w:ascii="Arial" w:eastAsia="华文细黑" w:hAnsi="Arial" w:cs="Arial"/>
                <w:sz w:val="15"/>
                <w:szCs w:val="15"/>
              </w:rPr>
              <w:t>1</w:t>
            </w:r>
            <w:r w:rsidRPr="00FB7EFF">
              <w:rPr>
                <w:rFonts w:ascii="Arial" w:eastAsia="华文细黑" w:hAnsi="Arial" w:cs="Arial"/>
                <w:sz w:val="15"/>
                <w:szCs w:val="15"/>
              </w:rPr>
              <w:t>：</w:t>
            </w:r>
            <w:r w:rsidRPr="00FB7EFF">
              <w:rPr>
                <w:rFonts w:ascii="Arial" w:eastAsia="华文细黑" w:hAnsi="Arial" w:cs="Arial"/>
                <w:sz w:val="15"/>
                <w:szCs w:val="15"/>
              </w:rPr>
              <w:t>1.3</w:t>
            </w:r>
          </w:p>
        </w:tc>
        <w:tc>
          <w:tcPr>
            <w:tcW w:w="2343" w:type="dxa"/>
            <w:shd w:val="clear" w:color="auto" w:fill="auto"/>
            <w:vAlign w:val="center"/>
          </w:tcPr>
          <w:p w14:paraId="5134F03C"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1853</w:t>
            </w:r>
            <w:r w:rsidRPr="00FB7EFF">
              <w:rPr>
                <w:rFonts w:ascii="Arial" w:eastAsia="华文细黑" w:hAnsi="Arial" w:cs="Arial"/>
                <w:sz w:val="15"/>
                <w:szCs w:val="15"/>
              </w:rPr>
              <w:t>个</w:t>
            </w:r>
          </w:p>
        </w:tc>
        <w:tc>
          <w:tcPr>
            <w:tcW w:w="2454" w:type="dxa"/>
            <w:shd w:val="clear" w:color="auto" w:fill="auto"/>
            <w:vAlign w:val="center"/>
          </w:tcPr>
          <w:p w14:paraId="76F1096E"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可售车位数量</w:t>
            </w:r>
            <w:r w:rsidRPr="00FB7EFF">
              <w:rPr>
                <w:rFonts w:ascii="Arial" w:eastAsia="华文细黑" w:hAnsi="Arial" w:cs="Arial"/>
                <w:sz w:val="15"/>
                <w:szCs w:val="15"/>
              </w:rPr>
              <w:t>1565</w:t>
            </w:r>
            <w:r w:rsidRPr="00FB7EFF">
              <w:rPr>
                <w:rFonts w:ascii="Arial" w:eastAsia="华文细黑" w:hAnsi="Arial" w:cs="Arial"/>
                <w:sz w:val="15"/>
                <w:szCs w:val="15"/>
              </w:rPr>
              <w:t>个，可租车位</w:t>
            </w:r>
            <w:r w:rsidRPr="00FB7EFF">
              <w:rPr>
                <w:rFonts w:ascii="Arial" w:eastAsia="华文细黑" w:hAnsi="Arial" w:cs="Arial"/>
                <w:sz w:val="15"/>
                <w:szCs w:val="15"/>
              </w:rPr>
              <w:t>144</w:t>
            </w:r>
            <w:r w:rsidRPr="00FB7EFF">
              <w:rPr>
                <w:rFonts w:ascii="Arial" w:eastAsia="华文细黑" w:hAnsi="Arial" w:cs="Arial"/>
                <w:sz w:val="15"/>
                <w:szCs w:val="15"/>
              </w:rPr>
              <w:t>个</w:t>
            </w:r>
          </w:p>
        </w:tc>
        <w:tc>
          <w:tcPr>
            <w:tcW w:w="2364" w:type="dxa"/>
            <w:vAlign w:val="center"/>
          </w:tcPr>
          <w:p w14:paraId="1803C6C9"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1231</w:t>
            </w:r>
            <w:r w:rsidRPr="00FB7EFF">
              <w:rPr>
                <w:rFonts w:ascii="Arial" w:eastAsia="华文细黑" w:hAnsi="Arial" w:cs="Arial"/>
                <w:sz w:val="15"/>
                <w:szCs w:val="15"/>
              </w:rPr>
              <w:t>个</w:t>
            </w:r>
          </w:p>
        </w:tc>
        <w:tc>
          <w:tcPr>
            <w:tcW w:w="2287" w:type="dxa"/>
            <w:vAlign w:val="center"/>
          </w:tcPr>
          <w:p w14:paraId="63EDD03A"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1658</w:t>
            </w:r>
            <w:r w:rsidRPr="00FB7EFF">
              <w:rPr>
                <w:rFonts w:ascii="Arial" w:eastAsia="华文细黑" w:hAnsi="Arial" w:cs="Arial"/>
                <w:sz w:val="15"/>
                <w:szCs w:val="15"/>
              </w:rPr>
              <w:t>（地上</w:t>
            </w:r>
            <w:r w:rsidRPr="00FB7EFF">
              <w:rPr>
                <w:rFonts w:ascii="Arial" w:eastAsia="华文细黑" w:hAnsi="Arial" w:cs="Arial"/>
                <w:sz w:val="15"/>
                <w:szCs w:val="15"/>
              </w:rPr>
              <w:t>144</w:t>
            </w:r>
            <w:r w:rsidRPr="00FB7EFF">
              <w:rPr>
                <w:rFonts w:ascii="Arial" w:eastAsia="华文细黑" w:hAnsi="Arial" w:cs="Arial"/>
                <w:sz w:val="15"/>
                <w:szCs w:val="15"/>
              </w:rPr>
              <w:t>，地下</w:t>
            </w:r>
            <w:r w:rsidRPr="00FB7EFF">
              <w:rPr>
                <w:rFonts w:ascii="Arial" w:eastAsia="华文细黑" w:hAnsi="Arial" w:cs="Arial"/>
                <w:sz w:val="15"/>
                <w:szCs w:val="15"/>
              </w:rPr>
              <w:t>1514</w:t>
            </w:r>
            <w:r w:rsidRPr="00FB7EFF">
              <w:rPr>
                <w:rFonts w:ascii="Arial" w:eastAsia="华文细黑" w:hAnsi="Arial" w:cs="Arial"/>
                <w:sz w:val="15"/>
                <w:szCs w:val="15"/>
              </w:rPr>
              <w:t>）</w:t>
            </w:r>
          </w:p>
        </w:tc>
        <w:tc>
          <w:tcPr>
            <w:tcW w:w="2304" w:type="dxa"/>
            <w:vAlign w:val="center"/>
          </w:tcPr>
          <w:p w14:paraId="355A3EA7"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537</w:t>
            </w:r>
            <w:r w:rsidRPr="00FB7EFF">
              <w:rPr>
                <w:rFonts w:ascii="Arial" w:eastAsia="华文细黑" w:hAnsi="Arial" w:cs="Arial"/>
                <w:sz w:val="15"/>
                <w:szCs w:val="15"/>
              </w:rPr>
              <w:t>个车位，车位配比</w:t>
            </w:r>
            <w:r w:rsidRPr="00FB7EFF">
              <w:rPr>
                <w:rFonts w:ascii="Arial" w:eastAsia="华文细黑" w:hAnsi="Arial" w:cs="Arial"/>
                <w:sz w:val="15"/>
                <w:szCs w:val="15"/>
              </w:rPr>
              <w:t>1:1.2</w:t>
            </w:r>
          </w:p>
        </w:tc>
      </w:tr>
      <w:tr w:rsidR="00152865" w:rsidRPr="00C253C2" w14:paraId="46B31F6B" w14:textId="77777777" w:rsidTr="00193F01">
        <w:trPr>
          <w:cantSplit/>
          <w:trHeight w:val="283"/>
          <w:jc w:val="center"/>
        </w:trPr>
        <w:tc>
          <w:tcPr>
            <w:tcW w:w="562" w:type="dxa"/>
            <w:shd w:val="clear" w:color="000000" w:fill="C0C0C0"/>
            <w:vAlign w:val="center"/>
          </w:tcPr>
          <w:p w14:paraId="597C00A9" w14:textId="77777777" w:rsidR="00935557" w:rsidRPr="00C253C2" w:rsidRDefault="00935557" w:rsidP="00193F01">
            <w:pPr>
              <w:rPr>
                <w:rFonts w:ascii="Arial" w:eastAsia="华文细黑" w:hAnsi="Arial" w:cs="Arial"/>
                <w:b/>
                <w:bCs/>
                <w:sz w:val="15"/>
                <w:szCs w:val="15"/>
              </w:rPr>
            </w:pPr>
            <w:r w:rsidRPr="00C253C2">
              <w:rPr>
                <w:rFonts w:ascii="Arial" w:eastAsia="华文细黑" w:hAnsi="Arial" w:cs="Arial"/>
                <w:b/>
                <w:bCs/>
                <w:sz w:val="15"/>
                <w:szCs w:val="15"/>
              </w:rPr>
              <w:lastRenderedPageBreak/>
              <w:t>总户数</w:t>
            </w:r>
          </w:p>
        </w:tc>
        <w:tc>
          <w:tcPr>
            <w:tcW w:w="2315" w:type="dxa"/>
            <w:shd w:val="clear" w:color="auto" w:fill="auto"/>
            <w:vAlign w:val="center"/>
          </w:tcPr>
          <w:p w14:paraId="05323AE0"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1533</w:t>
            </w:r>
            <w:r w:rsidRPr="00FB7EFF">
              <w:rPr>
                <w:rFonts w:ascii="Arial" w:eastAsia="华文细黑" w:hAnsi="Arial" w:cs="Arial"/>
                <w:sz w:val="15"/>
                <w:szCs w:val="15"/>
              </w:rPr>
              <w:t>户</w:t>
            </w:r>
          </w:p>
        </w:tc>
        <w:tc>
          <w:tcPr>
            <w:tcW w:w="2343" w:type="dxa"/>
            <w:shd w:val="clear" w:color="auto" w:fill="auto"/>
            <w:vAlign w:val="center"/>
          </w:tcPr>
          <w:p w14:paraId="730950EE"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1562</w:t>
            </w:r>
            <w:r w:rsidRPr="00FB7EFF">
              <w:rPr>
                <w:rFonts w:ascii="Arial" w:eastAsia="华文细黑" w:hAnsi="Arial" w:cs="Arial"/>
                <w:sz w:val="15"/>
                <w:szCs w:val="15"/>
              </w:rPr>
              <w:t>户</w:t>
            </w:r>
          </w:p>
        </w:tc>
        <w:tc>
          <w:tcPr>
            <w:tcW w:w="2454" w:type="dxa"/>
            <w:shd w:val="clear" w:color="auto" w:fill="auto"/>
            <w:vAlign w:val="center"/>
          </w:tcPr>
          <w:p w14:paraId="4772A515"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1535</w:t>
            </w:r>
            <w:r w:rsidRPr="00FB7EFF">
              <w:rPr>
                <w:rFonts w:ascii="Arial" w:eastAsia="华文细黑" w:hAnsi="Arial" w:cs="Arial"/>
                <w:sz w:val="15"/>
                <w:szCs w:val="15"/>
              </w:rPr>
              <w:t>户</w:t>
            </w:r>
          </w:p>
        </w:tc>
        <w:tc>
          <w:tcPr>
            <w:tcW w:w="2364" w:type="dxa"/>
            <w:vAlign w:val="center"/>
          </w:tcPr>
          <w:p w14:paraId="143402C1"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1016</w:t>
            </w:r>
            <w:r w:rsidRPr="00FB7EFF">
              <w:rPr>
                <w:rFonts w:ascii="Arial" w:eastAsia="华文细黑" w:hAnsi="Arial" w:cs="Arial"/>
                <w:sz w:val="15"/>
                <w:szCs w:val="15"/>
              </w:rPr>
              <w:t>户</w:t>
            </w:r>
          </w:p>
        </w:tc>
        <w:tc>
          <w:tcPr>
            <w:tcW w:w="2287" w:type="dxa"/>
            <w:vAlign w:val="center"/>
          </w:tcPr>
          <w:p w14:paraId="2A5A5DB6"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1444</w:t>
            </w:r>
            <w:r w:rsidRPr="00FB7EFF">
              <w:rPr>
                <w:rFonts w:ascii="Arial" w:eastAsia="华文细黑" w:hAnsi="Arial" w:cs="Arial"/>
                <w:sz w:val="15"/>
                <w:szCs w:val="15"/>
              </w:rPr>
              <w:t>户</w:t>
            </w:r>
          </w:p>
        </w:tc>
        <w:tc>
          <w:tcPr>
            <w:tcW w:w="2304" w:type="dxa"/>
            <w:vAlign w:val="center"/>
          </w:tcPr>
          <w:p w14:paraId="67C9E06A"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432</w:t>
            </w:r>
            <w:r w:rsidRPr="00FB7EFF">
              <w:rPr>
                <w:rFonts w:ascii="Arial" w:eastAsia="华文细黑" w:hAnsi="Arial" w:cs="Arial"/>
                <w:sz w:val="15"/>
                <w:szCs w:val="15"/>
              </w:rPr>
              <w:t>户</w:t>
            </w:r>
          </w:p>
        </w:tc>
      </w:tr>
      <w:tr w:rsidR="00152865" w:rsidRPr="00C253C2" w14:paraId="0D6C7E30" w14:textId="77777777" w:rsidTr="00193F01">
        <w:trPr>
          <w:cantSplit/>
          <w:trHeight w:val="283"/>
          <w:jc w:val="center"/>
        </w:trPr>
        <w:tc>
          <w:tcPr>
            <w:tcW w:w="562" w:type="dxa"/>
            <w:shd w:val="clear" w:color="000000" w:fill="C0C0C0"/>
            <w:vAlign w:val="center"/>
          </w:tcPr>
          <w:p w14:paraId="60C92EB3" w14:textId="77777777" w:rsidR="00935557" w:rsidRPr="00C253C2" w:rsidRDefault="00935557" w:rsidP="00193F01">
            <w:pPr>
              <w:rPr>
                <w:rFonts w:ascii="Arial" w:eastAsia="华文细黑" w:hAnsi="Arial" w:cs="Arial"/>
                <w:b/>
                <w:bCs/>
                <w:sz w:val="15"/>
                <w:szCs w:val="15"/>
              </w:rPr>
            </w:pPr>
            <w:r w:rsidRPr="00C253C2">
              <w:rPr>
                <w:rFonts w:ascii="Arial" w:eastAsia="华文细黑" w:hAnsi="Arial" w:cs="Arial"/>
                <w:b/>
                <w:bCs/>
                <w:sz w:val="15"/>
                <w:szCs w:val="15"/>
              </w:rPr>
              <w:t>物业公司</w:t>
            </w:r>
          </w:p>
        </w:tc>
        <w:tc>
          <w:tcPr>
            <w:tcW w:w="2315" w:type="dxa"/>
            <w:shd w:val="clear" w:color="auto" w:fill="auto"/>
            <w:vAlign w:val="center"/>
          </w:tcPr>
          <w:p w14:paraId="21117946"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hint="eastAsia"/>
                <w:sz w:val="15"/>
                <w:szCs w:val="15"/>
              </w:rPr>
              <w:t>宋都物业</w:t>
            </w:r>
          </w:p>
        </w:tc>
        <w:tc>
          <w:tcPr>
            <w:tcW w:w="2343" w:type="dxa"/>
            <w:shd w:val="clear" w:color="auto" w:fill="auto"/>
            <w:vAlign w:val="center"/>
          </w:tcPr>
          <w:p w14:paraId="366629A7"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银城物业</w:t>
            </w:r>
            <w:r w:rsidRPr="00FB7EFF">
              <w:rPr>
                <w:rFonts w:ascii="Arial" w:eastAsia="华文细黑" w:hAnsi="Arial" w:cs="Arial"/>
                <w:sz w:val="15"/>
                <w:szCs w:val="15"/>
              </w:rPr>
              <w:t>,</w:t>
            </w:r>
            <w:r w:rsidRPr="00FB7EFF">
              <w:rPr>
                <w:rFonts w:ascii="Arial" w:eastAsia="华文细黑" w:hAnsi="Arial" w:cs="Arial"/>
                <w:sz w:val="15"/>
                <w:szCs w:val="15"/>
              </w:rPr>
              <w:t>吉祥物业</w:t>
            </w:r>
          </w:p>
        </w:tc>
        <w:tc>
          <w:tcPr>
            <w:tcW w:w="2454" w:type="dxa"/>
            <w:shd w:val="clear" w:color="auto" w:fill="auto"/>
            <w:vAlign w:val="center"/>
          </w:tcPr>
          <w:p w14:paraId="0858C07E"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电建物业</w:t>
            </w:r>
          </w:p>
        </w:tc>
        <w:tc>
          <w:tcPr>
            <w:tcW w:w="2364" w:type="dxa"/>
            <w:vAlign w:val="center"/>
          </w:tcPr>
          <w:p w14:paraId="4FDD4690"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上海</w:t>
            </w:r>
            <w:proofErr w:type="gramStart"/>
            <w:r w:rsidRPr="00FB7EFF">
              <w:rPr>
                <w:rFonts w:ascii="Arial" w:eastAsia="华文细黑" w:hAnsi="Arial" w:cs="Arial"/>
                <w:sz w:val="15"/>
                <w:szCs w:val="15"/>
              </w:rPr>
              <w:t>世</w:t>
            </w:r>
            <w:proofErr w:type="gramEnd"/>
            <w:r w:rsidRPr="00FB7EFF">
              <w:rPr>
                <w:rFonts w:ascii="Arial" w:eastAsia="华文细黑" w:hAnsi="Arial" w:cs="Arial"/>
                <w:sz w:val="15"/>
                <w:szCs w:val="15"/>
              </w:rPr>
              <w:t>茂物业服务有限公司</w:t>
            </w:r>
          </w:p>
        </w:tc>
        <w:tc>
          <w:tcPr>
            <w:tcW w:w="2287" w:type="dxa"/>
            <w:vAlign w:val="center"/>
          </w:tcPr>
          <w:p w14:paraId="76E8E344" w14:textId="77777777" w:rsidR="00935557" w:rsidRPr="00C253C2" w:rsidRDefault="00935557" w:rsidP="00193F01">
            <w:pPr>
              <w:jc w:val="both"/>
              <w:rPr>
                <w:rFonts w:ascii="Arial" w:eastAsia="华文细黑" w:hAnsi="Arial" w:cs="Arial"/>
                <w:sz w:val="15"/>
                <w:szCs w:val="15"/>
              </w:rPr>
            </w:pPr>
            <w:proofErr w:type="gramStart"/>
            <w:r w:rsidRPr="00FB7EFF">
              <w:rPr>
                <w:rFonts w:ascii="Arial" w:eastAsia="华文细黑" w:hAnsi="Arial" w:cs="Arial"/>
                <w:sz w:val="15"/>
                <w:szCs w:val="15"/>
              </w:rPr>
              <w:t>世</w:t>
            </w:r>
            <w:proofErr w:type="gramEnd"/>
            <w:r w:rsidRPr="00FB7EFF">
              <w:rPr>
                <w:rFonts w:ascii="Arial" w:eastAsia="华文细黑" w:hAnsi="Arial" w:cs="Arial"/>
                <w:sz w:val="15"/>
                <w:szCs w:val="15"/>
              </w:rPr>
              <w:t>茂物业</w:t>
            </w:r>
          </w:p>
        </w:tc>
        <w:tc>
          <w:tcPr>
            <w:tcW w:w="2304" w:type="dxa"/>
            <w:vAlign w:val="center"/>
          </w:tcPr>
          <w:p w14:paraId="5F63A98D" w14:textId="77777777" w:rsidR="00935557" w:rsidRPr="00C253C2" w:rsidRDefault="00935557" w:rsidP="00193F01">
            <w:pPr>
              <w:jc w:val="both"/>
              <w:rPr>
                <w:rFonts w:ascii="Arial" w:eastAsia="华文细黑" w:hAnsi="Arial" w:cs="Arial"/>
                <w:sz w:val="15"/>
                <w:szCs w:val="15"/>
              </w:rPr>
            </w:pPr>
            <w:proofErr w:type="gramStart"/>
            <w:r w:rsidRPr="00FB7EFF">
              <w:rPr>
                <w:rFonts w:ascii="Arial" w:eastAsia="华文细黑" w:hAnsi="Arial" w:cs="Arial"/>
                <w:sz w:val="15"/>
                <w:szCs w:val="15"/>
              </w:rPr>
              <w:t>彰泰物业</w:t>
            </w:r>
            <w:proofErr w:type="gramEnd"/>
          </w:p>
        </w:tc>
      </w:tr>
      <w:tr w:rsidR="00152865" w:rsidRPr="00C253C2" w14:paraId="67B46928" w14:textId="77777777" w:rsidTr="00193F01">
        <w:trPr>
          <w:cantSplit/>
          <w:trHeight w:val="283"/>
          <w:jc w:val="center"/>
        </w:trPr>
        <w:tc>
          <w:tcPr>
            <w:tcW w:w="562" w:type="dxa"/>
            <w:shd w:val="clear" w:color="000000" w:fill="C0C0C0"/>
            <w:vAlign w:val="center"/>
            <w:hideMark/>
          </w:tcPr>
          <w:p w14:paraId="1631A380" w14:textId="77777777" w:rsidR="00935557" w:rsidRPr="00C253C2" w:rsidRDefault="00935557" w:rsidP="00193F01">
            <w:pPr>
              <w:rPr>
                <w:rFonts w:ascii="Arial" w:eastAsia="华文细黑" w:hAnsi="Arial" w:cs="Arial"/>
                <w:b/>
                <w:bCs/>
                <w:sz w:val="15"/>
                <w:szCs w:val="15"/>
              </w:rPr>
            </w:pPr>
            <w:proofErr w:type="gramStart"/>
            <w:r w:rsidRPr="00C253C2">
              <w:rPr>
                <w:rFonts w:ascii="Arial" w:eastAsia="华文细黑" w:hAnsi="Arial" w:cs="Arial"/>
                <w:b/>
                <w:bCs/>
                <w:sz w:val="15"/>
                <w:szCs w:val="15"/>
              </w:rPr>
              <w:t>物业费</w:t>
            </w:r>
            <w:proofErr w:type="gramEnd"/>
          </w:p>
        </w:tc>
        <w:tc>
          <w:tcPr>
            <w:tcW w:w="2315" w:type="dxa"/>
            <w:shd w:val="clear" w:color="auto" w:fill="auto"/>
            <w:vAlign w:val="center"/>
          </w:tcPr>
          <w:p w14:paraId="095A117D"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1.9</w:t>
            </w:r>
            <w:r w:rsidRPr="00FB7EFF">
              <w:rPr>
                <w:rFonts w:ascii="Arial" w:eastAsia="华文细黑" w:hAnsi="Arial" w:cs="Arial"/>
                <w:sz w:val="15"/>
                <w:szCs w:val="15"/>
              </w:rPr>
              <w:t>元</w:t>
            </w:r>
            <w:r w:rsidRPr="00FB7EFF">
              <w:rPr>
                <w:rFonts w:ascii="Arial" w:eastAsia="华文细黑" w:hAnsi="Arial" w:cs="Arial"/>
                <w:sz w:val="15"/>
                <w:szCs w:val="15"/>
              </w:rPr>
              <w:t>/</w:t>
            </w:r>
            <w:r w:rsidRPr="00FB7EFF">
              <w:rPr>
                <w:rFonts w:ascii="Arial" w:eastAsia="华文细黑" w:hAnsi="Arial" w:cs="Arial"/>
                <w:sz w:val="15"/>
                <w:szCs w:val="15"/>
              </w:rPr>
              <w:t>㎡</w:t>
            </w:r>
            <w:r w:rsidRPr="00FB7EFF">
              <w:rPr>
                <w:rFonts w:ascii="Arial" w:eastAsia="华文细黑" w:hAnsi="Arial" w:cs="Arial"/>
                <w:sz w:val="15"/>
                <w:szCs w:val="15"/>
              </w:rPr>
              <w:t>·</w:t>
            </w:r>
            <w:r w:rsidRPr="00FB7EFF">
              <w:rPr>
                <w:rFonts w:ascii="Arial" w:eastAsia="华文细黑" w:hAnsi="Arial" w:cs="Arial"/>
                <w:sz w:val="15"/>
                <w:szCs w:val="15"/>
              </w:rPr>
              <w:t>月</w:t>
            </w:r>
          </w:p>
        </w:tc>
        <w:tc>
          <w:tcPr>
            <w:tcW w:w="2343" w:type="dxa"/>
            <w:shd w:val="clear" w:color="auto" w:fill="auto"/>
            <w:vAlign w:val="center"/>
          </w:tcPr>
          <w:p w14:paraId="5F5D8D6C"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1.9</w:t>
            </w:r>
            <w:r w:rsidRPr="00FB7EFF">
              <w:rPr>
                <w:rFonts w:ascii="Arial" w:eastAsia="华文细黑" w:hAnsi="Arial" w:cs="Arial"/>
                <w:sz w:val="15"/>
                <w:szCs w:val="15"/>
              </w:rPr>
              <w:t>元</w:t>
            </w:r>
            <w:proofErr w:type="gramStart"/>
            <w:r w:rsidRPr="00FB7EFF">
              <w:rPr>
                <w:rFonts w:ascii="Arial" w:eastAsia="华文细黑" w:hAnsi="Arial" w:cs="Arial"/>
                <w:sz w:val="15"/>
                <w:szCs w:val="15"/>
              </w:rPr>
              <w:t>元</w:t>
            </w:r>
            <w:proofErr w:type="gramEnd"/>
            <w:r w:rsidRPr="00FB7EFF">
              <w:rPr>
                <w:rFonts w:ascii="Arial" w:eastAsia="华文细黑" w:hAnsi="Arial" w:cs="Arial"/>
                <w:sz w:val="15"/>
                <w:szCs w:val="15"/>
              </w:rPr>
              <w:t>/</w:t>
            </w:r>
            <w:r w:rsidRPr="00FB7EFF">
              <w:rPr>
                <w:rFonts w:ascii="Arial" w:eastAsia="华文细黑" w:hAnsi="Arial" w:cs="Arial"/>
                <w:sz w:val="15"/>
                <w:szCs w:val="15"/>
              </w:rPr>
              <w:t>㎡</w:t>
            </w:r>
            <w:r w:rsidRPr="00FB7EFF">
              <w:rPr>
                <w:rFonts w:ascii="Arial" w:eastAsia="华文细黑" w:hAnsi="Arial" w:cs="Arial"/>
                <w:sz w:val="15"/>
                <w:szCs w:val="15"/>
              </w:rPr>
              <w:t>·</w:t>
            </w:r>
            <w:r w:rsidRPr="00FB7EFF">
              <w:rPr>
                <w:rFonts w:ascii="Arial" w:eastAsia="华文细黑" w:hAnsi="Arial" w:cs="Arial"/>
                <w:sz w:val="15"/>
                <w:szCs w:val="15"/>
              </w:rPr>
              <w:t>月</w:t>
            </w:r>
          </w:p>
        </w:tc>
        <w:tc>
          <w:tcPr>
            <w:tcW w:w="2454" w:type="dxa"/>
            <w:shd w:val="clear" w:color="auto" w:fill="auto"/>
            <w:vAlign w:val="center"/>
          </w:tcPr>
          <w:p w14:paraId="23075E19"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1.9</w:t>
            </w:r>
            <w:r w:rsidRPr="00FB7EFF">
              <w:rPr>
                <w:rFonts w:ascii="Arial" w:eastAsia="华文细黑" w:hAnsi="Arial" w:cs="Arial"/>
                <w:sz w:val="15"/>
                <w:szCs w:val="15"/>
              </w:rPr>
              <w:t>元</w:t>
            </w:r>
            <w:r w:rsidRPr="00FB7EFF">
              <w:rPr>
                <w:rFonts w:ascii="Arial" w:eastAsia="华文细黑" w:hAnsi="Arial" w:cs="Arial"/>
                <w:sz w:val="15"/>
                <w:szCs w:val="15"/>
              </w:rPr>
              <w:t>/</w:t>
            </w:r>
            <w:r w:rsidRPr="00FB7EFF">
              <w:rPr>
                <w:rFonts w:ascii="Arial" w:eastAsia="华文细黑" w:hAnsi="Arial" w:cs="Arial"/>
                <w:sz w:val="15"/>
                <w:szCs w:val="15"/>
              </w:rPr>
              <w:t>㎡</w:t>
            </w:r>
            <w:r w:rsidRPr="00FB7EFF">
              <w:rPr>
                <w:rFonts w:ascii="Arial" w:eastAsia="华文细黑" w:hAnsi="Arial" w:cs="Arial"/>
                <w:sz w:val="15"/>
                <w:szCs w:val="15"/>
              </w:rPr>
              <w:t>·</w:t>
            </w:r>
            <w:r w:rsidRPr="00FB7EFF">
              <w:rPr>
                <w:rFonts w:ascii="Arial" w:eastAsia="华文细黑" w:hAnsi="Arial" w:cs="Arial"/>
                <w:sz w:val="15"/>
                <w:szCs w:val="15"/>
              </w:rPr>
              <w:t>月</w:t>
            </w:r>
          </w:p>
        </w:tc>
        <w:tc>
          <w:tcPr>
            <w:tcW w:w="2364" w:type="dxa"/>
            <w:vAlign w:val="center"/>
          </w:tcPr>
          <w:p w14:paraId="6CB1B434"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1.9</w:t>
            </w:r>
            <w:r w:rsidRPr="00FB7EFF">
              <w:rPr>
                <w:rFonts w:ascii="Arial" w:eastAsia="华文细黑" w:hAnsi="Arial" w:cs="Arial"/>
                <w:sz w:val="15"/>
                <w:szCs w:val="15"/>
              </w:rPr>
              <w:t>元</w:t>
            </w:r>
            <w:r w:rsidRPr="00FB7EFF">
              <w:rPr>
                <w:rFonts w:ascii="Arial" w:eastAsia="华文细黑" w:hAnsi="Arial" w:cs="Arial"/>
                <w:sz w:val="15"/>
                <w:szCs w:val="15"/>
              </w:rPr>
              <w:t>/</w:t>
            </w:r>
            <w:r w:rsidRPr="00FB7EFF">
              <w:rPr>
                <w:rFonts w:ascii="Arial" w:eastAsia="华文细黑" w:hAnsi="Arial" w:cs="Arial"/>
                <w:sz w:val="15"/>
                <w:szCs w:val="15"/>
              </w:rPr>
              <w:t>㎡</w:t>
            </w:r>
            <w:r w:rsidRPr="00FB7EFF">
              <w:rPr>
                <w:rFonts w:ascii="Arial" w:eastAsia="华文细黑" w:hAnsi="Arial" w:cs="Arial"/>
                <w:sz w:val="15"/>
                <w:szCs w:val="15"/>
              </w:rPr>
              <w:t>·</w:t>
            </w:r>
            <w:r w:rsidRPr="00FB7EFF">
              <w:rPr>
                <w:rFonts w:ascii="Arial" w:eastAsia="华文细黑" w:hAnsi="Arial" w:cs="Arial"/>
                <w:sz w:val="15"/>
                <w:szCs w:val="15"/>
              </w:rPr>
              <w:t>月</w:t>
            </w:r>
            <w:r w:rsidRPr="00FB7EFF">
              <w:rPr>
                <w:rFonts w:ascii="Arial" w:eastAsia="华文细黑" w:hAnsi="Arial" w:cs="Arial"/>
                <w:sz w:val="15"/>
                <w:szCs w:val="15"/>
              </w:rPr>
              <w:t xml:space="preserve"> </w:t>
            </w:r>
          </w:p>
        </w:tc>
        <w:tc>
          <w:tcPr>
            <w:tcW w:w="2287" w:type="dxa"/>
            <w:vAlign w:val="center"/>
          </w:tcPr>
          <w:p w14:paraId="785B27E6"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1.9</w:t>
            </w:r>
            <w:r w:rsidRPr="00FB7EFF">
              <w:rPr>
                <w:rFonts w:ascii="Arial" w:eastAsia="华文细黑" w:hAnsi="Arial" w:cs="Arial"/>
                <w:sz w:val="15"/>
                <w:szCs w:val="15"/>
              </w:rPr>
              <w:t>元</w:t>
            </w:r>
            <w:r w:rsidRPr="00FB7EFF">
              <w:rPr>
                <w:rFonts w:ascii="Arial" w:eastAsia="华文细黑" w:hAnsi="Arial" w:cs="Arial"/>
                <w:sz w:val="15"/>
                <w:szCs w:val="15"/>
              </w:rPr>
              <w:t>/</w:t>
            </w:r>
            <w:r w:rsidRPr="00FB7EFF">
              <w:rPr>
                <w:rFonts w:ascii="Arial" w:eastAsia="华文细黑" w:hAnsi="Arial" w:cs="Arial"/>
                <w:sz w:val="15"/>
                <w:szCs w:val="15"/>
              </w:rPr>
              <w:t>㎡</w:t>
            </w:r>
            <w:r w:rsidRPr="00FB7EFF">
              <w:rPr>
                <w:rFonts w:ascii="Arial" w:eastAsia="华文细黑" w:hAnsi="Arial" w:cs="Arial"/>
                <w:sz w:val="15"/>
                <w:szCs w:val="15"/>
              </w:rPr>
              <w:t>·</w:t>
            </w:r>
            <w:r w:rsidRPr="00FB7EFF">
              <w:rPr>
                <w:rFonts w:ascii="Arial" w:eastAsia="华文细黑" w:hAnsi="Arial" w:cs="Arial"/>
                <w:sz w:val="15"/>
                <w:szCs w:val="15"/>
              </w:rPr>
              <w:t>月</w:t>
            </w:r>
            <w:r w:rsidRPr="00FB7EFF">
              <w:rPr>
                <w:rFonts w:ascii="Arial" w:eastAsia="华文细黑" w:hAnsi="Arial" w:cs="Arial"/>
                <w:sz w:val="15"/>
                <w:szCs w:val="15"/>
              </w:rPr>
              <w:t xml:space="preserve"> </w:t>
            </w:r>
          </w:p>
        </w:tc>
        <w:tc>
          <w:tcPr>
            <w:tcW w:w="2304" w:type="dxa"/>
            <w:vAlign w:val="center"/>
          </w:tcPr>
          <w:p w14:paraId="5C1689E1"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1.9</w:t>
            </w:r>
            <w:r w:rsidRPr="00FB7EFF">
              <w:rPr>
                <w:rFonts w:ascii="Arial" w:eastAsia="华文细黑" w:hAnsi="Arial" w:cs="Arial"/>
                <w:sz w:val="15"/>
                <w:szCs w:val="15"/>
              </w:rPr>
              <w:t>元</w:t>
            </w:r>
            <w:r w:rsidRPr="00FB7EFF">
              <w:rPr>
                <w:rFonts w:ascii="Arial" w:eastAsia="华文细黑" w:hAnsi="Arial" w:cs="Arial"/>
                <w:sz w:val="15"/>
                <w:szCs w:val="15"/>
              </w:rPr>
              <w:t>/</w:t>
            </w:r>
            <w:r w:rsidRPr="00FB7EFF">
              <w:rPr>
                <w:rFonts w:ascii="Arial" w:eastAsia="华文细黑" w:hAnsi="Arial" w:cs="Arial"/>
                <w:sz w:val="15"/>
                <w:szCs w:val="15"/>
              </w:rPr>
              <w:t>㎡</w:t>
            </w:r>
            <w:r w:rsidRPr="00FB7EFF">
              <w:rPr>
                <w:rFonts w:ascii="Arial" w:eastAsia="华文细黑" w:hAnsi="Arial" w:cs="Arial"/>
                <w:sz w:val="15"/>
                <w:szCs w:val="15"/>
              </w:rPr>
              <w:t>·</w:t>
            </w:r>
            <w:r w:rsidRPr="00FB7EFF">
              <w:rPr>
                <w:rFonts w:ascii="Arial" w:eastAsia="华文细黑" w:hAnsi="Arial" w:cs="Arial"/>
                <w:sz w:val="15"/>
                <w:szCs w:val="15"/>
              </w:rPr>
              <w:t>月</w:t>
            </w:r>
          </w:p>
        </w:tc>
      </w:tr>
      <w:tr w:rsidR="00152865" w:rsidRPr="00C253C2" w14:paraId="6EF4B55D" w14:textId="77777777" w:rsidTr="00193F01">
        <w:trPr>
          <w:cantSplit/>
          <w:trHeight w:val="283"/>
          <w:jc w:val="center"/>
        </w:trPr>
        <w:tc>
          <w:tcPr>
            <w:tcW w:w="562" w:type="dxa"/>
            <w:shd w:val="clear" w:color="000000" w:fill="C0C0C0"/>
            <w:vAlign w:val="center"/>
            <w:hideMark/>
          </w:tcPr>
          <w:p w14:paraId="0F331D5E" w14:textId="77777777" w:rsidR="00935557" w:rsidRPr="00C253C2" w:rsidRDefault="00935557" w:rsidP="00193F01">
            <w:pPr>
              <w:rPr>
                <w:rFonts w:ascii="Arial" w:eastAsia="华文细黑" w:hAnsi="Arial" w:cs="Arial"/>
                <w:b/>
                <w:bCs/>
                <w:sz w:val="15"/>
                <w:szCs w:val="15"/>
              </w:rPr>
            </w:pPr>
            <w:r w:rsidRPr="00C253C2">
              <w:rPr>
                <w:rFonts w:ascii="Arial" w:eastAsia="华文细黑" w:hAnsi="Arial" w:cs="Arial"/>
                <w:b/>
                <w:bCs/>
                <w:sz w:val="15"/>
                <w:szCs w:val="15"/>
              </w:rPr>
              <w:t>交房时间</w:t>
            </w:r>
          </w:p>
        </w:tc>
        <w:tc>
          <w:tcPr>
            <w:tcW w:w="2315" w:type="dxa"/>
            <w:shd w:val="clear" w:color="auto" w:fill="auto"/>
            <w:vAlign w:val="center"/>
          </w:tcPr>
          <w:p w14:paraId="36FA5FF6"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2022</w:t>
            </w:r>
            <w:r w:rsidRPr="00FB7EFF">
              <w:rPr>
                <w:rFonts w:ascii="Arial" w:eastAsia="华文细黑" w:hAnsi="Arial" w:cs="Arial"/>
                <w:sz w:val="15"/>
                <w:szCs w:val="15"/>
              </w:rPr>
              <w:t>年</w:t>
            </w:r>
            <w:r w:rsidRPr="00FB7EFF">
              <w:rPr>
                <w:rFonts w:ascii="Arial" w:eastAsia="华文细黑" w:hAnsi="Arial" w:cs="Arial"/>
                <w:sz w:val="15"/>
                <w:szCs w:val="15"/>
              </w:rPr>
              <w:t>12</w:t>
            </w:r>
            <w:r w:rsidRPr="00FB7EFF">
              <w:rPr>
                <w:rFonts w:ascii="Arial" w:eastAsia="华文细黑" w:hAnsi="Arial" w:cs="Arial"/>
                <w:sz w:val="15"/>
                <w:szCs w:val="15"/>
              </w:rPr>
              <w:t>月</w:t>
            </w:r>
            <w:r w:rsidRPr="00FB7EFF">
              <w:rPr>
                <w:rFonts w:ascii="Arial" w:eastAsia="华文细黑" w:hAnsi="Arial" w:cs="Arial"/>
                <w:sz w:val="15"/>
                <w:szCs w:val="15"/>
              </w:rPr>
              <w:t>31</w:t>
            </w:r>
            <w:r w:rsidRPr="00FB7EFF">
              <w:rPr>
                <w:rFonts w:ascii="Arial" w:eastAsia="华文细黑" w:hAnsi="Arial" w:cs="Arial"/>
                <w:sz w:val="15"/>
                <w:szCs w:val="15"/>
              </w:rPr>
              <w:t>号</w:t>
            </w:r>
          </w:p>
        </w:tc>
        <w:tc>
          <w:tcPr>
            <w:tcW w:w="2343" w:type="dxa"/>
            <w:shd w:val="clear" w:color="auto" w:fill="auto"/>
            <w:vAlign w:val="center"/>
          </w:tcPr>
          <w:p w14:paraId="3E403EC7"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2023</w:t>
            </w:r>
            <w:r w:rsidRPr="00FB7EFF">
              <w:rPr>
                <w:rFonts w:ascii="Arial" w:eastAsia="华文细黑" w:hAnsi="Arial" w:cs="Arial"/>
                <w:sz w:val="15"/>
                <w:szCs w:val="15"/>
              </w:rPr>
              <w:t>年</w:t>
            </w:r>
            <w:r w:rsidRPr="00FB7EFF">
              <w:rPr>
                <w:rFonts w:ascii="Arial" w:eastAsia="华文细黑" w:hAnsi="Arial" w:cs="Arial"/>
                <w:sz w:val="15"/>
                <w:szCs w:val="15"/>
              </w:rPr>
              <w:t>8</w:t>
            </w:r>
            <w:r w:rsidRPr="00FB7EFF">
              <w:rPr>
                <w:rFonts w:ascii="Arial" w:eastAsia="华文细黑" w:hAnsi="Arial" w:cs="Arial"/>
                <w:sz w:val="15"/>
                <w:szCs w:val="15"/>
              </w:rPr>
              <w:t>月</w:t>
            </w:r>
          </w:p>
        </w:tc>
        <w:tc>
          <w:tcPr>
            <w:tcW w:w="2454" w:type="dxa"/>
            <w:shd w:val="clear" w:color="auto" w:fill="auto"/>
            <w:vAlign w:val="center"/>
          </w:tcPr>
          <w:p w14:paraId="41B52D09"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2021</w:t>
            </w:r>
            <w:r w:rsidRPr="00FB7EFF">
              <w:rPr>
                <w:rFonts w:ascii="Arial" w:eastAsia="华文细黑" w:hAnsi="Arial" w:cs="Arial"/>
                <w:sz w:val="15"/>
                <w:szCs w:val="15"/>
              </w:rPr>
              <w:t>年年底、</w:t>
            </w:r>
            <w:r w:rsidRPr="00FB7EFF">
              <w:rPr>
                <w:rFonts w:ascii="Arial" w:eastAsia="华文细黑" w:hAnsi="Arial" w:cs="Arial"/>
                <w:sz w:val="15"/>
                <w:szCs w:val="15"/>
              </w:rPr>
              <w:t>2022</w:t>
            </w:r>
            <w:r w:rsidRPr="00FB7EFF">
              <w:rPr>
                <w:rFonts w:ascii="Arial" w:eastAsia="华文细黑" w:hAnsi="Arial" w:cs="Arial"/>
                <w:sz w:val="15"/>
                <w:szCs w:val="15"/>
              </w:rPr>
              <w:t>年</w:t>
            </w:r>
            <w:r w:rsidRPr="00FB7EFF">
              <w:rPr>
                <w:rFonts w:ascii="Arial" w:eastAsia="华文细黑" w:hAnsi="Arial" w:cs="Arial"/>
                <w:sz w:val="15"/>
                <w:szCs w:val="15"/>
              </w:rPr>
              <w:t>5</w:t>
            </w:r>
            <w:r w:rsidRPr="00FB7EFF">
              <w:rPr>
                <w:rFonts w:ascii="Arial" w:eastAsia="华文细黑" w:hAnsi="Arial" w:cs="Arial"/>
                <w:sz w:val="15"/>
                <w:szCs w:val="15"/>
              </w:rPr>
              <w:t>月</w:t>
            </w:r>
          </w:p>
        </w:tc>
        <w:tc>
          <w:tcPr>
            <w:tcW w:w="2364" w:type="dxa"/>
            <w:vAlign w:val="center"/>
          </w:tcPr>
          <w:p w14:paraId="5E8D9CD1"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2022</w:t>
            </w:r>
            <w:r w:rsidRPr="00FB7EFF">
              <w:rPr>
                <w:rFonts w:ascii="Arial" w:eastAsia="华文细黑" w:hAnsi="Arial" w:cs="Arial"/>
                <w:sz w:val="15"/>
                <w:szCs w:val="15"/>
              </w:rPr>
              <w:t>年</w:t>
            </w:r>
            <w:r w:rsidRPr="00FB7EFF">
              <w:rPr>
                <w:rFonts w:ascii="Arial" w:eastAsia="华文细黑" w:hAnsi="Arial" w:cs="Arial"/>
                <w:sz w:val="15"/>
                <w:szCs w:val="15"/>
              </w:rPr>
              <w:t>12</w:t>
            </w:r>
            <w:r w:rsidRPr="00FB7EFF">
              <w:rPr>
                <w:rFonts w:ascii="Arial" w:eastAsia="华文细黑" w:hAnsi="Arial" w:cs="Arial"/>
                <w:sz w:val="15"/>
                <w:szCs w:val="15"/>
              </w:rPr>
              <w:t>月</w:t>
            </w:r>
          </w:p>
        </w:tc>
        <w:tc>
          <w:tcPr>
            <w:tcW w:w="2287" w:type="dxa"/>
            <w:vAlign w:val="center"/>
          </w:tcPr>
          <w:p w14:paraId="79C5E300"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2023</w:t>
            </w:r>
            <w:r w:rsidRPr="00FB7EFF">
              <w:rPr>
                <w:rFonts w:ascii="Arial" w:eastAsia="华文细黑" w:hAnsi="Arial" w:cs="Arial"/>
                <w:sz w:val="15"/>
                <w:szCs w:val="15"/>
              </w:rPr>
              <w:t>年</w:t>
            </w:r>
            <w:r w:rsidRPr="00FB7EFF">
              <w:rPr>
                <w:rFonts w:ascii="Arial" w:eastAsia="华文细黑" w:hAnsi="Arial" w:cs="Arial"/>
                <w:sz w:val="15"/>
                <w:szCs w:val="15"/>
              </w:rPr>
              <w:t>10</w:t>
            </w:r>
            <w:r w:rsidRPr="00FB7EFF">
              <w:rPr>
                <w:rFonts w:ascii="Arial" w:eastAsia="华文细黑" w:hAnsi="Arial" w:cs="Arial"/>
                <w:sz w:val="15"/>
                <w:szCs w:val="15"/>
              </w:rPr>
              <w:t>月</w:t>
            </w:r>
          </w:p>
        </w:tc>
        <w:tc>
          <w:tcPr>
            <w:tcW w:w="2304" w:type="dxa"/>
            <w:vAlign w:val="center"/>
          </w:tcPr>
          <w:p w14:paraId="37A2787A"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2023</w:t>
            </w:r>
            <w:r w:rsidRPr="00FB7EFF">
              <w:rPr>
                <w:rFonts w:ascii="Arial" w:eastAsia="华文细黑" w:hAnsi="Arial" w:cs="Arial"/>
                <w:sz w:val="15"/>
                <w:szCs w:val="15"/>
              </w:rPr>
              <w:t>年</w:t>
            </w:r>
            <w:r w:rsidRPr="00FB7EFF">
              <w:rPr>
                <w:rFonts w:ascii="Arial" w:eastAsia="华文细黑" w:hAnsi="Arial" w:cs="Arial"/>
                <w:sz w:val="15"/>
                <w:szCs w:val="15"/>
              </w:rPr>
              <w:t>6</w:t>
            </w:r>
            <w:r w:rsidRPr="00FB7EFF">
              <w:rPr>
                <w:rFonts w:ascii="Arial" w:eastAsia="华文细黑" w:hAnsi="Arial" w:cs="Arial"/>
                <w:sz w:val="15"/>
                <w:szCs w:val="15"/>
              </w:rPr>
              <w:t>月</w:t>
            </w:r>
            <w:r w:rsidRPr="00FB7EFF">
              <w:rPr>
                <w:rFonts w:ascii="Arial" w:eastAsia="华文细黑" w:hAnsi="Arial" w:cs="Arial"/>
                <w:sz w:val="15"/>
                <w:szCs w:val="15"/>
              </w:rPr>
              <w:t>30</w:t>
            </w:r>
            <w:r w:rsidRPr="00FB7EFF">
              <w:rPr>
                <w:rFonts w:ascii="Arial" w:eastAsia="华文细黑" w:hAnsi="Arial" w:cs="Arial"/>
                <w:sz w:val="15"/>
                <w:szCs w:val="15"/>
              </w:rPr>
              <w:t>号</w:t>
            </w:r>
          </w:p>
        </w:tc>
      </w:tr>
      <w:tr w:rsidR="00152865" w:rsidRPr="00C253C2" w14:paraId="4B0DFD26" w14:textId="77777777" w:rsidTr="00193F01">
        <w:trPr>
          <w:cantSplit/>
          <w:trHeight w:val="283"/>
          <w:jc w:val="center"/>
        </w:trPr>
        <w:tc>
          <w:tcPr>
            <w:tcW w:w="562" w:type="dxa"/>
            <w:shd w:val="clear" w:color="000000" w:fill="C0C0C0"/>
            <w:vAlign w:val="center"/>
            <w:hideMark/>
          </w:tcPr>
          <w:p w14:paraId="3CDE90D8" w14:textId="77777777" w:rsidR="00935557" w:rsidRPr="00C253C2" w:rsidRDefault="00935557" w:rsidP="00193F01">
            <w:pPr>
              <w:rPr>
                <w:rFonts w:ascii="Arial" w:eastAsia="华文细黑" w:hAnsi="Arial" w:cs="Arial"/>
                <w:b/>
                <w:bCs/>
                <w:sz w:val="15"/>
                <w:szCs w:val="15"/>
              </w:rPr>
            </w:pPr>
            <w:r w:rsidRPr="00C253C2">
              <w:rPr>
                <w:rFonts w:ascii="Arial" w:eastAsia="华文细黑" w:hAnsi="Arial" w:cs="Arial"/>
                <w:b/>
                <w:bCs/>
                <w:sz w:val="15"/>
                <w:szCs w:val="15"/>
              </w:rPr>
              <w:t>装修情况</w:t>
            </w:r>
          </w:p>
        </w:tc>
        <w:tc>
          <w:tcPr>
            <w:tcW w:w="2315" w:type="dxa"/>
            <w:shd w:val="clear" w:color="auto" w:fill="auto"/>
            <w:vAlign w:val="center"/>
          </w:tcPr>
          <w:p w14:paraId="41678310"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hint="eastAsia"/>
                <w:sz w:val="15"/>
                <w:szCs w:val="15"/>
              </w:rPr>
              <w:t>带装修</w:t>
            </w:r>
          </w:p>
        </w:tc>
        <w:tc>
          <w:tcPr>
            <w:tcW w:w="2343" w:type="dxa"/>
            <w:shd w:val="clear" w:color="auto" w:fill="auto"/>
            <w:vAlign w:val="center"/>
          </w:tcPr>
          <w:p w14:paraId="3B1BD96D"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带装修</w:t>
            </w:r>
          </w:p>
        </w:tc>
        <w:tc>
          <w:tcPr>
            <w:tcW w:w="2454" w:type="dxa"/>
            <w:shd w:val="clear" w:color="auto" w:fill="auto"/>
            <w:vAlign w:val="center"/>
          </w:tcPr>
          <w:p w14:paraId="3670F18E"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带装修</w:t>
            </w:r>
          </w:p>
        </w:tc>
        <w:tc>
          <w:tcPr>
            <w:tcW w:w="2364" w:type="dxa"/>
            <w:vAlign w:val="center"/>
          </w:tcPr>
          <w:p w14:paraId="25EFAEF4"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带装修</w:t>
            </w:r>
          </w:p>
        </w:tc>
        <w:tc>
          <w:tcPr>
            <w:tcW w:w="2287" w:type="dxa"/>
            <w:vAlign w:val="center"/>
          </w:tcPr>
          <w:p w14:paraId="77177C5C"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带装修</w:t>
            </w:r>
          </w:p>
        </w:tc>
        <w:tc>
          <w:tcPr>
            <w:tcW w:w="2304" w:type="dxa"/>
            <w:vAlign w:val="center"/>
          </w:tcPr>
          <w:p w14:paraId="5B0ADEB0"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带装修</w:t>
            </w:r>
          </w:p>
        </w:tc>
      </w:tr>
      <w:tr w:rsidR="00152865" w:rsidRPr="00C253C2" w14:paraId="52698C3B" w14:textId="77777777" w:rsidTr="00193F01">
        <w:trPr>
          <w:cantSplit/>
          <w:trHeight w:val="283"/>
          <w:jc w:val="center"/>
        </w:trPr>
        <w:tc>
          <w:tcPr>
            <w:tcW w:w="562" w:type="dxa"/>
            <w:shd w:val="clear" w:color="000000" w:fill="C0C0C0"/>
            <w:vAlign w:val="center"/>
          </w:tcPr>
          <w:p w14:paraId="72B57444" w14:textId="77777777" w:rsidR="00935557" w:rsidRPr="00C253C2" w:rsidRDefault="00935557" w:rsidP="00193F01">
            <w:pPr>
              <w:rPr>
                <w:rFonts w:ascii="Arial" w:eastAsia="华文细黑" w:hAnsi="Arial" w:cs="Arial"/>
                <w:b/>
                <w:bCs/>
                <w:sz w:val="15"/>
                <w:szCs w:val="15"/>
              </w:rPr>
            </w:pPr>
            <w:r w:rsidRPr="00C253C2">
              <w:rPr>
                <w:rFonts w:ascii="Arial" w:eastAsia="华文细黑" w:hAnsi="Arial" w:cs="Arial"/>
                <w:b/>
                <w:bCs/>
                <w:sz w:val="15"/>
                <w:szCs w:val="15"/>
              </w:rPr>
              <w:t>销售状态</w:t>
            </w:r>
          </w:p>
        </w:tc>
        <w:tc>
          <w:tcPr>
            <w:tcW w:w="2315" w:type="dxa"/>
            <w:shd w:val="clear" w:color="auto" w:fill="auto"/>
            <w:vAlign w:val="center"/>
          </w:tcPr>
          <w:p w14:paraId="363A5043"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hint="eastAsia"/>
                <w:sz w:val="15"/>
                <w:szCs w:val="15"/>
              </w:rPr>
              <w:t>在售</w:t>
            </w:r>
          </w:p>
        </w:tc>
        <w:tc>
          <w:tcPr>
            <w:tcW w:w="2343" w:type="dxa"/>
            <w:shd w:val="clear" w:color="auto" w:fill="auto"/>
            <w:vAlign w:val="center"/>
          </w:tcPr>
          <w:p w14:paraId="7625E20B"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在售</w:t>
            </w:r>
          </w:p>
        </w:tc>
        <w:tc>
          <w:tcPr>
            <w:tcW w:w="2454" w:type="dxa"/>
            <w:shd w:val="clear" w:color="auto" w:fill="auto"/>
            <w:vAlign w:val="center"/>
          </w:tcPr>
          <w:p w14:paraId="265DB9AE"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在售</w:t>
            </w:r>
          </w:p>
        </w:tc>
        <w:tc>
          <w:tcPr>
            <w:tcW w:w="2364" w:type="dxa"/>
            <w:vAlign w:val="center"/>
          </w:tcPr>
          <w:p w14:paraId="74A92173"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在售</w:t>
            </w:r>
          </w:p>
        </w:tc>
        <w:tc>
          <w:tcPr>
            <w:tcW w:w="2287" w:type="dxa"/>
            <w:vAlign w:val="center"/>
          </w:tcPr>
          <w:p w14:paraId="17751F6F" w14:textId="77777777" w:rsidR="00935557" w:rsidRPr="00C253C2" w:rsidRDefault="00935557" w:rsidP="00193F01">
            <w:pPr>
              <w:jc w:val="both"/>
              <w:rPr>
                <w:rFonts w:ascii="Arial" w:eastAsia="华文细黑" w:hAnsi="Arial" w:cs="Arial"/>
                <w:sz w:val="15"/>
                <w:szCs w:val="15"/>
              </w:rPr>
            </w:pPr>
            <w:r w:rsidRPr="008C2291">
              <w:rPr>
                <w:rFonts w:ascii="Arial" w:eastAsia="华文细黑" w:hAnsi="Arial" w:cs="Arial"/>
                <w:sz w:val="15"/>
                <w:szCs w:val="15"/>
              </w:rPr>
              <w:t>在售</w:t>
            </w:r>
          </w:p>
        </w:tc>
        <w:tc>
          <w:tcPr>
            <w:tcW w:w="2304" w:type="dxa"/>
            <w:vAlign w:val="center"/>
          </w:tcPr>
          <w:p w14:paraId="034392F6" w14:textId="77777777" w:rsidR="00935557" w:rsidRPr="00C253C2" w:rsidRDefault="00935557" w:rsidP="00193F01">
            <w:pPr>
              <w:jc w:val="both"/>
              <w:rPr>
                <w:rFonts w:ascii="Arial" w:eastAsia="华文细黑" w:hAnsi="Arial" w:cs="Arial"/>
                <w:sz w:val="15"/>
                <w:szCs w:val="15"/>
              </w:rPr>
            </w:pPr>
            <w:r w:rsidRPr="008C2291">
              <w:rPr>
                <w:rFonts w:ascii="Arial" w:eastAsia="华文细黑" w:hAnsi="Arial" w:cs="Arial"/>
                <w:sz w:val="15"/>
                <w:szCs w:val="15"/>
              </w:rPr>
              <w:t>在售</w:t>
            </w:r>
          </w:p>
        </w:tc>
      </w:tr>
      <w:tr w:rsidR="00152865" w:rsidRPr="00C253C2" w14:paraId="6552CB1C" w14:textId="77777777" w:rsidTr="00193F01">
        <w:trPr>
          <w:cantSplit/>
          <w:trHeight w:val="283"/>
          <w:jc w:val="center"/>
        </w:trPr>
        <w:tc>
          <w:tcPr>
            <w:tcW w:w="562" w:type="dxa"/>
            <w:shd w:val="clear" w:color="000000" w:fill="C0C0C0"/>
            <w:vAlign w:val="center"/>
            <w:hideMark/>
          </w:tcPr>
          <w:p w14:paraId="36359B5D" w14:textId="77777777" w:rsidR="00935557" w:rsidRPr="00C253C2" w:rsidRDefault="00935557" w:rsidP="00193F01">
            <w:pPr>
              <w:rPr>
                <w:rFonts w:ascii="Arial" w:eastAsia="华文细黑" w:hAnsi="Arial" w:cs="Arial"/>
                <w:b/>
                <w:bCs/>
                <w:sz w:val="15"/>
                <w:szCs w:val="15"/>
              </w:rPr>
            </w:pPr>
            <w:r w:rsidRPr="00C253C2">
              <w:rPr>
                <w:rFonts w:ascii="Arial" w:eastAsia="华文细黑" w:hAnsi="Arial" w:cs="Arial"/>
                <w:b/>
                <w:bCs/>
                <w:sz w:val="15"/>
                <w:szCs w:val="15"/>
              </w:rPr>
              <w:t>销售情况</w:t>
            </w:r>
          </w:p>
        </w:tc>
        <w:tc>
          <w:tcPr>
            <w:tcW w:w="2315" w:type="dxa"/>
            <w:shd w:val="clear" w:color="auto" w:fill="auto"/>
            <w:vAlign w:val="center"/>
          </w:tcPr>
          <w:p w14:paraId="419606CB"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hint="eastAsia"/>
                <w:sz w:val="15"/>
                <w:szCs w:val="15"/>
              </w:rPr>
              <w:t>均价</w:t>
            </w:r>
            <w:r w:rsidRPr="00FB7EFF">
              <w:rPr>
                <w:rFonts w:ascii="Arial" w:eastAsia="华文细黑" w:hAnsi="Arial" w:cs="Arial"/>
                <w:sz w:val="15"/>
                <w:szCs w:val="15"/>
              </w:rPr>
              <w:t>27000</w:t>
            </w:r>
            <w:r w:rsidRPr="00FB7EFF">
              <w:rPr>
                <w:rFonts w:ascii="Arial" w:eastAsia="华文细黑" w:hAnsi="Arial" w:cs="Arial"/>
                <w:sz w:val="15"/>
                <w:szCs w:val="15"/>
              </w:rPr>
              <w:t>元</w:t>
            </w:r>
            <w:r w:rsidRPr="00FB7EFF">
              <w:rPr>
                <w:rFonts w:ascii="Arial" w:eastAsia="华文细黑" w:hAnsi="Arial" w:cs="Arial"/>
                <w:sz w:val="15"/>
                <w:szCs w:val="15"/>
              </w:rPr>
              <w:t>/</w:t>
            </w:r>
            <w:r w:rsidRPr="00FB7EFF">
              <w:rPr>
                <w:rFonts w:ascii="Arial" w:eastAsia="华文细黑" w:hAnsi="Arial" w:cs="Arial"/>
                <w:sz w:val="15"/>
                <w:szCs w:val="15"/>
              </w:rPr>
              <w:t>平方米</w:t>
            </w:r>
          </w:p>
        </w:tc>
        <w:tc>
          <w:tcPr>
            <w:tcW w:w="2343" w:type="dxa"/>
            <w:shd w:val="clear" w:color="auto" w:fill="auto"/>
            <w:vAlign w:val="center"/>
          </w:tcPr>
          <w:p w14:paraId="338F6294"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均价</w:t>
            </w:r>
            <w:r w:rsidRPr="00FB7EFF">
              <w:rPr>
                <w:rFonts w:ascii="Arial" w:eastAsia="华文细黑" w:hAnsi="Arial" w:cs="Arial"/>
                <w:sz w:val="15"/>
                <w:szCs w:val="15"/>
              </w:rPr>
              <w:t>26700</w:t>
            </w:r>
            <w:r w:rsidRPr="00FB7EFF">
              <w:rPr>
                <w:rFonts w:ascii="Arial" w:eastAsia="华文细黑" w:hAnsi="Arial" w:cs="Arial"/>
                <w:sz w:val="15"/>
                <w:szCs w:val="15"/>
              </w:rPr>
              <w:t>元</w:t>
            </w:r>
            <w:r w:rsidRPr="00FB7EFF">
              <w:rPr>
                <w:rFonts w:ascii="Arial" w:eastAsia="华文细黑" w:hAnsi="Arial" w:cs="Arial"/>
                <w:sz w:val="15"/>
                <w:szCs w:val="15"/>
              </w:rPr>
              <w:t>/</w:t>
            </w:r>
            <w:r w:rsidRPr="00FB7EFF">
              <w:rPr>
                <w:rFonts w:ascii="Arial" w:eastAsia="华文细黑" w:hAnsi="Arial" w:cs="Arial"/>
                <w:sz w:val="15"/>
                <w:szCs w:val="15"/>
              </w:rPr>
              <w:t>平方米</w:t>
            </w:r>
          </w:p>
        </w:tc>
        <w:tc>
          <w:tcPr>
            <w:tcW w:w="2454" w:type="dxa"/>
            <w:shd w:val="clear" w:color="auto" w:fill="auto"/>
            <w:vAlign w:val="center"/>
          </w:tcPr>
          <w:p w14:paraId="1EC59086"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均价</w:t>
            </w:r>
            <w:r w:rsidRPr="00FB7EFF">
              <w:rPr>
                <w:rFonts w:ascii="Arial" w:eastAsia="华文细黑" w:hAnsi="Arial" w:cs="Arial"/>
                <w:sz w:val="15"/>
                <w:szCs w:val="15"/>
              </w:rPr>
              <w:t>30400</w:t>
            </w:r>
            <w:r w:rsidRPr="00FB7EFF">
              <w:rPr>
                <w:rFonts w:ascii="Arial" w:eastAsia="华文细黑" w:hAnsi="Arial" w:cs="Arial"/>
                <w:sz w:val="15"/>
                <w:szCs w:val="15"/>
              </w:rPr>
              <w:t>元</w:t>
            </w:r>
            <w:r w:rsidRPr="00FB7EFF">
              <w:rPr>
                <w:rFonts w:ascii="Arial" w:eastAsia="华文细黑" w:hAnsi="Arial" w:cs="Arial"/>
                <w:sz w:val="15"/>
                <w:szCs w:val="15"/>
              </w:rPr>
              <w:t>/</w:t>
            </w:r>
            <w:r w:rsidRPr="00FB7EFF">
              <w:rPr>
                <w:rFonts w:ascii="Arial" w:eastAsia="华文细黑" w:hAnsi="Arial" w:cs="Arial"/>
                <w:sz w:val="15"/>
                <w:szCs w:val="15"/>
              </w:rPr>
              <w:t>平方米</w:t>
            </w:r>
          </w:p>
        </w:tc>
        <w:tc>
          <w:tcPr>
            <w:tcW w:w="2364" w:type="dxa"/>
            <w:vAlign w:val="center"/>
          </w:tcPr>
          <w:p w14:paraId="1C462678"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均价</w:t>
            </w:r>
            <w:r w:rsidRPr="00FB7EFF">
              <w:rPr>
                <w:rFonts w:ascii="Arial" w:eastAsia="华文细黑" w:hAnsi="Arial" w:cs="Arial"/>
                <w:sz w:val="15"/>
                <w:szCs w:val="15"/>
              </w:rPr>
              <w:t>30484</w:t>
            </w:r>
            <w:r w:rsidRPr="00FB7EFF">
              <w:rPr>
                <w:rFonts w:ascii="Arial" w:eastAsia="华文细黑" w:hAnsi="Arial" w:cs="Arial"/>
                <w:sz w:val="15"/>
                <w:szCs w:val="15"/>
              </w:rPr>
              <w:t>元</w:t>
            </w:r>
            <w:r w:rsidRPr="00FB7EFF">
              <w:rPr>
                <w:rFonts w:ascii="Arial" w:eastAsia="华文细黑" w:hAnsi="Arial" w:cs="Arial"/>
                <w:sz w:val="15"/>
                <w:szCs w:val="15"/>
              </w:rPr>
              <w:t>/</w:t>
            </w:r>
            <w:r w:rsidRPr="00FB7EFF">
              <w:rPr>
                <w:rFonts w:ascii="Arial" w:eastAsia="华文细黑" w:hAnsi="Arial" w:cs="Arial"/>
                <w:sz w:val="15"/>
                <w:szCs w:val="15"/>
              </w:rPr>
              <w:t>平方米</w:t>
            </w:r>
          </w:p>
        </w:tc>
        <w:tc>
          <w:tcPr>
            <w:tcW w:w="2287" w:type="dxa"/>
            <w:vAlign w:val="center"/>
          </w:tcPr>
          <w:p w14:paraId="4A3E8F80" w14:textId="77777777" w:rsidR="00935557" w:rsidRPr="00C253C2" w:rsidRDefault="00935557" w:rsidP="00193F01">
            <w:pPr>
              <w:jc w:val="both"/>
              <w:rPr>
                <w:rFonts w:ascii="Arial" w:eastAsia="华文细黑" w:hAnsi="Arial" w:cs="Arial"/>
                <w:sz w:val="15"/>
                <w:szCs w:val="15"/>
              </w:rPr>
            </w:pPr>
            <w:r>
              <w:rPr>
                <w:rFonts w:ascii="Arial" w:eastAsia="华文细黑" w:hAnsi="Arial" w:cs="Arial" w:hint="eastAsia"/>
                <w:sz w:val="15"/>
                <w:szCs w:val="15"/>
              </w:rPr>
              <w:t>均价</w:t>
            </w:r>
            <w:r>
              <w:rPr>
                <w:rFonts w:ascii="Arial" w:eastAsia="华文细黑" w:hAnsi="Arial" w:cs="Arial"/>
                <w:sz w:val="15"/>
                <w:szCs w:val="15"/>
              </w:rPr>
              <w:t>2</w:t>
            </w:r>
            <w:r>
              <w:rPr>
                <w:rFonts w:ascii="Arial" w:eastAsia="华文细黑" w:hAnsi="Arial" w:cs="Arial" w:hint="eastAsia"/>
                <w:sz w:val="15"/>
                <w:szCs w:val="15"/>
              </w:rPr>
              <w:t>40</w:t>
            </w:r>
            <w:r w:rsidRPr="00FB7EFF">
              <w:rPr>
                <w:rFonts w:ascii="Arial" w:eastAsia="华文细黑" w:hAnsi="Arial" w:cs="Arial"/>
                <w:sz w:val="15"/>
                <w:szCs w:val="15"/>
              </w:rPr>
              <w:t>00</w:t>
            </w:r>
            <w:r w:rsidRPr="00FB7EFF">
              <w:rPr>
                <w:rFonts w:ascii="Arial" w:eastAsia="华文细黑" w:hAnsi="Arial" w:cs="Arial"/>
                <w:sz w:val="15"/>
                <w:szCs w:val="15"/>
              </w:rPr>
              <w:t>元</w:t>
            </w:r>
            <w:r w:rsidRPr="00FB7EFF">
              <w:rPr>
                <w:rFonts w:ascii="Arial" w:eastAsia="华文细黑" w:hAnsi="Arial" w:cs="Arial"/>
                <w:sz w:val="15"/>
                <w:szCs w:val="15"/>
              </w:rPr>
              <w:t>/</w:t>
            </w:r>
            <w:r w:rsidRPr="00FB7EFF">
              <w:rPr>
                <w:rFonts w:ascii="Arial" w:eastAsia="华文细黑" w:hAnsi="Arial" w:cs="Arial"/>
                <w:sz w:val="15"/>
                <w:szCs w:val="15"/>
              </w:rPr>
              <w:t>平方米</w:t>
            </w:r>
          </w:p>
        </w:tc>
        <w:tc>
          <w:tcPr>
            <w:tcW w:w="2304" w:type="dxa"/>
            <w:vAlign w:val="center"/>
          </w:tcPr>
          <w:p w14:paraId="5D140D65"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均价</w:t>
            </w:r>
            <w:r w:rsidRPr="00FB7EFF">
              <w:rPr>
                <w:rFonts w:ascii="Arial" w:eastAsia="华文细黑" w:hAnsi="Arial" w:cs="Arial"/>
                <w:sz w:val="15"/>
                <w:szCs w:val="15"/>
              </w:rPr>
              <w:t>34000</w:t>
            </w:r>
            <w:r w:rsidRPr="00FB7EFF">
              <w:rPr>
                <w:rFonts w:ascii="Arial" w:eastAsia="华文细黑" w:hAnsi="Arial" w:cs="Arial"/>
                <w:sz w:val="15"/>
                <w:szCs w:val="15"/>
              </w:rPr>
              <w:t>元</w:t>
            </w:r>
            <w:r w:rsidRPr="00FB7EFF">
              <w:rPr>
                <w:rFonts w:ascii="Arial" w:eastAsia="华文细黑" w:hAnsi="Arial" w:cs="Arial"/>
                <w:sz w:val="15"/>
                <w:szCs w:val="15"/>
              </w:rPr>
              <w:t>/</w:t>
            </w:r>
            <w:r w:rsidRPr="00FB7EFF">
              <w:rPr>
                <w:rFonts w:ascii="Arial" w:eastAsia="华文细黑" w:hAnsi="Arial" w:cs="Arial"/>
                <w:sz w:val="15"/>
                <w:szCs w:val="15"/>
              </w:rPr>
              <w:t>平方米</w:t>
            </w:r>
          </w:p>
        </w:tc>
      </w:tr>
      <w:tr w:rsidR="00152865" w:rsidRPr="00C253C2" w14:paraId="6D0434BA" w14:textId="77777777" w:rsidTr="00193F01">
        <w:trPr>
          <w:cantSplit/>
          <w:trHeight w:val="283"/>
          <w:jc w:val="center"/>
        </w:trPr>
        <w:tc>
          <w:tcPr>
            <w:tcW w:w="562" w:type="dxa"/>
            <w:shd w:val="clear" w:color="000000" w:fill="C0C0C0"/>
            <w:vAlign w:val="center"/>
            <w:hideMark/>
          </w:tcPr>
          <w:p w14:paraId="3446CED5" w14:textId="77777777" w:rsidR="00935557" w:rsidRPr="00C253C2" w:rsidRDefault="00935557" w:rsidP="00193F01">
            <w:pPr>
              <w:rPr>
                <w:rFonts w:ascii="Arial" w:eastAsia="华文细黑" w:hAnsi="Arial" w:cs="Arial"/>
                <w:b/>
                <w:bCs/>
                <w:sz w:val="15"/>
                <w:szCs w:val="15"/>
              </w:rPr>
            </w:pPr>
            <w:r w:rsidRPr="00C253C2">
              <w:rPr>
                <w:rFonts w:ascii="Arial" w:eastAsia="华文细黑" w:hAnsi="Arial" w:cs="Arial"/>
                <w:b/>
                <w:bCs/>
                <w:sz w:val="15"/>
                <w:szCs w:val="15"/>
              </w:rPr>
              <w:t>去化情况</w:t>
            </w:r>
          </w:p>
        </w:tc>
        <w:tc>
          <w:tcPr>
            <w:tcW w:w="2315" w:type="dxa"/>
            <w:shd w:val="clear" w:color="auto" w:fill="auto"/>
            <w:vAlign w:val="center"/>
          </w:tcPr>
          <w:p w14:paraId="1B799D2B" w14:textId="77777777" w:rsidR="00935557" w:rsidRPr="00C253C2" w:rsidRDefault="00935557" w:rsidP="00193F01">
            <w:pPr>
              <w:jc w:val="both"/>
              <w:rPr>
                <w:rFonts w:ascii="Arial" w:eastAsia="华文细黑" w:hAnsi="Arial" w:cs="Arial"/>
                <w:sz w:val="15"/>
                <w:szCs w:val="15"/>
              </w:rPr>
            </w:pPr>
            <w:r w:rsidRPr="00330486">
              <w:rPr>
                <w:rFonts w:ascii="Arial" w:eastAsia="华文细黑" w:hAnsi="Arial" w:cs="Arial"/>
                <w:sz w:val="15"/>
                <w:szCs w:val="15"/>
              </w:rPr>
              <w:t>2020</w:t>
            </w:r>
            <w:r w:rsidRPr="00330486">
              <w:rPr>
                <w:rFonts w:ascii="Arial" w:eastAsia="华文细黑" w:hAnsi="Arial" w:cs="Arial"/>
                <w:sz w:val="15"/>
                <w:szCs w:val="15"/>
              </w:rPr>
              <w:t>年</w:t>
            </w:r>
            <w:r w:rsidRPr="00330486">
              <w:rPr>
                <w:rFonts w:ascii="Arial" w:eastAsia="华文细黑" w:hAnsi="Arial" w:cs="Arial"/>
                <w:sz w:val="15"/>
                <w:szCs w:val="15"/>
              </w:rPr>
              <w:t>10</w:t>
            </w:r>
            <w:r w:rsidRPr="00330486">
              <w:rPr>
                <w:rFonts w:ascii="Arial" w:eastAsia="华文细黑" w:hAnsi="Arial" w:cs="Arial"/>
                <w:sz w:val="15"/>
                <w:szCs w:val="15"/>
              </w:rPr>
              <w:t>月开盘，共推</w:t>
            </w:r>
            <w:r>
              <w:rPr>
                <w:rFonts w:ascii="Arial" w:eastAsia="华文细黑" w:hAnsi="Arial" w:cs="Arial" w:hint="eastAsia"/>
                <w:sz w:val="15"/>
                <w:szCs w:val="15"/>
              </w:rPr>
              <w:t>出</w:t>
            </w:r>
            <w:r w:rsidRPr="00330486">
              <w:rPr>
                <w:rFonts w:ascii="Arial" w:eastAsia="华文细黑" w:hAnsi="Arial" w:cs="Arial"/>
                <w:sz w:val="15"/>
                <w:szCs w:val="15"/>
              </w:rPr>
              <w:t>772</w:t>
            </w:r>
            <w:r w:rsidRPr="00330486">
              <w:rPr>
                <w:rFonts w:ascii="Arial" w:eastAsia="华文细黑" w:hAnsi="Arial" w:cs="Arial"/>
                <w:sz w:val="15"/>
                <w:szCs w:val="15"/>
              </w:rPr>
              <w:t>套，已售</w:t>
            </w:r>
            <w:r w:rsidRPr="00330486">
              <w:rPr>
                <w:rFonts w:ascii="Arial" w:eastAsia="华文细黑" w:hAnsi="Arial" w:cs="Arial"/>
                <w:sz w:val="15"/>
                <w:szCs w:val="15"/>
              </w:rPr>
              <w:t>554</w:t>
            </w:r>
            <w:r w:rsidRPr="00330486">
              <w:rPr>
                <w:rFonts w:ascii="Arial" w:eastAsia="华文细黑" w:hAnsi="Arial" w:cs="Arial"/>
                <w:sz w:val="15"/>
                <w:szCs w:val="15"/>
              </w:rPr>
              <w:t>套，去化已达到七成，近</w:t>
            </w:r>
            <w:r w:rsidRPr="00330486">
              <w:rPr>
                <w:rFonts w:ascii="Arial" w:eastAsia="华文细黑" w:hAnsi="Arial" w:cs="Arial"/>
                <w:sz w:val="15"/>
                <w:szCs w:val="15"/>
              </w:rPr>
              <w:t>8</w:t>
            </w:r>
            <w:r w:rsidRPr="00330486">
              <w:rPr>
                <w:rFonts w:ascii="Arial" w:eastAsia="华文细黑" w:hAnsi="Arial" w:cs="Arial"/>
                <w:sz w:val="15"/>
                <w:szCs w:val="15"/>
              </w:rPr>
              <w:t>个月月均去化</w:t>
            </w:r>
            <w:r w:rsidRPr="00330486">
              <w:rPr>
                <w:rFonts w:ascii="Arial" w:eastAsia="华文细黑" w:hAnsi="Arial" w:cs="Arial"/>
                <w:sz w:val="15"/>
                <w:szCs w:val="15"/>
              </w:rPr>
              <w:t>67</w:t>
            </w:r>
            <w:r w:rsidRPr="00330486">
              <w:rPr>
                <w:rFonts w:ascii="Arial" w:eastAsia="华文细黑" w:hAnsi="Arial" w:cs="Arial"/>
                <w:sz w:val="15"/>
                <w:szCs w:val="15"/>
              </w:rPr>
              <w:t>套。</w:t>
            </w:r>
          </w:p>
        </w:tc>
        <w:tc>
          <w:tcPr>
            <w:tcW w:w="2343" w:type="dxa"/>
            <w:shd w:val="clear" w:color="auto" w:fill="auto"/>
            <w:vAlign w:val="center"/>
          </w:tcPr>
          <w:p w14:paraId="238F41A8" w14:textId="77777777" w:rsidR="00935557" w:rsidRPr="00C253C2" w:rsidRDefault="00935557" w:rsidP="00193F01">
            <w:pPr>
              <w:jc w:val="both"/>
              <w:rPr>
                <w:rFonts w:ascii="Arial" w:eastAsia="华文细黑" w:hAnsi="Arial" w:cs="Arial"/>
                <w:sz w:val="15"/>
                <w:szCs w:val="15"/>
              </w:rPr>
            </w:pPr>
            <w:r w:rsidRPr="00330486">
              <w:rPr>
                <w:rFonts w:ascii="Arial" w:eastAsia="华文细黑" w:hAnsi="Arial" w:cs="Arial"/>
                <w:sz w:val="15"/>
                <w:szCs w:val="15"/>
              </w:rPr>
              <w:t>2021</w:t>
            </w:r>
            <w:r w:rsidRPr="00330486">
              <w:rPr>
                <w:rFonts w:ascii="Arial" w:eastAsia="华文细黑" w:hAnsi="Arial" w:cs="Arial"/>
                <w:sz w:val="15"/>
                <w:szCs w:val="15"/>
              </w:rPr>
              <w:t>年</w:t>
            </w:r>
            <w:r w:rsidRPr="00330486">
              <w:rPr>
                <w:rFonts w:ascii="Arial" w:eastAsia="华文细黑" w:hAnsi="Arial" w:cs="Arial"/>
                <w:sz w:val="15"/>
                <w:szCs w:val="15"/>
              </w:rPr>
              <w:t>5</w:t>
            </w:r>
            <w:r w:rsidRPr="00330486">
              <w:rPr>
                <w:rFonts w:ascii="Arial" w:eastAsia="华文细黑" w:hAnsi="Arial" w:cs="Arial"/>
                <w:sz w:val="15"/>
                <w:szCs w:val="15"/>
              </w:rPr>
              <w:t>月开盘，推出</w:t>
            </w:r>
            <w:r w:rsidRPr="00330486">
              <w:rPr>
                <w:rFonts w:ascii="Arial" w:eastAsia="华文细黑" w:hAnsi="Arial" w:cs="Arial"/>
                <w:sz w:val="15"/>
                <w:szCs w:val="15"/>
              </w:rPr>
              <w:t>2</w:t>
            </w:r>
            <w:r w:rsidRPr="00330486">
              <w:rPr>
                <w:rFonts w:ascii="Arial" w:eastAsia="华文细黑" w:hAnsi="Arial" w:cs="Arial"/>
                <w:sz w:val="15"/>
                <w:szCs w:val="15"/>
              </w:rPr>
              <w:t>栋楼共</w:t>
            </w:r>
            <w:r w:rsidRPr="00330486">
              <w:rPr>
                <w:rFonts w:ascii="Arial" w:eastAsia="华文细黑" w:hAnsi="Arial" w:cs="Arial"/>
                <w:sz w:val="15"/>
                <w:szCs w:val="15"/>
              </w:rPr>
              <w:t>199</w:t>
            </w:r>
            <w:r w:rsidRPr="00330486">
              <w:rPr>
                <w:rFonts w:ascii="Arial" w:eastAsia="华文细黑" w:hAnsi="Arial" w:cs="Arial"/>
                <w:sz w:val="15"/>
                <w:szCs w:val="15"/>
              </w:rPr>
              <w:t>套可售，目前已售</w:t>
            </w:r>
            <w:r w:rsidRPr="00330486">
              <w:rPr>
                <w:rFonts w:ascii="Arial" w:eastAsia="华文细黑" w:hAnsi="Arial" w:cs="Arial"/>
                <w:sz w:val="15"/>
                <w:szCs w:val="15"/>
              </w:rPr>
              <w:t>42</w:t>
            </w:r>
            <w:r w:rsidRPr="00330486">
              <w:rPr>
                <w:rFonts w:ascii="Arial" w:eastAsia="华文细黑" w:hAnsi="Arial" w:cs="Arial"/>
                <w:sz w:val="15"/>
                <w:szCs w:val="15"/>
              </w:rPr>
              <w:t>套。</w:t>
            </w:r>
          </w:p>
        </w:tc>
        <w:tc>
          <w:tcPr>
            <w:tcW w:w="2454" w:type="dxa"/>
            <w:shd w:val="clear" w:color="auto" w:fill="auto"/>
            <w:vAlign w:val="center"/>
          </w:tcPr>
          <w:p w14:paraId="49D68500" w14:textId="77777777" w:rsidR="00935557" w:rsidRPr="00C253C2" w:rsidRDefault="00935557" w:rsidP="00193F01">
            <w:pPr>
              <w:jc w:val="both"/>
              <w:rPr>
                <w:rFonts w:ascii="Arial" w:eastAsia="华文细黑" w:hAnsi="Arial" w:cs="Arial"/>
                <w:sz w:val="15"/>
                <w:szCs w:val="15"/>
              </w:rPr>
            </w:pPr>
            <w:r w:rsidRPr="00330486">
              <w:rPr>
                <w:rFonts w:ascii="Arial" w:eastAsia="华文细黑" w:hAnsi="Arial" w:cs="Arial"/>
                <w:sz w:val="15"/>
                <w:szCs w:val="15"/>
              </w:rPr>
              <w:t>累计推出</w:t>
            </w:r>
            <w:r w:rsidRPr="00330486">
              <w:rPr>
                <w:rFonts w:ascii="Arial" w:eastAsia="华文细黑" w:hAnsi="Arial" w:cs="Arial"/>
                <w:sz w:val="15"/>
                <w:szCs w:val="15"/>
              </w:rPr>
              <w:t>1104</w:t>
            </w:r>
            <w:r w:rsidRPr="00330486">
              <w:rPr>
                <w:rFonts w:ascii="Arial" w:eastAsia="华文细黑" w:hAnsi="Arial" w:cs="Arial"/>
                <w:sz w:val="15"/>
                <w:szCs w:val="15"/>
              </w:rPr>
              <w:t>套，累计销售</w:t>
            </w:r>
            <w:r w:rsidRPr="00330486">
              <w:rPr>
                <w:rFonts w:ascii="Arial" w:eastAsia="华文细黑" w:hAnsi="Arial" w:cs="Arial"/>
                <w:sz w:val="15"/>
                <w:szCs w:val="15"/>
              </w:rPr>
              <w:t>804</w:t>
            </w:r>
            <w:r w:rsidRPr="00330486">
              <w:rPr>
                <w:rFonts w:ascii="Arial" w:eastAsia="华文细黑" w:hAnsi="Arial" w:cs="Arial"/>
                <w:sz w:val="15"/>
                <w:szCs w:val="15"/>
              </w:rPr>
              <w:t>套；近一年累计销售月</w:t>
            </w:r>
            <w:r w:rsidRPr="00330486">
              <w:rPr>
                <w:rFonts w:ascii="Arial" w:eastAsia="华文细黑" w:hAnsi="Arial" w:cs="Arial"/>
                <w:sz w:val="15"/>
                <w:szCs w:val="15"/>
              </w:rPr>
              <w:t>620</w:t>
            </w:r>
            <w:r w:rsidRPr="00330486">
              <w:rPr>
                <w:rFonts w:ascii="Arial" w:eastAsia="华文细黑" w:hAnsi="Arial" w:cs="Arial"/>
                <w:sz w:val="15"/>
                <w:szCs w:val="15"/>
              </w:rPr>
              <w:t>套，月均去化</w:t>
            </w:r>
            <w:r w:rsidRPr="00330486">
              <w:rPr>
                <w:rFonts w:ascii="Arial" w:eastAsia="华文细黑" w:hAnsi="Arial" w:cs="Arial"/>
                <w:sz w:val="15"/>
                <w:szCs w:val="15"/>
              </w:rPr>
              <w:t>52</w:t>
            </w:r>
            <w:r w:rsidRPr="00330486">
              <w:rPr>
                <w:rFonts w:ascii="Arial" w:eastAsia="华文细黑" w:hAnsi="Arial" w:cs="Arial"/>
                <w:sz w:val="15"/>
                <w:szCs w:val="15"/>
              </w:rPr>
              <w:t>套。</w:t>
            </w:r>
            <w:r w:rsidRPr="00330486">
              <w:rPr>
                <w:rFonts w:ascii="Arial" w:eastAsia="华文细黑" w:hAnsi="Arial" w:cs="Arial"/>
                <w:sz w:val="15"/>
                <w:szCs w:val="15"/>
              </w:rPr>
              <w:t>6</w:t>
            </w:r>
            <w:r w:rsidRPr="00330486">
              <w:rPr>
                <w:rFonts w:ascii="Arial" w:eastAsia="华文细黑" w:hAnsi="Arial" w:cs="Arial"/>
                <w:sz w:val="15"/>
                <w:szCs w:val="15"/>
              </w:rPr>
              <w:t>月新开盘</w:t>
            </w:r>
            <w:r w:rsidRPr="00330486">
              <w:rPr>
                <w:rFonts w:ascii="Arial" w:eastAsia="华文细黑" w:hAnsi="Arial" w:cs="Arial"/>
                <w:sz w:val="15"/>
                <w:szCs w:val="15"/>
              </w:rPr>
              <w:t>2</w:t>
            </w:r>
            <w:r w:rsidRPr="00330486">
              <w:rPr>
                <w:rFonts w:ascii="Arial" w:eastAsia="华文细黑" w:hAnsi="Arial" w:cs="Arial"/>
                <w:sz w:val="15"/>
                <w:szCs w:val="15"/>
              </w:rPr>
              <w:t>栋楼，认购达到</w:t>
            </w:r>
            <w:r w:rsidRPr="00330486">
              <w:rPr>
                <w:rFonts w:ascii="Arial" w:eastAsia="华文细黑" w:hAnsi="Arial" w:cs="Arial"/>
                <w:sz w:val="15"/>
                <w:szCs w:val="15"/>
              </w:rPr>
              <w:t>100%</w:t>
            </w:r>
            <w:r w:rsidRPr="00330486">
              <w:rPr>
                <w:rFonts w:ascii="Arial" w:eastAsia="华文细黑" w:hAnsi="Arial" w:cs="Arial"/>
                <w:sz w:val="15"/>
                <w:szCs w:val="15"/>
              </w:rPr>
              <w:t>。</w:t>
            </w:r>
          </w:p>
        </w:tc>
        <w:tc>
          <w:tcPr>
            <w:tcW w:w="2364" w:type="dxa"/>
            <w:vAlign w:val="center"/>
          </w:tcPr>
          <w:p w14:paraId="45B928F7" w14:textId="77777777" w:rsidR="00935557" w:rsidRPr="00C253C2" w:rsidRDefault="00935557" w:rsidP="00193F01">
            <w:pPr>
              <w:jc w:val="both"/>
              <w:rPr>
                <w:rFonts w:ascii="Arial" w:eastAsia="华文细黑" w:hAnsi="Arial" w:cs="Arial"/>
                <w:sz w:val="15"/>
                <w:szCs w:val="15"/>
              </w:rPr>
            </w:pPr>
            <w:r w:rsidRPr="00330486">
              <w:rPr>
                <w:rFonts w:ascii="Arial" w:eastAsia="华文细黑" w:hAnsi="Arial" w:cs="Arial"/>
                <w:sz w:val="15"/>
                <w:szCs w:val="15"/>
              </w:rPr>
              <w:t>累计销售</w:t>
            </w:r>
            <w:r w:rsidRPr="00330486">
              <w:rPr>
                <w:rFonts w:ascii="Arial" w:eastAsia="华文细黑" w:hAnsi="Arial" w:cs="Arial"/>
                <w:sz w:val="15"/>
                <w:szCs w:val="15"/>
              </w:rPr>
              <w:t>890</w:t>
            </w:r>
            <w:r w:rsidRPr="00330486">
              <w:rPr>
                <w:rFonts w:ascii="Arial" w:eastAsia="华文细黑" w:hAnsi="Arial" w:cs="Arial"/>
                <w:sz w:val="15"/>
                <w:szCs w:val="15"/>
              </w:rPr>
              <w:t>套；</w:t>
            </w:r>
            <w:r w:rsidRPr="00330486">
              <w:rPr>
                <w:rFonts w:ascii="Arial" w:eastAsia="华文细黑" w:hAnsi="Arial" w:cs="Arial"/>
                <w:sz w:val="15"/>
                <w:szCs w:val="15"/>
              </w:rPr>
              <w:t>19</w:t>
            </w:r>
            <w:r w:rsidRPr="00330486">
              <w:rPr>
                <w:rFonts w:ascii="Arial" w:eastAsia="华文细黑" w:hAnsi="Arial" w:cs="Arial"/>
                <w:sz w:val="15"/>
                <w:szCs w:val="15"/>
              </w:rPr>
              <w:t>年</w:t>
            </w:r>
            <w:r w:rsidRPr="00330486">
              <w:rPr>
                <w:rFonts w:ascii="Arial" w:eastAsia="华文细黑" w:hAnsi="Arial" w:cs="Arial"/>
                <w:sz w:val="15"/>
                <w:szCs w:val="15"/>
              </w:rPr>
              <w:t>12</w:t>
            </w:r>
            <w:r w:rsidRPr="00330486">
              <w:rPr>
                <w:rFonts w:ascii="Arial" w:eastAsia="华文细黑" w:hAnsi="Arial" w:cs="Arial"/>
                <w:sz w:val="15"/>
                <w:szCs w:val="15"/>
              </w:rPr>
              <w:t>月开盘至</w:t>
            </w:r>
            <w:r w:rsidRPr="00330486">
              <w:rPr>
                <w:rFonts w:ascii="Arial" w:eastAsia="华文细黑" w:hAnsi="Arial" w:cs="Arial"/>
                <w:sz w:val="15"/>
                <w:szCs w:val="15"/>
              </w:rPr>
              <w:t>2020</w:t>
            </w:r>
            <w:r w:rsidRPr="00330486">
              <w:rPr>
                <w:rFonts w:ascii="Arial" w:eastAsia="华文细黑" w:hAnsi="Arial" w:cs="Arial"/>
                <w:sz w:val="15"/>
                <w:szCs w:val="15"/>
              </w:rPr>
              <w:t>年</w:t>
            </w:r>
            <w:r w:rsidRPr="00330486">
              <w:rPr>
                <w:rFonts w:ascii="Arial" w:eastAsia="华文细黑" w:hAnsi="Arial" w:cs="Arial"/>
                <w:sz w:val="15"/>
                <w:szCs w:val="15"/>
              </w:rPr>
              <w:t>12</w:t>
            </w:r>
            <w:r w:rsidRPr="00330486">
              <w:rPr>
                <w:rFonts w:ascii="Arial" w:eastAsia="华文细黑" w:hAnsi="Arial" w:cs="Arial"/>
                <w:sz w:val="15"/>
                <w:szCs w:val="15"/>
              </w:rPr>
              <w:t>月累计去化</w:t>
            </w:r>
            <w:r w:rsidRPr="00330486">
              <w:rPr>
                <w:rFonts w:ascii="Arial" w:eastAsia="华文细黑" w:hAnsi="Arial" w:cs="Arial"/>
                <w:sz w:val="15"/>
                <w:szCs w:val="15"/>
              </w:rPr>
              <w:t>877</w:t>
            </w:r>
            <w:r w:rsidRPr="00330486">
              <w:rPr>
                <w:rFonts w:ascii="Arial" w:eastAsia="华文细黑" w:hAnsi="Arial" w:cs="Arial"/>
                <w:sz w:val="15"/>
                <w:szCs w:val="15"/>
              </w:rPr>
              <w:t>套，月均去化</w:t>
            </w:r>
            <w:r w:rsidRPr="00330486">
              <w:rPr>
                <w:rFonts w:ascii="Arial" w:eastAsia="华文细黑" w:hAnsi="Arial" w:cs="Arial"/>
                <w:sz w:val="15"/>
                <w:szCs w:val="15"/>
              </w:rPr>
              <w:t>67</w:t>
            </w:r>
            <w:r w:rsidRPr="00330486">
              <w:rPr>
                <w:rFonts w:ascii="Arial" w:eastAsia="华文细黑" w:hAnsi="Arial" w:cs="Arial"/>
                <w:sz w:val="15"/>
                <w:szCs w:val="15"/>
              </w:rPr>
              <w:t>套。</w:t>
            </w:r>
          </w:p>
        </w:tc>
        <w:tc>
          <w:tcPr>
            <w:tcW w:w="2287" w:type="dxa"/>
            <w:vAlign w:val="center"/>
          </w:tcPr>
          <w:p w14:paraId="6B656F02" w14:textId="77777777" w:rsidR="00935557" w:rsidRPr="00C253C2" w:rsidRDefault="00935557" w:rsidP="00193F01">
            <w:pPr>
              <w:jc w:val="both"/>
              <w:rPr>
                <w:rFonts w:ascii="Arial" w:eastAsia="华文细黑" w:hAnsi="Arial" w:cs="Arial"/>
                <w:sz w:val="15"/>
                <w:szCs w:val="15"/>
              </w:rPr>
            </w:pPr>
            <w:r w:rsidRPr="00330486">
              <w:rPr>
                <w:rFonts w:ascii="Arial" w:eastAsia="华文细黑" w:hAnsi="Arial" w:cs="Arial"/>
                <w:sz w:val="15"/>
                <w:szCs w:val="15"/>
              </w:rPr>
              <w:t>2021</w:t>
            </w:r>
            <w:r w:rsidRPr="00330486">
              <w:rPr>
                <w:rFonts w:ascii="Arial" w:eastAsia="华文细黑" w:hAnsi="Arial" w:cs="Arial"/>
                <w:sz w:val="15"/>
                <w:szCs w:val="15"/>
              </w:rPr>
              <w:t>年</w:t>
            </w:r>
            <w:r w:rsidRPr="00330486">
              <w:rPr>
                <w:rFonts w:ascii="Arial" w:eastAsia="华文细黑" w:hAnsi="Arial" w:cs="Arial"/>
                <w:sz w:val="15"/>
                <w:szCs w:val="15"/>
              </w:rPr>
              <w:t>4</w:t>
            </w:r>
            <w:r w:rsidRPr="00330486">
              <w:rPr>
                <w:rFonts w:ascii="Arial" w:eastAsia="华文细黑" w:hAnsi="Arial" w:cs="Arial"/>
                <w:sz w:val="15"/>
                <w:szCs w:val="15"/>
              </w:rPr>
              <w:t>月</w:t>
            </w:r>
            <w:r w:rsidRPr="00330486">
              <w:rPr>
                <w:rFonts w:ascii="Arial" w:eastAsia="华文细黑" w:hAnsi="Arial" w:cs="Arial"/>
                <w:sz w:val="15"/>
                <w:szCs w:val="15"/>
              </w:rPr>
              <w:t>30</w:t>
            </w:r>
            <w:r w:rsidRPr="00330486">
              <w:rPr>
                <w:rFonts w:ascii="Arial" w:eastAsia="华文细黑" w:hAnsi="Arial" w:cs="Arial"/>
                <w:sz w:val="15"/>
                <w:szCs w:val="15"/>
              </w:rPr>
              <w:t>日开盘，</w:t>
            </w:r>
            <w:r>
              <w:rPr>
                <w:rFonts w:ascii="Arial" w:eastAsia="华文细黑" w:hAnsi="Arial" w:cs="Arial" w:hint="eastAsia"/>
                <w:sz w:val="15"/>
                <w:szCs w:val="15"/>
              </w:rPr>
              <w:t>共</w:t>
            </w:r>
            <w:r w:rsidRPr="00330486">
              <w:rPr>
                <w:rFonts w:ascii="Arial" w:eastAsia="华文细黑" w:hAnsi="Arial" w:cs="Arial"/>
                <w:sz w:val="15"/>
                <w:szCs w:val="15"/>
              </w:rPr>
              <w:t>推出</w:t>
            </w:r>
            <w:r w:rsidRPr="00330486">
              <w:rPr>
                <w:rFonts w:ascii="Arial" w:eastAsia="华文细黑" w:hAnsi="Arial" w:cs="Arial"/>
                <w:sz w:val="15"/>
                <w:szCs w:val="15"/>
              </w:rPr>
              <w:t>368</w:t>
            </w:r>
            <w:r w:rsidRPr="00330486">
              <w:rPr>
                <w:rFonts w:ascii="Arial" w:eastAsia="华文细黑" w:hAnsi="Arial" w:cs="Arial"/>
                <w:sz w:val="15"/>
                <w:szCs w:val="15"/>
              </w:rPr>
              <w:t>套可售，目前已售</w:t>
            </w:r>
            <w:r w:rsidRPr="00330486">
              <w:rPr>
                <w:rFonts w:ascii="Arial" w:eastAsia="华文细黑" w:hAnsi="Arial" w:cs="Arial"/>
                <w:sz w:val="15"/>
                <w:szCs w:val="15"/>
              </w:rPr>
              <w:t>229</w:t>
            </w:r>
            <w:r w:rsidRPr="00330486">
              <w:rPr>
                <w:rFonts w:ascii="Arial" w:eastAsia="华文细黑" w:hAnsi="Arial" w:cs="Arial"/>
                <w:sz w:val="15"/>
                <w:szCs w:val="15"/>
              </w:rPr>
              <w:t>套。开盘</w:t>
            </w:r>
            <w:r w:rsidRPr="00330486">
              <w:rPr>
                <w:rFonts w:ascii="Arial" w:eastAsia="华文细黑" w:hAnsi="Arial" w:cs="Arial"/>
                <w:sz w:val="15"/>
                <w:szCs w:val="15"/>
              </w:rPr>
              <w:t>1</w:t>
            </w:r>
            <w:r w:rsidRPr="00330486">
              <w:rPr>
                <w:rFonts w:ascii="Arial" w:eastAsia="华文细黑" w:hAnsi="Arial" w:cs="Arial"/>
                <w:sz w:val="15"/>
                <w:szCs w:val="15"/>
              </w:rPr>
              <w:t>个月去化已达</w:t>
            </w:r>
            <w:r w:rsidRPr="00330486">
              <w:rPr>
                <w:rFonts w:ascii="Arial" w:eastAsia="华文细黑" w:hAnsi="Arial" w:cs="Arial"/>
                <w:sz w:val="15"/>
                <w:szCs w:val="15"/>
              </w:rPr>
              <w:t>6</w:t>
            </w:r>
            <w:r w:rsidRPr="00330486">
              <w:rPr>
                <w:rFonts w:ascii="Arial" w:eastAsia="华文细黑" w:hAnsi="Arial" w:cs="Arial"/>
                <w:sz w:val="15"/>
                <w:szCs w:val="15"/>
              </w:rPr>
              <w:t>成。</w:t>
            </w:r>
          </w:p>
        </w:tc>
        <w:tc>
          <w:tcPr>
            <w:tcW w:w="2304" w:type="dxa"/>
            <w:vAlign w:val="center"/>
          </w:tcPr>
          <w:p w14:paraId="2D60936B" w14:textId="77777777" w:rsidR="00935557" w:rsidRPr="00C253C2" w:rsidRDefault="00935557" w:rsidP="00193F01">
            <w:pPr>
              <w:jc w:val="both"/>
              <w:rPr>
                <w:rFonts w:ascii="Arial" w:eastAsia="华文细黑" w:hAnsi="Arial" w:cs="Arial"/>
                <w:sz w:val="15"/>
                <w:szCs w:val="15"/>
              </w:rPr>
            </w:pPr>
            <w:r w:rsidRPr="00330486">
              <w:rPr>
                <w:rFonts w:ascii="Arial" w:eastAsia="华文细黑" w:hAnsi="Arial" w:cs="Arial"/>
                <w:sz w:val="15"/>
                <w:szCs w:val="15"/>
              </w:rPr>
              <w:t>累计推出</w:t>
            </w:r>
            <w:r w:rsidRPr="00330486">
              <w:rPr>
                <w:rFonts w:ascii="Arial" w:eastAsia="华文细黑" w:hAnsi="Arial" w:cs="Arial"/>
                <w:sz w:val="15"/>
                <w:szCs w:val="15"/>
              </w:rPr>
              <w:t>372</w:t>
            </w:r>
            <w:r w:rsidRPr="00330486">
              <w:rPr>
                <w:rFonts w:ascii="Arial" w:eastAsia="华文细黑" w:hAnsi="Arial" w:cs="Arial"/>
                <w:sz w:val="15"/>
                <w:szCs w:val="15"/>
              </w:rPr>
              <w:t>套，累计销售</w:t>
            </w:r>
            <w:r w:rsidRPr="00330486">
              <w:rPr>
                <w:rFonts w:ascii="Arial" w:eastAsia="华文细黑" w:hAnsi="Arial" w:cs="Arial"/>
                <w:sz w:val="15"/>
                <w:szCs w:val="15"/>
              </w:rPr>
              <w:t>311</w:t>
            </w:r>
            <w:r w:rsidRPr="00330486">
              <w:rPr>
                <w:rFonts w:ascii="Arial" w:eastAsia="华文细黑" w:hAnsi="Arial" w:cs="Arial"/>
                <w:sz w:val="15"/>
                <w:szCs w:val="15"/>
              </w:rPr>
              <w:t>套；首开</w:t>
            </w:r>
            <w:r w:rsidRPr="00330486">
              <w:rPr>
                <w:rFonts w:ascii="Arial" w:eastAsia="华文细黑" w:hAnsi="Arial" w:cs="Arial"/>
                <w:sz w:val="15"/>
                <w:szCs w:val="15"/>
              </w:rPr>
              <w:t>216</w:t>
            </w:r>
            <w:r w:rsidRPr="00330486">
              <w:rPr>
                <w:rFonts w:ascii="Arial" w:eastAsia="华文细黑" w:hAnsi="Arial" w:cs="Arial"/>
                <w:sz w:val="15"/>
                <w:szCs w:val="15"/>
              </w:rPr>
              <w:t>套，</w:t>
            </w:r>
            <w:r w:rsidRPr="00330486">
              <w:rPr>
                <w:rFonts w:ascii="Arial" w:eastAsia="华文细黑" w:hAnsi="Arial" w:cs="Arial"/>
                <w:sz w:val="15"/>
                <w:szCs w:val="15"/>
              </w:rPr>
              <w:t>3</w:t>
            </w:r>
            <w:r w:rsidRPr="00330486">
              <w:rPr>
                <w:rFonts w:ascii="Arial" w:eastAsia="华文细黑" w:hAnsi="Arial" w:cs="Arial"/>
                <w:sz w:val="15"/>
                <w:szCs w:val="15"/>
              </w:rPr>
              <w:t>个月</w:t>
            </w:r>
            <w:r w:rsidRPr="00330486">
              <w:rPr>
                <w:rFonts w:ascii="Arial" w:eastAsia="华文细黑" w:hAnsi="Arial" w:cs="Arial" w:hint="eastAsia"/>
                <w:sz w:val="15"/>
                <w:szCs w:val="15"/>
              </w:rPr>
              <w:t>去化</w:t>
            </w:r>
            <w:r w:rsidRPr="00330486">
              <w:rPr>
                <w:rFonts w:ascii="Arial" w:eastAsia="华文细黑" w:hAnsi="Arial" w:cs="Arial"/>
                <w:sz w:val="15"/>
                <w:szCs w:val="15"/>
              </w:rPr>
              <w:t>176</w:t>
            </w:r>
            <w:r w:rsidRPr="00330486">
              <w:rPr>
                <w:rFonts w:ascii="Arial" w:eastAsia="华文细黑" w:hAnsi="Arial" w:cs="Arial"/>
                <w:sz w:val="15"/>
                <w:szCs w:val="15"/>
              </w:rPr>
              <w:t>套，去化达</w:t>
            </w:r>
            <w:r w:rsidRPr="00330486">
              <w:rPr>
                <w:rFonts w:ascii="Arial" w:eastAsia="华文细黑" w:hAnsi="Arial" w:cs="Arial"/>
                <w:sz w:val="15"/>
                <w:szCs w:val="15"/>
              </w:rPr>
              <w:t>81.5%</w:t>
            </w:r>
            <w:r w:rsidRPr="00330486">
              <w:rPr>
                <w:rFonts w:ascii="Arial" w:eastAsia="华文细黑" w:hAnsi="Arial" w:cs="Arial"/>
                <w:sz w:val="15"/>
                <w:szCs w:val="15"/>
              </w:rPr>
              <w:t>，月均去化</w:t>
            </w:r>
            <w:r w:rsidRPr="00330486">
              <w:rPr>
                <w:rFonts w:ascii="Arial" w:eastAsia="华文细黑" w:hAnsi="Arial" w:cs="Arial"/>
                <w:sz w:val="15"/>
                <w:szCs w:val="15"/>
              </w:rPr>
              <w:t>59</w:t>
            </w:r>
            <w:r w:rsidRPr="00330486">
              <w:rPr>
                <w:rFonts w:ascii="Arial" w:eastAsia="华文细黑" w:hAnsi="Arial" w:cs="Arial"/>
                <w:sz w:val="15"/>
                <w:szCs w:val="15"/>
              </w:rPr>
              <w:t>套。今年加推</w:t>
            </w:r>
            <w:r w:rsidRPr="00330486">
              <w:rPr>
                <w:rFonts w:ascii="Arial" w:eastAsia="华文细黑" w:hAnsi="Arial" w:cs="Arial"/>
                <w:sz w:val="15"/>
                <w:szCs w:val="15"/>
              </w:rPr>
              <w:t>156</w:t>
            </w:r>
            <w:r w:rsidRPr="00330486">
              <w:rPr>
                <w:rFonts w:ascii="Arial" w:eastAsia="华文细黑" w:hAnsi="Arial" w:cs="Arial"/>
                <w:sz w:val="15"/>
                <w:szCs w:val="15"/>
              </w:rPr>
              <w:t>套，</w:t>
            </w:r>
            <w:r w:rsidRPr="00330486">
              <w:rPr>
                <w:rFonts w:ascii="Arial" w:eastAsia="华文细黑" w:hAnsi="Arial" w:cs="Arial"/>
                <w:sz w:val="15"/>
                <w:szCs w:val="15"/>
              </w:rPr>
              <w:t>6</w:t>
            </w:r>
            <w:r w:rsidRPr="00330486">
              <w:rPr>
                <w:rFonts w:ascii="Arial" w:eastAsia="华文细黑" w:hAnsi="Arial" w:cs="Arial"/>
                <w:sz w:val="15"/>
                <w:szCs w:val="15"/>
              </w:rPr>
              <w:t>月集中签约</w:t>
            </w:r>
            <w:r w:rsidRPr="00330486">
              <w:rPr>
                <w:rFonts w:ascii="Arial" w:eastAsia="华文细黑" w:hAnsi="Arial" w:cs="Arial"/>
                <w:sz w:val="15"/>
                <w:szCs w:val="15"/>
              </w:rPr>
              <w:t>125</w:t>
            </w:r>
            <w:r w:rsidRPr="00330486">
              <w:rPr>
                <w:rFonts w:ascii="Arial" w:eastAsia="华文细黑" w:hAnsi="Arial" w:cs="Arial"/>
                <w:sz w:val="15"/>
                <w:szCs w:val="15"/>
              </w:rPr>
              <w:t>套。</w:t>
            </w:r>
          </w:p>
        </w:tc>
      </w:tr>
      <w:tr w:rsidR="00152865" w:rsidRPr="00C253C2" w14:paraId="23E5A8B3" w14:textId="77777777" w:rsidTr="00193F01">
        <w:trPr>
          <w:cantSplit/>
          <w:trHeight w:val="283"/>
          <w:jc w:val="center"/>
        </w:trPr>
        <w:tc>
          <w:tcPr>
            <w:tcW w:w="562" w:type="dxa"/>
            <w:tcBorders>
              <w:bottom w:val="single" w:sz="12" w:space="0" w:color="auto"/>
            </w:tcBorders>
            <w:shd w:val="clear" w:color="000000" w:fill="C0C0C0"/>
          </w:tcPr>
          <w:p w14:paraId="5567C100" w14:textId="77777777" w:rsidR="00935557" w:rsidRPr="00C253C2" w:rsidRDefault="00935557" w:rsidP="00193F01">
            <w:pPr>
              <w:rPr>
                <w:rFonts w:ascii="Arial" w:eastAsia="华文细黑" w:hAnsi="Arial" w:cs="Arial"/>
                <w:b/>
                <w:bCs/>
                <w:sz w:val="15"/>
                <w:szCs w:val="15"/>
              </w:rPr>
            </w:pPr>
            <w:r w:rsidRPr="00550B34">
              <w:rPr>
                <w:rFonts w:ascii="Arial" w:eastAsia="华文细黑" w:hAnsi="Arial" w:cs="Arial" w:hint="eastAsia"/>
                <w:b/>
                <w:bCs/>
                <w:sz w:val="15"/>
                <w:szCs w:val="15"/>
              </w:rPr>
              <w:t>是否有车库正在销售</w:t>
            </w:r>
          </w:p>
        </w:tc>
        <w:tc>
          <w:tcPr>
            <w:tcW w:w="2315" w:type="dxa"/>
            <w:tcBorders>
              <w:bottom w:val="single" w:sz="12" w:space="0" w:color="auto"/>
            </w:tcBorders>
            <w:shd w:val="clear" w:color="auto" w:fill="auto"/>
            <w:vAlign w:val="center"/>
          </w:tcPr>
          <w:p w14:paraId="0863F964" w14:textId="77777777" w:rsidR="00935557" w:rsidRPr="00550B34" w:rsidRDefault="00935557" w:rsidP="00193F01">
            <w:pPr>
              <w:jc w:val="both"/>
              <w:rPr>
                <w:rFonts w:ascii="Arial" w:eastAsia="华文细黑" w:hAnsi="Arial" w:cs="Arial"/>
                <w:sz w:val="15"/>
                <w:szCs w:val="15"/>
              </w:rPr>
            </w:pPr>
            <w:r w:rsidRPr="00330486">
              <w:rPr>
                <w:rFonts w:ascii="Arial" w:eastAsia="华文细黑" w:hAnsi="Arial" w:cs="Arial" w:hint="eastAsia"/>
                <w:sz w:val="15"/>
                <w:szCs w:val="15"/>
              </w:rPr>
              <w:t>——</w:t>
            </w:r>
          </w:p>
        </w:tc>
        <w:tc>
          <w:tcPr>
            <w:tcW w:w="2343" w:type="dxa"/>
            <w:tcBorders>
              <w:bottom w:val="single" w:sz="12" w:space="0" w:color="auto"/>
            </w:tcBorders>
            <w:shd w:val="clear" w:color="auto" w:fill="auto"/>
            <w:vAlign w:val="center"/>
          </w:tcPr>
          <w:p w14:paraId="7E632360" w14:textId="77777777" w:rsidR="00935557" w:rsidRPr="00550B34" w:rsidRDefault="00935557" w:rsidP="00193F01">
            <w:pPr>
              <w:jc w:val="both"/>
              <w:rPr>
                <w:rFonts w:ascii="Arial" w:eastAsia="华文细黑" w:hAnsi="Arial" w:cs="Arial"/>
                <w:sz w:val="15"/>
                <w:szCs w:val="15"/>
              </w:rPr>
            </w:pPr>
            <w:r w:rsidRPr="00330486">
              <w:rPr>
                <w:rFonts w:ascii="Arial" w:eastAsia="华文细黑" w:hAnsi="Arial" w:cs="Arial"/>
                <w:sz w:val="15"/>
                <w:szCs w:val="15"/>
              </w:rPr>
              <w:t>——</w:t>
            </w:r>
          </w:p>
        </w:tc>
        <w:tc>
          <w:tcPr>
            <w:tcW w:w="2454" w:type="dxa"/>
            <w:tcBorders>
              <w:bottom w:val="single" w:sz="12" w:space="0" w:color="auto"/>
            </w:tcBorders>
            <w:shd w:val="clear" w:color="auto" w:fill="auto"/>
            <w:vAlign w:val="center"/>
          </w:tcPr>
          <w:p w14:paraId="3C5126F7" w14:textId="77777777" w:rsidR="00935557" w:rsidRPr="00550B34" w:rsidRDefault="00935557" w:rsidP="00193F01">
            <w:pPr>
              <w:jc w:val="both"/>
              <w:rPr>
                <w:rFonts w:ascii="Arial" w:eastAsia="华文细黑" w:hAnsi="Arial" w:cs="Arial"/>
                <w:sz w:val="15"/>
                <w:szCs w:val="15"/>
              </w:rPr>
            </w:pPr>
            <w:r w:rsidRPr="00330486">
              <w:rPr>
                <w:rFonts w:ascii="Arial" w:eastAsia="华文细黑" w:hAnsi="Arial" w:cs="Arial"/>
                <w:sz w:val="15"/>
                <w:szCs w:val="15"/>
              </w:rPr>
              <w:t>预计</w:t>
            </w:r>
            <w:r>
              <w:rPr>
                <w:rFonts w:ascii="Arial" w:eastAsia="华文细黑" w:hAnsi="Arial" w:cs="Arial" w:hint="eastAsia"/>
                <w:sz w:val="15"/>
                <w:szCs w:val="15"/>
              </w:rPr>
              <w:t>售价</w:t>
            </w:r>
            <w:r w:rsidRPr="00330486">
              <w:rPr>
                <w:rFonts w:ascii="Arial" w:eastAsia="华文细黑" w:hAnsi="Arial" w:cs="Arial"/>
                <w:sz w:val="15"/>
                <w:szCs w:val="15"/>
              </w:rPr>
              <w:t>15</w:t>
            </w:r>
            <w:r w:rsidRPr="00330486">
              <w:rPr>
                <w:rFonts w:ascii="Arial" w:eastAsia="华文细黑" w:hAnsi="Arial" w:cs="Arial"/>
                <w:sz w:val="15"/>
                <w:szCs w:val="15"/>
              </w:rPr>
              <w:t>万</w:t>
            </w:r>
            <w:r w:rsidRPr="00330486">
              <w:rPr>
                <w:rFonts w:ascii="Arial" w:eastAsia="华文细黑" w:hAnsi="Arial" w:cs="Arial"/>
                <w:sz w:val="15"/>
                <w:szCs w:val="15"/>
              </w:rPr>
              <w:t>/</w:t>
            </w:r>
            <w:proofErr w:type="gramStart"/>
            <w:r w:rsidRPr="00330486">
              <w:rPr>
                <w:rFonts w:ascii="Arial" w:eastAsia="华文细黑" w:hAnsi="Arial" w:cs="Arial"/>
                <w:sz w:val="15"/>
                <w:szCs w:val="15"/>
              </w:rPr>
              <w:t>个</w:t>
            </w:r>
            <w:proofErr w:type="gramEnd"/>
          </w:p>
        </w:tc>
        <w:tc>
          <w:tcPr>
            <w:tcW w:w="2364" w:type="dxa"/>
            <w:tcBorders>
              <w:bottom w:val="single" w:sz="12" w:space="0" w:color="auto"/>
            </w:tcBorders>
            <w:vAlign w:val="center"/>
          </w:tcPr>
          <w:p w14:paraId="1050ACC6" w14:textId="77777777" w:rsidR="00935557" w:rsidRPr="00550B34" w:rsidRDefault="00935557" w:rsidP="00193F01">
            <w:pPr>
              <w:jc w:val="both"/>
              <w:rPr>
                <w:rFonts w:ascii="Arial" w:eastAsia="华文细黑" w:hAnsi="Arial" w:cs="Arial"/>
                <w:sz w:val="15"/>
                <w:szCs w:val="15"/>
              </w:rPr>
            </w:pPr>
            <w:r w:rsidRPr="00330486">
              <w:rPr>
                <w:rFonts w:ascii="Arial" w:eastAsia="华文细黑" w:hAnsi="Arial" w:cs="Arial"/>
                <w:sz w:val="15"/>
                <w:szCs w:val="15"/>
              </w:rPr>
              <w:t>——</w:t>
            </w:r>
          </w:p>
        </w:tc>
        <w:tc>
          <w:tcPr>
            <w:tcW w:w="2287" w:type="dxa"/>
            <w:tcBorders>
              <w:bottom w:val="single" w:sz="12" w:space="0" w:color="auto"/>
            </w:tcBorders>
            <w:vAlign w:val="center"/>
          </w:tcPr>
          <w:p w14:paraId="0200CFA5" w14:textId="77777777" w:rsidR="00935557" w:rsidRPr="00550B34" w:rsidRDefault="00935557" w:rsidP="00193F01">
            <w:pPr>
              <w:jc w:val="both"/>
              <w:rPr>
                <w:rFonts w:ascii="Arial" w:eastAsia="华文细黑" w:hAnsi="Arial" w:cs="Arial"/>
                <w:sz w:val="15"/>
                <w:szCs w:val="15"/>
              </w:rPr>
            </w:pPr>
            <w:r w:rsidRPr="00330486">
              <w:rPr>
                <w:rFonts w:ascii="Arial" w:eastAsia="华文细黑" w:hAnsi="Arial" w:cs="Arial"/>
                <w:sz w:val="15"/>
                <w:szCs w:val="15"/>
              </w:rPr>
              <w:t>——</w:t>
            </w:r>
          </w:p>
        </w:tc>
        <w:tc>
          <w:tcPr>
            <w:tcW w:w="2304" w:type="dxa"/>
            <w:tcBorders>
              <w:bottom w:val="single" w:sz="12" w:space="0" w:color="auto"/>
            </w:tcBorders>
            <w:vAlign w:val="center"/>
          </w:tcPr>
          <w:p w14:paraId="742AAAC1" w14:textId="77777777" w:rsidR="00935557" w:rsidRPr="00550B34" w:rsidRDefault="00935557" w:rsidP="00193F01">
            <w:pPr>
              <w:jc w:val="both"/>
              <w:rPr>
                <w:rFonts w:ascii="Arial" w:eastAsia="华文细黑" w:hAnsi="Arial" w:cs="Arial"/>
                <w:sz w:val="15"/>
                <w:szCs w:val="15"/>
              </w:rPr>
            </w:pPr>
            <w:r w:rsidRPr="00330486">
              <w:rPr>
                <w:rFonts w:ascii="Arial" w:eastAsia="华文细黑" w:hAnsi="Arial" w:cs="Arial"/>
                <w:sz w:val="15"/>
                <w:szCs w:val="15"/>
              </w:rPr>
              <w:t>——</w:t>
            </w:r>
          </w:p>
        </w:tc>
      </w:tr>
    </w:tbl>
    <w:p w14:paraId="106A3823" w14:textId="77777777" w:rsidR="00C21751" w:rsidRPr="00E05368" w:rsidRDefault="00C21751" w:rsidP="00C21751">
      <w:pPr>
        <w:spacing w:line="360" w:lineRule="auto"/>
        <w:rPr>
          <w:rFonts w:ascii="华文细黑" w:eastAsia="华文细黑" w:hAnsi="华文细黑" w:cs="Arial"/>
          <w:color w:val="000000"/>
          <w:sz w:val="15"/>
          <w:szCs w:val="15"/>
        </w:rPr>
      </w:pPr>
      <w:r w:rsidRPr="00E05368">
        <w:rPr>
          <w:rFonts w:ascii="华文细黑" w:eastAsia="华文细黑" w:hAnsi="华文细黑" w:cs="Arial" w:hint="eastAsia"/>
          <w:color w:val="000000"/>
          <w:sz w:val="15"/>
          <w:szCs w:val="15"/>
        </w:rPr>
        <w:t>资料来源：房天下网站、</w:t>
      </w:r>
      <w:r w:rsidRPr="00E05368">
        <w:rPr>
          <w:rFonts w:ascii="华文细黑" w:eastAsia="华文细黑" w:hAnsi="华文细黑" w:cs="Arial"/>
          <w:color w:val="000000"/>
          <w:sz w:val="15"/>
          <w:szCs w:val="15"/>
        </w:rPr>
        <w:t>CREIS中指数据</w:t>
      </w:r>
      <w:r w:rsidRPr="00E05368">
        <w:rPr>
          <w:rFonts w:ascii="华文细黑" w:eastAsia="华文细黑" w:hAnsi="华文细黑" w:cs="Arial" w:hint="eastAsia"/>
          <w:color w:val="000000"/>
          <w:sz w:val="15"/>
          <w:szCs w:val="15"/>
        </w:rPr>
        <w:t>、</w:t>
      </w:r>
      <w:r>
        <w:rPr>
          <w:rFonts w:ascii="华文细黑" w:eastAsia="华文细黑" w:hAnsi="华文细黑" w:cs="Arial" w:hint="eastAsia"/>
          <w:color w:val="000000"/>
          <w:sz w:val="15"/>
          <w:szCs w:val="15"/>
        </w:rPr>
        <w:t>南京网上房地产网、</w:t>
      </w:r>
      <w:r w:rsidRPr="00E05368">
        <w:rPr>
          <w:rFonts w:ascii="华文细黑" w:eastAsia="华文细黑" w:hAnsi="华文细黑" w:cs="Arial" w:hint="eastAsia"/>
          <w:color w:val="000000"/>
          <w:sz w:val="15"/>
          <w:szCs w:val="15"/>
        </w:rPr>
        <w:t>市场调研资料</w:t>
      </w:r>
    </w:p>
    <w:p w14:paraId="4A6D1716" w14:textId="77777777" w:rsidR="00B21766" w:rsidRPr="00C21751" w:rsidRDefault="00B21766" w:rsidP="00B21766">
      <w:pPr>
        <w:rPr>
          <w:rFonts w:ascii="华文细黑" w:eastAsia="华文细黑" w:hAnsi="华文细黑" w:cs="Arial"/>
          <w:color w:val="000000"/>
          <w:sz w:val="15"/>
          <w:szCs w:val="15"/>
        </w:rPr>
      </w:pPr>
    </w:p>
    <w:p w14:paraId="561B8480" w14:textId="18BACACA" w:rsidR="00B21766" w:rsidRPr="00E05368" w:rsidRDefault="00B21766" w:rsidP="00B21766">
      <w:pPr>
        <w:rPr>
          <w:rFonts w:ascii="华文细黑" w:eastAsia="华文细黑" w:hAnsi="华文细黑" w:cs="Arial"/>
          <w:color w:val="000000"/>
          <w:sz w:val="15"/>
          <w:szCs w:val="15"/>
        </w:rPr>
      </w:pPr>
    </w:p>
    <w:p w14:paraId="510259A9" w14:textId="62367DA9" w:rsidR="00C96DA1" w:rsidRPr="00E05368" w:rsidRDefault="00C96DA1" w:rsidP="00B21766">
      <w:pPr>
        <w:rPr>
          <w:rFonts w:ascii="华文细黑" w:eastAsia="华文细黑" w:hAnsi="华文细黑" w:cs="Arial"/>
          <w:color w:val="000000"/>
          <w:sz w:val="15"/>
          <w:szCs w:val="15"/>
        </w:rPr>
      </w:pPr>
    </w:p>
    <w:p w14:paraId="3564D274" w14:textId="77777777" w:rsidR="00C96DA1" w:rsidRPr="00E05368" w:rsidRDefault="00C96DA1" w:rsidP="00C96DA1">
      <w:pPr>
        <w:widowControl w:val="0"/>
        <w:adjustRightInd w:val="0"/>
        <w:snapToGrid w:val="0"/>
        <w:spacing w:line="480" w:lineRule="auto"/>
        <w:ind w:firstLineChars="200" w:firstLine="420"/>
        <w:jc w:val="both"/>
        <w:rPr>
          <w:rFonts w:ascii="Arial" w:hAnsi="Arial" w:cs="Arial"/>
          <w:color w:val="000000"/>
          <w:sz w:val="21"/>
          <w:szCs w:val="21"/>
        </w:rPr>
        <w:sectPr w:rsidR="00C96DA1" w:rsidRPr="00E05368" w:rsidSect="00683AF4">
          <w:pgSz w:w="16838" w:h="11906" w:orient="landscape" w:code="9"/>
          <w:pgMar w:top="1304" w:right="1843" w:bottom="1304" w:left="1134" w:header="1134" w:footer="907" w:gutter="0"/>
          <w:cols w:space="425"/>
          <w:titlePg/>
          <w:docGrid w:linePitch="326"/>
        </w:sectPr>
      </w:pPr>
    </w:p>
    <w:p w14:paraId="0BC6AF4A" w14:textId="77777777" w:rsidR="0040379B" w:rsidRPr="00E05368" w:rsidRDefault="0040379B" w:rsidP="0040379B">
      <w:pPr>
        <w:pStyle w:val="2"/>
        <w:snapToGrid w:val="0"/>
        <w:spacing w:before="0" w:after="0" w:line="480" w:lineRule="auto"/>
        <w:jc w:val="both"/>
        <w:rPr>
          <w:rFonts w:eastAsia="宋体" w:cs="Arial"/>
          <w:sz w:val="21"/>
          <w:szCs w:val="21"/>
        </w:rPr>
      </w:pPr>
      <w:bookmarkStart w:id="136" w:name="_Toc74250075"/>
      <w:bookmarkStart w:id="137" w:name="_Toc74662905"/>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33"/>
      <w:r w:rsidRPr="00E05368">
        <w:rPr>
          <w:rFonts w:eastAsia="宋体" w:cs="Arial"/>
          <w:sz w:val="21"/>
          <w:szCs w:val="21"/>
        </w:rPr>
        <w:lastRenderedPageBreak/>
        <w:t>二、项目市场竞争能力分析</w:t>
      </w:r>
      <w:bookmarkEnd w:id="136"/>
      <w:bookmarkEnd w:id="137"/>
    </w:p>
    <w:p w14:paraId="603F6F7D" w14:textId="77777777" w:rsidR="0040379B" w:rsidRPr="00E05368" w:rsidRDefault="0040379B" w:rsidP="0040379B">
      <w:pPr>
        <w:pStyle w:val="2"/>
        <w:snapToGrid w:val="0"/>
        <w:spacing w:before="0" w:after="0" w:line="480" w:lineRule="auto"/>
        <w:ind w:firstLineChars="98" w:firstLine="207"/>
        <w:jc w:val="both"/>
        <w:rPr>
          <w:rFonts w:eastAsia="宋体" w:cs="Arial"/>
          <w:sz w:val="21"/>
          <w:szCs w:val="21"/>
        </w:rPr>
      </w:pPr>
      <w:bookmarkStart w:id="138" w:name="_Toc74250076"/>
      <w:bookmarkStart w:id="139" w:name="_Toc74662906"/>
      <w:r w:rsidRPr="00E05368">
        <w:rPr>
          <w:rFonts w:eastAsia="宋体" w:cs="Arial"/>
          <w:sz w:val="21"/>
          <w:szCs w:val="21"/>
        </w:rPr>
        <w:t>（一）优势</w:t>
      </w:r>
      <w:bookmarkEnd w:id="138"/>
      <w:bookmarkEnd w:id="139"/>
    </w:p>
    <w:p w14:paraId="27481A85" w14:textId="77777777" w:rsidR="00C21751" w:rsidRDefault="00C21751" w:rsidP="00C21751">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1</w:t>
      </w:r>
      <w:r>
        <w:rPr>
          <w:rFonts w:ascii="Arial" w:hAnsi="Arial" w:cs="Arial" w:hint="eastAsia"/>
          <w:sz w:val="21"/>
          <w:szCs w:val="21"/>
        </w:rPr>
        <w:t>、品牌优势</w:t>
      </w:r>
    </w:p>
    <w:p w14:paraId="142E252E" w14:textId="77777777" w:rsidR="00C21751" w:rsidRDefault="00C21751" w:rsidP="00C21751">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南京市房地产市场品牌房企认可度较高，已有万科、保利、新城、绿地、恒大等多家大型知名房企进驻。</w:t>
      </w:r>
      <w:proofErr w:type="gramStart"/>
      <w:r>
        <w:rPr>
          <w:rFonts w:ascii="Arial" w:hAnsi="Arial" w:cs="Arial" w:hint="eastAsia"/>
          <w:sz w:val="21"/>
          <w:szCs w:val="21"/>
        </w:rPr>
        <w:t>中冶置业</w:t>
      </w:r>
      <w:proofErr w:type="gramEnd"/>
      <w:r>
        <w:rPr>
          <w:rFonts w:ascii="Arial" w:hAnsi="Arial" w:cs="Arial" w:hint="eastAsia"/>
          <w:sz w:val="21"/>
          <w:szCs w:val="21"/>
        </w:rPr>
        <w:t>的</w:t>
      </w:r>
      <w:r w:rsidRPr="000C3F9E">
        <w:rPr>
          <w:rFonts w:ascii="Arial" w:hAnsi="Arial" w:cs="Arial" w:hint="eastAsia"/>
          <w:sz w:val="21"/>
          <w:szCs w:val="21"/>
        </w:rPr>
        <w:t>标准化流程，质量保证，</w:t>
      </w:r>
      <w:r>
        <w:rPr>
          <w:rFonts w:ascii="Arial" w:hAnsi="Arial" w:cs="Arial" w:hint="eastAsia"/>
          <w:sz w:val="21"/>
          <w:szCs w:val="21"/>
        </w:rPr>
        <w:t>已成功在南京市开发“</w:t>
      </w:r>
      <w:r w:rsidRPr="009B3F84">
        <w:rPr>
          <w:rFonts w:ascii="Arial" w:hAnsi="Arial" w:cs="Arial" w:hint="eastAsia"/>
          <w:sz w:val="21"/>
          <w:szCs w:val="21"/>
        </w:rPr>
        <w:t>南京盛世滨江项目</w:t>
      </w:r>
      <w:r>
        <w:rPr>
          <w:rFonts w:ascii="Arial" w:hAnsi="Arial" w:cs="Arial" w:hint="eastAsia"/>
          <w:sz w:val="21"/>
          <w:szCs w:val="21"/>
        </w:rPr>
        <w:t>”等多个项目，整体客户产品认可度、品牌认可度较好，有较好</w:t>
      </w:r>
      <w:r w:rsidRPr="003B09BE">
        <w:rPr>
          <w:rFonts w:ascii="Arial" w:hAnsi="Arial" w:cs="Arial" w:hint="eastAsia"/>
          <w:sz w:val="21"/>
          <w:szCs w:val="21"/>
        </w:rPr>
        <w:t>的客户和口碑基础</w:t>
      </w:r>
      <w:r>
        <w:rPr>
          <w:rFonts w:ascii="Arial" w:hAnsi="Arial" w:cs="Arial" w:hint="eastAsia"/>
          <w:sz w:val="21"/>
          <w:szCs w:val="21"/>
        </w:rPr>
        <w:t>，</w:t>
      </w:r>
      <w:r w:rsidRPr="000C3F9E">
        <w:rPr>
          <w:rFonts w:ascii="Arial" w:hAnsi="Arial" w:cs="Arial" w:hint="eastAsia"/>
          <w:sz w:val="21"/>
          <w:szCs w:val="21"/>
        </w:rPr>
        <w:t>品牌优势明显。</w:t>
      </w:r>
    </w:p>
    <w:p w14:paraId="4955066A" w14:textId="77777777" w:rsidR="00C21751" w:rsidRPr="00E05368" w:rsidRDefault="00C21751" w:rsidP="00C21751">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2</w:t>
      </w:r>
      <w:r w:rsidRPr="00E05368">
        <w:rPr>
          <w:rFonts w:ascii="Arial" w:hAnsi="Arial" w:cs="Arial"/>
          <w:sz w:val="21"/>
          <w:szCs w:val="21"/>
        </w:rPr>
        <w:t>、</w:t>
      </w:r>
      <w:r w:rsidRPr="00E05368">
        <w:rPr>
          <w:rFonts w:ascii="Arial" w:hAnsi="Arial" w:cs="Arial" w:hint="eastAsia"/>
          <w:sz w:val="21"/>
          <w:szCs w:val="21"/>
        </w:rPr>
        <w:t>区位优势</w:t>
      </w:r>
    </w:p>
    <w:p w14:paraId="5DE3ECE5" w14:textId="77777777" w:rsidR="00C21751" w:rsidRPr="00070E3F" w:rsidRDefault="00C21751" w:rsidP="00C21751">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建设项目地块属</w:t>
      </w:r>
      <w:r w:rsidRPr="00070E3F">
        <w:rPr>
          <w:rFonts w:ascii="Arial" w:hAnsi="Arial" w:cs="Arial" w:hint="eastAsia"/>
          <w:sz w:val="21"/>
          <w:szCs w:val="21"/>
        </w:rPr>
        <w:t>纯住宅地块</w:t>
      </w:r>
      <w:r>
        <w:rPr>
          <w:rFonts w:ascii="Arial" w:hAnsi="Arial" w:cs="Arial" w:hint="eastAsia"/>
          <w:sz w:val="21"/>
          <w:szCs w:val="21"/>
        </w:rPr>
        <w:t>，地块素质优越。</w:t>
      </w:r>
    </w:p>
    <w:p w14:paraId="0C03E59C" w14:textId="77777777" w:rsidR="00C21751" w:rsidRDefault="00C21751" w:rsidP="00C21751">
      <w:pPr>
        <w:widowControl w:val="0"/>
        <w:adjustRightInd w:val="0"/>
        <w:snapToGrid w:val="0"/>
        <w:spacing w:line="480" w:lineRule="auto"/>
        <w:ind w:firstLineChars="200" w:firstLine="420"/>
        <w:jc w:val="both"/>
        <w:rPr>
          <w:rFonts w:ascii="Arial" w:hAnsi="Arial" w:cs="Arial"/>
          <w:sz w:val="21"/>
          <w:szCs w:val="21"/>
        </w:rPr>
      </w:pPr>
      <w:r w:rsidRPr="00070E3F">
        <w:rPr>
          <w:rFonts w:ascii="Arial" w:hAnsi="Arial" w:cs="Arial" w:hint="eastAsia"/>
          <w:sz w:val="21"/>
          <w:szCs w:val="21"/>
        </w:rPr>
        <w:t>项目位于南京市雨花区，周边配套较为完善，项目距离规划地铁</w:t>
      </w:r>
      <w:r w:rsidRPr="00070E3F">
        <w:rPr>
          <w:rFonts w:ascii="Arial" w:hAnsi="Arial" w:cs="Arial"/>
          <w:sz w:val="21"/>
          <w:szCs w:val="21"/>
        </w:rPr>
        <w:t>S2</w:t>
      </w:r>
      <w:r w:rsidRPr="00070E3F">
        <w:rPr>
          <w:rFonts w:ascii="Arial" w:hAnsi="Arial" w:cs="Arial"/>
          <w:sz w:val="21"/>
          <w:szCs w:val="21"/>
        </w:rPr>
        <w:t>号线（宁马线）板桥北站、规划地铁</w:t>
      </w:r>
      <w:r w:rsidRPr="00070E3F">
        <w:rPr>
          <w:rFonts w:ascii="Arial" w:hAnsi="Arial" w:cs="Arial"/>
          <w:sz w:val="21"/>
          <w:szCs w:val="21"/>
        </w:rPr>
        <w:t>16</w:t>
      </w:r>
      <w:r w:rsidRPr="00070E3F">
        <w:rPr>
          <w:rFonts w:ascii="Arial" w:hAnsi="Arial" w:cs="Arial"/>
          <w:sz w:val="21"/>
          <w:szCs w:val="21"/>
        </w:rPr>
        <w:t>号线华新大街站路程均约</w:t>
      </w:r>
      <w:r w:rsidRPr="00070E3F">
        <w:rPr>
          <w:rFonts w:ascii="Arial" w:hAnsi="Arial" w:cs="Arial"/>
          <w:sz w:val="21"/>
          <w:szCs w:val="21"/>
        </w:rPr>
        <w:t>800</w:t>
      </w:r>
      <w:r w:rsidRPr="00070E3F">
        <w:rPr>
          <w:rFonts w:ascii="Arial" w:hAnsi="Arial" w:cs="Arial"/>
          <w:sz w:val="21"/>
          <w:szCs w:val="21"/>
        </w:rPr>
        <w:t>米，未来交通条件便捷。</w:t>
      </w:r>
    </w:p>
    <w:p w14:paraId="0C8C520A" w14:textId="77777777" w:rsidR="00C21751" w:rsidRDefault="00C21751" w:rsidP="00C21751">
      <w:pPr>
        <w:widowControl w:val="0"/>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3</w:t>
      </w:r>
      <w:r w:rsidRPr="00E05368">
        <w:rPr>
          <w:rFonts w:ascii="Arial" w:hAnsi="Arial" w:cs="Arial"/>
          <w:sz w:val="21"/>
          <w:szCs w:val="21"/>
        </w:rPr>
        <w:t>、建设单位综合实力较强</w:t>
      </w:r>
      <w:r>
        <w:rPr>
          <w:rFonts w:ascii="Arial" w:hAnsi="Arial" w:cs="Arial" w:hint="eastAsia"/>
          <w:sz w:val="21"/>
          <w:szCs w:val="21"/>
        </w:rPr>
        <w:t>，</w:t>
      </w:r>
      <w:proofErr w:type="gramStart"/>
      <w:r>
        <w:rPr>
          <w:rFonts w:ascii="Arial" w:hAnsi="Arial" w:cs="Arial" w:hint="eastAsia"/>
          <w:sz w:val="21"/>
          <w:szCs w:val="21"/>
        </w:rPr>
        <w:t>凭借中冶</w:t>
      </w:r>
      <w:r w:rsidRPr="000C3F9E">
        <w:rPr>
          <w:rFonts w:ascii="Arial" w:hAnsi="Arial" w:cs="Arial" w:hint="eastAsia"/>
          <w:sz w:val="21"/>
          <w:szCs w:val="21"/>
        </w:rPr>
        <w:t>集团</w:t>
      </w:r>
      <w:proofErr w:type="gramEnd"/>
      <w:r w:rsidRPr="000C3F9E">
        <w:rPr>
          <w:rFonts w:ascii="Arial" w:hAnsi="Arial" w:cs="Arial" w:hint="eastAsia"/>
          <w:sz w:val="21"/>
          <w:szCs w:val="21"/>
        </w:rPr>
        <w:t>对相似项目的操作经验、专业特长，能保质保量的快速竣工交房。</w:t>
      </w:r>
    </w:p>
    <w:p w14:paraId="32676896" w14:textId="6A93F3DD" w:rsidR="0040379B" w:rsidRDefault="00C21751" w:rsidP="00C21751">
      <w:pPr>
        <w:widowControl w:val="0"/>
        <w:adjustRightInd w:val="0"/>
        <w:snapToGrid w:val="0"/>
        <w:spacing w:line="480" w:lineRule="auto"/>
        <w:ind w:firstLineChars="200" w:firstLine="420"/>
        <w:jc w:val="both"/>
        <w:rPr>
          <w:rFonts w:ascii="Arial" w:hAnsi="Arial" w:cs="Arial"/>
          <w:sz w:val="21"/>
          <w:szCs w:val="21"/>
        </w:rPr>
      </w:pPr>
      <w:r w:rsidRPr="00FD588E">
        <w:rPr>
          <w:rFonts w:ascii="Arial" w:hAnsi="Arial" w:cs="Arial" w:hint="eastAsia"/>
          <w:sz w:val="21"/>
          <w:szCs w:val="21"/>
        </w:rPr>
        <w:t>4</w:t>
      </w:r>
      <w:r w:rsidRPr="00FD588E">
        <w:rPr>
          <w:rFonts w:ascii="Arial" w:hAnsi="Arial" w:cs="Arial" w:hint="eastAsia"/>
          <w:sz w:val="21"/>
          <w:szCs w:val="21"/>
        </w:rPr>
        <w:t>、预售政策较为宽松，</w:t>
      </w:r>
      <w:r>
        <w:rPr>
          <w:rFonts w:ascii="Arial" w:hAnsi="Arial" w:cs="Arial" w:hint="eastAsia"/>
          <w:sz w:val="21"/>
          <w:szCs w:val="21"/>
        </w:rPr>
        <w:t>不</w:t>
      </w:r>
      <w:r w:rsidRPr="00FD588E">
        <w:rPr>
          <w:rFonts w:ascii="Arial" w:hAnsi="Arial" w:cs="Arial" w:hint="eastAsia"/>
          <w:sz w:val="21"/>
          <w:szCs w:val="21"/>
        </w:rPr>
        <w:t>要求形象进度，投资</w:t>
      </w:r>
      <w:r>
        <w:rPr>
          <w:rFonts w:ascii="Arial" w:hAnsi="Arial" w:cs="Arial" w:hint="eastAsia"/>
          <w:sz w:val="21"/>
          <w:szCs w:val="21"/>
        </w:rPr>
        <w:t>50</w:t>
      </w:r>
      <w:r w:rsidRPr="00FD588E">
        <w:rPr>
          <w:rFonts w:ascii="Arial" w:hAnsi="Arial" w:cs="Arial"/>
          <w:sz w:val="21"/>
          <w:szCs w:val="21"/>
        </w:rPr>
        <w:t>%</w:t>
      </w:r>
      <w:r w:rsidRPr="00FD588E">
        <w:rPr>
          <w:rFonts w:ascii="Arial" w:hAnsi="Arial" w:cs="Arial"/>
          <w:sz w:val="21"/>
          <w:szCs w:val="21"/>
        </w:rPr>
        <w:t>可取预售证</w:t>
      </w:r>
      <w:r w:rsidRPr="00FD588E">
        <w:rPr>
          <w:rFonts w:ascii="Arial" w:hAnsi="Arial" w:cs="Arial" w:hint="eastAsia"/>
          <w:sz w:val="21"/>
          <w:szCs w:val="21"/>
        </w:rPr>
        <w:t>，对于项目销售回款利好。</w:t>
      </w:r>
      <w:r w:rsidRPr="00070E3F">
        <w:rPr>
          <w:rFonts w:ascii="Arial" w:hAnsi="Arial" w:cs="Arial"/>
          <w:sz w:val="21"/>
          <w:szCs w:val="21"/>
        </w:rPr>
        <w:t>项目板块内在</w:t>
      </w:r>
      <w:proofErr w:type="gramStart"/>
      <w:r w:rsidRPr="00070E3F">
        <w:rPr>
          <w:rFonts w:ascii="Arial" w:hAnsi="Arial" w:cs="Arial"/>
          <w:sz w:val="21"/>
          <w:szCs w:val="21"/>
        </w:rPr>
        <w:t>售项目</w:t>
      </w:r>
      <w:proofErr w:type="gramEnd"/>
      <w:r w:rsidRPr="00070E3F">
        <w:rPr>
          <w:rFonts w:ascii="Arial" w:hAnsi="Arial" w:cs="Arial"/>
          <w:sz w:val="21"/>
          <w:szCs w:val="21"/>
        </w:rPr>
        <w:t>相对较少，目前去化情况</w:t>
      </w:r>
      <w:r w:rsidR="00222B12">
        <w:rPr>
          <w:rFonts w:ascii="Arial" w:hAnsi="Arial" w:cs="Arial" w:hint="eastAsia"/>
          <w:sz w:val="21"/>
          <w:szCs w:val="21"/>
        </w:rPr>
        <w:t>较好</w:t>
      </w:r>
      <w:r w:rsidRPr="00070E3F">
        <w:rPr>
          <w:rFonts w:ascii="Arial" w:hAnsi="Arial" w:cs="Arial"/>
          <w:sz w:val="21"/>
          <w:szCs w:val="21"/>
        </w:rPr>
        <w:t>，产品供应以刚需、刚改为主，市场需求较强，预计未来项目去化情况较为乐观。</w:t>
      </w:r>
    </w:p>
    <w:p w14:paraId="44240328" w14:textId="77777777" w:rsidR="0040379B" w:rsidRPr="00E05368" w:rsidRDefault="0040379B" w:rsidP="0040379B">
      <w:pPr>
        <w:pStyle w:val="2"/>
        <w:snapToGrid w:val="0"/>
        <w:spacing w:before="0" w:after="0" w:line="480" w:lineRule="auto"/>
        <w:ind w:firstLineChars="98" w:firstLine="207"/>
        <w:jc w:val="both"/>
        <w:rPr>
          <w:rFonts w:eastAsia="宋体" w:cs="Arial"/>
          <w:sz w:val="21"/>
          <w:szCs w:val="21"/>
        </w:rPr>
      </w:pPr>
      <w:bookmarkStart w:id="140" w:name="_Toc74250077"/>
      <w:bookmarkStart w:id="141" w:name="_Toc74662907"/>
      <w:r w:rsidRPr="00E05368">
        <w:rPr>
          <w:rFonts w:eastAsia="宋体" w:cs="Arial"/>
          <w:sz w:val="21"/>
          <w:szCs w:val="21"/>
        </w:rPr>
        <w:t>（二）劣势</w:t>
      </w:r>
      <w:bookmarkEnd w:id="140"/>
      <w:bookmarkEnd w:id="141"/>
    </w:p>
    <w:p w14:paraId="3499E601" w14:textId="36CF3EFC" w:rsidR="0040379B" w:rsidRDefault="00C21751" w:rsidP="0040379B">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1</w:t>
      </w:r>
      <w:r>
        <w:rPr>
          <w:rFonts w:ascii="Arial" w:hAnsi="Arial" w:cs="Arial" w:hint="eastAsia"/>
          <w:sz w:val="21"/>
          <w:szCs w:val="21"/>
        </w:rPr>
        <w:t>、建设项目位于南京市雨花台区</w:t>
      </w:r>
      <w:r w:rsidRPr="00487FBD">
        <w:rPr>
          <w:rFonts w:ascii="Arial" w:hAnsi="Arial" w:cs="Arial" w:hint="eastAsia"/>
          <w:sz w:val="21"/>
          <w:szCs w:val="21"/>
        </w:rPr>
        <w:t>凤集大道以南、新湖大道以西地块</w:t>
      </w:r>
      <w:r w:rsidRPr="000C3F9E">
        <w:rPr>
          <w:rFonts w:ascii="Arial" w:hAnsi="Arial" w:cs="Arial" w:hint="eastAsia"/>
          <w:sz w:val="21"/>
          <w:szCs w:val="21"/>
        </w:rPr>
        <w:t>，</w:t>
      </w:r>
      <w:r>
        <w:rPr>
          <w:rFonts w:ascii="Arial" w:hAnsi="Arial" w:cs="Arial" w:hint="eastAsia"/>
          <w:sz w:val="21"/>
          <w:szCs w:val="21"/>
        </w:rPr>
        <w:t>地块北侧现状为梅钢铁路，未来有计划搬迁，现阶段对地块存在一定不利影响。</w:t>
      </w:r>
    </w:p>
    <w:p w14:paraId="0F19915A" w14:textId="77777777" w:rsidR="0040379B" w:rsidRPr="00E05368" w:rsidRDefault="0040379B" w:rsidP="0040379B">
      <w:pPr>
        <w:pStyle w:val="2"/>
        <w:snapToGrid w:val="0"/>
        <w:spacing w:before="0" w:after="0" w:line="480" w:lineRule="auto"/>
        <w:ind w:firstLineChars="98" w:firstLine="207"/>
        <w:jc w:val="both"/>
        <w:rPr>
          <w:rFonts w:eastAsia="宋体" w:cs="Arial"/>
          <w:sz w:val="21"/>
          <w:szCs w:val="21"/>
        </w:rPr>
      </w:pPr>
      <w:bookmarkStart w:id="142" w:name="_Toc74250078"/>
      <w:bookmarkStart w:id="143" w:name="_Toc74662908"/>
      <w:r w:rsidRPr="00E05368">
        <w:rPr>
          <w:rFonts w:eastAsia="宋体" w:cs="Arial" w:hint="eastAsia"/>
          <w:sz w:val="21"/>
          <w:szCs w:val="21"/>
        </w:rPr>
        <w:t>（三）机会</w:t>
      </w:r>
      <w:bookmarkEnd w:id="142"/>
      <w:bookmarkEnd w:id="143"/>
    </w:p>
    <w:p w14:paraId="01EE337B" w14:textId="77777777" w:rsidR="00C21751" w:rsidRDefault="00C21751" w:rsidP="00C21751">
      <w:pPr>
        <w:widowControl w:val="0"/>
        <w:adjustRightInd w:val="0"/>
        <w:snapToGrid w:val="0"/>
        <w:spacing w:line="480" w:lineRule="auto"/>
        <w:ind w:firstLineChars="200" w:firstLine="420"/>
        <w:jc w:val="both"/>
        <w:rPr>
          <w:rFonts w:ascii="Arial" w:hAnsi="Arial" w:cs="Arial"/>
          <w:sz w:val="21"/>
          <w:szCs w:val="21"/>
        </w:rPr>
      </w:pPr>
      <w:r w:rsidRPr="00E05368">
        <w:rPr>
          <w:rFonts w:ascii="Arial" w:hAnsi="Arial" w:cs="Arial" w:hint="eastAsia"/>
          <w:sz w:val="21"/>
          <w:szCs w:val="21"/>
        </w:rPr>
        <w:t>1</w:t>
      </w:r>
      <w:r w:rsidRPr="00E05368">
        <w:rPr>
          <w:rFonts w:ascii="Arial" w:hAnsi="Arial" w:cs="Arial" w:hint="eastAsia"/>
          <w:sz w:val="21"/>
          <w:szCs w:val="21"/>
        </w:rPr>
        <w:t>、</w:t>
      </w:r>
      <w:r>
        <w:rPr>
          <w:rFonts w:ascii="Arial" w:hAnsi="Arial" w:cs="Arial" w:hint="eastAsia"/>
          <w:sz w:val="21"/>
          <w:szCs w:val="21"/>
        </w:rPr>
        <w:t>建设</w:t>
      </w:r>
      <w:r w:rsidRPr="00887E91">
        <w:rPr>
          <w:rFonts w:ascii="Arial" w:hAnsi="Arial" w:cs="Arial" w:hint="eastAsia"/>
          <w:sz w:val="21"/>
          <w:szCs w:val="21"/>
        </w:rPr>
        <w:t>项目定位为中档品质住宅，对于</w:t>
      </w:r>
      <w:proofErr w:type="gramStart"/>
      <w:r w:rsidRPr="00887E91">
        <w:rPr>
          <w:rFonts w:ascii="Arial" w:hAnsi="Arial" w:cs="Arial" w:hint="eastAsia"/>
          <w:sz w:val="21"/>
          <w:szCs w:val="21"/>
        </w:rPr>
        <w:t>首</w:t>
      </w:r>
      <w:r>
        <w:rPr>
          <w:rFonts w:ascii="Arial" w:hAnsi="Arial" w:cs="Arial" w:hint="eastAsia"/>
          <w:sz w:val="21"/>
          <w:szCs w:val="21"/>
        </w:rPr>
        <w:t>改</w:t>
      </w:r>
      <w:r w:rsidRPr="00887E91">
        <w:rPr>
          <w:rFonts w:ascii="Arial" w:hAnsi="Arial" w:cs="Arial" w:hint="eastAsia"/>
          <w:sz w:val="21"/>
          <w:szCs w:val="21"/>
        </w:rPr>
        <w:t>及</w:t>
      </w:r>
      <w:proofErr w:type="gramEnd"/>
      <w:r>
        <w:rPr>
          <w:rFonts w:ascii="Arial" w:hAnsi="Arial" w:cs="Arial" w:hint="eastAsia"/>
          <w:sz w:val="21"/>
          <w:szCs w:val="21"/>
        </w:rPr>
        <w:t>品质改善客群</w:t>
      </w:r>
      <w:r w:rsidRPr="00887E91">
        <w:rPr>
          <w:rFonts w:ascii="Arial" w:hAnsi="Arial" w:cs="Arial" w:hint="eastAsia"/>
          <w:sz w:val="21"/>
          <w:szCs w:val="21"/>
        </w:rPr>
        <w:t>有较大吸引力；</w:t>
      </w:r>
    </w:p>
    <w:p w14:paraId="62E9ED21" w14:textId="2A39AC28" w:rsidR="0040379B" w:rsidRDefault="00C21751" w:rsidP="00C21751">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2</w:t>
      </w:r>
      <w:r>
        <w:rPr>
          <w:rFonts w:ascii="Arial" w:hAnsi="Arial" w:cs="Arial" w:hint="eastAsia"/>
          <w:sz w:val="21"/>
          <w:szCs w:val="21"/>
        </w:rPr>
        <w:t>、</w:t>
      </w:r>
      <w:r w:rsidRPr="00360942">
        <w:rPr>
          <w:rFonts w:ascii="Arial" w:hAnsi="Arial" w:cs="Arial" w:hint="eastAsia"/>
          <w:sz w:val="21"/>
          <w:szCs w:val="21"/>
        </w:rPr>
        <w:t>板桥新城定位为卓越的国际化产业新城，打造“生态文明之城”“转型创新之城”“沿江融合之城”。板桥新城是南京市新一轮城市发展战略明确的九大新城之一、中国（南京）软件谷西园的重要组成、</w:t>
      </w:r>
      <w:proofErr w:type="gramStart"/>
      <w:r w:rsidRPr="00360942">
        <w:rPr>
          <w:rFonts w:ascii="Arial" w:hAnsi="Arial" w:cs="Arial" w:hint="eastAsia"/>
          <w:sz w:val="21"/>
          <w:szCs w:val="21"/>
        </w:rPr>
        <w:t>奥南板块</w:t>
      </w:r>
      <w:proofErr w:type="gramEnd"/>
      <w:r w:rsidRPr="00360942">
        <w:rPr>
          <w:rFonts w:ascii="Arial" w:hAnsi="Arial" w:cs="Arial" w:hint="eastAsia"/>
          <w:sz w:val="21"/>
          <w:szCs w:val="21"/>
        </w:rPr>
        <w:t>的重要区域、宁</w:t>
      </w:r>
      <w:proofErr w:type="gramStart"/>
      <w:r w:rsidRPr="00360942">
        <w:rPr>
          <w:rFonts w:ascii="Arial" w:hAnsi="Arial" w:cs="Arial" w:hint="eastAsia"/>
          <w:sz w:val="21"/>
          <w:szCs w:val="21"/>
        </w:rPr>
        <w:t>芜</w:t>
      </w:r>
      <w:proofErr w:type="gramEnd"/>
      <w:r w:rsidRPr="00360942">
        <w:rPr>
          <w:rFonts w:ascii="Arial" w:hAnsi="Arial" w:cs="Arial" w:hint="eastAsia"/>
          <w:sz w:val="21"/>
          <w:szCs w:val="21"/>
        </w:rPr>
        <w:t>城镇发展轴的重要坐标，是距离主城中心区最近的新城。</w:t>
      </w:r>
    </w:p>
    <w:p w14:paraId="4826CB22" w14:textId="77777777" w:rsidR="0040379B" w:rsidRPr="00E05368" w:rsidRDefault="0040379B" w:rsidP="0040379B">
      <w:pPr>
        <w:pStyle w:val="2"/>
        <w:snapToGrid w:val="0"/>
        <w:spacing w:before="0" w:after="0" w:line="480" w:lineRule="auto"/>
        <w:ind w:firstLineChars="98" w:firstLine="207"/>
        <w:jc w:val="both"/>
        <w:rPr>
          <w:rFonts w:eastAsia="宋体" w:cs="Arial"/>
          <w:sz w:val="21"/>
          <w:szCs w:val="21"/>
        </w:rPr>
      </w:pPr>
      <w:bookmarkStart w:id="144" w:name="_Toc74250079"/>
      <w:bookmarkStart w:id="145" w:name="_Toc74662909"/>
      <w:r w:rsidRPr="00E05368">
        <w:rPr>
          <w:rFonts w:eastAsia="宋体" w:cs="Arial" w:hint="eastAsia"/>
          <w:sz w:val="21"/>
          <w:szCs w:val="21"/>
        </w:rPr>
        <w:t>（四）威胁</w:t>
      </w:r>
      <w:bookmarkEnd w:id="144"/>
      <w:bookmarkEnd w:id="145"/>
    </w:p>
    <w:p w14:paraId="760C1AAE" w14:textId="77777777" w:rsidR="00C21751" w:rsidRDefault="00C21751" w:rsidP="00C21751">
      <w:pPr>
        <w:widowControl w:val="0"/>
        <w:adjustRightInd w:val="0"/>
        <w:snapToGrid w:val="0"/>
        <w:spacing w:line="480" w:lineRule="auto"/>
        <w:ind w:firstLineChars="200" w:firstLine="420"/>
        <w:jc w:val="both"/>
        <w:rPr>
          <w:rFonts w:ascii="Arial" w:hAnsi="Arial" w:cs="Arial"/>
          <w:color w:val="000000"/>
          <w:sz w:val="21"/>
          <w:szCs w:val="21"/>
        </w:rPr>
      </w:pPr>
      <w:bookmarkStart w:id="146" w:name="_Toc187666149"/>
      <w:r w:rsidRPr="00771325">
        <w:rPr>
          <w:rFonts w:ascii="Arial" w:hAnsi="Arial" w:cs="Arial" w:hint="eastAsia"/>
          <w:color w:val="000000"/>
          <w:sz w:val="21"/>
          <w:szCs w:val="21"/>
        </w:rPr>
        <w:t>1</w:t>
      </w:r>
      <w:r w:rsidRPr="00771325">
        <w:rPr>
          <w:rFonts w:ascii="Arial" w:hAnsi="Arial" w:cs="Arial" w:hint="eastAsia"/>
          <w:color w:val="000000"/>
          <w:sz w:val="21"/>
          <w:szCs w:val="21"/>
        </w:rPr>
        <w:t>、</w:t>
      </w:r>
      <w:r w:rsidRPr="00632E16">
        <w:rPr>
          <w:rFonts w:ascii="Arial" w:hAnsi="Arial" w:cs="Arial" w:hint="eastAsia"/>
          <w:color w:val="000000"/>
          <w:sz w:val="21"/>
          <w:szCs w:val="21"/>
        </w:rPr>
        <w:t>本项目周边</w:t>
      </w:r>
      <w:r>
        <w:rPr>
          <w:rFonts w:ascii="Arial" w:hAnsi="Arial" w:cs="Arial" w:hint="eastAsia"/>
          <w:color w:val="000000"/>
          <w:sz w:val="21"/>
          <w:szCs w:val="21"/>
        </w:rPr>
        <w:t>存在一定数量的在</w:t>
      </w:r>
      <w:proofErr w:type="gramStart"/>
      <w:r>
        <w:rPr>
          <w:rFonts w:ascii="Arial" w:hAnsi="Arial" w:cs="Arial" w:hint="eastAsia"/>
          <w:color w:val="000000"/>
          <w:sz w:val="21"/>
          <w:szCs w:val="21"/>
        </w:rPr>
        <w:t>售项目</w:t>
      </w:r>
      <w:proofErr w:type="gramEnd"/>
      <w:r>
        <w:rPr>
          <w:rFonts w:ascii="Arial" w:hAnsi="Arial" w:cs="Arial" w:hint="eastAsia"/>
          <w:color w:val="000000"/>
          <w:sz w:val="21"/>
          <w:szCs w:val="21"/>
        </w:rPr>
        <w:t>及潜在供应</w:t>
      </w:r>
      <w:r w:rsidRPr="00632E16">
        <w:rPr>
          <w:rFonts w:ascii="Arial" w:hAnsi="Arial" w:cs="Arial" w:hint="eastAsia"/>
          <w:color w:val="000000"/>
          <w:sz w:val="21"/>
          <w:szCs w:val="21"/>
        </w:rPr>
        <w:t>，项目入市预计</w:t>
      </w:r>
      <w:r>
        <w:rPr>
          <w:rFonts w:ascii="Arial" w:hAnsi="Arial" w:cs="Arial" w:hint="eastAsia"/>
          <w:color w:val="000000"/>
          <w:sz w:val="21"/>
          <w:szCs w:val="21"/>
        </w:rPr>
        <w:t>会存在一定市场</w:t>
      </w:r>
      <w:r w:rsidRPr="00632E16">
        <w:rPr>
          <w:rFonts w:ascii="Arial" w:hAnsi="Arial" w:cs="Arial" w:hint="eastAsia"/>
          <w:color w:val="000000"/>
          <w:sz w:val="21"/>
          <w:szCs w:val="21"/>
        </w:rPr>
        <w:t>竞争</w:t>
      </w:r>
      <w:r>
        <w:rPr>
          <w:rFonts w:ascii="Arial" w:hAnsi="Arial" w:cs="Arial" w:hint="eastAsia"/>
          <w:color w:val="000000"/>
          <w:sz w:val="21"/>
          <w:szCs w:val="21"/>
        </w:rPr>
        <w:t>压力</w:t>
      </w:r>
      <w:r w:rsidRPr="00632E16">
        <w:rPr>
          <w:rFonts w:ascii="Arial" w:hAnsi="Arial" w:cs="Arial" w:hint="eastAsia"/>
          <w:color w:val="000000"/>
          <w:sz w:val="21"/>
          <w:szCs w:val="21"/>
        </w:rPr>
        <w:t>。</w:t>
      </w:r>
    </w:p>
    <w:p w14:paraId="134BA8A7" w14:textId="496872FB" w:rsidR="0040379B" w:rsidRPr="00E05368" w:rsidRDefault="00C21751" w:rsidP="00C21751">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lastRenderedPageBreak/>
        <w:t>2</w:t>
      </w:r>
      <w:r>
        <w:rPr>
          <w:rFonts w:ascii="Arial" w:hAnsi="Arial" w:cs="Arial" w:hint="eastAsia"/>
          <w:color w:val="000000"/>
          <w:sz w:val="21"/>
          <w:szCs w:val="21"/>
        </w:rPr>
        <w:t>、</w:t>
      </w:r>
      <w:r w:rsidRPr="00632E16">
        <w:rPr>
          <w:rFonts w:ascii="Arial" w:hAnsi="Arial" w:cs="Arial" w:hint="eastAsia"/>
          <w:color w:val="000000"/>
          <w:sz w:val="21"/>
          <w:szCs w:val="21"/>
        </w:rPr>
        <w:t>南京市调控政策并未完全放松，外地投资需求依然受到限制，本地户籍客户限购</w:t>
      </w:r>
      <w:r w:rsidRPr="00632E16">
        <w:rPr>
          <w:rFonts w:ascii="Arial" w:hAnsi="Arial" w:cs="Arial"/>
          <w:color w:val="000000"/>
          <w:sz w:val="21"/>
          <w:szCs w:val="21"/>
        </w:rPr>
        <w:t xml:space="preserve">2 </w:t>
      </w:r>
      <w:r w:rsidRPr="00632E16">
        <w:rPr>
          <w:rFonts w:ascii="Arial" w:hAnsi="Arial" w:cs="Arial"/>
          <w:color w:val="000000"/>
          <w:sz w:val="21"/>
          <w:szCs w:val="21"/>
        </w:rPr>
        <w:t>套，</w:t>
      </w:r>
      <w:r>
        <w:rPr>
          <w:rFonts w:ascii="Arial" w:hAnsi="Arial" w:cs="Arial" w:hint="eastAsia"/>
          <w:color w:val="000000"/>
          <w:sz w:val="21"/>
          <w:szCs w:val="21"/>
        </w:rPr>
        <w:t>政府对产品销售价格实行备案制度，严格控制市场价格涨幅。</w:t>
      </w:r>
    </w:p>
    <w:p w14:paraId="5891C537" w14:textId="77777777" w:rsidR="0040379B" w:rsidRPr="00E05368" w:rsidRDefault="0040379B" w:rsidP="0040379B">
      <w:pPr>
        <w:pStyle w:val="2"/>
        <w:snapToGrid w:val="0"/>
        <w:spacing w:before="0" w:after="0" w:line="480" w:lineRule="auto"/>
        <w:jc w:val="both"/>
        <w:rPr>
          <w:rFonts w:eastAsia="宋体" w:cs="Arial"/>
          <w:b w:val="0"/>
          <w:bCs/>
          <w:color w:val="000000"/>
          <w:sz w:val="21"/>
          <w:szCs w:val="21"/>
        </w:rPr>
      </w:pPr>
      <w:bookmarkStart w:id="147" w:name="_Toc74250080"/>
      <w:bookmarkStart w:id="148" w:name="_Toc74662910"/>
      <w:r w:rsidRPr="00E05368">
        <w:rPr>
          <w:rFonts w:eastAsia="宋体" w:cs="Arial"/>
          <w:sz w:val="21"/>
          <w:szCs w:val="21"/>
        </w:rPr>
        <w:t>三、市场前景预测</w:t>
      </w:r>
      <w:bookmarkStart w:id="149" w:name="_Toc132426480"/>
      <w:bookmarkEnd w:id="146"/>
      <w:bookmarkEnd w:id="147"/>
      <w:bookmarkEnd w:id="148"/>
    </w:p>
    <w:p w14:paraId="6B47B1CF" w14:textId="77777777" w:rsidR="0040379B" w:rsidRPr="00E05368" w:rsidRDefault="0040379B" w:rsidP="0040379B">
      <w:pPr>
        <w:pStyle w:val="2"/>
        <w:snapToGrid w:val="0"/>
        <w:spacing w:before="0" w:after="0" w:line="480" w:lineRule="auto"/>
        <w:ind w:firstLineChars="98" w:firstLine="207"/>
        <w:jc w:val="both"/>
        <w:rPr>
          <w:rFonts w:eastAsia="宋体" w:cs="Arial"/>
          <w:b w:val="0"/>
          <w:color w:val="000000"/>
          <w:sz w:val="21"/>
          <w:szCs w:val="21"/>
        </w:rPr>
      </w:pPr>
      <w:bookmarkStart w:id="150" w:name="_Toc187666150"/>
      <w:bookmarkStart w:id="151" w:name="_Toc74250081"/>
      <w:bookmarkStart w:id="152" w:name="_Toc74662911"/>
      <w:r w:rsidRPr="00E05368">
        <w:rPr>
          <w:rFonts w:eastAsia="宋体" w:cs="Arial"/>
          <w:sz w:val="21"/>
          <w:szCs w:val="21"/>
        </w:rPr>
        <w:t>（一）项目定位分析</w:t>
      </w:r>
      <w:bookmarkEnd w:id="149"/>
      <w:bookmarkEnd w:id="150"/>
      <w:bookmarkEnd w:id="151"/>
      <w:bookmarkEnd w:id="152"/>
    </w:p>
    <w:p w14:paraId="0DF5CC83" w14:textId="77777777" w:rsidR="00C21751" w:rsidRPr="00E05368" w:rsidRDefault="00C21751" w:rsidP="00C21751">
      <w:pPr>
        <w:adjustRightInd w:val="0"/>
        <w:snapToGrid w:val="0"/>
        <w:spacing w:line="480" w:lineRule="auto"/>
        <w:ind w:firstLineChars="200" w:firstLine="420"/>
        <w:jc w:val="both"/>
        <w:rPr>
          <w:rFonts w:ascii="Arial" w:hAnsi="Arial" w:cs="Arial"/>
          <w:sz w:val="21"/>
          <w:szCs w:val="21"/>
        </w:rPr>
      </w:pPr>
      <w:bookmarkStart w:id="153" w:name="_Toc187666151"/>
      <w:r w:rsidRPr="00E05368">
        <w:rPr>
          <w:rFonts w:ascii="Arial" w:hAnsi="Arial" w:cs="Arial"/>
          <w:sz w:val="21"/>
          <w:szCs w:val="21"/>
        </w:rPr>
        <w:t>项目定位：</w:t>
      </w:r>
      <w:r w:rsidRPr="00E05368">
        <w:rPr>
          <w:rFonts w:ascii="Arial" w:hAnsi="Arial" w:cs="Arial" w:hint="eastAsia"/>
          <w:sz w:val="21"/>
          <w:szCs w:val="21"/>
        </w:rPr>
        <w:t>本</w:t>
      </w:r>
      <w:r w:rsidRPr="00E05368">
        <w:rPr>
          <w:rFonts w:ascii="Arial" w:hAnsi="Arial" w:cs="Arial"/>
          <w:sz w:val="21"/>
          <w:szCs w:val="21"/>
        </w:rPr>
        <w:t>项目</w:t>
      </w:r>
      <w:r w:rsidRPr="00E05368">
        <w:rPr>
          <w:rFonts w:ascii="Arial" w:hAnsi="Arial" w:cs="Arial" w:hint="eastAsia"/>
          <w:sz w:val="21"/>
          <w:szCs w:val="21"/>
        </w:rPr>
        <w:t>定位为中端品质改善社区</w:t>
      </w:r>
      <w:r w:rsidRPr="00E05368">
        <w:rPr>
          <w:rFonts w:ascii="Arial" w:hAnsi="Arial" w:cs="Arial"/>
          <w:sz w:val="21"/>
          <w:szCs w:val="21"/>
        </w:rPr>
        <w:t>。</w:t>
      </w:r>
    </w:p>
    <w:p w14:paraId="29B36A2D" w14:textId="77777777" w:rsidR="00C21751" w:rsidRPr="00E05368" w:rsidRDefault="00C21751" w:rsidP="00C21751">
      <w:pPr>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客群定位：项目客群</w:t>
      </w:r>
      <w:r>
        <w:rPr>
          <w:rFonts w:ascii="Arial" w:hAnsi="Arial" w:cs="Arial" w:hint="eastAsia"/>
          <w:sz w:val="21"/>
          <w:szCs w:val="21"/>
        </w:rPr>
        <w:t>以</w:t>
      </w:r>
      <w:r w:rsidRPr="00E4112E">
        <w:rPr>
          <w:rFonts w:ascii="Arial" w:hAnsi="Arial" w:cs="Arial" w:hint="eastAsia"/>
          <w:sz w:val="21"/>
          <w:szCs w:val="21"/>
        </w:rPr>
        <w:t>地缘</w:t>
      </w:r>
      <w:proofErr w:type="gramStart"/>
      <w:r w:rsidRPr="00E4112E">
        <w:rPr>
          <w:rFonts w:ascii="Arial" w:hAnsi="Arial" w:cs="Arial" w:hint="eastAsia"/>
          <w:sz w:val="21"/>
          <w:szCs w:val="21"/>
        </w:rPr>
        <w:t>性客户</w:t>
      </w:r>
      <w:proofErr w:type="gramEnd"/>
      <w:r w:rsidRPr="00E4112E">
        <w:rPr>
          <w:rFonts w:ascii="Arial" w:hAnsi="Arial" w:cs="Arial" w:hint="eastAsia"/>
          <w:sz w:val="21"/>
          <w:szCs w:val="21"/>
        </w:rPr>
        <w:t>为主</w:t>
      </w:r>
      <w:r>
        <w:rPr>
          <w:rFonts w:ascii="Arial" w:hAnsi="Arial" w:cs="Arial" w:hint="eastAsia"/>
          <w:sz w:val="21"/>
          <w:szCs w:val="21"/>
        </w:rPr>
        <w:t>，</w:t>
      </w:r>
      <w:r w:rsidRPr="00E05368">
        <w:rPr>
          <w:rFonts w:ascii="Arial" w:hAnsi="Arial" w:cs="Arial"/>
          <w:sz w:val="21"/>
          <w:szCs w:val="21"/>
        </w:rPr>
        <w:t>定位</w:t>
      </w:r>
      <w:r>
        <w:rPr>
          <w:rFonts w:ascii="Arial" w:hAnsi="Arial" w:cs="Arial" w:hint="eastAsia"/>
          <w:sz w:val="21"/>
          <w:szCs w:val="21"/>
        </w:rPr>
        <w:t>主要针对</w:t>
      </w:r>
      <w:r w:rsidRPr="00E05368">
        <w:rPr>
          <w:rFonts w:ascii="Arial" w:hAnsi="Arial" w:cs="Arial"/>
          <w:sz w:val="21"/>
          <w:szCs w:val="21"/>
        </w:rPr>
        <w:t>以</w:t>
      </w:r>
      <w:r w:rsidRPr="00E05368">
        <w:rPr>
          <w:rFonts w:ascii="Arial" w:hAnsi="Arial" w:cs="Arial" w:hint="eastAsia"/>
          <w:sz w:val="21"/>
          <w:szCs w:val="21"/>
        </w:rPr>
        <w:t>本地</w:t>
      </w:r>
      <w:proofErr w:type="gramStart"/>
      <w:r w:rsidRPr="00806249">
        <w:rPr>
          <w:rFonts w:ascii="Arial" w:hAnsi="Arial" w:cs="Arial" w:hint="eastAsia"/>
          <w:sz w:val="21"/>
          <w:szCs w:val="21"/>
        </w:rPr>
        <w:t>首改及</w:t>
      </w:r>
      <w:proofErr w:type="gramEnd"/>
      <w:r w:rsidRPr="00806249">
        <w:rPr>
          <w:rFonts w:ascii="Arial" w:hAnsi="Arial" w:cs="Arial" w:hint="eastAsia"/>
          <w:sz w:val="21"/>
          <w:szCs w:val="21"/>
        </w:rPr>
        <w:t>品质改善客群。</w:t>
      </w:r>
      <w:r w:rsidRPr="00E05368">
        <w:rPr>
          <w:rFonts w:ascii="Arial" w:hAnsi="Arial" w:cs="Arial" w:hint="eastAsia"/>
          <w:sz w:val="21"/>
          <w:szCs w:val="21"/>
        </w:rPr>
        <w:t>。</w:t>
      </w:r>
    </w:p>
    <w:p w14:paraId="12BBD819" w14:textId="62FCF6BE" w:rsidR="000824DE" w:rsidRDefault="00C21751" w:rsidP="00C21751">
      <w:pPr>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产</w:t>
      </w:r>
      <w:r w:rsidRPr="005057D3">
        <w:rPr>
          <w:rFonts w:ascii="Arial" w:hAnsi="Arial" w:cs="Arial"/>
          <w:sz w:val="21"/>
          <w:szCs w:val="21"/>
        </w:rPr>
        <w:t>品定位：</w:t>
      </w:r>
      <w:r w:rsidRPr="005057D3">
        <w:rPr>
          <w:rFonts w:ascii="Arial" w:hAnsi="Arial" w:cs="Arial" w:hint="eastAsia"/>
          <w:sz w:val="21"/>
          <w:szCs w:val="21"/>
        </w:rPr>
        <w:t>建设项目规划为</w:t>
      </w:r>
      <w:r w:rsidRPr="005057D3">
        <w:rPr>
          <w:rFonts w:ascii="Arial" w:hAnsi="Arial" w:cs="Arial"/>
          <w:sz w:val="21"/>
          <w:szCs w:val="21"/>
        </w:rPr>
        <w:t>居住项目</w:t>
      </w:r>
      <w:r w:rsidRPr="005057D3">
        <w:rPr>
          <w:rFonts w:ascii="Arial" w:hAnsi="Arial" w:cs="Arial" w:hint="eastAsia"/>
          <w:sz w:val="21"/>
          <w:szCs w:val="21"/>
        </w:rPr>
        <w:t>，</w:t>
      </w:r>
      <w:r w:rsidRPr="005057D3">
        <w:rPr>
          <w:rFonts w:ascii="Arial" w:hAnsi="Arial" w:cs="Arial"/>
          <w:sz w:val="21"/>
          <w:szCs w:val="21"/>
        </w:rPr>
        <w:t>住宅</w:t>
      </w:r>
      <w:r w:rsidRPr="005057D3">
        <w:rPr>
          <w:rFonts w:ascii="Arial" w:hAnsi="Arial" w:cs="Arial" w:hint="eastAsia"/>
          <w:sz w:val="21"/>
          <w:szCs w:val="21"/>
        </w:rPr>
        <w:t>产品类型为高层</w:t>
      </w:r>
      <w:r>
        <w:rPr>
          <w:rFonts w:ascii="Arial" w:hAnsi="Arial" w:cs="Arial" w:hint="eastAsia"/>
          <w:sz w:val="21"/>
          <w:szCs w:val="21"/>
        </w:rPr>
        <w:t>产品</w:t>
      </w:r>
      <w:r w:rsidRPr="000824DE">
        <w:rPr>
          <w:rFonts w:ascii="Arial" w:hAnsi="Arial" w:cs="Arial" w:hint="eastAsia"/>
          <w:sz w:val="21"/>
          <w:szCs w:val="21"/>
        </w:rPr>
        <w:t>：主力产品</w:t>
      </w:r>
      <w:r>
        <w:rPr>
          <w:rFonts w:ascii="Arial" w:hAnsi="Arial" w:cs="Arial" w:hint="eastAsia"/>
          <w:sz w:val="21"/>
          <w:szCs w:val="21"/>
        </w:rPr>
        <w:t>96</w:t>
      </w:r>
      <w:r>
        <w:rPr>
          <w:rFonts w:ascii="Arial" w:hAnsi="Arial" w:cs="Arial" w:hint="eastAsia"/>
          <w:sz w:val="21"/>
          <w:szCs w:val="21"/>
        </w:rPr>
        <w:t>、</w:t>
      </w:r>
      <w:r>
        <w:rPr>
          <w:rFonts w:ascii="Arial" w:hAnsi="Arial" w:cs="Arial" w:hint="eastAsia"/>
          <w:sz w:val="21"/>
          <w:szCs w:val="21"/>
        </w:rPr>
        <w:t>125</w:t>
      </w:r>
      <w:r w:rsidRPr="000824DE">
        <w:rPr>
          <w:rFonts w:ascii="Arial" w:hAnsi="Arial" w:cs="Arial"/>
          <w:sz w:val="21"/>
          <w:szCs w:val="21"/>
        </w:rPr>
        <w:t>㎡</w:t>
      </w:r>
      <w:r w:rsidRPr="00806249">
        <w:rPr>
          <w:rFonts w:ascii="Arial" w:hAnsi="Arial" w:cs="Arial"/>
          <w:sz w:val="21"/>
          <w:szCs w:val="21"/>
        </w:rPr>
        <w:t>强功能性、舒</w:t>
      </w:r>
      <w:r w:rsidRPr="00806249">
        <w:rPr>
          <w:rFonts w:ascii="Arial" w:hAnsi="Arial" w:cs="Arial" w:hint="eastAsia"/>
          <w:sz w:val="21"/>
          <w:szCs w:val="21"/>
        </w:rPr>
        <w:t>适型户型为主，</w:t>
      </w:r>
      <w:r>
        <w:rPr>
          <w:rFonts w:ascii="Arial" w:hAnsi="Arial" w:cs="Arial" w:hint="eastAsia"/>
          <w:sz w:val="21"/>
          <w:szCs w:val="21"/>
        </w:rPr>
        <w:t>占比</w:t>
      </w:r>
      <w:r>
        <w:rPr>
          <w:rFonts w:ascii="Arial" w:hAnsi="Arial" w:cs="Arial" w:hint="eastAsia"/>
          <w:sz w:val="21"/>
          <w:szCs w:val="21"/>
        </w:rPr>
        <w:t>85%</w:t>
      </w:r>
      <w:r w:rsidRPr="000824DE">
        <w:rPr>
          <w:rFonts w:ascii="Arial" w:hAnsi="Arial" w:cs="Arial"/>
          <w:sz w:val="21"/>
          <w:szCs w:val="21"/>
        </w:rPr>
        <w:t>，</w:t>
      </w:r>
      <w:r>
        <w:rPr>
          <w:rFonts w:ascii="Arial" w:hAnsi="Arial" w:cs="Arial" w:hint="eastAsia"/>
          <w:sz w:val="21"/>
          <w:szCs w:val="21"/>
        </w:rPr>
        <w:t>其余</w:t>
      </w:r>
      <w:r>
        <w:rPr>
          <w:rFonts w:ascii="Arial" w:hAnsi="Arial" w:cs="Arial" w:hint="eastAsia"/>
          <w:sz w:val="21"/>
          <w:szCs w:val="21"/>
        </w:rPr>
        <w:t>140</w:t>
      </w:r>
      <w:r>
        <w:rPr>
          <w:rFonts w:ascii="Arial" w:hAnsi="Arial" w:cs="Arial" w:hint="eastAsia"/>
          <w:sz w:val="21"/>
          <w:szCs w:val="21"/>
        </w:rPr>
        <w:t>平米大户型占比</w:t>
      </w:r>
      <w:r>
        <w:rPr>
          <w:rFonts w:ascii="Arial" w:hAnsi="Arial" w:cs="Arial" w:hint="eastAsia"/>
          <w:sz w:val="21"/>
          <w:szCs w:val="21"/>
        </w:rPr>
        <w:t>15%</w:t>
      </w:r>
      <w:r>
        <w:rPr>
          <w:rFonts w:ascii="Arial" w:hAnsi="Arial" w:cs="Arial" w:hint="eastAsia"/>
          <w:sz w:val="21"/>
          <w:szCs w:val="21"/>
        </w:rPr>
        <w:t>；产品设计整体</w:t>
      </w:r>
      <w:r w:rsidRPr="00806249">
        <w:rPr>
          <w:rFonts w:ascii="Arial" w:hAnsi="Arial" w:cs="Arial" w:hint="eastAsia"/>
          <w:sz w:val="21"/>
          <w:szCs w:val="21"/>
        </w:rPr>
        <w:t>符合区域客群要求，</w:t>
      </w:r>
      <w:r>
        <w:rPr>
          <w:rFonts w:ascii="Arial" w:hAnsi="Arial" w:cs="Arial" w:hint="eastAsia"/>
          <w:sz w:val="21"/>
          <w:szCs w:val="21"/>
        </w:rPr>
        <w:t>力求</w:t>
      </w:r>
      <w:r w:rsidRPr="00806249">
        <w:rPr>
          <w:rFonts w:ascii="Arial" w:hAnsi="Arial" w:cs="Arial" w:hint="eastAsia"/>
          <w:sz w:val="21"/>
          <w:szCs w:val="21"/>
        </w:rPr>
        <w:t>实现快速去化。</w:t>
      </w:r>
    </w:p>
    <w:p w14:paraId="5966946C" w14:textId="77777777" w:rsidR="0040379B" w:rsidRPr="00E05368" w:rsidRDefault="0040379B" w:rsidP="0040379B">
      <w:pPr>
        <w:pStyle w:val="2"/>
        <w:snapToGrid w:val="0"/>
        <w:spacing w:before="0" w:after="0" w:line="480" w:lineRule="auto"/>
        <w:ind w:firstLineChars="98" w:firstLine="207"/>
        <w:jc w:val="both"/>
        <w:rPr>
          <w:rFonts w:eastAsia="宋体" w:cs="Arial"/>
          <w:sz w:val="21"/>
          <w:szCs w:val="21"/>
        </w:rPr>
      </w:pPr>
      <w:bookmarkStart w:id="154" w:name="_Toc74250082"/>
      <w:bookmarkStart w:id="155" w:name="_Toc74662912"/>
      <w:r w:rsidRPr="00E05368">
        <w:rPr>
          <w:rFonts w:eastAsia="宋体" w:cs="Arial"/>
          <w:sz w:val="21"/>
          <w:szCs w:val="21"/>
        </w:rPr>
        <w:t>（二）项目销售价格定位分析</w:t>
      </w:r>
      <w:bookmarkEnd w:id="153"/>
      <w:bookmarkEnd w:id="154"/>
      <w:bookmarkEnd w:id="155"/>
    </w:p>
    <w:p w14:paraId="6D6A8DDF" w14:textId="23302BA1" w:rsidR="00C21751" w:rsidRPr="00E05368" w:rsidRDefault="003770C9" w:rsidP="00C21751">
      <w:pPr>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项目的产品定位决定了市场需求及主要销售对象。</w:t>
      </w:r>
      <w:r>
        <w:rPr>
          <w:rFonts w:ascii="Arial" w:hAnsi="Arial" w:cs="Arial" w:hint="eastAsia"/>
          <w:sz w:val="21"/>
          <w:szCs w:val="21"/>
        </w:rPr>
        <w:t>目前，南京住宅商品房备案价格由毛坯备案价格和全装修价格两部分组成，全装修备案价格基本在</w:t>
      </w:r>
      <w:r>
        <w:rPr>
          <w:rFonts w:ascii="Arial" w:hAnsi="Arial" w:cs="Arial" w:hint="eastAsia"/>
          <w:sz w:val="21"/>
          <w:szCs w:val="21"/>
        </w:rPr>
        <w:t>2</w:t>
      </w:r>
      <w:r>
        <w:rPr>
          <w:rFonts w:ascii="Arial" w:hAnsi="Arial" w:cs="Arial"/>
          <w:sz w:val="21"/>
          <w:szCs w:val="21"/>
        </w:rPr>
        <w:t>000</w:t>
      </w:r>
      <w:r>
        <w:rPr>
          <w:rFonts w:ascii="Arial" w:hAnsi="Arial" w:cs="Arial" w:hint="eastAsia"/>
          <w:sz w:val="21"/>
          <w:szCs w:val="21"/>
        </w:rPr>
        <w:t>元</w:t>
      </w:r>
      <w:r>
        <w:rPr>
          <w:rFonts w:ascii="Arial" w:hAnsi="Arial" w:cs="Arial" w:hint="eastAsia"/>
          <w:sz w:val="21"/>
          <w:szCs w:val="21"/>
        </w:rPr>
        <w:t>/</w:t>
      </w:r>
      <w:r>
        <w:rPr>
          <w:rFonts w:ascii="Arial" w:hAnsi="Arial" w:cs="Arial" w:hint="eastAsia"/>
          <w:sz w:val="21"/>
          <w:szCs w:val="21"/>
        </w:rPr>
        <w:t>平方米。在全装修商品住房价格备案的基础上，政府允许增加升级装修方案（不在政府备案），因此本项目未来精装销售均价包含：毛坯备案价格、基础装修备案价格、升级装修价格三部分构成。</w:t>
      </w:r>
      <w:r w:rsidR="00C21751" w:rsidRPr="00E05368">
        <w:rPr>
          <w:rFonts w:ascii="Arial" w:hAnsi="Arial" w:cs="Arial"/>
          <w:sz w:val="21"/>
          <w:szCs w:val="21"/>
        </w:rPr>
        <w:t>根据前述市场分析情况，考虑到项目周边物业整体水平、项目自身的品质与</w:t>
      </w:r>
      <w:r w:rsidR="00C21751" w:rsidRPr="00E05368">
        <w:rPr>
          <w:rFonts w:ascii="Arial" w:hAnsi="Arial" w:cs="Arial" w:hint="eastAsia"/>
          <w:sz w:val="21"/>
          <w:szCs w:val="21"/>
        </w:rPr>
        <w:t>优势</w:t>
      </w:r>
      <w:r w:rsidR="00C21751" w:rsidRPr="00E05368">
        <w:rPr>
          <w:rFonts w:ascii="Arial" w:hAnsi="Arial" w:cs="Arial"/>
          <w:sz w:val="21"/>
          <w:szCs w:val="21"/>
        </w:rPr>
        <w:t>以及</w:t>
      </w:r>
      <w:r w:rsidR="00C21751">
        <w:rPr>
          <w:rFonts w:ascii="Arial" w:hAnsi="Arial" w:cs="Arial" w:hint="eastAsia"/>
          <w:sz w:val="21"/>
          <w:szCs w:val="21"/>
        </w:rPr>
        <w:t>南京</w:t>
      </w:r>
      <w:r w:rsidR="00C21751" w:rsidRPr="00E05368">
        <w:rPr>
          <w:rFonts w:ascii="Arial" w:hAnsi="Arial" w:cs="Arial" w:hint="eastAsia"/>
          <w:sz w:val="21"/>
          <w:szCs w:val="21"/>
        </w:rPr>
        <w:t>市</w:t>
      </w:r>
      <w:r w:rsidR="00C21751" w:rsidRPr="00E05368">
        <w:rPr>
          <w:rFonts w:ascii="Arial" w:hAnsi="Arial" w:cs="Arial"/>
          <w:sz w:val="21"/>
          <w:szCs w:val="21"/>
        </w:rPr>
        <w:t>房地产市场和区域房地产市场的发展趋势，结合周边在</w:t>
      </w:r>
      <w:proofErr w:type="gramStart"/>
      <w:r w:rsidR="00C21751" w:rsidRPr="00E05368">
        <w:rPr>
          <w:rFonts w:ascii="Arial" w:hAnsi="Arial" w:cs="Arial"/>
          <w:sz w:val="21"/>
          <w:szCs w:val="21"/>
        </w:rPr>
        <w:t>售项目</w:t>
      </w:r>
      <w:proofErr w:type="gramEnd"/>
      <w:r w:rsidR="00C21751" w:rsidRPr="00E05368">
        <w:rPr>
          <w:rFonts w:ascii="Arial" w:hAnsi="Arial" w:cs="Arial"/>
          <w:sz w:val="21"/>
          <w:szCs w:val="21"/>
        </w:rPr>
        <w:t>价格综合考虑将项目</w:t>
      </w:r>
      <w:r w:rsidR="00C21751">
        <w:rPr>
          <w:rFonts w:ascii="Arial" w:hAnsi="Arial" w:cs="Arial" w:hint="eastAsia"/>
          <w:sz w:val="21"/>
          <w:szCs w:val="21"/>
        </w:rPr>
        <w:t>精装高层住宅销售均价定</w:t>
      </w:r>
      <w:r w:rsidR="00C21751" w:rsidRPr="00C21751">
        <w:rPr>
          <w:rFonts w:ascii="Arial" w:hAnsi="Arial" w:cs="Arial" w:hint="eastAsia"/>
          <w:sz w:val="21"/>
          <w:szCs w:val="21"/>
        </w:rPr>
        <w:t>为</w:t>
      </w:r>
      <w:r w:rsidR="00C21751" w:rsidRPr="00C21751">
        <w:rPr>
          <w:rFonts w:ascii="Arial" w:hAnsi="Arial" w:cs="Arial" w:hint="eastAsia"/>
          <w:sz w:val="21"/>
          <w:szCs w:val="21"/>
        </w:rPr>
        <w:t>29300</w:t>
      </w:r>
      <w:r w:rsidR="00C21751">
        <w:rPr>
          <w:rFonts w:ascii="Arial" w:hAnsi="Arial" w:cs="Arial" w:hint="eastAsia"/>
          <w:sz w:val="21"/>
          <w:szCs w:val="21"/>
        </w:rPr>
        <w:t>元</w:t>
      </w:r>
      <w:r w:rsidR="00C21751">
        <w:rPr>
          <w:rFonts w:ascii="Arial" w:hAnsi="Arial" w:cs="Arial" w:hint="eastAsia"/>
          <w:sz w:val="21"/>
          <w:szCs w:val="21"/>
        </w:rPr>
        <w:t>/</w:t>
      </w:r>
      <w:r w:rsidR="00C21751">
        <w:rPr>
          <w:rFonts w:ascii="Arial" w:hAnsi="Arial" w:cs="Arial" w:hint="eastAsia"/>
          <w:sz w:val="21"/>
          <w:szCs w:val="21"/>
        </w:rPr>
        <w:t>平方米，商业销售均价定位</w:t>
      </w:r>
      <w:r w:rsidR="00C21751">
        <w:rPr>
          <w:rFonts w:ascii="Arial" w:hAnsi="Arial" w:cs="Arial" w:hint="eastAsia"/>
          <w:sz w:val="21"/>
          <w:szCs w:val="21"/>
        </w:rPr>
        <w:t>5</w:t>
      </w:r>
      <w:r w:rsidR="00937734">
        <w:rPr>
          <w:rFonts w:ascii="Arial" w:hAnsi="Arial" w:cs="Arial" w:hint="eastAsia"/>
          <w:sz w:val="21"/>
          <w:szCs w:val="21"/>
        </w:rPr>
        <w:t>5</w:t>
      </w:r>
      <w:r w:rsidR="00C21751">
        <w:rPr>
          <w:rFonts w:ascii="Arial" w:hAnsi="Arial" w:cs="Arial" w:hint="eastAsia"/>
          <w:sz w:val="21"/>
          <w:szCs w:val="21"/>
        </w:rPr>
        <w:t>000</w:t>
      </w:r>
      <w:r w:rsidR="00C21751">
        <w:rPr>
          <w:rFonts w:ascii="Arial" w:hAnsi="Arial" w:cs="Arial" w:hint="eastAsia"/>
          <w:sz w:val="21"/>
          <w:szCs w:val="21"/>
        </w:rPr>
        <w:t>元</w:t>
      </w:r>
      <w:r w:rsidR="00C21751">
        <w:rPr>
          <w:rFonts w:ascii="Arial" w:hAnsi="Arial" w:cs="Arial" w:hint="eastAsia"/>
          <w:sz w:val="21"/>
          <w:szCs w:val="21"/>
        </w:rPr>
        <w:t>/</w:t>
      </w:r>
      <w:r w:rsidR="00C21751">
        <w:rPr>
          <w:rFonts w:ascii="Arial" w:hAnsi="Arial" w:cs="Arial" w:hint="eastAsia"/>
          <w:sz w:val="21"/>
          <w:szCs w:val="21"/>
        </w:rPr>
        <w:t>平方米，</w:t>
      </w:r>
      <w:r w:rsidR="00C21751" w:rsidRPr="00E05368">
        <w:rPr>
          <w:rFonts w:ascii="Arial" w:hAnsi="Arial" w:cs="Arial"/>
          <w:sz w:val="21"/>
          <w:szCs w:val="21"/>
        </w:rPr>
        <w:t>地下车库销售均价定为</w:t>
      </w:r>
      <w:r w:rsidR="00C21751">
        <w:rPr>
          <w:rFonts w:ascii="Arial" w:hAnsi="Arial" w:cs="Arial" w:hint="eastAsia"/>
          <w:sz w:val="21"/>
          <w:szCs w:val="21"/>
        </w:rPr>
        <w:t>1</w:t>
      </w:r>
      <w:r w:rsidR="00937734">
        <w:rPr>
          <w:rFonts w:ascii="Arial" w:hAnsi="Arial" w:cs="Arial" w:hint="eastAsia"/>
          <w:sz w:val="21"/>
          <w:szCs w:val="21"/>
        </w:rPr>
        <w:t>5</w:t>
      </w:r>
      <w:r w:rsidR="00C21751" w:rsidRPr="00E05368">
        <w:rPr>
          <w:rFonts w:ascii="Arial" w:hAnsi="Arial" w:cs="Arial" w:hint="eastAsia"/>
          <w:sz w:val="21"/>
          <w:szCs w:val="21"/>
        </w:rPr>
        <w:t>万</w:t>
      </w:r>
      <w:r w:rsidR="00C21751" w:rsidRPr="00E05368">
        <w:rPr>
          <w:rFonts w:ascii="Arial" w:hAnsi="Arial" w:cs="Arial"/>
          <w:sz w:val="21"/>
          <w:szCs w:val="21"/>
        </w:rPr>
        <w:t>元</w:t>
      </w:r>
      <w:r w:rsidR="00C21751" w:rsidRPr="00E05368">
        <w:rPr>
          <w:rFonts w:ascii="Arial" w:hAnsi="Arial" w:cs="Arial"/>
          <w:sz w:val="21"/>
          <w:szCs w:val="21"/>
        </w:rPr>
        <w:t>/</w:t>
      </w:r>
      <w:proofErr w:type="gramStart"/>
      <w:r w:rsidR="00C21751" w:rsidRPr="00E05368">
        <w:rPr>
          <w:rFonts w:ascii="Arial" w:hAnsi="Arial" w:cs="Arial"/>
          <w:sz w:val="21"/>
          <w:szCs w:val="21"/>
        </w:rPr>
        <w:t>个</w:t>
      </w:r>
      <w:proofErr w:type="gramEnd"/>
      <w:r w:rsidR="00C21751" w:rsidRPr="00E05368">
        <w:rPr>
          <w:rFonts w:ascii="Arial" w:hAnsi="Arial" w:cs="Arial" w:hint="eastAsia"/>
          <w:sz w:val="21"/>
          <w:szCs w:val="21"/>
        </w:rPr>
        <w:t>。</w:t>
      </w:r>
    </w:p>
    <w:p w14:paraId="2BD1A2B8" w14:textId="77777777" w:rsidR="00C21751" w:rsidRPr="00E05368" w:rsidRDefault="00C21751" w:rsidP="00C21751">
      <w:pPr>
        <w:widowControl w:val="0"/>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项目</w:t>
      </w:r>
      <w:r w:rsidRPr="00E05368">
        <w:rPr>
          <w:rFonts w:ascii="Arial" w:hAnsi="Arial" w:cs="Arial" w:hint="eastAsia"/>
          <w:sz w:val="21"/>
          <w:szCs w:val="21"/>
        </w:rPr>
        <w:t>位于</w:t>
      </w:r>
      <w:r>
        <w:rPr>
          <w:rFonts w:ascii="Arial" w:hAnsi="Arial" w:cs="Arial" w:hint="eastAsia"/>
          <w:sz w:val="21"/>
          <w:szCs w:val="21"/>
        </w:rPr>
        <w:t>南京市雨花台区板桥</w:t>
      </w:r>
      <w:proofErr w:type="gramStart"/>
      <w:r>
        <w:rPr>
          <w:rFonts w:ascii="Arial" w:hAnsi="Arial" w:cs="Arial" w:hint="eastAsia"/>
          <w:sz w:val="21"/>
          <w:szCs w:val="21"/>
        </w:rPr>
        <w:t>版块</w:t>
      </w:r>
      <w:proofErr w:type="gramEnd"/>
      <w:r>
        <w:rPr>
          <w:rFonts w:ascii="Arial" w:hAnsi="Arial" w:cs="Arial" w:hint="eastAsia"/>
          <w:sz w:val="21"/>
          <w:szCs w:val="21"/>
        </w:rPr>
        <w:t>，周边在</w:t>
      </w:r>
      <w:proofErr w:type="gramStart"/>
      <w:r>
        <w:rPr>
          <w:rFonts w:ascii="Arial" w:hAnsi="Arial" w:cs="Arial" w:hint="eastAsia"/>
          <w:sz w:val="21"/>
          <w:szCs w:val="21"/>
        </w:rPr>
        <w:t>售项目</w:t>
      </w:r>
      <w:proofErr w:type="gramEnd"/>
      <w:r w:rsidRPr="00E05368">
        <w:rPr>
          <w:rFonts w:ascii="Arial" w:hAnsi="Arial" w:cs="Arial" w:hint="eastAsia"/>
          <w:sz w:val="21"/>
          <w:szCs w:val="21"/>
        </w:rPr>
        <w:t>定位</w:t>
      </w:r>
      <w:r>
        <w:rPr>
          <w:rFonts w:ascii="Arial" w:hAnsi="Arial" w:cs="Arial" w:hint="eastAsia"/>
          <w:sz w:val="21"/>
          <w:szCs w:val="21"/>
        </w:rPr>
        <w:t>基本趋同</w:t>
      </w:r>
      <w:r w:rsidRPr="00E05368">
        <w:rPr>
          <w:rFonts w:ascii="Arial" w:hAnsi="Arial" w:cs="Arial"/>
          <w:sz w:val="21"/>
          <w:szCs w:val="21"/>
        </w:rPr>
        <w:t>，</w:t>
      </w:r>
      <w:r w:rsidRPr="00E05368">
        <w:rPr>
          <w:rFonts w:ascii="Arial" w:hAnsi="Arial" w:cs="Arial" w:hint="eastAsia"/>
          <w:sz w:val="21"/>
          <w:szCs w:val="21"/>
        </w:rPr>
        <w:t>整体</w:t>
      </w:r>
      <w:r w:rsidRPr="00E05368">
        <w:rPr>
          <w:rFonts w:ascii="Arial" w:hAnsi="Arial" w:cs="Arial"/>
          <w:sz w:val="21"/>
          <w:szCs w:val="21"/>
        </w:rPr>
        <w:t>去化情况</w:t>
      </w:r>
      <w:r>
        <w:rPr>
          <w:rFonts w:ascii="Arial" w:hAnsi="Arial" w:cs="Arial" w:hint="eastAsia"/>
          <w:sz w:val="21"/>
          <w:szCs w:val="21"/>
        </w:rPr>
        <w:t>较好</w:t>
      </w:r>
      <w:r w:rsidRPr="00E05368">
        <w:rPr>
          <w:rFonts w:ascii="Arial" w:hAnsi="Arial" w:cs="Arial"/>
          <w:sz w:val="21"/>
          <w:szCs w:val="21"/>
        </w:rPr>
        <w:t>。本项目拟</w:t>
      </w:r>
      <w:r>
        <w:rPr>
          <w:rFonts w:ascii="Arial" w:hAnsi="Arial" w:cs="Arial" w:hint="eastAsia"/>
          <w:sz w:val="21"/>
          <w:szCs w:val="21"/>
        </w:rPr>
        <w:t>建设为高层</w:t>
      </w:r>
      <w:r w:rsidRPr="00E05368">
        <w:rPr>
          <w:rFonts w:ascii="Arial" w:hAnsi="Arial" w:cs="Arial" w:hint="eastAsia"/>
          <w:sz w:val="21"/>
          <w:szCs w:val="21"/>
        </w:rPr>
        <w:t>住宅</w:t>
      </w:r>
      <w:r>
        <w:rPr>
          <w:rFonts w:ascii="Arial" w:hAnsi="Arial" w:cs="Arial" w:hint="eastAsia"/>
          <w:sz w:val="21"/>
          <w:szCs w:val="21"/>
        </w:rPr>
        <w:t>及地下车库，住宅精装</w:t>
      </w:r>
      <w:r w:rsidRPr="00E05368">
        <w:rPr>
          <w:rFonts w:ascii="Arial" w:hAnsi="Arial" w:cs="Arial"/>
          <w:sz w:val="21"/>
          <w:szCs w:val="21"/>
        </w:rPr>
        <w:t>交付</w:t>
      </w:r>
      <w:r w:rsidRPr="00E05368">
        <w:rPr>
          <w:rFonts w:ascii="Arial" w:hAnsi="Arial" w:cs="Arial" w:hint="eastAsia"/>
          <w:sz w:val="21"/>
          <w:szCs w:val="21"/>
        </w:rPr>
        <w:t>，</w:t>
      </w:r>
      <w:r w:rsidRPr="00E05368">
        <w:rPr>
          <w:rFonts w:ascii="Arial" w:hAnsi="Arial" w:cs="Arial"/>
          <w:sz w:val="21"/>
          <w:szCs w:val="21"/>
        </w:rPr>
        <w:t>预期售价是以现有周边项目的销售均价为基础，考虑未来几年房地产市场价格涨幅</w:t>
      </w:r>
      <w:r w:rsidRPr="00E05368">
        <w:rPr>
          <w:rFonts w:ascii="Arial" w:hAnsi="Arial" w:cs="Arial" w:hint="eastAsia"/>
          <w:sz w:val="21"/>
          <w:szCs w:val="21"/>
        </w:rPr>
        <w:t>、建设项目品质、</w:t>
      </w:r>
      <w:r>
        <w:rPr>
          <w:rFonts w:ascii="Arial" w:hAnsi="Arial" w:cs="Arial" w:hint="eastAsia"/>
          <w:sz w:val="21"/>
          <w:szCs w:val="21"/>
        </w:rPr>
        <w:t>区域发展</w:t>
      </w:r>
      <w:r w:rsidRPr="00E05368">
        <w:rPr>
          <w:rFonts w:ascii="Arial" w:hAnsi="Arial" w:cs="Arial"/>
          <w:sz w:val="21"/>
          <w:szCs w:val="21"/>
        </w:rPr>
        <w:t>等因素综合确定，价格</w:t>
      </w:r>
      <w:r>
        <w:rPr>
          <w:rFonts w:ascii="Arial" w:hAnsi="Arial" w:cs="Arial" w:hint="eastAsia"/>
          <w:sz w:val="21"/>
          <w:szCs w:val="21"/>
        </w:rPr>
        <w:t>与</w:t>
      </w:r>
      <w:r w:rsidRPr="00E05368">
        <w:rPr>
          <w:rFonts w:ascii="Arial" w:hAnsi="Arial" w:cs="Arial"/>
          <w:sz w:val="21"/>
          <w:szCs w:val="21"/>
        </w:rPr>
        <w:t>现阶段</w:t>
      </w:r>
      <w:r w:rsidRPr="00E05368">
        <w:rPr>
          <w:rFonts w:ascii="Arial" w:hAnsi="Arial" w:cs="Arial" w:hint="eastAsia"/>
          <w:sz w:val="21"/>
          <w:szCs w:val="21"/>
        </w:rPr>
        <w:t>周边大部分</w:t>
      </w:r>
      <w:r w:rsidRPr="00E05368">
        <w:rPr>
          <w:rFonts w:ascii="Arial" w:hAnsi="Arial" w:cs="Arial"/>
          <w:sz w:val="21"/>
          <w:szCs w:val="21"/>
        </w:rPr>
        <w:t>房地产</w:t>
      </w:r>
      <w:r w:rsidRPr="00E05368">
        <w:rPr>
          <w:rFonts w:ascii="Arial" w:hAnsi="Arial" w:cs="Arial" w:hint="eastAsia"/>
          <w:sz w:val="21"/>
          <w:szCs w:val="21"/>
        </w:rPr>
        <w:t>项目</w:t>
      </w:r>
      <w:r w:rsidRPr="00E05368">
        <w:rPr>
          <w:rFonts w:ascii="Arial" w:hAnsi="Arial" w:cs="Arial"/>
          <w:sz w:val="21"/>
          <w:szCs w:val="21"/>
        </w:rPr>
        <w:t>销售价格</w:t>
      </w:r>
      <w:r>
        <w:rPr>
          <w:rFonts w:ascii="Arial" w:hAnsi="Arial" w:cs="Arial" w:hint="eastAsia"/>
          <w:sz w:val="21"/>
          <w:szCs w:val="21"/>
        </w:rPr>
        <w:t>较为一致</w:t>
      </w:r>
      <w:r w:rsidRPr="00E05368">
        <w:rPr>
          <w:rFonts w:ascii="Arial" w:hAnsi="Arial" w:cs="Arial"/>
          <w:sz w:val="21"/>
          <w:szCs w:val="21"/>
        </w:rPr>
        <w:t>。由于项目</w:t>
      </w:r>
      <w:r>
        <w:rPr>
          <w:rFonts w:ascii="Arial" w:hAnsi="Arial" w:cs="Arial" w:hint="eastAsia"/>
          <w:sz w:val="21"/>
          <w:szCs w:val="21"/>
        </w:rPr>
        <w:t>区域板块规划</w:t>
      </w:r>
      <w:r w:rsidRPr="00E05368">
        <w:rPr>
          <w:rFonts w:ascii="Arial" w:hAnsi="Arial" w:cs="Arial"/>
          <w:sz w:val="21"/>
          <w:szCs w:val="21"/>
        </w:rPr>
        <w:t>条件未来有一定升值潜力</w:t>
      </w:r>
      <w:r w:rsidRPr="00E05368">
        <w:rPr>
          <w:rFonts w:ascii="Arial" w:hAnsi="Arial" w:cs="Arial" w:hint="eastAsia"/>
          <w:sz w:val="21"/>
          <w:szCs w:val="21"/>
        </w:rPr>
        <w:t>，</w:t>
      </w:r>
      <w:r w:rsidRPr="00E05368">
        <w:rPr>
          <w:rFonts w:ascii="Arial" w:hAnsi="Arial" w:cs="Arial"/>
          <w:sz w:val="21"/>
          <w:szCs w:val="21"/>
        </w:rPr>
        <w:t>在确保能够实现有效的营销策略以及房地产市场得以持续稳定增长的前提条件下，我们认为上述定价是可以实现的。</w:t>
      </w:r>
    </w:p>
    <w:p w14:paraId="6C894D4B" w14:textId="245C2651" w:rsidR="0040379B" w:rsidRPr="00E05368" w:rsidRDefault="00C21751" w:rsidP="00C21751">
      <w:pPr>
        <w:widowControl w:val="0"/>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根据以上分析，评估认为项目市场定位比较准确，市场销售价格定价相对合理，项目销售</w:t>
      </w:r>
      <w:r w:rsidRPr="00E05368">
        <w:rPr>
          <w:rFonts w:ascii="Arial" w:hAnsi="Arial" w:cs="Arial" w:hint="eastAsia"/>
          <w:sz w:val="21"/>
          <w:szCs w:val="21"/>
        </w:rPr>
        <w:t>有一定前景</w:t>
      </w:r>
      <w:r w:rsidRPr="00E05368">
        <w:rPr>
          <w:rFonts w:ascii="Arial" w:hAnsi="Arial" w:cs="Arial"/>
          <w:sz w:val="21"/>
          <w:szCs w:val="21"/>
        </w:rPr>
        <w:t>。</w:t>
      </w:r>
    </w:p>
    <w:p w14:paraId="6A67286F" w14:textId="619A286F" w:rsidR="0040379B" w:rsidRDefault="0040379B" w:rsidP="00B67F06">
      <w:pPr>
        <w:adjustRightInd w:val="0"/>
        <w:snapToGrid w:val="0"/>
        <w:spacing w:line="480" w:lineRule="auto"/>
        <w:rPr>
          <w:rFonts w:ascii="Arial" w:hAnsi="Arial" w:cs="Arial" w:hint="eastAsia"/>
          <w:szCs w:val="21"/>
        </w:rPr>
      </w:pPr>
    </w:p>
    <w:p w14:paraId="30C6FA56" w14:textId="77777777" w:rsidR="0053025C" w:rsidRPr="00E05368" w:rsidRDefault="0053025C" w:rsidP="0053025C">
      <w:pPr>
        <w:pStyle w:val="1"/>
        <w:spacing w:before="240"/>
        <w:rPr>
          <w:rFonts w:ascii="Arial" w:eastAsia="方正黑体简体" w:hAnsi="Arial" w:cs="Arial"/>
          <w:b w:val="0"/>
          <w:bCs/>
          <w:sz w:val="32"/>
          <w:szCs w:val="32"/>
        </w:rPr>
      </w:pPr>
      <w:bookmarkStart w:id="156" w:name="_Toc74662913"/>
      <w:r w:rsidRPr="00E05368">
        <w:rPr>
          <w:rFonts w:ascii="Arial" w:eastAsia="方正黑体简体" w:hAnsi="Arial" w:cs="Arial"/>
          <w:b w:val="0"/>
          <w:bCs/>
          <w:sz w:val="32"/>
          <w:szCs w:val="32"/>
        </w:rPr>
        <w:lastRenderedPageBreak/>
        <w:t>第四章</w:t>
      </w:r>
      <w:r w:rsidRPr="00E05368">
        <w:rPr>
          <w:rFonts w:ascii="Arial" w:eastAsia="方正黑体简体" w:hAnsi="Arial" w:cs="Arial"/>
          <w:b w:val="0"/>
          <w:bCs/>
          <w:sz w:val="32"/>
          <w:szCs w:val="32"/>
        </w:rPr>
        <w:t xml:space="preserve">  </w:t>
      </w:r>
      <w:r w:rsidRPr="00E05368">
        <w:rPr>
          <w:rFonts w:ascii="Arial" w:eastAsia="方正黑体简体" w:hAnsi="Arial" w:cs="Arial"/>
          <w:b w:val="0"/>
          <w:bCs/>
          <w:sz w:val="32"/>
          <w:szCs w:val="32"/>
        </w:rPr>
        <w:t>投资估算和筹资评价</w:t>
      </w:r>
      <w:bookmarkEnd w:id="156"/>
    </w:p>
    <w:p w14:paraId="5C7E894F" w14:textId="77777777" w:rsidR="0053025C" w:rsidRPr="00E05368" w:rsidRDefault="0053025C" w:rsidP="0053025C">
      <w:pPr>
        <w:pStyle w:val="2"/>
        <w:spacing w:before="0" w:after="0" w:line="480" w:lineRule="auto"/>
        <w:rPr>
          <w:rFonts w:eastAsia="宋体" w:cs="Arial"/>
          <w:sz w:val="21"/>
          <w:szCs w:val="21"/>
        </w:rPr>
      </w:pPr>
      <w:bookmarkStart w:id="157" w:name="_Toc76889705"/>
      <w:bookmarkStart w:id="158" w:name="_Toc74662914"/>
      <w:r w:rsidRPr="00E05368">
        <w:rPr>
          <w:rFonts w:eastAsia="宋体" w:cs="Arial"/>
          <w:sz w:val="21"/>
          <w:szCs w:val="21"/>
        </w:rPr>
        <w:t>一、投资估算</w:t>
      </w:r>
      <w:bookmarkEnd w:id="157"/>
      <w:bookmarkEnd w:id="158"/>
    </w:p>
    <w:p w14:paraId="7D669441" w14:textId="77777777" w:rsidR="0053025C" w:rsidRPr="00E05368" w:rsidRDefault="0053025C" w:rsidP="0053025C">
      <w:pPr>
        <w:pStyle w:val="2"/>
        <w:spacing w:before="0" w:after="0" w:line="480" w:lineRule="auto"/>
        <w:ind w:firstLineChars="98" w:firstLine="207"/>
        <w:jc w:val="both"/>
        <w:rPr>
          <w:rFonts w:eastAsia="宋体" w:cs="Arial"/>
          <w:sz w:val="21"/>
          <w:szCs w:val="21"/>
        </w:rPr>
      </w:pPr>
      <w:bookmarkStart w:id="159" w:name="_Toc99176032"/>
      <w:bookmarkStart w:id="160" w:name="_Toc99251663"/>
      <w:bookmarkStart w:id="161" w:name="_Toc74662915"/>
      <w:r w:rsidRPr="00E05368">
        <w:rPr>
          <w:rFonts w:eastAsia="宋体" w:cs="Arial"/>
          <w:sz w:val="21"/>
          <w:szCs w:val="21"/>
        </w:rPr>
        <w:t>（一）估算原则</w:t>
      </w:r>
      <w:bookmarkEnd w:id="159"/>
      <w:bookmarkEnd w:id="160"/>
      <w:bookmarkEnd w:id="161"/>
    </w:p>
    <w:p w14:paraId="63528BC7" w14:textId="77777777" w:rsidR="0053025C" w:rsidRPr="00E05368" w:rsidRDefault="0053025C" w:rsidP="0053025C">
      <w:pPr>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本次评估以企业提供的资料以及评估人员市场调研获取的信息为依据，按照国家和</w:t>
      </w:r>
      <w:r>
        <w:rPr>
          <w:rFonts w:ascii="Arial" w:hAnsi="Arial" w:cs="Arial" w:hint="eastAsia"/>
          <w:sz w:val="21"/>
          <w:szCs w:val="21"/>
        </w:rPr>
        <w:t>南京</w:t>
      </w:r>
      <w:r w:rsidRPr="00E05368">
        <w:rPr>
          <w:rFonts w:ascii="Arial" w:hAnsi="Arial" w:cs="Arial" w:hint="eastAsia"/>
          <w:sz w:val="21"/>
          <w:szCs w:val="21"/>
        </w:rPr>
        <w:t>市</w:t>
      </w:r>
      <w:r w:rsidRPr="00E05368">
        <w:rPr>
          <w:rFonts w:ascii="Arial" w:hAnsi="Arial" w:cs="Arial"/>
          <w:sz w:val="21"/>
          <w:szCs w:val="21"/>
        </w:rPr>
        <w:t>有关政策法规进行调整，估算项目总投资并进行筹资能力评价。</w:t>
      </w:r>
    </w:p>
    <w:p w14:paraId="70C94F65" w14:textId="77777777" w:rsidR="0053025C" w:rsidRPr="00E05368" w:rsidRDefault="0053025C" w:rsidP="0053025C">
      <w:pPr>
        <w:pStyle w:val="2"/>
        <w:spacing w:before="0" w:after="0" w:line="480" w:lineRule="auto"/>
        <w:ind w:firstLineChars="98" w:firstLine="207"/>
        <w:jc w:val="both"/>
        <w:rPr>
          <w:rFonts w:eastAsia="宋体" w:cs="Arial"/>
          <w:sz w:val="21"/>
          <w:szCs w:val="21"/>
        </w:rPr>
      </w:pPr>
      <w:bookmarkStart w:id="162" w:name="_Toc12072687"/>
      <w:bookmarkStart w:id="163" w:name="_Toc74662916"/>
      <w:r w:rsidRPr="00E05368">
        <w:rPr>
          <w:rFonts w:eastAsia="宋体" w:cs="Arial"/>
          <w:sz w:val="21"/>
          <w:szCs w:val="21"/>
        </w:rPr>
        <w:t>（二）投资构成及估算依据</w:t>
      </w:r>
      <w:bookmarkEnd w:id="162"/>
      <w:bookmarkEnd w:id="163"/>
    </w:p>
    <w:p w14:paraId="5CA84F14" w14:textId="77777777" w:rsidR="00343FBC" w:rsidRDefault="0053025C" w:rsidP="0053025C">
      <w:pPr>
        <w:adjustRightInd w:val="0"/>
        <w:snapToGrid w:val="0"/>
        <w:spacing w:line="480" w:lineRule="auto"/>
        <w:ind w:firstLineChars="200" w:firstLine="420"/>
        <w:jc w:val="both"/>
        <w:rPr>
          <w:rFonts w:ascii="Arial" w:hAnsi="Arial" w:cs="Arial" w:hint="eastAsia"/>
          <w:sz w:val="21"/>
          <w:szCs w:val="21"/>
        </w:rPr>
      </w:pPr>
      <w:r w:rsidRPr="003D1471">
        <w:rPr>
          <w:rFonts w:ascii="Arial" w:hAnsi="Arial" w:cs="Arial" w:hint="eastAsia"/>
          <w:sz w:val="21"/>
          <w:szCs w:val="21"/>
        </w:rPr>
        <w:t>建设项目为</w:t>
      </w:r>
      <w:r w:rsidR="00343FBC" w:rsidRPr="00343FBC">
        <w:rPr>
          <w:rFonts w:ascii="Arial" w:hAnsi="Arial" w:cs="Arial" w:hint="eastAsia"/>
          <w:sz w:val="21"/>
          <w:szCs w:val="21"/>
        </w:rPr>
        <w:t>江苏省南京市雨花台区凤集大道以南、新湖大道以西</w:t>
      </w:r>
      <w:r w:rsidR="00343FBC" w:rsidRPr="00343FBC">
        <w:rPr>
          <w:rFonts w:ascii="Arial" w:hAnsi="Arial" w:cs="Arial"/>
          <w:sz w:val="21"/>
          <w:szCs w:val="21"/>
        </w:rPr>
        <w:t>NO.2021G35</w:t>
      </w:r>
      <w:r w:rsidR="00343FBC" w:rsidRPr="00343FBC">
        <w:rPr>
          <w:rFonts w:ascii="Arial" w:hAnsi="Arial" w:cs="Arial"/>
          <w:sz w:val="21"/>
          <w:szCs w:val="21"/>
        </w:rPr>
        <w:t>地块</w:t>
      </w:r>
      <w:r w:rsidR="00343FBC">
        <w:rPr>
          <w:rFonts w:ascii="Arial" w:hAnsi="Arial" w:cs="Arial" w:hint="eastAsia"/>
          <w:sz w:val="21"/>
          <w:szCs w:val="21"/>
        </w:rPr>
        <w:t>居住项目</w:t>
      </w:r>
      <w:r w:rsidRPr="003D1471">
        <w:rPr>
          <w:rFonts w:ascii="Arial" w:hAnsi="Arial" w:cs="Arial"/>
          <w:sz w:val="21"/>
          <w:szCs w:val="21"/>
        </w:rPr>
        <w:t>，该项目</w:t>
      </w:r>
      <w:proofErr w:type="gramStart"/>
      <w:r w:rsidRPr="003D1471">
        <w:rPr>
          <w:rFonts w:ascii="Arial" w:hAnsi="Arial" w:cs="Arial"/>
          <w:sz w:val="21"/>
          <w:szCs w:val="21"/>
        </w:rPr>
        <w:t>由</w:t>
      </w:r>
      <w:r w:rsidR="00343FBC" w:rsidRPr="00343FBC">
        <w:rPr>
          <w:rFonts w:ascii="Arial" w:hAnsi="Arial" w:cs="Arial" w:hint="eastAsia"/>
          <w:sz w:val="21"/>
          <w:szCs w:val="21"/>
        </w:rPr>
        <w:t>中冶置业</w:t>
      </w:r>
      <w:proofErr w:type="gramEnd"/>
      <w:r w:rsidR="00343FBC" w:rsidRPr="00343FBC">
        <w:rPr>
          <w:rFonts w:ascii="Arial" w:hAnsi="Arial" w:cs="Arial" w:hint="eastAsia"/>
          <w:sz w:val="21"/>
          <w:szCs w:val="21"/>
        </w:rPr>
        <w:t>集团有限公司</w:t>
      </w:r>
      <w:r w:rsidRPr="003D1471">
        <w:rPr>
          <w:rFonts w:ascii="Arial" w:hAnsi="Arial" w:cs="Arial"/>
          <w:sz w:val="21"/>
          <w:szCs w:val="21"/>
        </w:rPr>
        <w:t>（以下简称</w:t>
      </w:r>
      <w:r>
        <w:rPr>
          <w:rFonts w:ascii="Arial" w:hAnsi="Arial" w:cs="Arial" w:hint="eastAsia"/>
          <w:sz w:val="21"/>
          <w:szCs w:val="21"/>
        </w:rPr>
        <w:t>“</w:t>
      </w:r>
      <w:r w:rsidRPr="003D1471">
        <w:rPr>
          <w:rFonts w:ascii="Arial" w:hAnsi="Arial" w:cs="Arial"/>
          <w:sz w:val="21"/>
          <w:szCs w:val="21"/>
        </w:rPr>
        <w:t>建设单位</w:t>
      </w:r>
      <w:r>
        <w:rPr>
          <w:rFonts w:ascii="Arial" w:hAnsi="Arial" w:cs="Arial" w:hint="eastAsia"/>
          <w:sz w:val="21"/>
          <w:szCs w:val="21"/>
        </w:rPr>
        <w:t>”</w:t>
      </w:r>
      <w:r w:rsidRPr="003D1471">
        <w:rPr>
          <w:rFonts w:ascii="Arial" w:hAnsi="Arial" w:cs="Arial"/>
          <w:sz w:val="21"/>
          <w:szCs w:val="21"/>
        </w:rPr>
        <w:t>）开发建设。</w:t>
      </w:r>
      <w:r w:rsidR="00343FBC" w:rsidRPr="00343FBC">
        <w:rPr>
          <w:rFonts w:ascii="Arial" w:hAnsi="Arial" w:cs="Arial" w:hint="eastAsia"/>
          <w:sz w:val="21"/>
          <w:szCs w:val="21"/>
        </w:rPr>
        <w:t>截至本报告出具日，建设单位已初步取得</w:t>
      </w:r>
      <w:r w:rsidR="00343FBC" w:rsidRPr="00343FBC">
        <w:rPr>
          <w:rFonts w:ascii="Arial" w:hAnsi="Arial" w:cs="Arial"/>
          <w:sz w:val="21"/>
          <w:szCs w:val="21"/>
        </w:rPr>
        <w:t>NO.2021G35</w:t>
      </w:r>
      <w:r w:rsidR="00343FBC" w:rsidRPr="00343FBC">
        <w:rPr>
          <w:rFonts w:ascii="Arial" w:hAnsi="Arial" w:cs="Arial"/>
          <w:sz w:val="21"/>
          <w:szCs w:val="21"/>
        </w:rPr>
        <w:t>地块出让国有建设用地使用权，但尚未签订《国有建设用地使用权出让合同》，尚未取得《不动产权证书》。</w:t>
      </w:r>
      <w:r w:rsidR="00343FBC" w:rsidRPr="00343FBC">
        <w:rPr>
          <w:rFonts w:ascii="Arial" w:hAnsi="Arial" w:cs="Arial" w:hint="eastAsia"/>
          <w:sz w:val="21"/>
          <w:szCs w:val="21"/>
        </w:rPr>
        <w:t>根据建设单位提供的资料，该项目地块出让宗地面积为</w:t>
      </w:r>
      <w:r w:rsidR="00343FBC" w:rsidRPr="00343FBC">
        <w:rPr>
          <w:rFonts w:ascii="Arial" w:hAnsi="Arial" w:cs="Arial"/>
          <w:sz w:val="21"/>
          <w:szCs w:val="21"/>
        </w:rPr>
        <w:t>59471.42</w:t>
      </w:r>
      <w:r w:rsidR="00343FBC" w:rsidRPr="00343FBC">
        <w:rPr>
          <w:rFonts w:ascii="Arial" w:hAnsi="Arial" w:cs="Arial"/>
          <w:sz w:val="21"/>
          <w:szCs w:val="21"/>
        </w:rPr>
        <w:t>平方米，规划总建筑面积为</w:t>
      </w:r>
      <w:r w:rsidR="00343FBC" w:rsidRPr="00343FBC">
        <w:rPr>
          <w:rFonts w:ascii="Arial" w:hAnsi="Arial" w:cs="Arial"/>
          <w:sz w:val="21"/>
          <w:szCs w:val="21"/>
        </w:rPr>
        <w:t>208085</w:t>
      </w:r>
      <w:r w:rsidR="00343FBC" w:rsidRPr="00343FBC">
        <w:rPr>
          <w:rFonts w:ascii="Arial" w:hAnsi="Arial" w:cs="Arial"/>
          <w:sz w:val="21"/>
          <w:szCs w:val="21"/>
        </w:rPr>
        <w:t>平方米，其中地</w:t>
      </w:r>
      <w:proofErr w:type="gramStart"/>
      <w:r w:rsidR="00343FBC" w:rsidRPr="00343FBC">
        <w:rPr>
          <w:rFonts w:ascii="Arial" w:hAnsi="Arial" w:cs="Arial"/>
          <w:sz w:val="21"/>
          <w:szCs w:val="21"/>
        </w:rPr>
        <w:t>上计容总建筑面积</w:t>
      </w:r>
      <w:proofErr w:type="gramEnd"/>
      <w:r w:rsidR="00343FBC" w:rsidRPr="00343FBC">
        <w:rPr>
          <w:rFonts w:ascii="Arial" w:hAnsi="Arial" w:cs="Arial"/>
          <w:sz w:val="21"/>
          <w:szCs w:val="21"/>
        </w:rPr>
        <w:t>为</w:t>
      </w:r>
      <w:r w:rsidR="00343FBC" w:rsidRPr="00343FBC">
        <w:rPr>
          <w:rFonts w:ascii="Arial" w:hAnsi="Arial" w:cs="Arial"/>
          <w:sz w:val="21"/>
          <w:szCs w:val="21"/>
        </w:rPr>
        <w:t>154625</w:t>
      </w:r>
      <w:r w:rsidR="00343FBC" w:rsidRPr="00343FBC">
        <w:rPr>
          <w:rFonts w:ascii="Arial" w:hAnsi="Arial" w:cs="Arial"/>
          <w:sz w:val="21"/>
          <w:szCs w:val="21"/>
        </w:rPr>
        <w:t>平方米（其中：住宅</w:t>
      </w:r>
      <w:r w:rsidR="00343FBC" w:rsidRPr="00343FBC">
        <w:rPr>
          <w:rFonts w:ascii="Arial" w:hAnsi="Arial" w:cs="Arial"/>
          <w:sz w:val="21"/>
          <w:szCs w:val="21"/>
        </w:rPr>
        <w:t>137461</w:t>
      </w:r>
      <w:r w:rsidR="00343FBC" w:rsidRPr="00343FBC">
        <w:rPr>
          <w:rFonts w:ascii="Arial" w:hAnsi="Arial" w:cs="Arial"/>
          <w:sz w:val="21"/>
          <w:szCs w:val="21"/>
        </w:rPr>
        <w:t>平方米、租赁用房</w:t>
      </w:r>
      <w:r w:rsidR="00343FBC" w:rsidRPr="00343FBC">
        <w:rPr>
          <w:rFonts w:ascii="Arial" w:hAnsi="Arial" w:cs="Arial"/>
          <w:sz w:val="21"/>
          <w:szCs w:val="21"/>
        </w:rPr>
        <w:t>7731</w:t>
      </w:r>
      <w:r w:rsidR="00343FBC" w:rsidRPr="00343FBC">
        <w:rPr>
          <w:rFonts w:ascii="Arial" w:hAnsi="Arial" w:cs="Arial"/>
          <w:sz w:val="21"/>
          <w:szCs w:val="21"/>
        </w:rPr>
        <w:t>平方米、商业</w:t>
      </w:r>
      <w:r w:rsidR="00343FBC" w:rsidRPr="00343FBC">
        <w:rPr>
          <w:rFonts w:ascii="Arial" w:hAnsi="Arial" w:cs="Arial"/>
          <w:sz w:val="21"/>
          <w:szCs w:val="21"/>
        </w:rPr>
        <w:t>7500</w:t>
      </w:r>
      <w:r w:rsidR="00343FBC" w:rsidRPr="00343FBC">
        <w:rPr>
          <w:rFonts w:ascii="Arial" w:hAnsi="Arial" w:cs="Arial"/>
          <w:sz w:val="21"/>
          <w:szCs w:val="21"/>
        </w:rPr>
        <w:t>平方米、配套用房</w:t>
      </w:r>
      <w:r w:rsidR="00343FBC" w:rsidRPr="00343FBC">
        <w:rPr>
          <w:rFonts w:ascii="Arial" w:hAnsi="Arial" w:cs="Arial"/>
          <w:sz w:val="21"/>
          <w:szCs w:val="21"/>
        </w:rPr>
        <w:t>1933</w:t>
      </w:r>
      <w:r w:rsidR="00343FBC" w:rsidRPr="00343FBC">
        <w:rPr>
          <w:rFonts w:ascii="Arial" w:hAnsi="Arial" w:cs="Arial"/>
          <w:sz w:val="21"/>
          <w:szCs w:val="21"/>
        </w:rPr>
        <w:t>平方米）；地下总建筑面积为</w:t>
      </w:r>
      <w:r w:rsidR="00343FBC" w:rsidRPr="00343FBC">
        <w:rPr>
          <w:rFonts w:ascii="Arial" w:hAnsi="Arial" w:cs="Arial"/>
          <w:sz w:val="21"/>
          <w:szCs w:val="21"/>
        </w:rPr>
        <w:t>53460</w:t>
      </w:r>
      <w:r w:rsidR="00343FBC" w:rsidRPr="00343FBC">
        <w:rPr>
          <w:rFonts w:ascii="Arial" w:hAnsi="Arial" w:cs="Arial"/>
          <w:sz w:val="21"/>
          <w:szCs w:val="21"/>
        </w:rPr>
        <w:t>平方米，规划为地下车库、设备及人防，其中非人防地下车库</w:t>
      </w:r>
      <w:r w:rsidR="00343FBC" w:rsidRPr="00343FBC">
        <w:rPr>
          <w:rFonts w:ascii="Arial" w:hAnsi="Arial" w:cs="Arial"/>
          <w:sz w:val="21"/>
          <w:szCs w:val="21"/>
        </w:rPr>
        <w:t>34560</w:t>
      </w:r>
      <w:r w:rsidR="00343FBC" w:rsidRPr="00343FBC">
        <w:rPr>
          <w:rFonts w:ascii="Arial" w:hAnsi="Arial" w:cs="Arial"/>
          <w:sz w:val="21"/>
          <w:szCs w:val="21"/>
        </w:rPr>
        <w:t>平方米，人防及设备</w:t>
      </w:r>
      <w:r w:rsidR="00343FBC" w:rsidRPr="00343FBC">
        <w:rPr>
          <w:rFonts w:ascii="Arial" w:hAnsi="Arial" w:cs="Arial"/>
          <w:sz w:val="21"/>
          <w:szCs w:val="21"/>
        </w:rPr>
        <w:t>18900</w:t>
      </w:r>
      <w:r w:rsidR="00343FBC" w:rsidRPr="00343FBC">
        <w:rPr>
          <w:rFonts w:ascii="Arial" w:hAnsi="Arial" w:cs="Arial"/>
          <w:sz w:val="21"/>
          <w:szCs w:val="21"/>
        </w:rPr>
        <w:t>平方米。</w:t>
      </w:r>
    </w:p>
    <w:p w14:paraId="01D69749" w14:textId="77777777" w:rsidR="0053025C" w:rsidRPr="00E05368" w:rsidRDefault="0053025C" w:rsidP="00343FBC">
      <w:pPr>
        <w:adjustRightInd w:val="0"/>
        <w:snapToGrid w:val="0"/>
        <w:spacing w:line="480" w:lineRule="auto"/>
        <w:ind w:firstLineChars="200" w:firstLine="420"/>
        <w:jc w:val="both"/>
        <w:rPr>
          <w:rFonts w:cs="Arial"/>
          <w:sz w:val="21"/>
          <w:szCs w:val="21"/>
        </w:rPr>
      </w:pPr>
      <w:r w:rsidRPr="00E05368">
        <w:rPr>
          <w:rFonts w:cs="Arial"/>
          <w:sz w:val="21"/>
          <w:szCs w:val="21"/>
        </w:rPr>
        <w:t>（三）项目投资估算</w:t>
      </w:r>
    </w:p>
    <w:p w14:paraId="20768A03" w14:textId="77777777" w:rsidR="0053025C" w:rsidRPr="00E05368" w:rsidRDefault="0053025C" w:rsidP="0053025C">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1</w:t>
      </w:r>
      <w:r w:rsidRPr="00E05368">
        <w:rPr>
          <w:rFonts w:ascii="Arial" w:hAnsi="Arial" w:cs="Arial"/>
          <w:color w:val="000000"/>
          <w:sz w:val="21"/>
          <w:szCs w:val="21"/>
        </w:rPr>
        <w:t>、土地费用</w:t>
      </w:r>
    </w:p>
    <w:p w14:paraId="7E995B4C" w14:textId="77777777" w:rsidR="0053025C" w:rsidRPr="00E05368" w:rsidRDefault="0053025C" w:rsidP="0053025C">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w:t>
      </w:r>
      <w:r w:rsidRPr="00E05368">
        <w:rPr>
          <w:rFonts w:ascii="Arial" w:hAnsi="Arial" w:cs="Arial"/>
          <w:color w:val="000000"/>
          <w:sz w:val="21"/>
          <w:szCs w:val="21"/>
        </w:rPr>
        <w:t>1</w:t>
      </w:r>
      <w:r w:rsidRPr="00E05368">
        <w:rPr>
          <w:rFonts w:ascii="Arial" w:hAnsi="Arial" w:cs="Arial"/>
          <w:color w:val="000000"/>
          <w:sz w:val="21"/>
          <w:szCs w:val="21"/>
        </w:rPr>
        <w:t>）土地取得费用：</w:t>
      </w:r>
    </w:p>
    <w:p w14:paraId="5C506B05" w14:textId="77777777" w:rsidR="0053025C" w:rsidRPr="00E05368" w:rsidRDefault="0053025C" w:rsidP="0053025C">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fldChar w:fldCharType="begin"/>
      </w:r>
      <w:r w:rsidRPr="00E05368">
        <w:rPr>
          <w:rFonts w:ascii="Arial" w:hAnsi="Arial" w:cs="Arial"/>
          <w:color w:val="000000"/>
          <w:sz w:val="21"/>
          <w:szCs w:val="21"/>
        </w:rPr>
        <w:instrText xml:space="preserve"> = 1 \* GB3 </w:instrText>
      </w:r>
      <w:r w:rsidRPr="00E05368">
        <w:rPr>
          <w:rFonts w:ascii="Arial" w:hAnsi="Arial" w:cs="Arial"/>
          <w:color w:val="000000"/>
          <w:sz w:val="21"/>
          <w:szCs w:val="21"/>
        </w:rPr>
        <w:fldChar w:fldCharType="separate"/>
      </w:r>
      <w:r w:rsidRPr="00E05368">
        <w:rPr>
          <w:rFonts w:hint="eastAsia"/>
          <w:color w:val="000000"/>
          <w:sz w:val="21"/>
          <w:szCs w:val="21"/>
        </w:rPr>
        <w:t>①</w:t>
      </w:r>
      <w:r w:rsidRPr="00E05368">
        <w:rPr>
          <w:rFonts w:ascii="Arial" w:hAnsi="Arial" w:cs="Arial"/>
          <w:color w:val="000000"/>
          <w:sz w:val="21"/>
          <w:szCs w:val="21"/>
        </w:rPr>
        <w:fldChar w:fldCharType="end"/>
      </w:r>
      <w:r w:rsidRPr="00E05368">
        <w:rPr>
          <w:rFonts w:ascii="Arial" w:hAnsi="Arial" w:cs="Arial"/>
          <w:color w:val="000000"/>
          <w:sz w:val="21"/>
          <w:szCs w:val="21"/>
        </w:rPr>
        <w:t>地价款</w:t>
      </w:r>
      <w:r>
        <w:rPr>
          <w:rFonts w:ascii="Arial" w:hAnsi="Arial" w:cs="Arial" w:hint="eastAsia"/>
          <w:color w:val="000000"/>
          <w:sz w:val="21"/>
          <w:szCs w:val="21"/>
        </w:rPr>
        <w:t>及</w:t>
      </w:r>
      <w:r w:rsidRPr="00E05368">
        <w:rPr>
          <w:rFonts w:ascii="Arial" w:hAnsi="Arial" w:cs="Arial"/>
          <w:color w:val="000000"/>
          <w:sz w:val="21"/>
          <w:szCs w:val="21"/>
        </w:rPr>
        <w:t>契税</w:t>
      </w:r>
    </w:p>
    <w:p w14:paraId="142674C3" w14:textId="3E24CA0A" w:rsidR="0053025C" w:rsidRPr="00E05368" w:rsidRDefault="0053025C" w:rsidP="0053025C">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根据</w:t>
      </w:r>
      <w:r w:rsidR="007B3231" w:rsidRPr="007B3231">
        <w:rPr>
          <w:rFonts w:ascii="Arial" w:hAnsi="Arial" w:cs="Arial" w:hint="eastAsia"/>
          <w:sz w:val="21"/>
          <w:szCs w:val="21"/>
        </w:rPr>
        <w:t>建设单位提供的资料</w:t>
      </w:r>
      <w:r w:rsidR="007B3231">
        <w:rPr>
          <w:rFonts w:ascii="Arial" w:hAnsi="Arial" w:cs="Arial" w:hint="eastAsia"/>
          <w:sz w:val="21"/>
          <w:szCs w:val="21"/>
        </w:rPr>
        <w:t>及</w:t>
      </w:r>
      <w:r w:rsidR="0014002D" w:rsidRPr="0014002D">
        <w:rPr>
          <w:rFonts w:ascii="Arial" w:hAnsi="Arial" w:cs="Arial"/>
          <w:sz w:val="21"/>
          <w:szCs w:val="21"/>
        </w:rPr>
        <w:t>CREIS</w:t>
      </w:r>
      <w:r w:rsidR="0014002D" w:rsidRPr="0014002D">
        <w:rPr>
          <w:rFonts w:ascii="Arial" w:hAnsi="Arial" w:cs="Arial"/>
          <w:sz w:val="21"/>
          <w:szCs w:val="21"/>
        </w:rPr>
        <w:t>中指数据</w:t>
      </w:r>
      <w:r w:rsidR="0014002D">
        <w:rPr>
          <w:rFonts w:ascii="Arial" w:hAnsi="Arial" w:cs="Arial" w:hint="eastAsia"/>
          <w:sz w:val="21"/>
          <w:szCs w:val="21"/>
        </w:rPr>
        <w:t>土地成交公式信息</w:t>
      </w:r>
      <w:r w:rsidRPr="00E05368">
        <w:rPr>
          <w:rFonts w:ascii="Arial" w:hAnsi="Arial" w:cs="Arial"/>
          <w:color w:val="000000"/>
          <w:sz w:val="21"/>
          <w:szCs w:val="21"/>
        </w:rPr>
        <w:t>，项目出让国有建设用地使用权地价款（</w:t>
      </w:r>
      <w:proofErr w:type="gramStart"/>
      <w:r w:rsidRPr="00E05368">
        <w:rPr>
          <w:rFonts w:ascii="Arial" w:hAnsi="Arial" w:cs="Arial"/>
          <w:color w:val="000000"/>
          <w:sz w:val="21"/>
          <w:szCs w:val="21"/>
        </w:rPr>
        <w:t>含</w:t>
      </w:r>
      <w:r w:rsidRPr="00E05368">
        <w:rPr>
          <w:rFonts w:ascii="Arial" w:hAnsi="Arial" w:cs="Arial" w:hint="eastAsia"/>
          <w:color w:val="000000"/>
          <w:sz w:val="21"/>
          <w:szCs w:val="21"/>
        </w:rPr>
        <w:t>成交</w:t>
      </w:r>
      <w:proofErr w:type="gramEnd"/>
      <w:r w:rsidRPr="00E05368">
        <w:rPr>
          <w:rFonts w:ascii="Arial" w:hAnsi="Arial" w:cs="Arial" w:hint="eastAsia"/>
          <w:color w:val="000000"/>
          <w:sz w:val="21"/>
          <w:szCs w:val="21"/>
        </w:rPr>
        <w:t>价款、</w:t>
      </w:r>
      <w:r w:rsidRPr="00E05368">
        <w:rPr>
          <w:rFonts w:ascii="Arial" w:hAnsi="Arial" w:cs="Arial"/>
          <w:color w:val="000000"/>
          <w:sz w:val="21"/>
          <w:szCs w:val="21"/>
        </w:rPr>
        <w:t>契税</w:t>
      </w:r>
      <w:r w:rsidRPr="00E05368">
        <w:rPr>
          <w:rFonts w:ascii="Arial" w:hAnsi="Arial" w:cs="Arial" w:hint="eastAsia"/>
          <w:color w:val="000000"/>
          <w:sz w:val="21"/>
          <w:szCs w:val="21"/>
        </w:rPr>
        <w:t>及印花税</w:t>
      </w:r>
      <w:r w:rsidRPr="00E05368">
        <w:rPr>
          <w:rFonts w:ascii="Arial" w:hAnsi="Arial" w:cs="Arial"/>
          <w:color w:val="000000"/>
          <w:sz w:val="21"/>
          <w:szCs w:val="21"/>
        </w:rPr>
        <w:t>）为</w:t>
      </w:r>
      <w:r w:rsidR="007B3231">
        <w:rPr>
          <w:rFonts w:ascii="Arial" w:hAnsi="Arial" w:cs="Arial" w:hint="eastAsia"/>
          <w:sz w:val="21"/>
          <w:szCs w:val="21"/>
        </w:rPr>
        <w:t>258656</w:t>
      </w:r>
      <w:r w:rsidRPr="00E05368">
        <w:rPr>
          <w:rFonts w:ascii="Arial" w:hAnsi="Arial" w:cs="Arial" w:hint="eastAsia"/>
          <w:color w:val="000000"/>
          <w:sz w:val="21"/>
          <w:szCs w:val="21"/>
        </w:rPr>
        <w:t>万</w:t>
      </w:r>
      <w:r w:rsidRPr="00E05368">
        <w:rPr>
          <w:rFonts w:ascii="Arial" w:hAnsi="Arial" w:cs="Arial"/>
          <w:color w:val="000000"/>
          <w:sz w:val="21"/>
          <w:szCs w:val="21"/>
        </w:rPr>
        <w:t>元</w:t>
      </w:r>
      <w:r w:rsidRPr="00E05368">
        <w:rPr>
          <w:rFonts w:ascii="Arial" w:hAnsi="Arial" w:cs="Arial" w:hint="eastAsia"/>
          <w:color w:val="000000"/>
          <w:sz w:val="21"/>
          <w:szCs w:val="21"/>
        </w:rPr>
        <w:t>，其中成交价款为</w:t>
      </w:r>
      <w:r w:rsidR="007B3231">
        <w:rPr>
          <w:rFonts w:ascii="Arial" w:hAnsi="Arial" w:cs="Arial" w:hint="eastAsia"/>
          <w:color w:val="000000"/>
          <w:sz w:val="21"/>
          <w:szCs w:val="21"/>
        </w:rPr>
        <w:t>251000</w:t>
      </w:r>
      <w:r w:rsidRPr="00E05368">
        <w:rPr>
          <w:rFonts w:ascii="Arial" w:hAnsi="Arial" w:cs="Arial" w:hint="eastAsia"/>
          <w:color w:val="000000"/>
          <w:sz w:val="21"/>
          <w:szCs w:val="21"/>
        </w:rPr>
        <w:t>万元，契税及印花税</w:t>
      </w:r>
      <w:r w:rsidR="007B3231" w:rsidRPr="007B3231">
        <w:rPr>
          <w:rFonts w:ascii="Arial" w:hAnsi="Arial" w:cs="Arial"/>
          <w:color w:val="000000"/>
          <w:sz w:val="21"/>
          <w:szCs w:val="21"/>
        </w:rPr>
        <w:t>7656</w:t>
      </w:r>
      <w:r w:rsidRPr="00E05368">
        <w:rPr>
          <w:rFonts w:ascii="Arial" w:hAnsi="Arial" w:cs="Arial" w:hint="eastAsia"/>
          <w:color w:val="000000"/>
          <w:sz w:val="21"/>
          <w:szCs w:val="21"/>
        </w:rPr>
        <w:t>万元</w:t>
      </w:r>
      <w:r>
        <w:rPr>
          <w:rFonts w:ascii="Arial" w:hAnsi="Arial" w:cs="Arial" w:hint="eastAsia"/>
          <w:color w:val="000000"/>
          <w:sz w:val="21"/>
          <w:szCs w:val="21"/>
        </w:rPr>
        <w:t>。</w:t>
      </w:r>
    </w:p>
    <w:p w14:paraId="3800801E" w14:textId="77777777" w:rsidR="0014002D" w:rsidRDefault="0053025C" w:rsidP="0053025C">
      <w:pPr>
        <w:adjustRightInd w:val="0"/>
        <w:snapToGrid w:val="0"/>
        <w:spacing w:line="480" w:lineRule="auto"/>
        <w:ind w:firstLineChars="200" w:firstLine="420"/>
        <w:jc w:val="both"/>
        <w:rPr>
          <w:rFonts w:hint="eastAsia"/>
          <w:color w:val="000000"/>
          <w:sz w:val="21"/>
          <w:szCs w:val="21"/>
        </w:rPr>
      </w:pPr>
      <w:r w:rsidRPr="00E05368">
        <w:rPr>
          <w:rFonts w:hint="eastAsia"/>
          <w:color w:val="000000"/>
          <w:sz w:val="21"/>
          <w:szCs w:val="21"/>
        </w:rPr>
        <w:t>②城市基础设施建设费</w:t>
      </w:r>
    </w:p>
    <w:p w14:paraId="7627CE76" w14:textId="224610BB" w:rsidR="0053025C" w:rsidRDefault="0053025C" w:rsidP="0053025C">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根据</w:t>
      </w:r>
      <w:r w:rsidR="0014002D">
        <w:rPr>
          <w:rFonts w:ascii="Arial" w:hAnsi="Arial" w:cs="Arial" w:hint="eastAsia"/>
          <w:color w:val="000000"/>
          <w:sz w:val="21"/>
          <w:szCs w:val="21"/>
        </w:rPr>
        <w:t>南京</w:t>
      </w:r>
      <w:r>
        <w:rPr>
          <w:rFonts w:ascii="Arial" w:hAnsi="Arial" w:cs="Arial" w:hint="eastAsia"/>
          <w:color w:val="000000"/>
          <w:sz w:val="21"/>
          <w:szCs w:val="21"/>
        </w:rPr>
        <w:t>市人民政府文件</w:t>
      </w:r>
      <w:r w:rsidRPr="009A0525">
        <w:rPr>
          <w:rFonts w:ascii="Arial" w:hAnsi="Arial" w:cs="Arial" w:hint="eastAsia"/>
          <w:color w:val="000000"/>
          <w:sz w:val="21"/>
          <w:szCs w:val="21"/>
        </w:rPr>
        <w:t>《</w:t>
      </w:r>
      <w:r w:rsidR="0014002D">
        <w:rPr>
          <w:rFonts w:ascii="Arial" w:hAnsi="Arial" w:cs="Arial" w:hint="eastAsia"/>
          <w:color w:val="000000"/>
          <w:sz w:val="21"/>
          <w:szCs w:val="21"/>
        </w:rPr>
        <w:t>南京</w:t>
      </w:r>
      <w:r>
        <w:rPr>
          <w:rFonts w:ascii="Arial" w:hAnsi="Arial" w:cs="Arial" w:hint="eastAsia"/>
          <w:color w:val="000000"/>
          <w:sz w:val="21"/>
          <w:szCs w:val="21"/>
        </w:rPr>
        <w:t>市城市基础设施配套费征收管理</w:t>
      </w:r>
      <w:r w:rsidR="0014002D">
        <w:rPr>
          <w:rFonts w:ascii="Arial" w:hAnsi="Arial" w:cs="Arial" w:hint="eastAsia"/>
          <w:color w:val="000000"/>
          <w:sz w:val="21"/>
          <w:szCs w:val="21"/>
        </w:rPr>
        <w:t>办法</w:t>
      </w:r>
      <w:r w:rsidRPr="009A0525">
        <w:rPr>
          <w:rFonts w:ascii="Arial" w:hAnsi="Arial" w:cs="Arial" w:hint="eastAsia"/>
          <w:color w:val="000000"/>
          <w:sz w:val="21"/>
          <w:szCs w:val="21"/>
        </w:rPr>
        <w:t>》</w:t>
      </w:r>
      <w:r w:rsidR="0014002D">
        <w:rPr>
          <w:rFonts w:ascii="Arial" w:hAnsi="Arial" w:cs="Arial" w:hint="eastAsia"/>
          <w:color w:val="000000"/>
          <w:sz w:val="21"/>
          <w:szCs w:val="21"/>
        </w:rPr>
        <w:t>解读</w:t>
      </w:r>
      <w:r w:rsidRPr="00E05368">
        <w:rPr>
          <w:rFonts w:ascii="Arial" w:hAnsi="Arial" w:cs="Arial"/>
          <w:color w:val="000000"/>
          <w:sz w:val="21"/>
          <w:szCs w:val="21"/>
        </w:rPr>
        <w:t>，</w:t>
      </w:r>
      <w:r w:rsidR="0014002D">
        <w:rPr>
          <w:rFonts w:ascii="Arial" w:hAnsi="Arial" w:cs="Arial" w:hint="eastAsia"/>
          <w:color w:val="000000"/>
          <w:sz w:val="21"/>
          <w:szCs w:val="21"/>
        </w:rPr>
        <w:t>南京</w:t>
      </w:r>
      <w:r>
        <w:rPr>
          <w:rFonts w:ascii="Arial" w:hAnsi="Arial" w:cs="Arial" w:hint="eastAsia"/>
          <w:color w:val="000000"/>
          <w:sz w:val="21"/>
          <w:szCs w:val="21"/>
        </w:rPr>
        <w:t>市城市基础设施配套费收费标准是：</w:t>
      </w:r>
      <w:r w:rsidR="0014002D">
        <w:rPr>
          <w:rFonts w:ascii="Arial" w:hAnsi="Arial" w:cs="Arial" w:hint="eastAsia"/>
          <w:color w:val="000000"/>
          <w:sz w:val="21"/>
          <w:szCs w:val="21"/>
        </w:rPr>
        <w:t>应当按</w:t>
      </w:r>
      <w:r w:rsidR="0014002D">
        <w:rPr>
          <w:rFonts w:ascii="Arial" w:hAnsi="Arial" w:cs="Arial" w:hint="eastAsia"/>
          <w:color w:val="000000"/>
          <w:sz w:val="21"/>
          <w:szCs w:val="21"/>
        </w:rPr>
        <w:t>150</w:t>
      </w:r>
      <w:r w:rsidR="0014002D">
        <w:rPr>
          <w:rFonts w:ascii="Arial" w:hAnsi="Arial" w:cs="Arial" w:hint="eastAsia"/>
          <w:color w:val="000000"/>
          <w:sz w:val="21"/>
          <w:szCs w:val="21"/>
        </w:rPr>
        <w:t>元</w:t>
      </w:r>
      <w:r w:rsidR="0014002D">
        <w:rPr>
          <w:rFonts w:ascii="Arial" w:hAnsi="Arial" w:cs="Arial" w:hint="eastAsia"/>
          <w:color w:val="000000"/>
          <w:sz w:val="21"/>
          <w:szCs w:val="21"/>
        </w:rPr>
        <w:t>/</w:t>
      </w:r>
      <w:r w:rsidR="0014002D">
        <w:rPr>
          <w:rFonts w:ascii="Arial" w:hAnsi="Arial" w:cs="Arial" w:hint="eastAsia"/>
          <w:color w:val="000000"/>
          <w:sz w:val="21"/>
          <w:szCs w:val="21"/>
        </w:rPr>
        <w:t>平方米（建筑面积）缴纳城市基础设施配套费。</w:t>
      </w:r>
      <w:r>
        <w:rPr>
          <w:rFonts w:ascii="Arial" w:hAnsi="Arial" w:cs="Arial" w:hint="eastAsia"/>
          <w:color w:val="000000"/>
          <w:sz w:val="21"/>
          <w:szCs w:val="21"/>
        </w:rPr>
        <w:t>则有：</w:t>
      </w:r>
    </w:p>
    <w:p w14:paraId="70288C56" w14:textId="541ABD3D" w:rsidR="0053025C" w:rsidRDefault="0053025C" w:rsidP="0053025C">
      <w:pPr>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lastRenderedPageBreak/>
        <w:t>城市基础设施配套费</w:t>
      </w:r>
      <w:r w:rsidRPr="00E05368">
        <w:rPr>
          <w:rFonts w:ascii="Arial" w:hAnsi="Arial" w:cs="Arial"/>
          <w:color w:val="000000"/>
          <w:sz w:val="21"/>
          <w:szCs w:val="21"/>
        </w:rPr>
        <w:t>=</w:t>
      </w:r>
      <w:r w:rsidR="0014002D" w:rsidRPr="0014002D">
        <w:rPr>
          <w:rFonts w:ascii="Arial" w:hAnsi="Arial" w:cs="Arial"/>
          <w:color w:val="000000"/>
          <w:sz w:val="21"/>
          <w:szCs w:val="21"/>
        </w:rPr>
        <w:t>208085</w:t>
      </w:r>
      <w:r w:rsidRPr="00E05368">
        <w:rPr>
          <w:rFonts w:ascii="Arial" w:hAnsi="Arial" w:cs="Arial"/>
          <w:color w:val="000000"/>
          <w:sz w:val="21"/>
          <w:szCs w:val="21"/>
        </w:rPr>
        <w:t>×</w:t>
      </w:r>
      <w:r w:rsidR="0014002D">
        <w:rPr>
          <w:rFonts w:ascii="Arial" w:hAnsi="Arial" w:cs="Arial" w:hint="eastAsia"/>
          <w:color w:val="000000"/>
          <w:sz w:val="21"/>
          <w:szCs w:val="21"/>
        </w:rPr>
        <w:t>15</w:t>
      </w:r>
      <w:r>
        <w:rPr>
          <w:rFonts w:ascii="Arial" w:hAnsi="Arial" w:cs="Arial" w:hint="eastAsia"/>
          <w:color w:val="000000"/>
          <w:sz w:val="21"/>
          <w:szCs w:val="21"/>
        </w:rPr>
        <w:t>0</w:t>
      </w:r>
    </w:p>
    <w:p w14:paraId="5E9CA8AA" w14:textId="10E8F28D" w:rsidR="0053025C" w:rsidRPr="007C18B9" w:rsidRDefault="0053025C" w:rsidP="0053025C">
      <w:pPr>
        <w:adjustRightInd w:val="0"/>
        <w:snapToGrid w:val="0"/>
        <w:spacing w:line="480" w:lineRule="auto"/>
        <w:ind w:firstLineChars="1100" w:firstLine="2310"/>
        <w:jc w:val="both"/>
        <w:rPr>
          <w:rFonts w:ascii="Arial" w:hAnsi="Arial" w:cs="Arial"/>
          <w:color w:val="000000"/>
          <w:sz w:val="21"/>
          <w:szCs w:val="21"/>
        </w:rPr>
      </w:pPr>
      <w:r>
        <w:rPr>
          <w:rFonts w:ascii="Arial" w:hAnsi="Arial" w:cs="Arial" w:hint="eastAsia"/>
          <w:color w:val="000000"/>
          <w:sz w:val="21"/>
          <w:szCs w:val="21"/>
        </w:rPr>
        <w:t>=</w:t>
      </w:r>
      <w:r w:rsidR="0014002D" w:rsidRPr="0014002D">
        <w:rPr>
          <w:rFonts w:ascii="Arial" w:hAnsi="Arial" w:cs="Arial"/>
          <w:color w:val="000000"/>
          <w:sz w:val="21"/>
          <w:szCs w:val="21"/>
        </w:rPr>
        <w:t>3121</w:t>
      </w:r>
      <w:r>
        <w:rPr>
          <w:rFonts w:ascii="Arial" w:hAnsi="Arial" w:cs="Arial" w:hint="eastAsia"/>
          <w:color w:val="000000"/>
          <w:sz w:val="21"/>
          <w:szCs w:val="21"/>
        </w:rPr>
        <w:t>（万元）</w:t>
      </w:r>
    </w:p>
    <w:p w14:paraId="3AFF717A" w14:textId="77777777" w:rsidR="0053025C" w:rsidRDefault="0053025C" w:rsidP="0053025C">
      <w:pPr>
        <w:adjustRightInd w:val="0"/>
        <w:snapToGrid w:val="0"/>
        <w:spacing w:line="480" w:lineRule="auto"/>
        <w:ind w:firstLineChars="200" w:firstLine="420"/>
        <w:jc w:val="both"/>
        <w:rPr>
          <w:color w:val="000000"/>
          <w:sz w:val="21"/>
          <w:szCs w:val="21"/>
        </w:rPr>
      </w:pPr>
      <w:r>
        <w:rPr>
          <w:rFonts w:hint="eastAsia"/>
          <w:color w:val="000000"/>
          <w:sz w:val="21"/>
          <w:szCs w:val="21"/>
        </w:rPr>
        <w:t>③</w:t>
      </w:r>
      <w:r w:rsidRPr="00834B40">
        <w:rPr>
          <w:rFonts w:hint="eastAsia"/>
          <w:color w:val="000000"/>
          <w:sz w:val="21"/>
          <w:szCs w:val="21"/>
        </w:rPr>
        <w:t>红线外基础设施建设费</w:t>
      </w:r>
    </w:p>
    <w:p w14:paraId="74B1287D" w14:textId="22BCB1B3" w:rsidR="0053025C" w:rsidRDefault="0053025C" w:rsidP="0053025C">
      <w:pPr>
        <w:adjustRightInd w:val="0"/>
        <w:snapToGrid w:val="0"/>
        <w:spacing w:line="480" w:lineRule="auto"/>
        <w:ind w:firstLineChars="200" w:firstLine="420"/>
        <w:jc w:val="both"/>
        <w:rPr>
          <w:rFonts w:ascii="Arial" w:hAnsi="Arial" w:cs="Arial"/>
          <w:color w:val="000000"/>
          <w:sz w:val="21"/>
          <w:szCs w:val="21"/>
        </w:rPr>
      </w:pPr>
      <w:r>
        <w:rPr>
          <w:rFonts w:ascii="Arial" w:hAnsi="Arial" w:cs="Arial"/>
          <w:color w:val="000000"/>
          <w:sz w:val="21"/>
          <w:szCs w:val="21"/>
        </w:rPr>
        <w:t>根据</w:t>
      </w:r>
      <w:r>
        <w:rPr>
          <w:rFonts w:ascii="Arial" w:hAnsi="Arial" w:cs="Arial" w:hint="eastAsia"/>
          <w:sz w:val="21"/>
          <w:szCs w:val="21"/>
        </w:rPr>
        <w:t>开发企业</w:t>
      </w:r>
      <w:r>
        <w:rPr>
          <w:rFonts w:ascii="Arial" w:hAnsi="Arial" w:cs="Arial"/>
          <w:color w:val="000000"/>
          <w:sz w:val="21"/>
          <w:szCs w:val="21"/>
        </w:rPr>
        <w:t>介绍</w:t>
      </w:r>
      <w:r w:rsidRPr="00D0076E">
        <w:rPr>
          <w:rFonts w:ascii="Arial" w:hAnsi="Arial" w:cs="Arial"/>
          <w:sz w:val="21"/>
          <w:szCs w:val="21"/>
        </w:rPr>
        <w:t>，</w:t>
      </w:r>
      <w:r w:rsidRPr="00D0076E">
        <w:rPr>
          <w:rFonts w:ascii="Arial" w:hAnsi="Arial" w:cs="Arial" w:hint="eastAsia"/>
          <w:sz w:val="21"/>
          <w:szCs w:val="21"/>
        </w:rPr>
        <w:t>该地块供地条件为红线外“</w:t>
      </w:r>
      <w:r>
        <w:rPr>
          <w:rFonts w:ascii="Arial" w:hAnsi="Arial" w:cs="Arial" w:hint="eastAsia"/>
          <w:sz w:val="21"/>
          <w:szCs w:val="21"/>
        </w:rPr>
        <w:t>临三</w:t>
      </w:r>
      <w:r w:rsidRPr="00D0076E">
        <w:rPr>
          <w:rFonts w:ascii="Arial" w:hAnsi="Arial" w:cs="Arial" w:hint="eastAsia"/>
          <w:sz w:val="21"/>
          <w:szCs w:val="21"/>
        </w:rPr>
        <w:t>通”（即通路、通电、通上水）</w:t>
      </w:r>
      <w:r>
        <w:rPr>
          <w:rFonts w:ascii="Arial" w:hAnsi="Arial" w:cs="Arial" w:hint="eastAsia"/>
          <w:sz w:val="21"/>
          <w:szCs w:val="21"/>
        </w:rPr>
        <w:t>，</w:t>
      </w:r>
      <w:r>
        <w:rPr>
          <w:rFonts w:ascii="Arial" w:hAnsi="Arial" w:cs="Arial"/>
          <w:color w:val="000000"/>
          <w:sz w:val="21"/>
          <w:szCs w:val="21"/>
        </w:rPr>
        <w:t>根据</w:t>
      </w:r>
      <w:r>
        <w:rPr>
          <w:rFonts w:ascii="Arial" w:hAnsi="Arial" w:cs="Arial" w:hint="eastAsia"/>
          <w:sz w:val="21"/>
          <w:szCs w:val="21"/>
        </w:rPr>
        <w:t>开发企业</w:t>
      </w:r>
      <w:r>
        <w:rPr>
          <w:rFonts w:ascii="Arial" w:hAnsi="Arial" w:cs="Arial"/>
          <w:color w:val="000000"/>
          <w:sz w:val="21"/>
          <w:szCs w:val="21"/>
        </w:rPr>
        <w:t>介绍</w:t>
      </w:r>
      <w:r w:rsidRPr="00D0076E">
        <w:rPr>
          <w:rFonts w:ascii="Arial" w:hAnsi="Arial" w:cs="Arial" w:hint="eastAsia"/>
          <w:sz w:val="21"/>
          <w:szCs w:val="21"/>
        </w:rPr>
        <w:t>，</w:t>
      </w:r>
      <w:r>
        <w:rPr>
          <w:rFonts w:ascii="Arial" w:hAnsi="Arial" w:cs="Arial" w:hint="eastAsia"/>
          <w:sz w:val="21"/>
          <w:szCs w:val="21"/>
        </w:rPr>
        <w:t>该地块</w:t>
      </w:r>
      <w:r w:rsidRPr="00D0076E">
        <w:rPr>
          <w:rFonts w:ascii="Arial" w:hAnsi="Arial" w:cs="Arial"/>
          <w:sz w:val="21"/>
          <w:szCs w:val="21"/>
        </w:rPr>
        <w:t>开发完成后红线外基础设施将达</w:t>
      </w:r>
      <w:r>
        <w:rPr>
          <w:rFonts w:ascii="Arial" w:hAnsi="Arial" w:cs="Arial" w:hint="eastAsia"/>
          <w:sz w:val="21"/>
          <w:szCs w:val="21"/>
        </w:rPr>
        <w:t>“</w:t>
      </w:r>
      <w:r w:rsidR="0014002D">
        <w:rPr>
          <w:rFonts w:ascii="Arial" w:hAnsi="Arial" w:cs="Arial" w:hint="eastAsia"/>
          <w:sz w:val="21"/>
          <w:szCs w:val="21"/>
        </w:rPr>
        <w:t>六</w:t>
      </w:r>
      <w:r w:rsidRPr="00D0076E">
        <w:rPr>
          <w:rFonts w:ascii="Arial" w:hAnsi="Arial" w:cs="Arial"/>
          <w:sz w:val="21"/>
          <w:szCs w:val="21"/>
        </w:rPr>
        <w:t>通</w:t>
      </w:r>
      <w:r>
        <w:rPr>
          <w:rFonts w:ascii="Arial" w:hAnsi="Arial" w:cs="Arial" w:hint="eastAsia"/>
          <w:sz w:val="21"/>
          <w:szCs w:val="21"/>
        </w:rPr>
        <w:t>”</w:t>
      </w:r>
      <w:r w:rsidRPr="00D0076E">
        <w:rPr>
          <w:rFonts w:ascii="Arial" w:hAnsi="Arial" w:cs="Arial"/>
          <w:sz w:val="21"/>
          <w:szCs w:val="21"/>
        </w:rPr>
        <w:t>（即通路、通电、通</w:t>
      </w:r>
      <w:r>
        <w:rPr>
          <w:rFonts w:ascii="Arial" w:hAnsi="Arial" w:cs="Arial" w:hint="eastAsia"/>
          <w:sz w:val="21"/>
          <w:szCs w:val="21"/>
        </w:rPr>
        <w:t>讯</w:t>
      </w:r>
      <w:r w:rsidRPr="00D0076E">
        <w:rPr>
          <w:rFonts w:ascii="Arial" w:hAnsi="Arial" w:cs="Arial"/>
          <w:sz w:val="21"/>
          <w:szCs w:val="21"/>
        </w:rPr>
        <w:t>、通上水、通下水、通燃气）</w:t>
      </w:r>
      <w:r>
        <w:rPr>
          <w:rFonts w:ascii="Arial" w:hAnsi="Arial" w:cs="Arial" w:hint="eastAsia"/>
          <w:sz w:val="21"/>
          <w:szCs w:val="21"/>
        </w:rPr>
        <w:t>，则</w:t>
      </w:r>
      <w:r w:rsidRPr="00D0076E">
        <w:rPr>
          <w:rFonts w:ascii="Arial" w:hAnsi="Arial" w:cs="Arial"/>
          <w:sz w:val="21"/>
          <w:szCs w:val="21"/>
        </w:rPr>
        <w:t>项目</w:t>
      </w:r>
      <w:r>
        <w:rPr>
          <w:rFonts w:ascii="Arial" w:hAnsi="Arial" w:cs="Arial" w:hint="eastAsia"/>
          <w:color w:val="000000"/>
          <w:sz w:val="21"/>
          <w:szCs w:val="21"/>
        </w:rPr>
        <w:t>另</w:t>
      </w:r>
      <w:r>
        <w:rPr>
          <w:rFonts w:ascii="Arial" w:hAnsi="Arial" w:cs="Arial"/>
          <w:color w:val="000000"/>
          <w:sz w:val="21"/>
          <w:szCs w:val="21"/>
        </w:rPr>
        <w:t>需缴纳</w:t>
      </w:r>
      <w:r w:rsidRPr="00834B40">
        <w:rPr>
          <w:rFonts w:hint="eastAsia"/>
          <w:color w:val="000000"/>
          <w:sz w:val="21"/>
          <w:szCs w:val="21"/>
        </w:rPr>
        <w:t>红线外基础设施建设费</w:t>
      </w:r>
      <w:r>
        <w:rPr>
          <w:rFonts w:ascii="Arial" w:hAnsi="Arial" w:cs="Arial"/>
          <w:color w:val="000000"/>
          <w:sz w:val="21"/>
          <w:szCs w:val="21"/>
        </w:rPr>
        <w:t>为</w:t>
      </w:r>
      <w:r w:rsidR="0014002D" w:rsidRPr="0014002D">
        <w:rPr>
          <w:rFonts w:ascii="Arial" w:hAnsi="Arial" w:cs="Arial"/>
          <w:color w:val="000000"/>
          <w:sz w:val="21"/>
          <w:szCs w:val="21"/>
        </w:rPr>
        <w:t>2081</w:t>
      </w:r>
      <w:r>
        <w:rPr>
          <w:rFonts w:ascii="Arial" w:hAnsi="Arial" w:cs="Arial"/>
          <w:color w:val="000000"/>
          <w:sz w:val="21"/>
          <w:szCs w:val="21"/>
        </w:rPr>
        <w:t>万元。</w:t>
      </w:r>
    </w:p>
    <w:p w14:paraId="4B6B3513" w14:textId="118AEB1F" w:rsidR="0053025C" w:rsidRPr="006B4910" w:rsidRDefault="0053025C" w:rsidP="0053025C">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w:t>
      </w:r>
      <w:r w:rsidRPr="00E05368">
        <w:rPr>
          <w:rFonts w:ascii="Arial" w:hAnsi="Arial" w:cs="Arial"/>
          <w:color w:val="000000"/>
          <w:sz w:val="21"/>
          <w:szCs w:val="21"/>
        </w:rPr>
        <w:t>2</w:t>
      </w:r>
      <w:r w:rsidRPr="00E05368">
        <w:rPr>
          <w:rFonts w:ascii="Arial" w:hAnsi="Arial" w:cs="Arial"/>
          <w:color w:val="000000"/>
          <w:sz w:val="21"/>
          <w:szCs w:val="21"/>
        </w:rPr>
        <w:t>）土地费用合计金额：</w:t>
      </w:r>
      <w:r w:rsidR="0014002D" w:rsidRPr="0014002D">
        <w:rPr>
          <w:rFonts w:ascii="Arial" w:hAnsi="Arial" w:cs="Arial"/>
          <w:sz w:val="21"/>
          <w:szCs w:val="21"/>
        </w:rPr>
        <w:t>263858</w:t>
      </w:r>
      <w:r w:rsidRPr="00E05368">
        <w:rPr>
          <w:rFonts w:ascii="Arial" w:hAnsi="Arial" w:cs="Arial"/>
          <w:color w:val="000000"/>
          <w:sz w:val="21"/>
          <w:szCs w:val="21"/>
        </w:rPr>
        <w:t>万元。</w:t>
      </w:r>
    </w:p>
    <w:p w14:paraId="6AE008DE" w14:textId="77777777" w:rsidR="0053025C" w:rsidRPr="00E05368" w:rsidRDefault="0053025C" w:rsidP="0053025C">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2</w:t>
      </w:r>
      <w:r w:rsidRPr="00E05368">
        <w:rPr>
          <w:rFonts w:ascii="Arial" w:hAnsi="Arial" w:cs="Arial"/>
          <w:color w:val="000000"/>
          <w:sz w:val="21"/>
          <w:szCs w:val="21"/>
        </w:rPr>
        <w:t>、前期工程费用</w:t>
      </w:r>
    </w:p>
    <w:p w14:paraId="2FC12D3A" w14:textId="77777777" w:rsidR="0053025C" w:rsidRPr="00E05368" w:rsidRDefault="0053025C" w:rsidP="0053025C">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w:t>
      </w:r>
      <w:r w:rsidRPr="00E05368">
        <w:rPr>
          <w:rFonts w:ascii="Arial" w:hAnsi="Arial" w:cs="Arial"/>
          <w:color w:val="000000"/>
          <w:sz w:val="21"/>
          <w:szCs w:val="21"/>
        </w:rPr>
        <w:t>1</w:t>
      </w:r>
      <w:r w:rsidRPr="00E05368">
        <w:rPr>
          <w:rFonts w:ascii="Arial" w:hAnsi="Arial" w:cs="Arial"/>
          <w:color w:val="000000"/>
          <w:sz w:val="21"/>
          <w:szCs w:val="21"/>
        </w:rPr>
        <w:t>）规划、测量、勘察、设计费</w:t>
      </w:r>
    </w:p>
    <w:p w14:paraId="20F0D839" w14:textId="196ACE38" w:rsidR="0053025C" w:rsidRPr="00E05368" w:rsidRDefault="0053025C" w:rsidP="0053025C">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本项费用的取费标准为项目建安工程费的</w:t>
      </w:r>
      <w:r>
        <w:rPr>
          <w:rFonts w:ascii="Arial" w:hAnsi="Arial" w:cs="Arial" w:hint="eastAsia"/>
          <w:color w:val="000000"/>
          <w:sz w:val="21"/>
          <w:szCs w:val="21"/>
        </w:rPr>
        <w:t>2</w:t>
      </w:r>
      <w:r w:rsidR="0014002D">
        <w:rPr>
          <w:rFonts w:ascii="Arial" w:hAnsi="Arial" w:cs="Arial" w:hint="eastAsia"/>
          <w:color w:val="000000"/>
          <w:sz w:val="21"/>
          <w:szCs w:val="21"/>
        </w:rPr>
        <w:t>.7</w:t>
      </w:r>
      <w:r w:rsidRPr="00E05368">
        <w:rPr>
          <w:rFonts w:ascii="Arial" w:hAnsi="Arial" w:cs="Arial"/>
          <w:color w:val="000000"/>
          <w:sz w:val="21"/>
          <w:szCs w:val="21"/>
        </w:rPr>
        <w:t>%</w:t>
      </w:r>
      <w:r w:rsidRPr="00E05368">
        <w:rPr>
          <w:rFonts w:ascii="Arial" w:hAnsi="Arial" w:cs="Arial"/>
          <w:color w:val="000000"/>
          <w:sz w:val="21"/>
          <w:szCs w:val="21"/>
        </w:rPr>
        <w:t>，则该项费用为：</w:t>
      </w:r>
    </w:p>
    <w:p w14:paraId="52A3C77E" w14:textId="4B512C23" w:rsidR="0053025C" w:rsidRPr="00E05368" w:rsidRDefault="0053025C" w:rsidP="0053025C">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规划、测量、勘察、设计费</w:t>
      </w:r>
      <w:r w:rsidRPr="00E05368">
        <w:rPr>
          <w:rFonts w:ascii="Arial" w:hAnsi="Arial" w:cs="Arial"/>
          <w:color w:val="000000"/>
          <w:sz w:val="21"/>
          <w:szCs w:val="21"/>
        </w:rPr>
        <w:t>=</w:t>
      </w:r>
      <w:r>
        <w:rPr>
          <w:rFonts w:ascii="Arial" w:hAnsi="Arial" w:cs="Arial" w:hint="eastAsia"/>
          <w:color w:val="000000"/>
          <w:sz w:val="21"/>
          <w:szCs w:val="21"/>
        </w:rPr>
        <w:t>2</w:t>
      </w:r>
      <w:r w:rsidR="0014002D">
        <w:rPr>
          <w:rFonts w:ascii="Arial" w:hAnsi="Arial" w:cs="Arial" w:hint="eastAsia"/>
          <w:color w:val="000000"/>
          <w:sz w:val="21"/>
          <w:szCs w:val="21"/>
        </w:rPr>
        <w:t>.7</w:t>
      </w:r>
      <w:r w:rsidRPr="00E05368">
        <w:rPr>
          <w:rFonts w:ascii="Arial" w:hAnsi="Arial" w:cs="Arial"/>
          <w:color w:val="000000"/>
          <w:sz w:val="21"/>
          <w:szCs w:val="21"/>
        </w:rPr>
        <w:t>%×</w:t>
      </w:r>
      <w:r w:rsidR="0014002D" w:rsidRPr="0014002D">
        <w:rPr>
          <w:rFonts w:ascii="Arial" w:hAnsi="Arial" w:cs="Arial"/>
          <w:sz w:val="21"/>
          <w:szCs w:val="21"/>
        </w:rPr>
        <w:t>100941</w:t>
      </w:r>
      <w:r w:rsidRPr="00E05368">
        <w:rPr>
          <w:rFonts w:ascii="Arial" w:hAnsi="Arial" w:cs="Arial"/>
          <w:color w:val="000000"/>
          <w:sz w:val="21"/>
          <w:szCs w:val="21"/>
        </w:rPr>
        <w:t>=</w:t>
      </w:r>
      <w:r w:rsidR="0014002D">
        <w:rPr>
          <w:rFonts w:ascii="Arial" w:hAnsi="Arial" w:cs="Arial" w:hint="eastAsia"/>
          <w:color w:val="000000"/>
          <w:sz w:val="21"/>
          <w:szCs w:val="21"/>
        </w:rPr>
        <w:t>2725</w:t>
      </w:r>
      <w:r w:rsidRPr="00E05368">
        <w:rPr>
          <w:rFonts w:ascii="Arial" w:hAnsi="Arial" w:cs="Arial"/>
          <w:color w:val="000000"/>
          <w:sz w:val="21"/>
          <w:szCs w:val="21"/>
        </w:rPr>
        <w:t>（万元）</w:t>
      </w:r>
    </w:p>
    <w:p w14:paraId="7028FCDF" w14:textId="77777777" w:rsidR="0053025C" w:rsidRPr="00E05368" w:rsidRDefault="0053025C" w:rsidP="0053025C">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w:t>
      </w:r>
      <w:r w:rsidRPr="00E05368">
        <w:rPr>
          <w:rFonts w:ascii="Arial" w:hAnsi="Arial" w:cs="Arial"/>
          <w:color w:val="000000"/>
          <w:sz w:val="21"/>
          <w:szCs w:val="21"/>
        </w:rPr>
        <w:t>2</w:t>
      </w:r>
      <w:r w:rsidRPr="00E05368">
        <w:rPr>
          <w:rFonts w:ascii="Arial" w:hAnsi="Arial" w:cs="Arial"/>
          <w:color w:val="000000"/>
          <w:sz w:val="21"/>
          <w:szCs w:val="21"/>
        </w:rPr>
        <w:t>）报批报建费用</w:t>
      </w:r>
    </w:p>
    <w:p w14:paraId="6F79D784" w14:textId="024056FF" w:rsidR="0053025C" w:rsidRPr="00E05368" w:rsidRDefault="0053025C" w:rsidP="0053025C">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本项费用的取费标准为项目房屋开发费的</w:t>
      </w:r>
      <w:r w:rsidR="0014002D">
        <w:rPr>
          <w:rFonts w:ascii="Arial" w:hAnsi="Arial" w:cs="Arial" w:hint="eastAsia"/>
          <w:color w:val="000000"/>
          <w:sz w:val="21"/>
          <w:szCs w:val="21"/>
        </w:rPr>
        <w:t>1</w:t>
      </w:r>
      <w:r w:rsidRPr="00E05368">
        <w:rPr>
          <w:rFonts w:ascii="Arial" w:hAnsi="Arial" w:cs="Arial"/>
          <w:color w:val="000000"/>
          <w:sz w:val="21"/>
          <w:szCs w:val="21"/>
        </w:rPr>
        <w:t>%</w:t>
      </w:r>
      <w:r w:rsidRPr="00E05368">
        <w:rPr>
          <w:rFonts w:ascii="Arial" w:hAnsi="Arial" w:cs="Arial"/>
          <w:color w:val="000000"/>
          <w:sz w:val="21"/>
          <w:szCs w:val="21"/>
        </w:rPr>
        <w:t>计算，则该项费用为：</w:t>
      </w:r>
    </w:p>
    <w:p w14:paraId="304DE15C" w14:textId="49C848E4" w:rsidR="0053025C" w:rsidRDefault="0053025C" w:rsidP="0053025C">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报批报建费用</w:t>
      </w:r>
      <w:r w:rsidRPr="00E05368">
        <w:rPr>
          <w:rFonts w:ascii="Arial" w:hAnsi="Arial" w:cs="Arial"/>
          <w:color w:val="000000"/>
          <w:sz w:val="21"/>
          <w:szCs w:val="21"/>
        </w:rPr>
        <w:t>=</w:t>
      </w:r>
      <w:r w:rsidR="0014002D">
        <w:rPr>
          <w:rFonts w:ascii="Arial" w:hAnsi="Arial" w:cs="Arial" w:hint="eastAsia"/>
          <w:color w:val="000000"/>
          <w:sz w:val="21"/>
          <w:szCs w:val="21"/>
        </w:rPr>
        <w:t>1</w:t>
      </w:r>
      <w:r w:rsidRPr="00E05368">
        <w:rPr>
          <w:rFonts w:ascii="Arial" w:hAnsi="Arial" w:cs="Arial"/>
          <w:color w:val="000000"/>
          <w:sz w:val="21"/>
          <w:szCs w:val="21"/>
        </w:rPr>
        <w:t>%×</w:t>
      </w:r>
      <w:r w:rsidR="0014002D" w:rsidRPr="0014002D">
        <w:rPr>
          <w:rFonts w:ascii="Arial" w:hAnsi="Arial" w:cs="Arial"/>
          <w:color w:val="000000"/>
          <w:sz w:val="21"/>
          <w:szCs w:val="21"/>
        </w:rPr>
        <w:t xml:space="preserve">110305 </w:t>
      </w:r>
      <w:r w:rsidRPr="00E05368">
        <w:rPr>
          <w:rFonts w:ascii="Arial" w:hAnsi="Arial" w:cs="Arial"/>
          <w:color w:val="000000"/>
          <w:sz w:val="21"/>
          <w:szCs w:val="21"/>
        </w:rPr>
        <w:t>=</w:t>
      </w:r>
      <w:r w:rsidR="0014002D">
        <w:rPr>
          <w:rFonts w:ascii="Arial" w:hAnsi="Arial" w:cs="Arial" w:hint="eastAsia"/>
          <w:color w:val="000000"/>
          <w:sz w:val="21"/>
          <w:szCs w:val="21"/>
        </w:rPr>
        <w:t>1103</w:t>
      </w:r>
      <w:r w:rsidRPr="00E05368">
        <w:rPr>
          <w:rFonts w:ascii="Arial" w:hAnsi="Arial" w:cs="Arial"/>
          <w:color w:val="000000"/>
          <w:sz w:val="21"/>
          <w:szCs w:val="21"/>
        </w:rPr>
        <w:t>（万元）</w:t>
      </w:r>
    </w:p>
    <w:p w14:paraId="36CB4A62" w14:textId="77777777" w:rsidR="0053025C" w:rsidRDefault="0053025C" w:rsidP="0053025C">
      <w:pPr>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Pr>
          <w:rFonts w:ascii="Arial" w:hAnsi="Arial" w:cs="Arial" w:hint="eastAsia"/>
          <w:color w:val="000000"/>
          <w:sz w:val="21"/>
          <w:szCs w:val="21"/>
        </w:rPr>
        <w:t>3</w:t>
      </w:r>
      <w:r>
        <w:rPr>
          <w:rFonts w:ascii="Arial" w:hAnsi="Arial" w:cs="Arial" w:hint="eastAsia"/>
          <w:color w:val="000000"/>
          <w:sz w:val="21"/>
          <w:szCs w:val="21"/>
        </w:rPr>
        <w:t>）三通一平费用</w:t>
      </w:r>
    </w:p>
    <w:p w14:paraId="2FF161C7" w14:textId="758C85A4" w:rsidR="0053025C" w:rsidRDefault="0053025C" w:rsidP="0053025C">
      <w:pPr>
        <w:adjustRightInd w:val="0"/>
        <w:snapToGrid w:val="0"/>
        <w:spacing w:line="480" w:lineRule="auto"/>
        <w:ind w:firstLineChars="200" w:firstLine="420"/>
        <w:jc w:val="both"/>
        <w:rPr>
          <w:rFonts w:ascii="Arial" w:hAnsi="Arial" w:cs="Arial"/>
          <w:color w:val="000000"/>
          <w:sz w:val="21"/>
          <w:szCs w:val="21"/>
        </w:rPr>
      </w:pPr>
      <w:r>
        <w:rPr>
          <w:rFonts w:ascii="Arial" w:hAnsi="Arial" w:cs="Arial"/>
          <w:color w:val="000000"/>
          <w:sz w:val="21"/>
          <w:szCs w:val="21"/>
        </w:rPr>
        <w:t>本项费用的取费标准以每建筑平方米</w:t>
      </w:r>
      <w:r w:rsidR="0014002D">
        <w:rPr>
          <w:rFonts w:ascii="Arial" w:hAnsi="Arial" w:cs="Arial" w:hint="eastAsia"/>
          <w:color w:val="000000"/>
          <w:sz w:val="21"/>
          <w:szCs w:val="21"/>
        </w:rPr>
        <w:t>15</w:t>
      </w:r>
      <w:r>
        <w:rPr>
          <w:rFonts w:ascii="Arial" w:hAnsi="Arial" w:cs="Arial"/>
          <w:color w:val="000000"/>
          <w:sz w:val="21"/>
          <w:szCs w:val="21"/>
        </w:rPr>
        <w:t>元为标准</w:t>
      </w:r>
      <w:r>
        <w:rPr>
          <w:rFonts w:ascii="Arial" w:hAnsi="Arial" w:cs="Arial" w:hint="eastAsia"/>
          <w:color w:val="000000"/>
          <w:sz w:val="21"/>
          <w:szCs w:val="21"/>
        </w:rPr>
        <w:t>，则</w:t>
      </w:r>
      <w:r>
        <w:rPr>
          <w:rFonts w:ascii="Arial" w:hAnsi="Arial" w:cs="Arial"/>
          <w:color w:val="000000"/>
          <w:sz w:val="21"/>
          <w:szCs w:val="21"/>
        </w:rPr>
        <w:t>该项费用为：</w:t>
      </w:r>
    </w:p>
    <w:p w14:paraId="5A40D068" w14:textId="4DC46CBF" w:rsidR="0053025C" w:rsidRDefault="0053025C" w:rsidP="0053025C">
      <w:pPr>
        <w:adjustRightInd w:val="0"/>
        <w:snapToGrid w:val="0"/>
        <w:spacing w:line="480" w:lineRule="auto"/>
        <w:ind w:firstLineChars="200" w:firstLine="420"/>
        <w:jc w:val="both"/>
        <w:rPr>
          <w:rFonts w:ascii="Arial" w:hAnsi="Arial" w:cs="Arial" w:hint="eastAsia"/>
          <w:color w:val="000000"/>
          <w:sz w:val="21"/>
          <w:szCs w:val="21"/>
        </w:rPr>
      </w:pPr>
      <w:r>
        <w:rPr>
          <w:rFonts w:ascii="Arial" w:hAnsi="Arial" w:cs="Arial" w:hint="eastAsia"/>
          <w:color w:val="000000"/>
          <w:sz w:val="21"/>
          <w:szCs w:val="21"/>
        </w:rPr>
        <w:t>三通一平费用</w:t>
      </w:r>
      <w:r>
        <w:rPr>
          <w:rFonts w:ascii="Arial" w:hAnsi="Arial" w:cs="Arial"/>
          <w:color w:val="000000"/>
          <w:sz w:val="21"/>
          <w:szCs w:val="21"/>
        </w:rPr>
        <w:t>=</w:t>
      </w:r>
      <w:r w:rsidR="0014002D">
        <w:rPr>
          <w:rFonts w:ascii="Arial" w:hAnsi="Arial" w:cs="Arial" w:hint="eastAsia"/>
          <w:color w:val="000000"/>
          <w:sz w:val="21"/>
          <w:szCs w:val="21"/>
        </w:rPr>
        <w:t>15</w:t>
      </w:r>
      <w:r>
        <w:rPr>
          <w:rFonts w:ascii="Arial" w:hAnsi="Arial" w:cs="Arial"/>
          <w:color w:val="000000"/>
          <w:sz w:val="21"/>
          <w:szCs w:val="21"/>
        </w:rPr>
        <w:t>×</w:t>
      </w:r>
      <w:r w:rsidR="0014002D" w:rsidRPr="0014002D">
        <w:rPr>
          <w:rFonts w:ascii="Arial" w:hAnsi="Arial" w:cs="Arial"/>
          <w:color w:val="000000"/>
          <w:sz w:val="21"/>
          <w:szCs w:val="21"/>
        </w:rPr>
        <w:t>208085</w:t>
      </w:r>
      <w:r>
        <w:rPr>
          <w:rFonts w:ascii="Arial" w:hAnsi="Arial" w:cs="Arial"/>
          <w:color w:val="000000"/>
          <w:sz w:val="21"/>
          <w:szCs w:val="21"/>
        </w:rPr>
        <w:t>÷10000=</w:t>
      </w:r>
      <w:r w:rsidR="0014002D">
        <w:rPr>
          <w:rFonts w:ascii="Arial" w:hAnsi="Arial" w:cs="Arial" w:hint="eastAsia"/>
          <w:sz w:val="21"/>
          <w:szCs w:val="21"/>
        </w:rPr>
        <w:t>312</w:t>
      </w:r>
      <w:r>
        <w:rPr>
          <w:rFonts w:ascii="Arial" w:hAnsi="Arial" w:cs="Arial"/>
          <w:color w:val="000000"/>
          <w:sz w:val="21"/>
          <w:szCs w:val="21"/>
        </w:rPr>
        <w:t>（万元）</w:t>
      </w:r>
    </w:p>
    <w:p w14:paraId="6DFECB45" w14:textId="49778DE2" w:rsidR="0014002D" w:rsidRDefault="0014002D" w:rsidP="0014002D">
      <w:pPr>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Pr>
          <w:rFonts w:ascii="Arial" w:hAnsi="Arial" w:cs="Arial" w:hint="eastAsia"/>
          <w:color w:val="000000"/>
          <w:sz w:val="21"/>
          <w:szCs w:val="21"/>
        </w:rPr>
        <w:t>4</w:t>
      </w:r>
      <w:r>
        <w:rPr>
          <w:rFonts w:ascii="Arial" w:hAnsi="Arial" w:cs="Arial" w:hint="eastAsia"/>
          <w:color w:val="000000"/>
          <w:sz w:val="21"/>
          <w:szCs w:val="21"/>
        </w:rPr>
        <w:t>）临时设施费</w:t>
      </w:r>
    </w:p>
    <w:p w14:paraId="62C90974" w14:textId="0C3B7E65" w:rsidR="0014002D" w:rsidRDefault="0014002D" w:rsidP="0014002D">
      <w:pPr>
        <w:adjustRightInd w:val="0"/>
        <w:snapToGrid w:val="0"/>
        <w:spacing w:line="480" w:lineRule="auto"/>
        <w:ind w:firstLineChars="200" w:firstLine="420"/>
        <w:jc w:val="both"/>
        <w:rPr>
          <w:rFonts w:ascii="Arial" w:hAnsi="Arial" w:cs="Arial"/>
          <w:color w:val="000000"/>
          <w:sz w:val="21"/>
          <w:szCs w:val="21"/>
        </w:rPr>
      </w:pPr>
      <w:r>
        <w:rPr>
          <w:rFonts w:ascii="Arial" w:hAnsi="Arial" w:cs="Arial"/>
          <w:color w:val="000000"/>
          <w:sz w:val="21"/>
          <w:szCs w:val="21"/>
        </w:rPr>
        <w:t>本项费用的取费标准以每建筑平方米</w:t>
      </w:r>
      <w:r>
        <w:rPr>
          <w:rFonts w:ascii="Arial" w:hAnsi="Arial" w:cs="Arial" w:hint="eastAsia"/>
          <w:color w:val="000000"/>
          <w:sz w:val="21"/>
          <w:szCs w:val="21"/>
        </w:rPr>
        <w:t>10</w:t>
      </w:r>
      <w:r>
        <w:rPr>
          <w:rFonts w:ascii="Arial" w:hAnsi="Arial" w:cs="Arial"/>
          <w:color w:val="000000"/>
          <w:sz w:val="21"/>
          <w:szCs w:val="21"/>
        </w:rPr>
        <w:t>元为标准</w:t>
      </w:r>
      <w:r>
        <w:rPr>
          <w:rFonts w:ascii="Arial" w:hAnsi="Arial" w:cs="Arial" w:hint="eastAsia"/>
          <w:color w:val="000000"/>
          <w:sz w:val="21"/>
          <w:szCs w:val="21"/>
        </w:rPr>
        <w:t>，则</w:t>
      </w:r>
      <w:r>
        <w:rPr>
          <w:rFonts w:ascii="Arial" w:hAnsi="Arial" w:cs="Arial"/>
          <w:color w:val="000000"/>
          <w:sz w:val="21"/>
          <w:szCs w:val="21"/>
        </w:rPr>
        <w:t>该项费用为：</w:t>
      </w:r>
    </w:p>
    <w:p w14:paraId="557C9CDA" w14:textId="23280DD1" w:rsidR="0014002D" w:rsidRDefault="0014002D" w:rsidP="0014002D">
      <w:pPr>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临时设施费</w:t>
      </w:r>
      <w:r>
        <w:rPr>
          <w:rFonts w:ascii="Arial" w:hAnsi="Arial" w:cs="Arial"/>
          <w:color w:val="000000"/>
          <w:sz w:val="21"/>
          <w:szCs w:val="21"/>
        </w:rPr>
        <w:t>=</w:t>
      </w:r>
      <w:r>
        <w:rPr>
          <w:rFonts w:ascii="Arial" w:hAnsi="Arial" w:cs="Arial" w:hint="eastAsia"/>
          <w:color w:val="000000"/>
          <w:sz w:val="21"/>
          <w:szCs w:val="21"/>
        </w:rPr>
        <w:t>10</w:t>
      </w:r>
      <w:r>
        <w:rPr>
          <w:rFonts w:ascii="Arial" w:hAnsi="Arial" w:cs="Arial"/>
          <w:color w:val="000000"/>
          <w:sz w:val="21"/>
          <w:szCs w:val="21"/>
        </w:rPr>
        <w:t>×</w:t>
      </w:r>
      <w:r w:rsidRPr="0014002D">
        <w:rPr>
          <w:rFonts w:ascii="Arial" w:hAnsi="Arial" w:cs="Arial"/>
          <w:color w:val="000000"/>
          <w:sz w:val="21"/>
          <w:szCs w:val="21"/>
        </w:rPr>
        <w:t>208085</w:t>
      </w:r>
      <w:r>
        <w:rPr>
          <w:rFonts w:ascii="Arial" w:hAnsi="Arial" w:cs="Arial"/>
          <w:color w:val="000000"/>
          <w:sz w:val="21"/>
          <w:szCs w:val="21"/>
        </w:rPr>
        <w:t>÷10000=</w:t>
      </w:r>
      <w:r>
        <w:rPr>
          <w:rFonts w:ascii="Arial" w:hAnsi="Arial" w:cs="Arial" w:hint="eastAsia"/>
          <w:sz w:val="21"/>
          <w:szCs w:val="21"/>
        </w:rPr>
        <w:t>208</w:t>
      </w:r>
      <w:r>
        <w:rPr>
          <w:rFonts w:ascii="Arial" w:hAnsi="Arial" w:cs="Arial"/>
          <w:color w:val="000000"/>
          <w:sz w:val="21"/>
          <w:szCs w:val="21"/>
        </w:rPr>
        <w:t>（万元）</w:t>
      </w:r>
    </w:p>
    <w:p w14:paraId="0387F9B4" w14:textId="4F4BCDD3" w:rsidR="0053025C" w:rsidRPr="00E05368" w:rsidRDefault="0053025C" w:rsidP="0053025C">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w:t>
      </w:r>
      <w:r w:rsidR="0014002D">
        <w:rPr>
          <w:rFonts w:ascii="Arial" w:hAnsi="Arial" w:cs="Arial" w:hint="eastAsia"/>
          <w:color w:val="000000"/>
          <w:sz w:val="21"/>
          <w:szCs w:val="21"/>
        </w:rPr>
        <w:t>5</w:t>
      </w:r>
      <w:r w:rsidRPr="00E05368">
        <w:rPr>
          <w:rFonts w:ascii="Arial" w:hAnsi="Arial" w:cs="Arial"/>
          <w:color w:val="000000"/>
          <w:sz w:val="21"/>
          <w:szCs w:val="21"/>
        </w:rPr>
        <w:t>）前期工程费用合计金额：</w:t>
      </w:r>
      <w:r w:rsidR="0014002D" w:rsidRPr="0014002D">
        <w:rPr>
          <w:rFonts w:ascii="Arial" w:hAnsi="Arial" w:cs="Arial"/>
          <w:color w:val="000000"/>
          <w:sz w:val="21"/>
          <w:szCs w:val="21"/>
        </w:rPr>
        <w:t>4348</w:t>
      </w:r>
      <w:r w:rsidRPr="00E05368">
        <w:rPr>
          <w:rFonts w:ascii="Arial" w:hAnsi="Arial" w:cs="Arial"/>
          <w:color w:val="000000"/>
          <w:sz w:val="21"/>
          <w:szCs w:val="21"/>
        </w:rPr>
        <w:t>万元。</w:t>
      </w:r>
    </w:p>
    <w:p w14:paraId="128332A7" w14:textId="77777777" w:rsidR="0053025C" w:rsidRPr="00E05368" w:rsidRDefault="0053025C" w:rsidP="0053025C">
      <w:pPr>
        <w:adjustRightInd w:val="0"/>
        <w:snapToGrid w:val="0"/>
        <w:spacing w:line="480" w:lineRule="auto"/>
        <w:ind w:firstLineChars="200" w:firstLine="420"/>
        <w:jc w:val="both"/>
        <w:rPr>
          <w:rFonts w:ascii="Arial" w:hAnsi="Arial" w:cs="Arial"/>
          <w:bCs/>
          <w:color w:val="000000"/>
          <w:sz w:val="21"/>
          <w:szCs w:val="21"/>
        </w:rPr>
      </w:pPr>
      <w:bookmarkStart w:id="164" w:name="_Toc522074585"/>
      <w:bookmarkStart w:id="165" w:name="_Toc532810734"/>
      <w:bookmarkStart w:id="166" w:name="_Toc12072688"/>
      <w:bookmarkStart w:id="167" w:name="_Toc109012110"/>
      <w:bookmarkStart w:id="168" w:name="_Toc109118459"/>
      <w:bookmarkStart w:id="169" w:name="_Toc118531925"/>
      <w:r w:rsidRPr="00E05368">
        <w:rPr>
          <w:rFonts w:ascii="Arial" w:hAnsi="Arial" w:cs="Arial"/>
          <w:bCs/>
          <w:color w:val="000000"/>
          <w:sz w:val="21"/>
          <w:szCs w:val="21"/>
        </w:rPr>
        <w:t>3</w:t>
      </w:r>
      <w:r w:rsidRPr="00E05368">
        <w:rPr>
          <w:rFonts w:ascii="Arial" w:hAnsi="Arial" w:cs="Arial"/>
          <w:bCs/>
          <w:color w:val="000000"/>
          <w:sz w:val="21"/>
          <w:szCs w:val="21"/>
        </w:rPr>
        <w:t>、房屋开发费</w:t>
      </w:r>
    </w:p>
    <w:p w14:paraId="4E3AF65A" w14:textId="77777777" w:rsidR="0053025C" w:rsidRPr="00E05368" w:rsidRDefault="0053025C" w:rsidP="0053025C">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w:t>
      </w:r>
      <w:r w:rsidRPr="00E05368">
        <w:rPr>
          <w:rFonts w:ascii="Arial" w:hAnsi="Arial" w:cs="Arial"/>
          <w:color w:val="000000"/>
          <w:sz w:val="21"/>
          <w:szCs w:val="21"/>
        </w:rPr>
        <w:t>1</w:t>
      </w:r>
      <w:r w:rsidRPr="00E05368">
        <w:rPr>
          <w:rFonts w:ascii="Arial" w:hAnsi="Arial" w:cs="Arial"/>
          <w:color w:val="000000"/>
          <w:sz w:val="21"/>
          <w:szCs w:val="21"/>
        </w:rPr>
        <w:t>）建安工程费：</w:t>
      </w:r>
    </w:p>
    <w:p w14:paraId="4709B1B0" w14:textId="77777777" w:rsidR="0053025C" w:rsidRPr="00E05368" w:rsidRDefault="0053025C" w:rsidP="0053025C">
      <w:pPr>
        <w:adjustRightInd w:val="0"/>
        <w:snapToGrid w:val="0"/>
        <w:spacing w:line="36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根据建设单位的介绍、有关文件规定及项目的建造标准，各部位建安费用如下：</w:t>
      </w:r>
    </w:p>
    <w:tbl>
      <w:tblPr>
        <w:tblW w:w="92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2554"/>
        <w:gridCol w:w="1843"/>
        <w:gridCol w:w="2408"/>
        <w:gridCol w:w="2494"/>
      </w:tblGrid>
      <w:tr w:rsidR="0053025C" w:rsidRPr="00E05368" w14:paraId="00DCC565" w14:textId="77777777" w:rsidTr="007B3231">
        <w:trPr>
          <w:cantSplit/>
          <w:trHeight w:val="283"/>
          <w:tblHeader/>
          <w:jc w:val="center"/>
        </w:trPr>
        <w:tc>
          <w:tcPr>
            <w:tcW w:w="1373" w:type="pct"/>
            <w:shd w:val="clear" w:color="auto" w:fill="auto"/>
            <w:noWrap/>
            <w:vAlign w:val="center"/>
          </w:tcPr>
          <w:p w14:paraId="59F2825B" w14:textId="77777777" w:rsidR="0053025C" w:rsidRPr="00E05368" w:rsidRDefault="0053025C" w:rsidP="007B3231">
            <w:pPr>
              <w:adjustRightInd w:val="0"/>
              <w:snapToGrid w:val="0"/>
              <w:spacing w:line="240" w:lineRule="exact"/>
              <w:jc w:val="both"/>
              <w:rPr>
                <w:rFonts w:ascii="Arial" w:eastAsia="华文细黑" w:hAnsi="Arial" w:cs="Arial"/>
                <w:sz w:val="18"/>
                <w:szCs w:val="18"/>
              </w:rPr>
            </w:pPr>
            <w:r w:rsidRPr="00E05368">
              <w:rPr>
                <w:rFonts w:ascii="Arial" w:eastAsia="华文细黑" w:hAnsi="Arial" w:cs="Arial"/>
                <w:sz w:val="18"/>
                <w:szCs w:val="18"/>
              </w:rPr>
              <w:t>项目</w:t>
            </w:r>
          </w:p>
        </w:tc>
        <w:tc>
          <w:tcPr>
            <w:tcW w:w="991" w:type="pct"/>
            <w:shd w:val="clear" w:color="auto" w:fill="auto"/>
            <w:noWrap/>
            <w:vAlign w:val="center"/>
          </w:tcPr>
          <w:p w14:paraId="477FB998" w14:textId="77777777" w:rsidR="0053025C" w:rsidRPr="00E05368" w:rsidRDefault="0053025C" w:rsidP="007B3231">
            <w:pPr>
              <w:adjustRightInd w:val="0"/>
              <w:snapToGrid w:val="0"/>
              <w:spacing w:line="240" w:lineRule="exact"/>
              <w:jc w:val="both"/>
              <w:rPr>
                <w:rFonts w:ascii="Arial" w:eastAsia="华文细黑" w:hAnsi="Arial" w:cs="Arial"/>
                <w:sz w:val="18"/>
                <w:szCs w:val="18"/>
              </w:rPr>
            </w:pPr>
            <w:r w:rsidRPr="00E05368">
              <w:rPr>
                <w:rFonts w:ascii="Arial" w:eastAsia="华文细黑" w:hAnsi="Arial" w:cs="Arial"/>
                <w:sz w:val="18"/>
                <w:szCs w:val="18"/>
              </w:rPr>
              <w:t>总价（万元）</w:t>
            </w:r>
          </w:p>
        </w:tc>
        <w:tc>
          <w:tcPr>
            <w:tcW w:w="1295" w:type="pct"/>
            <w:shd w:val="clear" w:color="auto" w:fill="auto"/>
            <w:noWrap/>
            <w:vAlign w:val="center"/>
          </w:tcPr>
          <w:p w14:paraId="09FFE293" w14:textId="77777777" w:rsidR="0053025C" w:rsidRPr="00E05368" w:rsidRDefault="0053025C" w:rsidP="007B3231">
            <w:pPr>
              <w:adjustRightInd w:val="0"/>
              <w:snapToGrid w:val="0"/>
              <w:spacing w:line="240" w:lineRule="exact"/>
              <w:jc w:val="both"/>
              <w:rPr>
                <w:rFonts w:ascii="Arial" w:eastAsia="华文细黑" w:hAnsi="Arial" w:cs="Arial"/>
                <w:sz w:val="18"/>
                <w:szCs w:val="18"/>
              </w:rPr>
            </w:pPr>
            <w:r w:rsidRPr="00E05368">
              <w:rPr>
                <w:rFonts w:ascii="Arial" w:eastAsia="华文细黑" w:hAnsi="Arial" w:cs="Arial"/>
                <w:sz w:val="18"/>
                <w:szCs w:val="18"/>
              </w:rPr>
              <w:t>建筑面积（平方米）</w:t>
            </w:r>
          </w:p>
        </w:tc>
        <w:tc>
          <w:tcPr>
            <w:tcW w:w="1341" w:type="pct"/>
            <w:shd w:val="clear" w:color="auto" w:fill="auto"/>
            <w:noWrap/>
            <w:vAlign w:val="center"/>
          </w:tcPr>
          <w:p w14:paraId="38A3D986" w14:textId="77777777" w:rsidR="0053025C" w:rsidRPr="00E05368" w:rsidRDefault="0053025C" w:rsidP="007B3231">
            <w:pPr>
              <w:adjustRightInd w:val="0"/>
              <w:snapToGrid w:val="0"/>
              <w:spacing w:line="240" w:lineRule="exact"/>
              <w:jc w:val="both"/>
              <w:rPr>
                <w:rFonts w:ascii="Arial" w:eastAsia="华文细黑" w:hAnsi="Arial" w:cs="Arial"/>
                <w:sz w:val="18"/>
                <w:szCs w:val="18"/>
              </w:rPr>
            </w:pPr>
            <w:r w:rsidRPr="00E05368">
              <w:rPr>
                <w:rFonts w:ascii="Arial" w:eastAsia="华文细黑" w:hAnsi="Arial" w:cs="Arial"/>
                <w:sz w:val="18"/>
                <w:szCs w:val="18"/>
              </w:rPr>
              <w:t>建安单价（元</w:t>
            </w:r>
            <w:r w:rsidRPr="00E05368">
              <w:rPr>
                <w:rFonts w:ascii="Arial" w:eastAsia="华文细黑" w:hAnsi="Arial" w:cs="Arial"/>
                <w:sz w:val="18"/>
                <w:szCs w:val="18"/>
              </w:rPr>
              <w:t>/</w:t>
            </w:r>
            <w:r w:rsidRPr="00E05368">
              <w:rPr>
                <w:rFonts w:ascii="Arial" w:eastAsia="华文细黑" w:hAnsi="Arial" w:cs="Arial"/>
                <w:sz w:val="18"/>
                <w:szCs w:val="18"/>
              </w:rPr>
              <w:t>平方米）</w:t>
            </w:r>
          </w:p>
        </w:tc>
      </w:tr>
      <w:tr w:rsidR="0053025C" w:rsidRPr="00E05368" w14:paraId="23EF19F3" w14:textId="77777777" w:rsidTr="007B3231">
        <w:trPr>
          <w:cantSplit/>
          <w:trHeight w:val="283"/>
          <w:jc w:val="center"/>
        </w:trPr>
        <w:tc>
          <w:tcPr>
            <w:tcW w:w="1373" w:type="pct"/>
            <w:shd w:val="clear" w:color="auto" w:fill="auto"/>
            <w:noWrap/>
            <w:vAlign w:val="center"/>
            <w:hideMark/>
          </w:tcPr>
          <w:p w14:paraId="308D73C2" w14:textId="3762675D" w:rsidR="0053025C" w:rsidRPr="00E05368" w:rsidRDefault="0053025C" w:rsidP="00FE131C">
            <w:pPr>
              <w:adjustRightInd w:val="0"/>
              <w:snapToGrid w:val="0"/>
              <w:spacing w:line="240" w:lineRule="exact"/>
              <w:jc w:val="both"/>
              <w:rPr>
                <w:rFonts w:ascii="Arial" w:eastAsia="华文细黑" w:hAnsi="Arial" w:cs="Arial"/>
                <w:sz w:val="18"/>
                <w:szCs w:val="18"/>
              </w:rPr>
            </w:pPr>
            <w:r>
              <w:rPr>
                <w:rFonts w:ascii="华文细黑" w:eastAsia="华文细黑" w:hAnsi="华文细黑" w:hint="eastAsia"/>
                <w:sz w:val="18"/>
                <w:szCs w:val="18"/>
              </w:rPr>
              <w:t>高层住宅</w:t>
            </w:r>
          </w:p>
        </w:tc>
        <w:tc>
          <w:tcPr>
            <w:tcW w:w="991" w:type="pct"/>
            <w:shd w:val="clear" w:color="auto" w:fill="auto"/>
            <w:noWrap/>
            <w:vAlign w:val="center"/>
            <w:hideMark/>
          </w:tcPr>
          <w:p w14:paraId="3D9E9891" w14:textId="4A7187D3" w:rsidR="0053025C" w:rsidRPr="00E05368" w:rsidRDefault="001A0F27" w:rsidP="007B3231">
            <w:pPr>
              <w:adjustRightInd w:val="0"/>
              <w:snapToGrid w:val="0"/>
              <w:spacing w:line="240" w:lineRule="exact"/>
              <w:jc w:val="both"/>
              <w:rPr>
                <w:rFonts w:ascii="Arial" w:eastAsia="华文细黑" w:hAnsi="Arial" w:cs="Arial"/>
                <w:sz w:val="18"/>
                <w:szCs w:val="18"/>
              </w:rPr>
            </w:pPr>
            <w:r w:rsidRPr="001A0F27">
              <w:rPr>
                <w:rFonts w:ascii="Arial" w:eastAsia="华文细黑" w:hAnsi="Arial" w:cs="Arial"/>
                <w:sz w:val="18"/>
                <w:szCs w:val="18"/>
              </w:rPr>
              <w:t>75604</w:t>
            </w:r>
          </w:p>
        </w:tc>
        <w:tc>
          <w:tcPr>
            <w:tcW w:w="1295" w:type="pct"/>
            <w:shd w:val="clear" w:color="auto" w:fill="auto"/>
            <w:noWrap/>
            <w:vAlign w:val="center"/>
            <w:hideMark/>
          </w:tcPr>
          <w:p w14:paraId="084FD5C6" w14:textId="79AAC94C" w:rsidR="0053025C" w:rsidRPr="00E05368" w:rsidRDefault="001A0F27" w:rsidP="001A0F27">
            <w:pPr>
              <w:adjustRightInd w:val="0"/>
              <w:snapToGrid w:val="0"/>
              <w:spacing w:line="240" w:lineRule="exact"/>
              <w:jc w:val="both"/>
              <w:rPr>
                <w:rFonts w:ascii="Arial" w:eastAsia="华文细黑" w:hAnsi="Arial" w:cs="Arial"/>
                <w:sz w:val="18"/>
                <w:szCs w:val="18"/>
              </w:rPr>
            </w:pPr>
            <w:r w:rsidRPr="001A0F27">
              <w:rPr>
                <w:rFonts w:ascii="Arial" w:eastAsia="华文细黑" w:hAnsi="Arial" w:cs="Arial"/>
                <w:sz w:val="18"/>
                <w:szCs w:val="18"/>
              </w:rPr>
              <w:t>137461</w:t>
            </w:r>
          </w:p>
        </w:tc>
        <w:tc>
          <w:tcPr>
            <w:tcW w:w="1341" w:type="pct"/>
            <w:shd w:val="clear" w:color="auto" w:fill="auto"/>
            <w:noWrap/>
            <w:vAlign w:val="center"/>
            <w:hideMark/>
          </w:tcPr>
          <w:p w14:paraId="79C8B5B0" w14:textId="27D968C9" w:rsidR="0053025C" w:rsidRPr="00E05368" w:rsidRDefault="001A0F27" w:rsidP="007B3231">
            <w:pPr>
              <w:adjustRightInd w:val="0"/>
              <w:snapToGrid w:val="0"/>
              <w:spacing w:line="240" w:lineRule="exact"/>
              <w:jc w:val="both"/>
              <w:rPr>
                <w:rFonts w:ascii="Arial" w:eastAsia="华文细黑" w:hAnsi="Arial" w:cs="Arial"/>
                <w:sz w:val="18"/>
                <w:szCs w:val="18"/>
              </w:rPr>
            </w:pPr>
            <w:r>
              <w:rPr>
                <w:rFonts w:ascii="Arial" w:eastAsia="华文细黑" w:hAnsi="Arial" w:cs="Arial" w:hint="eastAsia"/>
                <w:sz w:val="18"/>
                <w:szCs w:val="18"/>
              </w:rPr>
              <w:t>5500</w:t>
            </w:r>
          </w:p>
        </w:tc>
      </w:tr>
      <w:tr w:rsidR="0053025C" w:rsidRPr="00E05368" w14:paraId="48D3D3AF" w14:textId="77777777" w:rsidTr="007B3231">
        <w:trPr>
          <w:cantSplit/>
          <w:trHeight w:val="283"/>
          <w:jc w:val="center"/>
        </w:trPr>
        <w:tc>
          <w:tcPr>
            <w:tcW w:w="1373" w:type="pct"/>
            <w:shd w:val="clear" w:color="auto" w:fill="auto"/>
            <w:noWrap/>
            <w:vAlign w:val="center"/>
          </w:tcPr>
          <w:p w14:paraId="26C3403E" w14:textId="49D97B77" w:rsidR="0053025C" w:rsidRPr="00E05368" w:rsidRDefault="00FE131C" w:rsidP="007B3231">
            <w:pPr>
              <w:adjustRightInd w:val="0"/>
              <w:snapToGrid w:val="0"/>
              <w:spacing w:line="240" w:lineRule="exact"/>
              <w:jc w:val="both"/>
              <w:rPr>
                <w:rFonts w:ascii="Arial" w:eastAsia="华文细黑" w:hAnsi="Arial" w:cs="Arial"/>
                <w:sz w:val="18"/>
                <w:szCs w:val="18"/>
              </w:rPr>
            </w:pPr>
            <w:r>
              <w:rPr>
                <w:rFonts w:ascii="华文细黑" w:eastAsia="华文细黑" w:hAnsi="华文细黑" w:hint="eastAsia"/>
                <w:sz w:val="18"/>
                <w:szCs w:val="18"/>
              </w:rPr>
              <w:lastRenderedPageBreak/>
              <w:t>租赁房</w:t>
            </w:r>
          </w:p>
        </w:tc>
        <w:tc>
          <w:tcPr>
            <w:tcW w:w="991" w:type="pct"/>
            <w:shd w:val="clear" w:color="auto" w:fill="auto"/>
            <w:noWrap/>
            <w:vAlign w:val="center"/>
          </w:tcPr>
          <w:p w14:paraId="2B845082" w14:textId="03D0F250" w:rsidR="0053025C" w:rsidRPr="00E05368" w:rsidRDefault="001A0F27" w:rsidP="007B3231">
            <w:pPr>
              <w:adjustRightInd w:val="0"/>
              <w:snapToGrid w:val="0"/>
              <w:spacing w:line="240" w:lineRule="exact"/>
              <w:jc w:val="both"/>
              <w:rPr>
                <w:rFonts w:ascii="Arial" w:eastAsia="华文细黑" w:hAnsi="Arial" w:cs="Arial"/>
                <w:sz w:val="18"/>
                <w:szCs w:val="18"/>
              </w:rPr>
            </w:pPr>
            <w:r w:rsidRPr="001A0F27">
              <w:rPr>
                <w:rFonts w:ascii="Arial" w:eastAsia="华文细黑" w:hAnsi="Arial" w:cs="Arial"/>
                <w:sz w:val="18"/>
                <w:szCs w:val="18"/>
              </w:rPr>
              <w:t>3324</w:t>
            </w:r>
          </w:p>
        </w:tc>
        <w:tc>
          <w:tcPr>
            <w:tcW w:w="1295" w:type="pct"/>
            <w:shd w:val="clear" w:color="auto" w:fill="auto"/>
            <w:noWrap/>
            <w:vAlign w:val="center"/>
          </w:tcPr>
          <w:p w14:paraId="0E1157BB" w14:textId="1B3382AE" w:rsidR="0053025C" w:rsidRPr="00E05368" w:rsidRDefault="001A0F27" w:rsidP="007B3231">
            <w:pPr>
              <w:adjustRightInd w:val="0"/>
              <w:snapToGrid w:val="0"/>
              <w:spacing w:line="240" w:lineRule="exact"/>
              <w:jc w:val="both"/>
              <w:rPr>
                <w:rFonts w:ascii="Arial" w:eastAsia="华文细黑" w:hAnsi="Arial" w:cs="Arial"/>
                <w:sz w:val="18"/>
                <w:szCs w:val="18"/>
              </w:rPr>
            </w:pPr>
            <w:r w:rsidRPr="001A0F27">
              <w:rPr>
                <w:rFonts w:ascii="Arial" w:eastAsia="华文细黑" w:hAnsi="Arial" w:cs="Arial"/>
                <w:sz w:val="18"/>
                <w:szCs w:val="18"/>
              </w:rPr>
              <w:t>7731</w:t>
            </w:r>
          </w:p>
        </w:tc>
        <w:tc>
          <w:tcPr>
            <w:tcW w:w="1341" w:type="pct"/>
            <w:shd w:val="clear" w:color="auto" w:fill="auto"/>
            <w:noWrap/>
            <w:vAlign w:val="center"/>
          </w:tcPr>
          <w:p w14:paraId="4A5F65DE" w14:textId="42DB3397" w:rsidR="0053025C" w:rsidRPr="00E05368" w:rsidRDefault="001A0F27" w:rsidP="007B3231">
            <w:pPr>
              <w:adjustRightInd w:val="0"/>
              <w:snapToGrid w:val="0"/>
              <w:spacing w:line="240" w:lineRule="exact"/>
              <w:jc w:val="both"/>
              <w:rPr>
                <w:rFonts w:ascii="Arial" w:eastAsia="华文细黑" w:hAnsi="Arial" w:cs="Arial"/>
                <w:sz w:val="18"/>
                <w:szCs w:val="18"/>
              </w:rPr>
            </w:pPr>
            <w:r>
              <w:rPr>
                <w:rFonts w:ascii="Arial" w:eastAsia="华文细黑" w:hAnsi="Arial" w:cs="Arial" w:hint="eastAsia"/>
                <w:sz w:val="18"/>
                <w:szCs w:val="18"/>
              </w:rPr>
              <w:t>4300</w:t>
            </w:r>
          </w:p>
        </w:tc>
      </w:tr>
      <w:tr w:rsidR="0053025C" w:rsidRPr="00E05368" w14:paraId="71DF46B3" w14:textId="77777777" w:rsidTr="007B3231">
        <w:trPr>
          <w:cantSplit/>
          <w:trHeight w:val="283"/>
          <w:jc w:val="center"/>
        </w:trPr>
        <w:tc>
          <w:tcPr>
            <w:tcW w:w="1373" w:type="pct"/>
            <w:shd w:val="clear" w:color="auto" w:fill="auto"/>
            <w:noWrap/>
            <w:vAlign w:val="center"/>
          </w:tcPr>
          <w:p w14:paraId="016CB8D8" w14:textId="77777777" w:rsidR="0053025C" w:rsidRDefault="0053025C" w:rsidP="007B3231">
            <w:pPr>
              <w:adjustRightInd w:val="0"/>
              <w:snapToGrid w:val="0"/>
              <w:spacing w:line="240" w:lineRule="exact"/>
              <w:jc w:val="both"/>
              <w:rPr>
                <w:rFonts w:ascii="华文细黑" w:eastAsia="华文细黑" w:hAnsi="华文细黑"/>
                <w:sz w:val="18"/>
                <w:szCs w:val="18"/>
              </w:rPr>
            </w:pPr>
            <w:r>
              <w:rPr>
                <w:rFonts w:ascii="华文细黑" w:eastAsia="华文细黑" w:hAnsi="华文细黑" w:hint="eastAsia"/>
                <w:sz w:val="18"/>
                <w:szCs w:val="18"/>
              </w:rPr>
              <w:t>商业用房</w:t>
            </w:r>
          </w:p>
        </w:tc>
        <w:tc>
          <w:tcPr>
            <w:tcW w:w="991" w:type="pct"/>
            <w:shd w:val="clear" w:color="auto" w:fill="auto"/>
            <w:noWrap/>
            <w:vAlign w:val="center"/>
          </w:tcPr>
          <w:p w14:paraId="42FBE8E5" w14:textId="21A54241" w:rsidR="0053025C" w:rsidRPr="00800B77" w:rsidRDefault="001A0F27" w:rsidP="007B3231">
            <w:pPr>
              <w:adjustRightInd w:val="0"/>
              <w:snapToGrid w:val="0"/>
              <w:spacing w:line="240" w:lineRule="exact"/>
              <w:jc w:val="both"/>
              <w:rPr>
                <w:rFonts w:ascii="Arial" w:eastAsia="华文细黑" w:hAnsi="Arial" w:cs="Arial"/>
                <w:sz w:val="18"/>
                <w:szCs w:val="18"/>
              </w:rPr>
            </w:pPr>
            <w:r w:rsidRPr="001A0F27">
              <w:rPr>
                <w:rFonts w:ascii="Arial" w:eastAsia="华文细黑" w:hAnsi="Arial" w:cs="Arial"/>
                <w:sz w:val="18"/>
                <w:szCs w:val="18"/>
              </w:rPr>
              <w:t>2625</w:t>
            </w:r>
          </w:p>
        </w:tc>
        <w:tc>
          <w:tcPr>
            <w:tcW w:w="1295" w:type="pct"/>
            <w:shd w:val="clear" w:color="auto" w:fill="auto"/>
            <w:noWrap/>
            <w:vAlign w:val="center"/>
          </w:tcPr>
          <w:p w14:paraId="55227C66" w14:textId="4B982422" w:rsidR="0053025C" w:rsidRPr="00F8039C" w:rsidRDefault="001A0F27" w:rsidP="007B3231">
            <w:pPr>
              <w:adjustRightInd w:val="0"/>
              <w:snapToGrid w:val="0"/>
              <w:spacing w:line="240" w:lineRule="exact"/>
              <w:jc w:val="both"/>
              <w:rPr>
                <w:rFonts w:ascii="Arial" w:eastAsia="华文细黑" w:hAnsi="Arial" w:cs="Arial"/>
                <w:sz w:val="18"/>
                <w:szCs w:val="18"/>
              </w:rPr>
            </w:pPr>
            <w:r w:rsidRPr="001A0F27">
              <w:rPr>
                <w:rFonts w:ascii="Arial" w:eastAsia="华文细黑" w:hAnsi="Arial" w:cs="Arial"/>
                <w:sz w:val="18"/>
                <w:szCs w:val="18"/>
              </w:rPr>
              <w:t>7500</w:t>
            </w:r>
          </w:p>
        </w:tc>
        <w:tc>
          <w:tcPr>
            <w:tcW w:w="1341" w:type="pct"/>
            <w:shd w:val="clear" w:color="auto" w:fill="auto"/>
            <w:noWrap/>
            <w:vAlign w:val="center"/>
          </w:tcPr>
          <w:p w14:paraId="270B26E1" w14:textId="7FFFFC81" w:rsidR="0053025C" w:rsidRDefault="001A0F27" w:rsidP="007B3231">
            <w:pPr>
              <w:adjustRightInd w:val="0"/>
              <w:snapToGrid w:val="0"/>
              <w:spacing w:line="240" w:lineRule="exact"/>
              <w:jc w:val="both"/>
              <w:rPr>
                <w:rFonts w:ascii="Arial" w:eastAsia="华文细黑" w:hAnsi="Arial" w:cs="Arial"/>
                <w:sz w:val="18"/>
                <w:szCs w:val="18"/>
              </w:rPr>
            </w:pPr>
            <w:r>
              <w:rPr>
                <w:rFonts w:ascii="Arial" w:eastAsia="华文细黑" w:hAnsi="Arial" w:cs="Arial" w:hint="eastAsia"/>
                <w:sz w:val="18"/>
                <w:szCs w:val="18"/>
              </w:rPr>
              <w:t>3500</w:t>
            </w:r>
          </w:p>
        </w:tc>
      </w:tr>
      <w:tr w:rsidR="00FE131C" w:rsidRPr="00E05368" w14:paraId="0804684F" w14:textId="77777777" w:rsidTr="007B3231">
        <w:trPr>
          <w:cantSplit/>
          <w:trHeight w:val="283"/>
          <w:jc w:val="center"/>
        </w:trPr>
        <w:tc>
          <w:tcPr>
            <w:tcW w:w="1373" w:type="pct"/>
            <w:shd w:val="clear" w:color="auto" w:fill="auto"/>
            <w:noWrap/>
            <w:vAlign w:val="center"/>
          </w:tcPr>
          <w:p w14:paraId="7446AC11" w14:textId="3A1C490B" w:rsidR="00FE131C" w:rsidRDefault="00FE131C" w:rsidP="007B3231">
            <w:pPr>
              <w:adjustRightInd w:val="0"/>
              <w:snapToGrid w:val="0"/>
              <w:spacing w:line="240" w:lineRule="exact"/>
              <w:jc w:val="both"/>
              <w:rPr>
                <w:rFonts w:ascii="华文细黑" w:eastAsia="华文细黑" w:hAnsi="华文细黑" w:hint="eastAsia"/>
                <w:sz w:val="18"/>
                <w:szCs w:val="18"/>
              </w:rPr>
            </w:pPr>
            <w:r w:rsidRPr="00FE131C">
              <w:rPr>
                <w:rFonts w:ascii="华文细黑" w:eastAsia="华文细黑" w:hAnsi="华文细黑" w:hint="eastAsia"/>
                <w:sz w:val="18"/>
                <w:szCs w:val="18"/>
              </w:rPr>
              <w:t>非人防地下车库（可售）</w:t>
            </w:r>
          </w:p>
        </w:tc>
        <w:tc>
          <w:tcPr>
            <w:tcW w:w="991" w:type="pct"/>
            <w:shd w:val="clear" w:color="auto" w:fill="auto"/>
            <w:noWrap/>
            <w:vAlign w:val="center"/>
          </w:tcPr>
          <w:p w14:paraId="5643EB28" w14:textId="34D21EE8" w:rsidR="00FE131C" w:rsidRPr="00063C51" w:rsidRDefault="001A0F27" w:rsidP="007B3231">
            <w:pPr>
              <w:adjustRightInd w:val="0"/>
              <w:snapToGrid w:val="0"/>
              <w:spacing w:line="240" w:lineRule="exact"/>
              <w:jc w:val="both"/>
              <w:rPr>
                <w:rFonts w:ascii="Arial" w:eastAsia="华文细黑" w:hAnsi="Arial" w:cs="Arial"/>
                <w:sz w:val="18"/>
                <w:szCs w:val="18"/>
              </w:rPr>
            </w:pPr>
            <w:r w:rsidRPr="001A0F27">
              <w:rPr>
                <w:rFonts w:ascii="Arial" w:eastAsia="华文细黑" w:hAnsi="Arial" w:cs="Arial"/>
                <w:sz w:val="18"/>
                <w:szCs w:val="18"/>
              </w:rPr>
              <w:t>12096</w:t>
            </w:r>
          </w:p>
        </w:tc>
        <w:tc>
          <w:tcPr>
            <w:tcW w:w="1295" w:type="pct"/>
            <w:shd w:val="clear" w:color="auto" w:fill="auto"/>
            <w:noWrap/>
            <w:vAlign w:val="center"/>
          </w:tcPr>
          <w:p w14:paraId="06A1356D" w14:textId="53421714" w:rsidR="00FE131C" w:rsidRPr="00063C51" w:rsidRDefault="001A0F27" w:rsidP="007B3231">
            <w:pPr>
              <w:adjustRightInd w:val="0"/>
              <w:snapToGrid w:val="0"/>
              <w:spacing w:line="240" w:lineRule="exact"/>
              <w:jc w:val="both"/>
              <w:rPr>
                <w:rFonts w:ascii="Arial" w:eastAsia="华文细黑" w:hAnsi="Arial" w:cs="Arial"/>
                <w:sz w:val="18"/>
                <w:szCs w:val="18"/>
              </w:rPr>
            </w:pPr>
            <w:r w:rsidRPr="001A0F27">
              <w:rPr>
                <w:rFonts w:ascii="Arial" w:eastAsia="华文细黑" w:hAnsi="Arial" w:cs="Arial"/>
                <w:sz w:val="18"/>
                <w:szCs w:val="18"/>
              </w:rPr>
              <w:t>34560</w:t>
            </w:r>
          </w:p>
        </w:tc>
        <w:tc>
          <w:tcPr>
            <w:tcW w:w="1341" w:type="pct"/>
            <w:shd w:val="clear" w:color="auto" w:fill="auto"/>
            <w:noWrap/>
            <w:vAlign w:val="center"/>
          </w:tcPr>
          <w:p w14:paraId="718B4C8B" w14:textId="1A86D275" w:rsidR="00FE131C" w:rsidRDefault="001A0F27" w:rsidP="007B3231">
            <w:pPr>
              <w:adjustRightInd w:val="0"/>
              <w:snapToGrid w:val="0"/>
              <w:spacing w:line="240" w:lineRule="exact"/>
              <w:jc w:val="both"/>
              <w:rPr>
                <w:rFonts w:ascii="Arial" w:eastAsia="华文细黑" w:hAnsi="Arial" w:cs="Arial" w:hint="eastAsia"/>
                <w:sz w:val="18"/>
                <w:szCs w:val="18"/>
              </w:rPr>
            </w:pPr>
            <w:r>
              <w:rPr>
                <w:rFonts w:ascii="Arial" w:eastAsia="华文细黑" w:hAnsi="Arial" w:cs="Arial" w:hint="eastAsia"/>
                <w:sz w:val="18"/>
                <w:szCs w:val="18"/>
              </w:rPr>
              <w:t>3500</w:t>
            </w:r>
          </w:p>
        </w:tc>
      </w:tr>
      <w:tr w:rsidR="0053025C" w:rsidRPr="00E05368" w14:paraId="79515C15" w14:textId="77777777" w:rsidTr="007B3231">
        <w:trPr>
          <w:cantSplit/>
          <w:trHeight w:val="283"/>
          <w:jc w:val="center"/>
        </w:trPr>
        <w:tc>
          <w:tcPr>
            <w:tcW w:w="1373" w:type="pct"/>
            <w:shd w:val="clear" w:color="auto" w:fill="auto"/>
            <w:noWrap/>
            <w:vAlign w:val="center"/>
          </w:tcPr>
          <w:p w14:paraId="1DA82D60" w14:textId="77777777" w:rsidR="0053025C" w:rsidRDefault="0053025C" w:rsidP="007B3231">
            <w:pPr>
              <w:adjustRightInd w:val="0"/>
              <w:snapToGrid w:val="0"/>
              <w:spacing w:line="240" w:lineRule="exact"/>
              <w:jc w:val="both"/>
              <w:rPr>
                <w:rFonts w:ascii="华文细黑" w:eastAsia="华文细黑" w:hAnsi="华文细黑"/>
                <w:sz w:val="18"/>
                <w:szCs w:val="18"/>
              </w:rPr>
            </w:pPr>
            <w:r>
              <w:rPr>
                <w:rFonts w:ascii="华文细黑" w:eastAsia="华文细黑" w:hAnsi="华文细黑" w:hint="eastAsia"/>
                <w:sz w:val="18"/>
                <w:szCs w:val="18"/>
              </w:rPr>
              <w:t>公共配套</w:t>
            </w:r>
          </w:p>
        </w:tc>
        <w:tc>
          <w:tcPr>
            <w:tcW w:w="991" w:type="pct"/>
            <w:shd w:val="clear" w:color="auto" w:fill="auto"/>
            <w:noWrap/>
            <w:vAlign w:val="center"/>
          </w:tcPr>
          <w:p w14:paraId="57E18860" w14:textId="65D405BD" w:rsidR="0053025C" w:rsidRPr="00800B77" w:rsidRDefault="001A0F27" w:rsidP="007B3231">
            <w:pPr>
              <w:adjustRightInd w:val="0"/>
              <w:snapToGrid w:val="0"/>
              <w:spacing w:line="240" w:lineRule="exact"/>
              <w:jc w:val="both"/>
              <w:rPr>
                <w:rFonts w:ascii="Arial" w:eastAsia="华文细黑" w:hAnsi="Arial" w:cs="Arial"/>
                <w:sz w:val="18"/>
                <w:szCs w:val="18"/>
              </w:rPr>
            </w:pPr>
            <w:r w:rsidRPr="001A0F27">
              <w:rPr>
                <w:rFonts w:ascii="Arial" w:eastAsia="华文细黑" w:hAnsi="Arial" w:cs="Arial"/>
                <w:sz w:val="18"/>
                <w:szCs w:val="18"/>
              </w:rPr>
              <w:t>677</w:t>
            </w:r>
          </w:p>
        </w:tc>
        <w:tc>
          <w:tcPr>
            <w:tcW w:w="1295" w:type="pct"/>
            <w:shd w:val="clear" w:color="auto" w:fill="auto"/>
            <w:noWrap/>
            <w:vAlign w:val="center"/>
          </w:tcPr>
          <w:p w14:paraId="0239B62D" w14:textId="181DD3BC" w:rsidR="0053025C" w:rsidRPr="00F8039C" w:rsidRDefault="001A0F27" w:rsidP="007B3231">
            <w:pPr>
              <w:adjustRightInd w:val="0"/>
              <w:snapToGrid w:val="0"/>
              <w:spacing w:line="240" w:lineRule="exact"/>
              <w:jc w:val="both"/>
              <w:rPr>
                <w:rFonts w:ascii="Arial" w:eastAsia="华文细黑" w:hAnsi="Arial" w:cs="Arial"/>
                <w:sz w:val="18"/>
                <w:szCs w:val="18"/>
              </w:rPr>
            </w:pPr>
            <w:r w:rsidRPr="001A0F27">
              <w:rPr>
                <w:rFonts w:ascii="Arial" w:eastAsia="华文细黑" w:hAnsi="Arial" w:cs="Arial"/>
                <w:sz w:val="18"/>
                <w:szCs w:val="18"/>
              </w:rPr>
              <w:t>1933</w:t>
            </w:r>
          </w:p>
        </w:tc>
        <w:tc>
          <w:tcPr>
            <w:tcW w:w="1341" w:type="pct"/>
            <w:shd w:val="clear" w:color="auto" w:fill="auto"/>
            <w:noWrap/>
            <w:vAlign w:val="center"/>
          </w:tcPr>
          <w:p w14:paraId="7B0E9404" w14:textId="6A1FAE43" w:rsidR="0053025C" w:rsidRDefault="001A0F27" w:rsidP="007B3231">
            <w:pPr>
              <w:adjustRightInd w:val="0"/>
              <w:snapToGrid w:val="0"/>
              <w:spacing w:line="240" w:lineRule="exact"/>
              <w:jc w:val="both"/>
              <w:rPr>
                <w:rFonts w:ascii="Arial" w:eastAsia="华文细黑" w:hAnsi="Arial" w:cs="Arial"/>
                <w:sz w:val="18"/>
                <w:szCs w:val="18"/>
              </w:rPr>
            </w:pPr>
            <w:r>
              <w:rPr>
                <w:rFonts w:ascii="Arial" w:eastAsia="华文细黑" w:hAnsi="Arial" w:cs="Arial" w:hint="eastAsia"/>
                <w:sz w:val="18"/>
                <w:szCs w:val="18"/>
              </w:rPr>
              <w:t>3500</w:t>
            </w:r>
          </w:p>
        </w:tc>
      </w:tr>
      <w:tr w:rsidR="0053025C" w:rsidRPr="00E05368" w14:paraId="4C8A2EE3" w14:textId="77777777" w:rsidTr="007B3231">
        <w:trPr>
          <w:cantSplit/>
          <w:trHeight w:val="283"/>
          <w:jc w:val="center"/>
        </w:trPr>
        <w:tc>
          <w:tcPr>
            <w:tcW w:w="1373" w:type="pct"/>
            <w:shd w:val="clear" w:color="auto" w:fill="auto"/>
            <w:noWrap/>
            <w:vAlign w:val="center"/>
          </w:tcPr>
          <w:p w14:paraId="214EBB26" w14:textId="77777777" w:rsidR="0053025C" w:rsidRPr="00E05368" w:rsidRDefault="0053025C" w:rsidP="007B3231">
            <w:pPr>
              <w:adjustRightInd w:val="0"/>
              <w:snapToGrid w:val="0"/>
              <w:spacing w:line="240" w:lineRule="exact"/>
              <w:jc w:val="both"/>
              <w:rPr>
                <w:rFonts w:ascii="Arial" w:eastAsia="华文细黑" w:hAnsi="Arial" w:cs="Arial"/>
                <w:sz w:val="18"/>
                <w:szCs w:val="18"/>
              </w:rPr>
            </w:pPr>
            <w:r w:rsidRPr="00E05368">
              <w:rPr>
                <w:rFonts w:ascii="Arial" w:eastAsia="华文细黑" w:hAnsi="Arial" w:cs="Arial"/>
                <w:sz w:val="18"/>
                <w:szCs w:val="18"/>
              </w:rPr>
              <w:t>人防</w:t>
            </w:r>
            <w:r>
              <w:rPr>
                <w:rFonts w:ascii="Arial" w:eastAsia="华文细黑" w:hAnsi="Arial" w:cs="Arial" w:hint="eastAsia"/>
                <w:sz w:val="18"/>
                <w:szCs w:val="18"/>
              </w:rPr>
              <w:t>及设备</w:t>
            </w:r>
            <w:r w:rsidRPr="00E05368">
              <w:rPr>
                <w:rFonts w:ascii="Arial" w:eastAsia="华文细黑" w:hAnsi="Arial" w:cs="Arial" w:hint="eastAsia"/>
                <w:sz w:val="18"/>
                <w:szCs w:val="18"/>
              </w:rPr>
              <w:t>用房</w:t>
            </w:r>
          </w:p>
        </w:tc>
        <w:tc>
          <w:tcPr>
            <w:tcW w:w="991" w:type="pct"/>
            <w:shd w:val="clear" w:color="auto" w:fill="auto"/>
            <w:noWrap/>
            <w:vAlign w:val="center"/>
          </w:tcPr>
          <w:p w14:paraId="646E76F8" w14:textId="1BCFD1EF" w:rsidR="0053025C" w:rsidRPr="00E05368" w:rsidRDefault="001A0F27" w:rsidP="007B3231">
            <w:pPr>
              <w:adjustRightInd w:val="0"/>
              <w:snapToGrid w:val="0"/>
              <w:spacing w:line="240" w:lineRule="exact"/>
              <w:jc w:val="both"/>
              <w:rPr>
                <w:rFonts w:ascii="Arial" w:eastAsia="华文细黑" w:hAnsi="Arial" w:cs="Arial"/>
                <w:sz w:val="18"/>
                <w:szCs w:val="18"/>
              </w:rPr>
            </w:pPr>
            <w:r w:rsidRPr="001A0F27">
              <w:rPr>
                <w:rFonts w:ascii="Arial" w:eastAsia="华文细黑" w:hAnsi="Arial" w:cs="Arial"/>
                <w:sz w:val="18"/>
                <w:szCs w:val="18"/>
              </w:rPr>
              <w:t>6615</w:t>
            </w:r>
          </w:p>
        </w:tc>
        <w:tc>
          <w:tcPr>
            <w:tcW w:w="1295" w:type="pct"/>
            <w:shd w:val="clear" w:color="auto" w:fill="auto"/>
            <w:noWrap/>
            <w:vAlign w:val="center"/>
          </w:tcPr>
          <w:p w14:paraId="7CD703F2" w14:textId="1E42428C" w:rsidR="0053025C" w:rsidRPr="00E05368" w:rsidRDefault="001A0F27" w:rsidP="007B3231">
            <w:pPr>
              <w:adjustRightInd w:val="0"/>
              <w:snapToGrid w:val="0"/>
              <w:spacing w:line="240" w:lineRule="exact"/>
              <w:jc w:val="both"/>
              <w:rPr>
                <w:rFonts w:ascii="Arial" w:eastAsia="华文细黑" w:hAnsi="Arial" w:cs="Arial"/>
                <w:sz w:val="18"/>
                <w:szCs w:val="18"/>
              </w:rPr>
            </w:pPr>
            <w:r w:rsidRPr="001A0F27">
              <w:rPr>
                <w:rFonts w:ascii="Arial" w:eastAsia="华文细黑" w:hAnsi="Arial" w:cs="Arial"/>
                <w:sz w:val="18"/>
                <w:szCs w:val="18"/>
              </w:rPr>
              <w:t>18900</w:t>
            </w:r>
          </w:p>
        </w:tc>
        <w:tc>
          <w:tcPr>
            <w:tcW w:w="1341" w:type="pct"/>
            <w:shd w:val="clear" w:color="auto" w:fill="auto"/>
            <w:noWrap/>
            <w:vAlign w:val="center"/>
          </w:tcPr>
          <w:p w14:paraId="5FBF64C8" w14:textId="49BCE5D6" w:rsidR="0053025C" w:rsidRPr="00E05368" w:rsidRDefault="001A0F27" w:rsidP="007B3231">
            <w:pPr>
              <w:adjustRightInd w:val="0"/>
              <w:snapToGrid w:val="0"/>
              <w:spacing w:line="240" w:lineRule="exact"/>
              <w:jc w:val="both"/>
              <w:rPr>
                <w:rFonts w:ascii="Arial" w:eastAsia="华文细黑" w:hAnsi="Arial" w:cs="Arial"/>
                <w:sz w:val="18"/>
                <w:szCs w:val="18"/>
              </w:rPr>
            </w:pPr>
            <w:r>
              <w:rPr>
                <w:rFonts w:ascii="Arial" w:eastAsia="华文细黑" w:hAnsi="Arial" w:cs="Arial" w:hint="eastAsia"/>
                <w:sz w:val="18"/>
                <w:szCs w:val="18"/>
              </w:rPr>
              <w:t>3500</w:t>
            </w:r>
          </w:p>
        </w:tc>
      </w:tr>
      <w:tr w:rsidR="0053025C" w:rsidRPr="00E05368" w14:paraId="31DC8BFE" w14:textId="77777777" w:rsidTr="007B3231">
        <w:trPr>
          <w:cantSplit/>
          <w:trHeight w:val="283"/>
          <w:jc w:val="center"/>
        </w:trPr>
        <w:tc>
          <w:tcPr>
            <w:tcW w:w="1373" w:type="pct"/>
            <w:shd w:val="clear" w:color="auto" w:fill="auto"/>
            <w:noWrap/>
            <w:vAlign w:val="center"/>
          </w:tcPr>
          <w:p w14:paraId="6C359952" w14:textId="77777777" w:rsidR="0053025C" w:rsidRPr="00E05368" w:rsidRDefault="0053025C" w:rsidP="007B3231">
            <w:pPr>
              <w:adjustRightInd w:val="0"/>
              <w:snapToGrid w:val="0"/>
              <w:spacing w:line="240" w:lineRule="exact"/>
              <w:jc w:val="both"/>
              <w:rPr>
                <w:rFonts w:ascii="Arial" w:eastAsia="华文细黑" w:hAnsi="Arial" w:cs="Arial"/>
                <w:sz w:val="18"/>
                <w:szCs w:val="18"/>
              </w:rPr>
            </w:pPr>
            <w:r w:rsidRPr="00E05368">
              <w:rPr>
                <w:rFonts w:ascii="Arial" w:eastAsia="华文细黑" w:hAnsi="Arial" w:cs="Arial"/>
                <w:sz w:val="18"/>
                <w:szCs w:val="18"/>
              </w:rPr>
              <w:t>合计</w:t>
            </w:r>
          </w:p>
        </w:tc>
        <w:tc>
          <w:tcPr>
            <w:tcW w:w="991" w:type="pct"/>
            <w:shd w:val="clear" w:color="auto" w:fill="auto"/>
            <w:noWrap/>
            <w:vAlign w:val="center"/>
          </w:tcPr>
          <w:p w14:paraId="5F47DD57" w14:textId="3460BAF7" w:rsidR="0053025C" w:rsidRPr="00E05368" w:rsidRDefault="001A0F27" w:rsidP="007B3231">
            <w:pPr>
              <w:adjustRightInd w:val="0"/>
              <w:snapToGrid w:val="0"/>
              <w:spacing w:line="240" w:lineRule="exact"/>
              <w:jc w:val="both"/>
              <w:rPr>
                <w:rFonts w:ascii="Arial" w:eastAsia="华文细黑" w:hAnsi="Arial" w:cs="Arial"/>
                <w:sz w:val="18"/>
                <w:szCs w:val="18"/>
              </w:rPr>
            </w:pPr>
            <w:r w:rsidRPr="001A0F27">
              <w:rPr>
                <w:rFonts w:ascii="Arial" w:eastAsia="华文细黑" w:hAnsi="Arial" w:cs="Arial"/>
                <w:sz w:val="18"/>
                <w:szCs w:val="18"/>
              </w:rPr>
              <w:t>100941</w:t>
            </w:r>
          </w:p>
        </w:tc>
        <w:tc>
          <w:tcPr>
            <w:tcW w:w="1295" w:type="pct"/>
            <w:shd w:val="clear" w:color="auto" w:fill="auto"/>
            <w:noWrap/>
            <w:vAlign w:val="center"/>
          </w:tcPr>
          <w:p w14:paraId="63034ADD" w14:textId="285FF057" w:rsidR="0053025C" w:rsidRPr="00E05368" w:rsidRDefault="001A0F27" w:rsidP="007B3231">
            <w:pPr>
              <w:adjustRightInd w:val="0"/>
              <w:snapToGrid w:val="0"/>
              <w:spacing w:line="240" w:lineRule="exact"/>
              <w:jc w:val="both"/>
              <w:rPr>
                <w:rFonts w:ascii="Arial" w:eastAsia="华文细黑" w:hAnsi="Arial" w:cs="Arial"/>
                <w:sz w:val="18"/>
                <w:szCs w:val="18"/>
              </w:rPr>
            </w:pPr>
            <w:r w:rsidRPr="001A0F27">
              <w:rPr>
                <w:rFonts w:ascii="Arial" w:eastAsia="华文细黑" w:hAnsi="Arial" w:cs="Arial"/>
                <w:sz w:val="18"/>
                <w:szCs w:val="18"/>
              </w:rPr>
              <w:t>208085</w:t>
            </w:r>
          </w:p>
        </w:tc>
        <w:tc>
          <w:tcPr>
            <w:tcW w:w="1341" w:type="pct"/>
            <w:shd w:val="clear" w:color="auto" w:fill="auto"/>
            <w:noWrap/>
            <w:vAlign w:val="center"/>
          </w:tcPr>
          <w:p w14:paraId="105BEE95" w14:textId="77777777" w:rsidR="0053025C" w:rsidRPr="00E05368" w:rsidRDefault="0053025C" w:rsidP="007B3231">
            <w:pPr>
              <w:adjustRightInd w:val="0"/>
              <w:snapToGrid w:val="0"/>
              <w:spacing w:line="240" w:lineRule="exact"/>
              <w:jc w:val="both"/>
              <w:rPr>
                <w:rFonts w:ascii="Arial" w:eastAsia="华文细黑" w:hAnsi="Arial" w:cs="Arial"/>
                <w:sz w:val="18"/>
                <w:szCs w:val="18"/>
              </w:rPr>
            </w:pPr>
            <w:r w:rsidRPr="00E05368">
              <w:rPr>
                <w:rFonts w:ascii="Arial" w:eastAsia="华文细黑" w:hAnsi="Arial" w:cs="Arial"/>
                <w:sz w:val="18"/>
                <w:szCs w:val="18"/>
              </w:rPr>
              <w:t>——</w:t>
            </w:r>
          </w:p>
        </w:tc>
      </w:tr>
    </w:tbl>
    <w:p w14:paraId="74F35C26" w14:textId="77777777" w:rsidR="0053025C" w:rsidRPr="00E05368" w:rsidRDefault="0053025C" w:rsidP="0053025C">
      <w:pPr>
        <w:adjustRightInd w:val="0"/>
        <w:snapToGrid w:val="0"/>
        <w:spacing w:before="100" w:beforeAutospacing="1" w:line="480" w:lineRule="auto"/>
        <w:ind w:firstLineChars="200" w:firstLine="420"/>
        <w:rPr>
          <w:rFonts w:ascii="Arial" w:hAnsi="Arial" w:cs="Arial"/>
          <w:color w:val="000000"/>
          <w:sz w:val="21"/>
          <w:szCs w:val="21"/>
        </w:rPr>
      </w:pPr>
      <w:r w:rsidRPr="00E05368">
        <w:rPr>
          <w:rFonts w:ascii="Arial" w:hAnsi="Arial" w:cs="Arial"/>
          <w:color w:val="000000"/>
          <w:sz w:val="21"/>
          <w:szCs w:val="21"/>
        </w:rPr>
        <w:t>（</w:t>
      </w:r>
      <w:r w:rsidRPr="00E05368">
        <w:rPr>
          <w:rFonts w:ascii="Arial" w:hAnsi="Arial" w:cs="Arial"/>
          <w:color w:val="000000"/>
          <w:sz w:val="21"/>
          <w:szCs w:val="21"/>
        </w:rPr>
        <w:t>2</w:t>
      </w:r>
      <w:r w:rsidRPr="00E05368">
        <w:rPr>
          <w:rFonts w:ascii="Arial" w:hAnsi="Arial" w:cs="Arial"/>
          <w:color w:val="000000"/>
          <w:sz w:val="21"/>
          <w:szCs w:val="21"/>
        </w:rPr>
        <w:t>）室外工程费：</w:t>
      </w:r>
    </w:p>
    <w:p w14:paraId="37230595" w14:textId="6319A75D" w:rsidR="0053025C" w:rsidRPr="00E05368" w:rsidRDefault="0053025C" w:rsidP="0053025C">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室外工程费包含红线内市政基础设施配套费用，根据项目的实际情况，以每建筑平方米</w:t>
      </w:r>
      <w:r w:rsidR="001A0F27">
        <w:rPr>
          <w:rFonts w:ascii="Arial" w:hAnsi="Arial" w:cs="Arial" w:hint="eastAsia"/>
          <w:color w:val="000000"/>
          <w:sz w:val="21"/>
          <w:szCs w:val="21"/>
        </w:rPr>
        <w:t>250</w:t>
      </w:r>
      <w:r w:rsidRPr="00E05368">
        <w:rPr>
          <w:rFonts w:ascii="Arial" w:hAnsi="Arial" w:cs="Arial"/>
          <w:color w:val="000000"/>
          <w:sz w:val="21"/>
          <w:szCs w:val="21"/>
        </w:rPr>
        <w:t>元为标准计算红线内市政基础设施配套费用。</w:t>
      </w:r>
    </w:p>
    <w:p w14:paraId="5599EEA2" w14:textId="30E138DB" w:rsidR="0053025C" w:rsidRPr="00E05368" w:rsidRDefault="0053025C" w:rsidP="0053025C">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室外工程费</w:t>
      </w:r>
      <w:r w:rsidRPr="00E05368">
        <w:rPr>
          <w:rFonts w:ascii="Arial" w:hAnsi="Arial" w:cs="Arial"/>
          <w:color w:val="000000"/>
          <w:sz w:val="21"/>
          <w:szCs w:val="21"/>
        </w:rPr>
        <w:t>=</w:t>
      </w:r>
      <w:r w:rsidR="001A0F27">
        <w:rPr>
          <w:rFonts w:ascii="Arial" w:hAnsi="Arial" w:cs="Arial" w:hint="eastAsia"/>
          <w:color w:val="000000"/>
          <w:sz w:val="21"/>
          <w:szCs w:val="21"/>
        </w:rPr>
        <w:t>250</w:t>
      </w:r>
      <w:r w:rsidRPr="00E05368">
        <w:rPr>
          <w:rFonts w:ascii="Arial" w:hAnsi="Arial" w:cs="Arial"/>
          <w:color w:val="000000"/>
          <w:sz w:val="21"/>
          <w:szCs w:val="21"/>
        </w:rPr>
        <w:t>×</w:t>
      </w:r>
      <w:r w:rsidR="001A0F27">
        <w:rPr>
          <w:rFonts w:ascii="Arial" w:hAnsi="Arial" w:cs="Arial"/>
          <w:color w:val="000000"/>
          <w:sz w:val="21"/>
          <w:szCs w:val="21"/>
        </w:rPr>
        <w:t>208085</w:t>
      </w:r>
      <w:r w:rsidRPr="00E05368">
        <w:rPr>
          <w:rFonts w:ascii="Arial" w:hAnsi="Arial" w:cs="Arial"/>
          <w:color w:val="000000"/>
          <w:sz w:val="21"/>
          <w:szCs w:val="21"/>
        </w:rPr>
        <w:t>÷10000=</w:t>
      </w:r>
      <w:r w:rsidR="001A0F27" w:rsidRPr="001A0F27">
        <w:rPr>
          <w:rFonts w:ascii="Arial" w:hAnsi="Arial" w:cs="Arial"/>
          <w:color w:val="000000"/>
          <w:sz w:val="21"/>
          <w:szCs w:val="21"/>
        </w:rPr>
        <w:t>5202</w:t>
      </w:r>
      <w:r w:rsidRPr="00E05368">
        <w:rPr>
          <w:rFonts w:ascii="Arial" w:hAnsi="Arial" w:cs="Arial"/>
          <w:color w:val="000000"/>
          <w:sz w:val="21"/>
          <w:szCs w:val="21"/>
        </w:rPr>
        <w:t>（万元）</w:t>
      </w:r>
      <w:r w:rsidRPr="00E05368">
        <w:rPr>
          <w:rFonts w:ascii="Arial" w:hAnsi="Arial" w:cs="Arial"/>
          <w:color w:val="000000"/>
          <w:sz w:val="21"/>
          <w:szCs w:val="21"/>
        </w:rPr>
        <w:t xml:space="preserve"> </w:t>
      </w:r>
    </w:p>
    <w:p w14:paraId="0D649DF6" w14:textId="77777777" w:rsidR="0053025C" w:rsidRPr="00E05368" w:rsidRDefault="0053025C" w:rsidP="0053025C">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w:t>
      </w:r>
      <w:r w:rsidRPr="00E05368">
        <w:rPr>
          <w:rFonts w:ascii="Arial" w:hAnsi="Arial" w:cs="Arial"/>
          <w:color w:val="000000"/>
          <w:sz w:val="21"/>
          <w:szCs w:val="21"/>
        </w:rPr>
        <w:t>3</w:t>
      </w:r>
      <w:r w:rsidRPr="00E05368">
        <w:rPr>
          <w:rFonts w:ascii="Arial" w:hAnsi="Arial" w:cs="Arial"/>
          <w:color w:val="000000"/>
          <w:sz w:val="21"/>
          <w:szCs w:val="21"/>
        </w:rPr>
        <w:t>）附属工程费</w:t>
      </w:r>
    </w:p>
    <w:p w14:paraId="680CA96D" w14:textId="462A4983" w:rsidR="0053025C" w:rsidRPr="00E05368" w:rsidRDefault="0053025C" w:rsidP="0053025C">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附属工程费为项目相关配套项目的费用，如：变配电室、活动站等以及小区绿化费用。根据项目的实际情况，以每建筑平方米</w:t>
      </w:r>
      <w:r w:rsidR="001A0F27">
        <w:rPr>
          <w:rFonts w:ascii="Arial" w:hAnsi="Arial" w:cs="Arial" w:hint="eastAsia"/>
          <w:color w:val="000000"/>
          <w:sz w:val="21"/>
          <w:szCs w:val="21"/>
        </w:rPr>
        <w:t>200</w:t>
      </w:r>
      <w:r w:rsidRPr="00E05368">
        <w:rPr>
          <w:rFonts w:ascii="Arial" w:hAnsi="Arial" w:cs="Arial"/>
          <w:color w:val="000000"/>
          <w:sz w:val="21"/>
          <w:szCs w:val="21"/>
        </w:rPr>
        <w:t>元为计算标准，总计为：</w:t>
      </w:r>
    </w:p>
    <w:p w14:paraId="48CCAA3E" w14:textId="4D76F835" w:rsidR="0053025C" w:rsidRPr="00E05368" w:rsidRDefault="0053025C" w:rsidP="0053025C">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附属工程费</w:t>
      </w:r>
      <w:r w:rsidRPr="00E05368">
        <w:rPr>
          <w:rFonts w:ascii="Arial" w:hAnsi="Arial" w:cs="Arial"/>
          <w:color w:val="000000"/>
          <w:sz w:val="21"/>
          <w:szCs w:val="21"/>
        </w:rPr>
        <w:t>=</w:t>
      </w:r>
      <w:r w:rsidR="001A0F27">
        <w:rPr>
          <w:rFonts w:ascii="Arial" w:hAnsi="Arial" w:cs="Arial" w:hint="eastAsia"/>
          <w:color w:val="000000"/>
          <w:sz w:val="21"/>
          <w:szCs w:val="21"/>
        </w:rPr>
        <w:t>200</w:t>
      </w:r>
      <w:r w:rsidRPr="00E05368">
        <w:rPr>
          <w:rFonts w:ascii="Arial" w:hAnsi="Arial" w:cs="Arial"/>
          <w:color w:val="000000"/>
          <w:sz w:val="21"/>
          <w:szCs w:val="21"/>
        </w:rPr>
        <w:t>×</w:t>
      </w:r>
      <w:r w:rsidR="001A0F27">
        <w:rPr>
          <w:rFonts w:ascii="Arial" w:hAnsi="Arial" w:cs="Arial"/>
          <w:color w:val="000000"/>
          <w:sz w:val="21"/>
          <w:szCs w:val="21"/>
        </w:rPr>
        <w:t>208085</w:t>
      </w:r>
      <w:r w:rsidRPr="00E05368">
        <w:rPr>
          <w:rFonts w:ascii="Arial" w:hAnsi="Arial" w:cs="Arial"/>
          <w:color w:val="000000"/>
          <w:sz w:val="21"/>
          <w:szCs w:val="21"/>
        </w:rPr>
        <w:t>÷10000=</w:t>
      </w:r>
      <w:r w:rsidR="001A0F27">
        <w:rPr>
          <w:rFonts w:ascii="Arial" w:hAnsi="Arial" w:cs="Arial" w:hint="eastAsia"/>
          <w:color w:val="000000"/>
          <w:sz w:val="21"/>
          <w:szCs w:val="21"/>
        </w:rPr>
        <w:t>4162</w:t>
      </w:r>
      <w:r w:rsidRPr="00E05368">
        <w:rPr>
          <w:rFonts w:ascii="Arial" w:hAnsi="Arial" w:cs="Arial"/>
          <w:color w:val="000000"/>
          <w:sz w:val="21"/>
          <w:szCs w:val="21"/>
        </w:rPr>
        <w:t>（万元）</w:t>
      </w:r>
    </w:p>
    <w:p w14:paraId="6EABD8B9" w14:textId="3FC0D83D" w:rsidR="0053025C" w:rsidRPr="00E05368" w:rsidRDefault="0053025C" w:rsidP="0053025C">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w:t>
      </w:r>
      <w:r w:rsidRPr="00E05368">
        <w:rPr>
          <w:rFonts w:ascii="Arial" w:hAnsi="Arial" w:cs="Arial"/>
          <w:color w:val="000000"/>
          <w:sz w:val="21"/>
          <w:szCs w:val="21"/>
        </w:rPr>
        <w:t>4</w:t>
      </w:r>
      <w:r w:rsidRPr="00E05368">
        <w:rPr>
          <w:rFonts w:ascii="Arial" w:hAnsi="Arial" w:cs="Arial"/>
          <w:color w:val="000000"/>
          <w:sz w:val="21"/>
          <w:szCs w:val="21"/>
        </w:rPr>
        <w:t>）房屋开发费合计：</w:t>
      </w:r>
      <w:r w:rsidR="001A0F27" w:rsidRPr="001A0F27">
        <w:rPr>
          <w:rFonts w:ascii="Arial" w:hAnsi="Arial" w:cs="Arial"/>
          <w:color w:val="000000"/>
          <w:sz w:val="21"/>
          <w:szCs w:val="21"/>
        </w:rPr>
        <w:t>110305</w:t>
      </w:r>
      <w:r w:rsidRPr="00E05368">
        <w:rPr>
          <w:rFonts w:ascii="Arial" w:hAnsi="Arial" w:cs="Arial"/>
          <w:color w:val="000000"/>
          <w:sz w:val="21"/>
          <w:szCs w:val="21"/>
        </w:rPr>
        <w:t>万元</w:t>
      </w:r>
    </w:p>
    <w:p w14:paraId="51A626FE" w14:textId="77777777" w:rsidR="0053025C" w:rsidRPr="00E05368" w:rsidRDefault="0053025C" w:rsidP="0053025C">
      <w:pPr>
        <w:adjustRightInd w:val="0"/>
        <w:snapToGrid w:val="0"/>
        <w:spacing w:line="480" w:lineRule="auto"/>
        <w:ind w:firstLineChars="200" w:firstLine="420"/>
        <w:rPr>
          <w:rFonts w:ascii="Arial" w:hAnsi="Arial" w:cs="Arial"/>
          <w:bCs/>
          <w:color w:val="000000"/>
          <w:sz w:val="21"/>
          <w:szCs w:val="21"/>
        </w:rPr>
      </w:pPr>
      <w:r w:rsidRPr="00E05368">
        <w:rPr>
          <w:rFonts w:ascii="Arial" w:hAnsi="Arial" w:cs="Arial"/>
          <w:bCs/>
          <w:color w:val="000000"/>
          <w:sz w:val="21"/>
          <w:szCs w:val="21"/>
        </w:rPr>
        <w:t>4</w:t>
      </w:r>
      <w:r w:rsidRPr="00E05368">
        <w:rPr>
          <w:rFonts w:ascii="Arial" w:hAnsi="Arial" w:cs="Arial"/>
          <w:bCs/>
          <w:color w:val="000000"/>
          <w:sz w:val="21"/>
          <w:szCs w:val="21"/>
        </w:rPr>
        <w:t>、开发间接费用</w:t>
      </w:r>
    </w:p>
    <w:p w14:paraId="6E32CCCA" w14:textId="77777777" w:rsidR="0053025C" w:rsidRPr="00E05368" w:rsidRDefault="0053025C" w:rsidP="0053025C">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该费用为与成本概算有关的费用</w:t>
      </w:r>
      <w:r w:rsidRPr="00E05368">
        <w:rPr>
          <w:rFonts w:ascii="Arial" w:hAnsi="Arial" w:cs="Arial"/>
          <w:color w:val="000000"/>
          <w:sz w:val="21"/>
          <w:szCs w:val="21"/>
        </w:rPr>
        <w:t>,</w:t>
      </w:r>
      <w:r w:rsidRPr="00E05368">
        <w:rPr>
          <w:rFonts w:ascii="Arial" w:hAnsi="Arial" w:cs="Arial"/>
          <w:color w:val="000000"/>
          <w:sz w:val="21"/>
          <w:szCs w:val="21"/>
        </w:rPr>
        <w:t>包括标书编制费、招投标管理费、机电设备委托招标服务费、质量监督费等费用，考虑到项目目前状况，按照房屋开发费的</w:t>
      </w:r>
      <w:r>
        <w:rPr>
          <w:rFonts w:ascii="Arial" w:hAnsi="Arial" w:cs="Arial" w:hint="eastAsia"/>
          <w:color w:val="000000"/>
          <w:sz w:val="21"/>
          <w:szCs w:val="21"/>
        </w:rPr>
        <w:t>1.</w:t>
      </w:r>
      <w:r w:rsidRPr="00E05368">
        <w:rPr>
          <w:rFonts w:ascii="Arial" w:hAnsi="Arial" w:cs="Arial" w:hint="eastAsia"/>
          <w:color w:val="000000"/>
          <w:sz w:val="21"/>
          <w:szCs w:val="21"/>
        </w:rPr>
        <w:t>5</w:t>
      </w:r>
      <w:r w:rsidRPr="00E05368">
        <w:rPr>
          <w:rFonts w:ascii="Arial" w:hAnsi="Arial" w:cs="Arial"/>
          <w:color w:val="000000"/>
          <w:sz w:val="21"/>
          <w:szCs w:val="21"/>
        </w:rPr>
        <w:t>%</w:t>
      </w:r>
      <w:r w:rsidRPr="00E05368">
        <w:rPr>
          <w:rFonts w:ascii="Arial" w:hAnsi="Arial" w:cs="Arial"/>
          <w:color w:val="000000"/>
          <w:sz w:val="21"/>
          <w:szCs w:val="21"/>
        </w:rPr>
        <w:t>计算：</w:t>
      </w:r>
    </w:p>
    <w:p w14:paraId="2DE75E84" w14:textId="5678C6D3" w:rsidR="0053025C" w:rsidRPr="00E05368" w:rsidRDefault="0053025C" w:rsidP="0053025C">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开发间接费用</w:t>
      </w:r>
      <w:r w:rsidRPr="00E05368">
        <w:rPr>
          <w:rFonts w:ascii="Arial" w:hAnsi="Arial" w:cs="Arial"/>
          <w:color w:val="000000"/>
          <w:sz w:val="21"/>
          <w:szCs w:val="21"/>
        </w:rPr>
        <w:t>=</w:t>
      </w:r>
      <w:r>
        <w:rPr>
          <w:rFonts w:ascii="Arial" w:hAnsi="Arial" w:cs="Arial" w:hint="eastAsia"/>
          <w:color w:val="000000"/>
          <w:sz w:val="21"/>
          <w:szCs w:val="21"/>
        </w:rPr>
        <w:t>1.</w:t>
      </w:r>
      <w:r w:rsidRPr="00E05368">
        <w:rPr>
          <w:rFonts w:ascii="Arial" w:hAnsi="Arial" w:cs="Arial" w:hint="eastAsia"/>
          <w:color w:val="000000"/>
          <w:sz w:val="21"/>
          <w:szCs w:val="21"/>
        </w:rPr>
        <w:t>5</w:t>
      </w:r>
      <w:r w:rsidRPr="00E05368">
        <w:rPr>
          <w:rFonts w:ascii="Arial" w:hAnsi="Arial" w:cs="Arial"/>
          <w:color w:val="000000"/>
          <w:sz w:val="21"/>
          <w:szCs w:val="21"/>
        </w:rPr>
        <w:t>%×</w:t>
      </w:r>
      <w:r w:rsidR="001A0F27" w:rsidRPr="001A0F27">
        <w:rPr>
          <w:rFonts w:ascii="Arial" w:hAnsi="Arial" w:cs="Arial"/>
          <w:color w:val="000000"/>
          <w:sz w:val="21"/>
          <w:szCs w:val="21"/>
        </w:rPr>
        <w:t>110305</w:t>
      </w:r>
      <w:r w:rsidRPr="00E05368">
        <w:rPr>
          <w:rFonts w:ascii="Arial" w:hAnsi="Arial" w:cs="Arial"/>
          <w:color w:val="000000"/>
          <w:sz w:val="21"/>
          <w:szCs w:val="21"/>
        </w:rPr>
        <w:t>＝</w:t>
      </w:r>
      <w:r w:rsidR="001A0F27">
        <w:rPr>
          <w:rFonts w:ascii="Arial" w:hAnsi="Arial" w:cs="Arial" w:hint="eastAsia"/>
          <w:color w:val="000000"/>
          <w:sz w:val="21"/>
          <w:szCs w:val="21"/>
        </w:rPr>
        <w:t>1655</w:t>
      </w:r>
      <w:r w:rsidRPr="00E05368">
        <w:rPr>
          <w:rFonts w:ascii="Arial" w:hAnsi="Arial" w:cs="Arial"/>
          <w:color w:val="000000"/>
          <w:sz w:val="21"/>
          <w:szCs w:val="21"/>
        </w:rPr>
        <w:t>（万元）</w:t>
      </w:r>
    </w:p>
    <w:p w14:paraId="2021AE78" w14:textId="77777777" w:rsidR="0053025C" w:rsidRPr="00E05368" w:rsidRDefault="0053025C" w:rsidP="0053025C">
      <w:pPr>
        <w:adjustRightInd w:val="0"/>
        <w:snapToGrid w:val="0"/>
        <w:spacing w:line="420" w:lineRule="auto"/>
        <w:ind w:firstLineChars="200" w:firstLine="420"/>
        <w:rPr>
          <w:rFonts w:ascii="Arial" w:hAnsi="Arial" w:cs="Arial"/>
          <w:color w:val="000000"/>
          <w:sz w:val="21"/>
          <w:szCs w:val="21"/>
        </w:rPr>
      </w:pPr>
      <w:r w:rsidRPr="00E05368">
        <w:rPr>
          <w:rFonts w:ascii="Arial" w:hAnsi="Arial" w:cs="Arial"/>
          <w:color w:val="000000"/>
          <w:sz w:val="21"/>
          <w:szCs w:val="21"/>
        </w:rPr>
        <w:t>5</w:t>
      </w:r>
      <w:r w:rsidRPr="00E05368">
        <w:rPr>
          <w:rFonts w:ascii="Arial" w:hAnsi="Arial" w:cs="Arial"/>
          <w:color w:val="000000"/>
          <w:sz w:val="21"/>
          <w:szCs w:val="21"/>
        </w:rPr>
        <w:t>、销售费用</w:t>
      </w:r>
    </w:p>
    <w:p w14:paraId="472EF421" w14:textId="7E9427D6" w:rsidR="0053025C" w:rsidRPr="00E05368" w:rsidRDefault="0053025C" w:rsidP="0053025C">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hint="eastAsia"/>
          <w:color w:val="000000"/>
          <w:sz w:val="21"/>
          <w:szCs w:val="21"/>
        </w:rPr>
        <w:t>销售费用为企业预售及销售过程中发生的广告费等销售费用，综合考虑项目的销售收入及项目本身的实际情况，按项目销售收入的</w:t>
      </w:r>
      <w:r w:rsidR="001A0F27">
        <w:rPr>
          <w:rFonts w:ascii="Arial" w:hAnsi="Arial" w:cs="Arial" w:hint="eastAsia"/>
          <w:color w:val="000000"/>
          <w:sz w:val="21"/>
          <w:szCs w:val="21"/>
        </w:rPr>
        <w:t>1</w:t>
      </w:r>
      <w:r w:rsidRPr="00E05368">
        <w:rPr>
          <w:rFonts w:ascii="Arial" w:hAnsi="Arial" w:cs="Arial"/>
          <w:color w:val="000000"/>
          <w:sz w:val="21"/>
          <w:szCs w:val="21"/>
        </w:rPr>
        <w:t>%</w:t>
      </w:r>
      <w:r w:rsidRPr="00E05368">
        <w:rPr>
          <w:rFonts w:ascii="Arial" w:hAnsi="Arial" w:cs="Arial"/>
          <w:color w:val="000000"/>
          <w:sz w:val="21"/>
          <w:szCs w:val="21"/>
        </w:rPr>
        <w:t>确定，销售费用为</w:t>
      </w:r>
      <w:r w:rsidR="001A0F27" w:rsidRPr="001A0F27">
        <w:rPr>
          <w:rFonts w:ascii="Arial" w:hAnsi="Arial" w:cs="Arial"/>
          <w:color w:val="000000"/>
          <w:sz w:val="21"/>
          <w:szCs w:val="21"/>
        </w:rPr>
        <w:t>4582</w:t>
      </w:r>
      <w:r w:rsidRPr="00E05368">
        <w:rPr>
          <w:rFonts w:ascii="Arial" w:hAnsi="Arial" w:cs="Arial"/>
          <w:color w:val="000000"/>
          <w:sz w:val="21"/>
          <w:szCs w:val="21"/>
        </w:rPr>
        <w:t>万元。</w:t>
      </w:r>
    </w:p>
    <w:p w14:paraId="6F587B37" w14:textId="77777777" w:rsidR="0053025C" w:rsidRPr="00E05368" w:rsidRDefault="0053025C" w:rsidP="0053025C">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6</w:t>
      </w:r>
      <w:r w:rsidRPr="00E05368">
        <w:rPr>
          <w:rFonts w:ascii="Arial" w:hAnsi="Arial" w:cs="Arial"/>
          <w:color w:val="000000"/>
          <w:sz w:val="21"/>
          <w:szCs w:val="21"/>
        </w:rPr>
        <w:t>、管理费用</w:t>
      </w:r>
    </w:p>
    <w:p w14:paraId="307BD608" w14:textId="732C5206" w:rsidR="0053025C" w:rsidRPr="00E05368" w:rsidRDefault="0053025C" w:rsidP="0053025C">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管理费用按照土地费用、前期工程费、房屋开发费及其他费用之和的</w:t>
      </w:r>
      <w:r w:rsidR="001A0F27">
        <w:rPr>
          <w:rFonts w:ascii="Arial" w:hAnsi="Arial" w:cs="Arial" w:hint="eastAsia"/>
          <w:color w:val="000000"/>
          <w:sz w:val="21"/>
          <w:szCs w:val="21"/>
        </w:rPr>
        <w:t>1.5</w:t>
      </w:r>
      <w:r w:rsidRPr="00E05368">
        <w:rPr>
          <w:rFonts w:ascii="Arial" w:hAnsi="Arial" w:cs="Arial"/>
          <w:color w:val="000000"/>
          <w:sz w:val="21"/>
          <w:szCs w:val="21"/>
        </w:rPr>
        <w:t>%</w:t>
      </w:r>
      <w:r w:rsidRPr="00E05368">
        <w:rPr>
          <w:rFonts w:ascii="Arial" w:hAnsi="Arial" w:cs="Arial"/>
          <w:color w:val="000000"/>
          <w:sz w:val="21"/>
          <w:szCs w:val="21"/>
        </w:rPr>
        <w:t>计算，合计为</w:t>
      </w:r>
      <w:r w:rsidR="001A0F27" w:rsidRPr="001A0F27">
        <w:rPr>
          <w:rFonts w:ascii="Arial" w:hAnsi="Arial" w:cs="Arial"/>
          <w:color w:val="000000"/>
          <w:sz w:val="21"/>
          <w:szCs w:val="21"/>
        </w:rPr>
        <w:t>1745</w:t>
      </w:r>
      <w:r w:rsidRPr="00E05368">
        <w:rPr>
          <w:rFonts w:ascii="Arial" w:hAnsi="Arial" w:cs="Arial"/>
          <w:color w:val="000000"/>
          <w:sz w:val="21"/>
          <w:szCs w:val="21"/>
        </w:rPr>
        <w:t>万元。</w:t>
      </w:r>
    </w:p>
    <w:p w14:paraId="19CEBDB6" w14:textId="77777777" w:rsidR="0053025C" w:rsidRPr="00E05368" w:rsidRDefault="0053025C" w:rsidP="0053025C">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hint="eastAsia"/>
          <w:color w:val="000000"/>
          <w:sz w:val="21"/>
          <w:szCs w:val="21"/>
        </w:rPr>
        <w:t>7</w:t>
      </w:r>
      <w:r w:rsidRPr="00E05368">
        <w:rPr>
          <w:rFonts w:ascii="Arial" w:hAnsi="Arial" w:cs="Arial" w:hint="eastAsia"/>
          <w:color w:val="000000"/>
          <w:sz w:val="21"/>
          <w:szCs w:val="21"/>
        </w:rPr>
        <w:t>、财务费用</w:t>
      </w:r>
    </w:p>
    <w:p w14:paraId="2B50A990" w14:textId="2F4D2C22" w:rsidR="0053025C" w:rsidRPr="00E05368" w:rsidRDefault="0053025C" w:rsidP="0053025C">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lastRenderedPageBreak/>
        <w:t>该部分财务费用为</w:t>
      </w:r>
      <w:r w:rsidRPr="008362F1">
        <w:rPr>
          <w:rFonts w:ascii="Arial" w:hAnsi="Arial" w:cs="Arial" w:hint="eastAsia"/>
          <w:color w:val="000000"/>
          <w:sz w:val="21"/>
          <w:szCs w:val="21"/>
        </w:rPr>
        <w:t>五矿信托股东借款</w:t>
      </w:r>
      <w:r w:rsidR="008669D0">
        <w:rPr>
          <w:rFonts w:ascii="Arial" w:hAnsi="Arial" w:cs="Arial" w:hint="eastAsia"/>
          <w:color w:val="000000"/>
          <w:sz w:val="21"/>
          <w:szCs w:val="21"/>
        </w:rPr>
        <w:t>、集团股东借款及银行</w:t>
      </w:r>
      <w:proofErr w:type="gramStart"/>
      <w:r w:rsidR="008669D0">
        <w:rPr>
          <w:rFonts w:ascii="Arial" w:hAnsi="Arial" w:cs="Arial" w:hint="eastAsia"/>
          <w:color w:val="000000"/>
          <w:sz w:val="21"/>
          <w:szCs w:val="21"/>
        </w:rPr>
        <w:t>开发贷所产生</w:t>
      </w:r>
      <w:proofErr w:type="gramEnd"/>
      <w:r w:rsidR="008669D0">
        <w:rPr>
          <w:rFonts w:ascii="Arial" w:hAnsi="Arial" w:cs="Arial" w:hint="eastAsia"/>
          <w:color w:val="000000"/>
          <w:sz w:val="21"/>
          <w:szCs w:val="21"/>
        </w:rPr>
        <w:t>的</w:t>
      </w:r>
      <w:proofErr w:type="gramStart"/>
      <w:r w:rsidR="008669D0">
        <w:rPr>
          <w:rFonts w:ascii="Arial" w:hAnsi="Arial" w:cs="Arial" w:hint="eastAsia"/>
          <w:color w:val="000000"/>
          <w:sz w:val="21"/>
          <w:szCs w:val="21"/>
        </w:rPr>
        <w:t>的</w:t>
      </w:r>
      <w:proofErr w:type="gramEnd"/>
      <w:r>
        <w:rPr>
          <w:rFonts w:ascii="Arial" w:hAnsi="Arial" w:cs="Arial" w:hint="eastAsia"/>
          <w:color w:val="000000"/>
          <w:sz w:val="21"/>
          <w:szCs w:val="21"/>
        </w:rPr>
        <w:t>利息</w:t>
      </w:r>
      <w:r w:rsidRPr="00E05368">
        <w:rPr>
          <w:rFonts w:ascii="Arial" w:hAnsi="Arial" w:cs="Arial"/>
          <w:color w:val="000000"/>
          <w:sz w:val="21"/>
          <w:szCs w:val="21"/>
        </w:rPr>
        <w:t>。</w:t>
      </w:r>
      <w:r w:rsidRPr="008362F1">
        <w:rPr>
          <w:rFonts w:ascii="Arial" w:hAnsi="Arial" w:cs="Arial" w:hint="eastAsia"/>
          <w:color w:val="000000"/>
          <w:sz w:val="21"/>
          <w:szCs w:val="21"/>
        </w:rPr>
        <w:t>五矿信托股东借款</w:t>
      </w:r>
      <w:r>
        <w:rPr>
          <w:rFonts w:ascii="Arial" w:hAnsi="Arial" w:cs="Arial" w:hint="eastAsia"/>
          <w:color w:val="000000"/>
          <w:sz w:val="21"/>
          <w:szCs w:val="21"/>
        </w:rPr>
        <w:t>利息</w:t>
      </w:r>
      <w:r w:rsidRPr="00E05368">
        <w:rPr>
          <w:rFonts w:ascii="Arial" w:hAnsi="Arial" w:cs="Arial" w:hint="eastAsia"/>
          <w:color w:val="000000"/>
          <w:sz w:val="21"/>
          <w:szCs w:val="21"/>
        </w:rPr>
        <w:t>按照五矿出资</w:t>
      </w:r>
      <w:r w:rsidR="008669D0" w:rsidRPr="008669D0">
        <w:rPr>
          <w:rFonts w:ascii="Arial" w:hAnsi="Arial" w:cs="Arial"/>
          <w:color w:val="000000"/>
          <w:sz w:val="21"/>
          <w:szCs w:val="21"/>
        </w:rPr>
        <w:t>174720</w:t>
      </w:r>
      <w:r w:rsidRPr="00E05368">
        <w:rPr>
          <w:rFonts w:ascii="Arial" w:hAnsi="Arial" w:cs="Arial" w:hint="eastAsia"/>
          <w:color w:val="000000"/>
          <w:sz w:val="21"/>
          <w:szCs w:val="21"/>
        </w:rPr>
        <w:t>万元，期限自</w:t>
      </w:r>
      <w:r w:rsidRPr="00E05368">
        <w:rPr>
          <w:rFonts w:ascii="Arial" w:hAnsi="Arial" w:cs="Arial" w:hint="eastAsia"/>
          <w:color w:val="000000"/>
          <w:sz w:val="21"/>
          <w:szCs w:val="21"/>
        </w:rPr>
        <w:t>202</w:t>
      </w:r>
      <w:r>
        <w:rPr>
          <w:rFonts w:ascii="Arial" w:hAnsi="Arial" w:cs="Arial" w:hint="eastAsia"/>
          <w:color w:val="000000"/>
          <w:sz w:val="21"/>
          <w:szCs w:val="21"/>
        </w:rPr>
        <w:t>1</w:t>
      </w:r>
      <w:r w:rsidRPr="00E05368">
        <w:rPr>
          <w:rFonts w:ascii="Arial" w:hAnsi="Arial" w:cs="Arial" w:hint="eastAsia"/>
          <w:color w:val="000000"/>
          <w:sz w:val="21"/>
          <w:szCs w:val="21"/>
        </w:rPr>
        <w:t>年</w:t>
      </w:r>
      <w:r w:rsidR="008669D0">
        <w:rPr>
          <w:rFonts w:ascii="Arial" w:hAnsi="Arial" w:cs="Arial" w:hint="eastAsia"/>
          <w:color w:val="000000"/>
          <w:sz w:val="21"/>
          <w:szCs w:val="21"/>
        </w:rPr>
        <w:t>7</w:t>
      </w:r>
      <w:r w:rsidRPr="00E05368">
        <w:rPr>
          <w:rFonts w:ascii="Arial" w:hAnsi="Arial" w:cs="Arial" w:hint="eastAsia"/>
          <w:color w:val="000000"/>
          <w:sz w:val="21"/>
          <w:szCs w:val="21"/>
        </w:rPr>
        <w:t>月</w:t>
      </w:r>
      <w:r w:rsidRPr="00E05368">
        <w:rPr>
          <w:rFonts w:ascii="Arial" w:hAnsi="Arial" w:cs="Arial" w:hint="eastAsia"/>
          <w:color w:val="000000"/>
          <w:sz w:val="21"/>
          <w:szCs w:val="21"/>
        </w:rPr>
        <w:t>1</w:t>
      </w:r>
      <w:r w:rsidRPr="00E05368">
        <w:rPr>
          <w:rFonts w:ascii="Arial" w:hAnsi="Arial" w:cs="Arial" w:hint="eastAsia"/>
          <w:color w:val="000000"/>
          <w:sz w:val="21"/>
          <w:szCs w:val="21"/>
        </w:rPr>
        <w:t>日至</w:t>
      </w:r>
      <w:r>
        <w:rPr>
          <w:rFonts w:ascii="Arial" w:hAnsi="Arial" w:cs="Arial" w:hint="eastAsia"/>
          <w:color w:val="000000"/>
          <w:sz w:val="21"/>
          <w:szCs w:val="21"/>
        </w:rPr>
        <w:t>202</w:t>
      </w:r>
      <w:r w:rsidR="008669D0">
        <w:rPr>
          <w:rFonts w:ascii="Arial" w:hAnsi="Arial" w:cs="Arial" w:hint="eastAsia"/>
          <w:color w:val="000000"/>
          <w:sz w:val="21"/>
          <w:szCs w:val="21"/>
        </w:rPr>
        <w:t>3</w:t>
      </w:r>
      <w:r w:rsidRPr="00E05368">
        <w:rPr>
          <w:rFonts w:ascii="Arial" w:hAnsi="Arial" w:cs="Arial" w:hint="eastAsia"/>
          <w:color w:val="000000"/>
          <w:sz w:val="21"/>
          <w:szCs w:val="21"/>
        </w:rPr>
        <w:t>年</w:t>
      </w:r>
      <w:r>
        <w:rPr>
          <w:rFonts w:ascii="Arial" w:hAnsi="Arial" w:cs="Arial" w:hint="eastAsia"/>
          <w:color w:val="000000"/>
          <w:sz w:val="21"/>
          <w:szCs w:val="21"/>
        </w:rPr>
        <w:t>6</w:t>
      </w:r>
      <w:r w:rsidRPr="00E05368">
        <w:rPr>
          <w:rFonts w:ascii="Arial" w:hAnsi="Arial" w:cs="Arial" w:hint="eastAsia"/>
          <w:color w:val="000000"/>
          <w:sz w:val="21"/>
          <w:szCs w:val="21"/>
        </w:rPr>
        <w:t>月</w:t>
      </w:r>
      <w:r>
        <w:rPr>
          <w:rFonts w:ascii="Arial" w:hAnsi="Arial" w:cs="Arial"/>
          <w:color w:val="000000"/>
          <w:sz w:val="21"/>
          <w:szCs w:val="21"/>
        </w:rPr>
        <w:t>3</w:t>
      </w:r>
      <w:r>
        <w:rPr>
          <w:rFonts w:ascii="Arial" w:hAnsi="Arial" w:cs="Arial" w:hint="eastAsia"/>
          <w:color w:val="000000"/>
          <w:sz w:val="21"/>
          <w:szCs w:val="21"/>
        </w:rPr>
        <w:t>0</w:t>
      </w:r>
      <w:r w:rsidRPr="00E05368">
        <w:rPr>
          <w:rFonts w:ascii="Arial" w:hAnsi="Arial" w:cs="Arial" w:hint="eastAsia"/>
          <w:color w:val="000000"/>
          <w:sz w:val="21"/>
          <w:szCs w:val="21"/>
        </w:rPr>
        <w:t>日，利率</w:t>
      </w:r>
      <w:r w:rsidR="008669D0">
        <w:rPr>
          <w:rFonts w:ascii="Arial" w:hAnsi="Arial" w:cs="Arial" w:hint="eastAsia"/>
          <w:color w:val="000000"/>
          <w:sz w:val="21"/>
          <w:szCs w:val="21"/>
        </w:rPr>
        <w:t>8.8</w:t>
      </w:r>
      <w:r w:rsidRPr="00E05368">
        <w:rPr>
          <w:rFonts w:ascii="Arial" w:hAnsi="Arial" w:cs="Arial" w:hint="eastAsia"/>
          <w:color w:val="000000"/>
          <w:sz w:val="21"/>
          <w:szCs w:val="21"/>
        </w:rPr>
        <w:t>%</w:t>
      </w:r>
      <w:r w:rsidR="008669D0">
        <w:rPr>
          <w:rFonts w:ascii="Arial" w:hAnsi="Arial" w:cs="Arial" w:hint="eastAsia"/>
          <w:color w:val="000000"/>
          <w:sz w:val="21"/>
          <w:szCs w:val="21"/>
        </w:rPr>
        <w:t>；集团股东借款利息按照集团出资</w:t>
      </w:r>
      <w:r w:rsidR="008669D0">
        <w:rPr>
          <w:rFonts w:ascii="Arial" w:hAnsi="Arial" w:cs="Arial"/>
          <w:color w:val="000000"/>
          <w:sz w:val="21"/>
          <w:szCs w:val="21"/>
        </w:rPr>
        <w:t>122</w:t>
      </w:r>
      <w:r w:rsidR="008669D0" w:rsidRPr="008669D0">
        <w:rPr>
          <w:rFonts w:ascii="Arial" w:hAnsi="Arial" w:cs="Arial"/>
          <w:color w:val="000000"/>
          <w:sz w:val="21"/>
          <w:szCs w:val="21"/>
        </w:rPr>
        <w:t>069</w:t>
      </w:r>
      <w:r w:rsidR="008669D0" w:rsidRPr="00E05368">
        <w:rPr>
          <w:rFonts w:ascii="Arial" w:hAnsi="Arial" w:cs="Arial" w:hint="eastAsia"/>
          <w:color w:val="000000"/>
          <w:sz w:val="21"/>
          <w:szCs w:val="21"/>
        </w:rPr>
        <w:t>万元，期限自</w:t>
      </w:r>
      <w:r w:rsidR="008669D0" w:rsidRPr="00E05368">
        <w:rPr>
          <w:rFonts w:ascii="Arial" w:hAnsi="Arial" w:cs="Arial" w:hint="eastAsia"/>
          <w:color w:val="000000"/>
          <w:sz w:val="21"/>
          <w:szCs w:val="21"/>
        </w:rPr>
        <w:t>202</w:t>
      </w:r>
      <w:r w:rsidR="008669D0">
        <w:rPr>
          <w:rFonts w:ascii="Arial" w:hAnsi="Arial" w:cs="Arial" w:hint="eastAsia"/>
          <w:color w:val="000000"/>
          <w:sz w:val="21"/>
          <w:szCs w:val="21"/>
        </w:rPr>
        <w:t>1</w:t>
      </w:r>
      <w:r w:rsidR="008669D0" w:rsidRPr="00E05368">
        <w:rPr>
          <w:rFonts w:ascii="Arial" w:hAnsi="Arial" w:cs="Arial" w:hint="eastAsia"/>
          <w:color w:val="000000"/>
          <w:sz w:val="21"/>
          <w:szCs w:val="21"/>
        </w:rPr>
        <w:t>年</w:t>
      </w:r>
      <w:r w:rsidR="008669D0">
        <w:rPr>
          <w:rFonts w:ascii="Arial" w:hAnsi="Arial" w:cs="Arial" w:hint="eastAsia"/>
          <w:color w:val="000000"/>
          <w:sz w:val="21"/>
          <w:szCs w:val="21"/>
        </w:rPr>
        <w:t>6</w:t>
      </w:r>
      <w:r w:rsidR="008669D0" w:rsidRPr="00E05368">
        <w:rPr>
          <w:rFonts w:ascii="Arial" w:hAnsi="Arial" w:cs="Arial" w:hint="eastAsia"/>
          <w:color w:val="000000"/>
          <w:sz w:val="21"/>
          <w:szCs w:val="21"/>
        </w:rPr>
        <w:t>月</w:t>
      </w:r>
      <w:r w:rsidR="008669D0" w:rsidRPr="00E05368">
        <w:rPr>
          <w:rFonts w:ascii="Arial" w:hAnsi="Arial" w:cs="Arial" w:hint="eastAsia"/>
          <w:color w:val="000000"/>
          <w:sz w:val="21"/>
          <w:szCs w:val="21"/>
        </w:rPr>
        <w:t>1</w:t>
      </w:r>
      <w:r w:rsidR="008669D0" w:rsidRPr="00E05368">
        <w:rPr>
          <w:rFonts w:ascii="Arial" w:hAnsi="Arial" w:cs="Arial" w:hint="eastAsia"/>
          <w:color w:val="000000"/>
          <w:sz w:val="21"/>
          <w:szCs w:val="21"/>
        </w:rPr>
        <w:t>日至</w:t>
      </w:r>
      <w:r w:rsidR="008669D0">
        <w:rPr>
          <w:rFonts w:ascii="Arial" w:hAnsi="Arial" w:cs="Arial" w:hint="eastAsia"/>
          <w:color w:val="000000"/>
          <w:sz w:val="21"/>
          <w:szCs w:val="21"/>
        </w:rPr>
        <w:t>2024</w:t>
      </w:r>
      <w:r w:rsidR="008669D0" w:rsidRPr="00E05368">
        <w:rPr>
          <w:rFonts w:ascii="Arial" w:hAnsi="Arial" w:cs="Arial" w:hint="eastAsia"/>
          <w:color w:val="000000"/>
          <w:sz w:val="21"/>
          <w:szCs w:val="21"/>
        </w:rPr>
        <w:t>年</w:t>
      </w:r>
      <w:r w:rsidR="008669D0">
        <w:rPr>
          <w:rFonts w:ascii="Arial" w:hAnsi="Arial" w:cs="Arial" w:hint="eastAsia"/>
          <w:color w:val="000000"/>
          <w:sz w:val="21"/>
          <w:szCs w:val="21"/>
        </w:rPr>
        <w:t>3</w:t>
      </w:r>
      <w:r w:rsidR="008669D0" w:rsidRPr="00E05368">
        <w:rPr>
          <w:rFonts w:ascii="Arial" w:hAnsi="Arial" w:cs="Arial" w:hint="eastAsia"/>
          <w:color w:val="000000"/>
          <w:sz w:val="21"/>
          <w:szCs w:val="21"/>
        </w:rPr>
        <w:t>月</w:t>
      </w:r>
      <w:r w:rsidR="008669D0">
        <w:rPr>
          <w:rFonts w:ascii="Arial" w:hAnsi="Arial" w:cs="Arial"/>
          <w:color w:val="000000"/>
          <w:sz w:val="21"/>
          <w:szCs w:val="21"/>
        </w:rPr>
        <w:t>3</w:t>
      </w:r>
      <w:r w:rsidR="008669D0">
        <w:rPr>
          <w:rFonts w:ascii="Arial" w:hAnsi="Arial" w:cs="Arial" w:hint="eastAsia"/>
          <w:color w:val="000000"/>
          <w:sz w:val="21"/>
          <w:szCs w:val="21"/>
        </w:rPr>
        <w:t>1</w:t>
      </w:r>
      <w:r w:rsidR="008669D0" w:rsidRPr="00E05368">
        <w:rPr>
          <w:rFonts w:ascii="Arial" w:hAnsi="Arial" w:cs="Arial" w:hint="eastAsia"/>
          <w:color w:val="000000"/>
          <w:sz w:val="21"/>
          <w:szCs w:val="21"/>
        </w:rPr>
        <w:t>日，利率</w:t>
      </w:r>
      <w:r w:rsidR="008669D0">
        <w:rPr>
          <w:rFonts w:ascii="Arial" w:hAnsi="Arial" w:cs="Arial" w:hint="eastAsia"/>
          <w:color w:val="000000"/>
          <w:sz w:val="21"/>
          <w:szCs w:val="21"/>
        </w:rPr>
        <w:t>8.8</w:t>
      </w:r>
      <w:r w:rsidR="008669D0" w:rsidRPr="00E05368">
        <w:rPr>
          <w:rFonts w:ascii="Arial" w:hAnsi="Arial" w:cs="Arial" w:hint="eastAsia"/>
          <w:color w:val="000000"/>
          <w:sz w:val="21"/>
          <w:szCs w:val="21"/>
        </w:rPr>
        <w:t>%</w:t>
      </w:r>
      <w:r w:rsidR="008669D0">
        <w:rPr>
          <w:rFonts w:ascii="Arial" w:hAnsi="Arial" w:cs="Arial" w:hint="eastAsia"/>
          <w:color w:val="000000"/>
          <w:sz w:val="21"/>
          <w:szCs w:val="21"/>
        </w:rPr>
        <w:t>；</w:t>
      </w:r>
      <w:r w:rsidR="008669D0" w:rsidRPr="008669D0">
        <w:rPr>
          <w:rFonts w:ascii="Arial" w:hAnsi="Arial" w:cs="Arial" w:hint="eastAsia"/>
          <w:color w:val="000000"/>
          <w:sz w:val="21"/>
          <w:szCs w:val="21"/>
        </w:rPr>
        <w:t>银行开发贷</w:t>
      </w:r>
      <w:r w:rsidR="008669D0">
        <w:rPr>
          <w:rFonts w:ascii="Arial" w:hAnsi="Arial" w:cs="Arial" w:hint="eastAsia"/>
          <w:color w:val="000000"/>
          <w:sz w:val="21"/>
          <w:szCs w:val="21"/>
        </w:rPr>
        <w:t>利息按照出资</w:t>
      </w:r>
      <w:r w:rsidR="008669D0" w:rsidRPr="008669D0">
        <w:rPr>
          <w:rFonts w:ascii="Arial" w:hAnsi="Arial" w:cs="Arial"/>
          <w:color w:val="000000"/>
          <w:sz w:val="21"/>
          <w:szCs w:val="21"/>
        </w:rPr>
        <w:t>18000</w:t>
      </w:r>
      <w:r w:rsidR="008669D0" w:rsidRPr="00E05368">
        <w:rPr>
          <w:rFonts w:ascii="Arial" w:hAnsi="Arial" w:cs="Arial" w:hint="eastAsia"/>
          <w:color w:val="000000"/>
          <w:sz w:val="21"/>
          <w:szCs w:val="21"/>
        </w:rPr>
        <w:t>万元，期限自</w:t>
      </w:r>
      <w:r w:rsidR="008669D0" w:rsidRPr="00E05368">
        <w:rPr>
          <w:rFonts w:ascii="Arial" w:hAnsi="Arial" w:cs="Arial" w:hint="eastAsia"/>
          <w:color w:val="000000"/>
          <w:sz w:val="21"/>
          <w:szCs w:val="21"/>
        </w:rPr>
        <w:t>202</w:t>
      </w:r>
      <w:r w:rsidR="008669D0">
        <w:rPr>
          <w:rFonts w:ascii="Arial" w:hAnsi="Arial" w:cs="Arial" w:hint="eastAsia"/>
          <w:color w:val="000000"/>
          <w:sz w:val="21"/>
          <w:szCs w:val="21"/>
        </w:rPr>
        <w:t>2</w:t>
      </w:r>
      <w:r w:rsidR="008669D0" w:rsidRPr="00E05368">
        <w:rPr>
          <w:rFonts w:ascii="Arial" w:hAnsi="Arial" w:cs="Arial" w:hint="eastAsia"/>
          <w:color w:val="000000"/>
          <w:sz w:val="21"/>
          <w:szCs w:val="21"/>
        </w:rPr>
        <w:t>年</w:t>
      </w:r>
      <w:r w:rsidR="008669D0">
        <w:rPr>
          <w:rFonts w:ascii="Arial" w:hAnsi="Arial" w:cs="Arial" w:hint="eastAsia"/>
          <w:color w:val="000000"/>
          <w:sz w:val="21"/>
          <w:szCs w:val="21"/>
        </w:rPr>
        <w:t>1</w:t>
      </w:r>
      <w:r w:rsidR="008669D0" w:rsidRPr="00E05368">
        <w:rPr>
          <w:rFonts w:ascii="Arial" w:hAnsi="Arial" w:cs="Arial" w:hint="eastAsia"/>
          <w:color w:val="000000"/>
          <w:sz w:val="21"/>
          <w:szCs w:val="21"/>
        </w:rPr>
        <w:t>月</w:t>
      </w:r>
      <w:r w:rsidR="008669D0" w:rsidRPr="00E05368">
        <w:rPr>
          <w:rFonts w:ascii="Arial" w:hAnsi="Arial" w:cs="Arial" w:hint="eastAsia"/>
          <w:color w:val="000000"/>
          <w:sz w:val="21"/>
          <w:szCs w:val="21"/>
        </w:rPr>
        <w:t>1</w:t>
      </w:r>
      <w:r w:rsidR="008669D0" w:rsidRPr="00E05368">
        <w:rPr>
          <w:rFonts w:ascii="Arial" w:hAnsi="Arial" w:cs="Arial" w:hint="eastAsia"/>
          <w:color w:val="000000"/>
          <w:sz w:val="21"/>
          <w:szCs w:val="21"/>
        </w:rPr>
        <w:t>日至</w:t>
      </w:r>
      <w:r w:rsidR="008669D0">
        <w:rPr>
          <w:rFonts w:ascii="Arial" w:hAnsi="Arial" w:cs="Arial" w:hint="eastAsia"/>
          <w:color w:val="000000"/>
          <w:sz w:val="21"/>
          <w:szCs w:val="21"/>
        </w:rPr>
        <w:t>2022</w:t>
      </w:r>
      <w:r w:rsidR="008669D0" w:rsidRPr="00E05368">
        <w:rPr>
          <w:rFonts w:ascii="Arial" w:hAnsi="Arial" w:cs="Arial" w:hint="eastAsia"/>
          <w:color w:val="000000"/>
          <w:sz w:val="21"/>
          <w:szCs w:val="21"/>
        </w:rPr>
        <w:t>年</w:t>
      </w:r>
      <w:r w:rsidR="008669D0">
        <w:rPr>
          <w:rFonts w:ascii="Arial" w:hAnsi="Arial" w:cs="Arial" w:hint="eastAsia"/>
          <w:color w:val="000000"/>
          <w:sz w:val="21"/>
          <w:szCs w:val="21"/>
        </w:rPr>
        <w:t>6</w:t>
      </w:r>
      <w:r w:rsidR="008669D0" w:rsidRPr="00E05368">
        <w:rPr>
          <w:rFonts w:ascii="Arial" w:hAnsi="Arial" w:cs="Arial" w:hint="eastAsia"/>
          <w:color w:val="000000"/>
          <w:sz w:val="21"/>
          <w:szCs w:val="21"/>
        </w:rPr>
        <w:t>月</w:t>
      </w:r>
      <w:r w:rsidR="008669D0">
        <w:rPr>
          <w:rFonts w:ascii="Arial" w:hAnsi="Arial" w:cs="Arial"/>
          <w:color w:val="000000"/>
          <w:sz w:val="21"/>
          <w:szCs w:val="21"/>
        </w:rPr>
        <w:t>3</w:t>
      </w:r>
      <w:r w:rsidR="008669D0">
        <w:rPr>
          <w:rFonts w:ascii="Arial" w:hAnsi="Arial" w:cs="Arial" w:hint="eastAsia"/>
          <w:color w:val="000000"/>
          <w:sz w:val="21"/>
          <w:szCs w:val="21"/>
        </w:rPr>
        <w:t>0</w:t>
      </w:r>
      <w:r w:rsidR="008669D0" w:rsidRPr="00E05368">
        <w:rPr>
          <w:rFonts w:ascii="Arial" w:hAnsi="Arial" w:cs="Arial" w:hint="eastAsia"/>
          <w:color w:val="000000"/>
          <w:sz w:val="21"/>
          <w:szCs w:val="21"/>
        </w:rPr>
        <w:t>日，利率</w:t>
      </w:r>
      <w:r w:rsidR="008669D0">
        <w:rPr>
          <w:rFonts w:ascii="Arial" w:hAnsi="Arial" w:cs="Arial" w:hint="eastAsia"/>
          <w:color w:val="000000"/>
          <w:sz w:val="21"/>
          <w:szCs w:val="21"/>
        </w:rPr>
        <w:t>6</w:t>
      </w:r>
      <w:r w:rsidR="008669D0" w:rsidRPr="00E05368">
        <w:rPr>
          <w:rFonts w:ascii="Arial" w:hAnsi="Arial" w:cs="Arial" w:hint="eastAsia"/>
          <w:color w:val="000000"/>
          <w:sz w:val="21"/>
          <w:szCs w:val="21"/>
        </w:rPr>
        <w:t>%</w:t>
      </w:r>
      <w:r w:rsidR="008669D0">
        <w:rPr>
          <w:rFonts w:ascii="Arial" w:hAnsi="Arial" w:cs="Arial" w:hint="eastAsia"/>
          <w:color w:val="000000"/>
          <w:sz w:val="21"/>
          <w:szCs w:val="21"/>
        </w:rPr>
        <w:t>；</w:t>
      </w:r>
      <w:r w:rsidRPr="00E05368">
        <w:rPr>
          <w:rFonts w:ascii="Arial" w:hAnsi="Arial" w:cs="Arial"/>
          <w:color w:val="000000"/>
          <w:sz w:val="21"/>
          <w:szCs w:val="21"/>
        </w:rPr>
        <w:t>按照实际放款进度计算，</w:t>
      </w:r>
      <w:r>
        <w:rPr>
          <w:rFonts w:ascii="Arial" w:hAnsi="Arial" w:cs="Arial" w:hint="eastAsia"/>
          <w:color w:val="000000"/>
          <w:sz w:val="21"/>
          <w:szCs w:val="21"/>
        </w:rPr>
        <w:t>利息</w:t>
      </w:r>
      <w:r w:rsidR="008669D0">
        <w:rPr>
          <w:rFonts w:ascii="Arial" w:hAnsi="Arial" w:cs="Arial" w:hint="eastAsia"/>
          <w:color w:val="000000"/>
          <w:sz w:val="21"/>
          <w:szCs w:val="21"/>
        </w:rPr>
        <w:t>合计</w:t>
      </w:r>
      <w:r w:rsidRPr="00E05368">
        <w:rPr>
          <w:rFonts w:ascii="Arial" w:hAnsi="Arial" w:cs="Arial"/>
          <w:color w:val="000000"/>
          <w:sz w:val="21"/>
          <w:szCs w:val="21"/>
        </w:rPr>
        <w:t>为</w:t>
      </w:r>
      <w:r w:rsidR="008669D0" w:rsidRPr="008669D0">
        <w:rPr>
          <w:rFonts w:ascii="Arial" w:hAnsi="Arial" w:cs="Arial"/>
          <w:color w:val="000000"/>
          <w:sz w:val="21"/>
          <w:szCs w:val="21"/>
        </w:rPr>
        <w:t>48551</w:t>
      </w:r>
      <w:r w:rsidRPr="00E05368">
        <w:rPr>
          <w:rFonts w:ascii="Arial" w:hAnsi="Arial" w:cs="Arial"/>
          <w:color w:val="000000"/>
          <w:sz w:val="21"/>
          <w:szCs w:val="21"/>
        </w:rPr>
        <w:t>万元。</w:t>
      </w:r>
      <w:r>
        <w:rPr>
          <w:rFonts w:ascii="Arial" w:hAnsi="Arial" w:cs="Arial" w:hint="eastAsia"/>
          <w:color w:val="000000"/>
          <w:sz w:val="21"/>
          <w:szCs w:val="21"/>
        </w:rPr>
        <w:t>即：</w:t>
      </w:r>
      <w:r w:rsidRPr="00E05368">
        <w:rPr>
          <w:rFonts w:ascii="Arial" w:hAnsi="Arial" w:cs="Arial"/>
          <w:color w:val="000000"/>
          <w:sz w:val="21"/>
          <w:szCs w:val="21"/>
        </w:rPr>
        <w:t>财务费用为</w:t>
      </w:r>
      <w:r w:rsidR="008669D0" w:rsidRPr="008669D0">
        <w:rPr>
          <w:rFonts w:ascii="Arial" w:hAnsi="Arial" w:cs="Arial"/>
          <w:color w:val="000000"/>
          <w:sz w:val="21"/>
          <w:szCs w:val="21"/>
        </w:rPr>
        <w:t>48551</w:t>
      </w:r>
      <w:r w:rsidRPr="00E05368">
        <w:rPr>
          <w:rFonts w:ascii="Arial" w:hAnsi="Arial" w:cs="Arial"/>
          <w:color w:val="000000"/>
          <w:sz w:val="21"/>
          <w:szCs w:val="21"/>
        </w:rPr>
        <w:t>万元</w:t>
      </w:r>
      <w:r w:rsidRPr="00E05368">
        <w:rPr>
          <w:rFonts w:ascii="Arial" w:hAnsi="Arial" w:cs="Arial" w:hint="eastAsia"/>
          <w:color w:val="000000"/>
          <w:sz w:val="21"/>
          <w:szCs w:val="21"/>
        </w:rPr>
        <w:t>。</w:t>
      </w:r>
    </w:p>
    <w:p w14:paraId="5085C6DD" w14:textId="77777777" w:rsidR="0053025C" w:rsidRPr="00E05368" w:rsidRDefault="0053025C" w:rsidP="0053025C">
      <w:pPr>
        <w:adjustRightInd w:val="0"/>
        <w:snapToGrid w:val="0"/>
        <w:spacing w:line="480" w:lineRule="auto"/>
        <w:ind w:firstLineChars="200" w:firstLine="420"/>
        <w:rPr>
          <w:rFonts w:ascii="Arial" w:hAnsi="Arial" w:cs="Arial"/>
          <w:bCs/>
          <w:color w:val="000000"/>
          <w:sz w:val="21"/>
          <w:szCs w:val="21"/>
        </w:rPr>
      </w:pPr>
      <w:r w:rsidRPr="00E05368">
        <w:rPr>
          <w:rFonts w:ascii="Arial" w:hAnsi="Arial" w:cs="Arial"/>
          <w:bCs/>
          <w:color w:val="000000"/>
          <w:sz w:val="21"/>
          <w:szCs w:val="21"/>
        </w:rPr>
        <w:t>8</w:t>
      </w:r>
      <w:r w:rsidRPr="00E05368">
        <w:rPr>
          <w:rFonts w:ascii="Arial" w:hAnsi="Arial" w:cs="Arial"/>
          <w:bCs/>
          <w:color w:val="000000"/>
          <w:sz w:val="21"/>
          <w:szCs w:val="21"/>
        </w:rPr>
        <w:t>、不可预见费</w:t>
      </w:r>
    </w:p>
    <w:p w14:paraId="372AE60D" w14:textId="7B56AB9A" w:rsidR="0053025C" w:rsidRPr="00E05368" w:rsidRDefault="0053025C" w:rsidP="0053025C">
      <w:pPr>
        <w:adjustRightInd w:val="0"/>
        <w:snapToGrid w:val="0"/>
        <w:spacing w:line="480" w:lineRule="auto"/>
        <w:ind w:firstLineChars="200" w:firstLine="420"/>
        <w:rPr>
          <w:rFonts w:ascii="Arial" w:hAnsi="Arial" w:cs="Arial"/>
          <w:bCs/>
          <w:color w:val="000000"/>
          <w:sz w:val="21"/>
          <w:szCs w:val="21"/>
        </w:rPr>
      </w:pPr>
      <w:r w:rsidRPr="00E05368">
        <w:rPr>
          <w:rFonts w:ascii="Arial" w:hAnsi="Arial" w:cs="Arial"/>
          <w:bCs/>
          <w:color w:val="000000"/>
          <w:sz w:val="21"/>
          <w:szCs w:val="21"/>
        </w:rPr>
        <w:t>不可预见费按照土地费用、前期工程费、房屋开发费及其他费用之和的</w:t>
      </w:r>
      <w:r>
        <w:rPr>
          <w:rFonts w:ascii="Arial" w:hAnsi="Arial" w:cs="Arial" w:hint="eastAsia"/>
          <w:bCs/>
          <w:color w:val="000000"/>
          <w:sz w:val="21"/>
          <w:szCs w:val="21"/>
        </w:rPr>
        <w:t>1.0</w:t>
      </w:r>
      <w:r w:rsidRPr="00E05368">
        <w:rPr>
          <w:rFonts w:ascii="Arial" w:hAnsi="Arial" w:cs="Arial"/>
          <w:bCs/>
          <w:color w:val="000000"/>
          <w:sz w:val="21"/>
          <w:szCs w:val="21"/>
        </w:rPr>
        <w:t>%</w:t>
      </w:r>
      <w:r w:rsidRPr="00E05368">
        <w:rPr>
          <w:rFonts w:ascii="Arial" w:hAnsi="Arial" w:cs="Arial"/>
          <w:bCs/>
          <w:color w:val="000000"/>
          <w:sz w:val="21"/>
          <w:szCs w:val="21"/>
        </w:rPr>
        <w:t>计算</w:t>
      </w:r>
      <w:r w:rsidRPr="00E05368">
        <w:rPr>
          <w:rFonts w:ascii="Arial" w:hAnsi="Arial" w:cs="Arial" w:hint="eastAsia"/>
          <w:bCs/>
          <w:color w:val="000000"/>
          <w:sz w:val="21"/>
          <w:szCs w:val="21"/>
        </w:rPr>
        <w:t>（考虑项目有可能发生的融资成本等）</w:t>
      </w:r>
      <w:r w:rsidRPr="00E05368">
        <w:rPr>
          <w:rFonts w:ascii="Arial" w:hAnsi="Arial" w:cs="Arial"/>
          <w:bCs/>
          <w:color w:val="000000"/>
          <w:sz w:val="21"/>
          <w:szCs w:val="21"/>
        </w:rPr>
        <w:t>，为</w:t>
      </w:r>
      <w:r w:rsidR="008669D0" w:rsidRPr="008669D0">
        <w:rPr>
          <w:rFonts w:ascii="Arial" w:hAnsi="Arial" w:cs="Arial"/>
          <w:bCs/>
          <w:color w:val="000000"/>
          <w:sz w:val="21"/>
          <w:szCs w:val="21"/>
        </w:rPr>
        <w:t>1163</w:t>
      </w:r>
      <w:r w:rsidRPr="00E05368">
        <w:rPr>
          <w:rFonts w:ascii="Arial" w:hAnsi="Arial" w:cs="Arial"/>
          <w:bCs/>
          <w:color w:val="000000"/>
          <w:sz w:val="21"/>
          <w:szCs w:val="21"/>
        </w:rPr>
        <w:t>万元。</w:t>
      </w:r>
    </w:p>
    <w:p w14:paraId="03C84B6E" w14:textId="77777777" w:rsidR="0053025C" w:rsidRPr="00E05368" w:rsidRDefault="0053025C" w:rsidP="0053025C">
      <w:pPr>
        <w:adjustRightInd w:val="0"/>
        <w:snapToGrid w:val="0"/>
        <w:spacing w:line="480" w:lineRule="auto"/>
        <w:ind w:firstLineChars="200" w:firstLine="420"/>
        <w:rPr>
          <w:rFonts w:ascii="Arial" w:hAnsi="Arial" w:cs="Arial"/>
          <w:bCs/>
          <w:color w:val="000000"/>
          <w:sz w:val="21"/>
          <w:szCs w:val="21"/>
        </w:rPr>
      </w:pPr>
      <w:r w:rsidRPr="00E05368">
        <w:rPr>
          <w:rFonts w:ascii="Arial" w:hAnsi="Arial" w:cs="Arial"/>
          <w:bCs/>
          <w:color w:val="000000"/>
          <w:sz w:val="21"/>
          <w:szCs w:val="21"/>
        </w:rPr>
        <w:t>9</w:t>
      </w:r>
      <w:r w:rsidRPr="00E05368">
        <w:rPr>
          <w:rFonts w:ascii="Arial" w:hAnsi="Arial" w:cs="Arial"/>
          <w:bCs/>
          <w:color w:val="000000"/>
          <w:sz w:val="21"/>
          <w:szCs w:val="21"/>
        </w:rPr>
        <w:t>、投资估算合计</w:t>
      </w:r>
    </w:p>
    <w:p w14:paraId="3602721C" w14:textId="1652B0CE" w:rsidR="0053025C" w:rsidRPr="00E05368" w:rsidRDefault="0053025C" w:rsidP="0053025C">
      <w:pPr>
        <w:adjustRightInd w:val="0"/>
        <w:snapToGrid w:val="0"/>
        <w:spacing w:line="480" w:lineRule="auto"/>
        <w:ind w:firstLineChars="200" w:firstLine="420"/>
        <w:rPr>
          <w:rFonts w:ascii="Arial" w:hAnsi="Arial" w:cs="Arial"/>
          <w:bCs/>
          <w:color w:val="000000"/>
          <w:sz w:val="21"/>
          <w:szCs w:val="21"/>
        </w:rPr>
      </w:pPr>
      <w:r w:rsidRPr="00E05368">
        <w:rPr>
          <w:rFonts w:ascii="Arial" w:hAnsi="Arial" w:cs="Arial"/>
          <w:bCs/>
          <w:color w:val="000000"/>
          <w:sz w:val="21"/>
          <w:szCs w:val="21"/>
        </w:rPr>
        <w:t>经测算，项目总投资为</w:t>
      </w:r>
      <w:r w:rsidR="008669D0" w:rsidRPr="008669D0">
        <w:rPr>
          <w:rFonts w:ascii="Arial" w:hAnsi="Arial" w:cs="Arial"/>
          <w:bCs/>
          <w:color w:val="000000"/>
          <w:sz w:val="21"/>
          <w:szCs w:val="21"/>
        </w:rPr>
        <w:t>436207</w:t>
      </w:r>
      <w:r w:rsidRPr="00E05368">
        <w:rPr>
          <w:rFonts w:ascii="Arial" w:hAnsi="Arial" w:cs="Arial"/>
          <w:bCs/>
          <w:color w:val="000000"/>
          <w:sz w:val="21"/>
          <w:szCs w:val="21"/>
        </w:rPr>
        <w:t>万元。各项</w:t>
      </w:r>
      <w:proofErr w:type="gramStart"/>
      <w:r w:rsidRPr="00E05368">
        <w:rPr>
          <w:rFonts w:ascii="Arial" w:hAnsi="Arial" w:cs="Arial"/>
          <w:bCs/>
          <w:color w:val="000000"/>
          <w:sz w:val="21"/>
          <w:szCs w:val="21"/>
        </w:rPr>
        <w:t>目投资</w:t>
      </w:r>
      <w:proofErr w:type="gramEnd"/>
      <w:r w:rsidRPr="00E05368">
        <w:rPr>
          <w:rFonts w:ascii="Arial" w:hAnsi="Arial" w:cs="Arial"/>
          <w:bCs/>
          <w:color w:val="000000"/>
          <w:sz w:val="21"/>
          <w:szCs w:val="21"/>
        </w:rPr>
        <w:t>构成如下：</w:t>
      </w:r>
    </w:p>
    <w:tbl>
      <w:tblPr>
        <w:tblW w:w="9299" w:type="dxa"/>
        <w:jc w:val="center"/>
        <w:tblLayout w:type="fixed"/>
        <w:tblCellMar>
          <w:top w:w="57" w:type="dxa"/>
          <w:left w:w="57" w:type="dxa"/>
          <w:bottom w:w="57" w:type="dxa"/>
          <w:right w:w="57" w:type="dxa"/>
        </w:tblCellMar>
        <w:tblLook w:val="0000" w:firstRow="0" w:lastRow="0" w:firstColumn="0" w:lastColumn="0" w:noHBand="0" w:noVBand="0"/>
      </w:tblPr>
      <w:tblGrid>
        <w:gridCol w:w="2108"/>
        <w:gridCol w:w="2108"/>
        <w:gridCol w:w="2107"/>
        <w:gridCol w:w="2976"/>
      </w:tblGrid>
      <w:tr w:rsidR="0053025C" w:rsidRPr="00E05368" w14:paraId="0269411D" w14:textId="77777777" w:rsidTr="007B3231">
        <w:trPr>
          <w:cantSplit/>
          <w:trHeight w:val="283"/>
          <w:jc w:val="center"/>
        </w:trPr>
        <w:tc>
          <w:tcPr>
            <w:tcW w:w="1133" w:type="pct"/>
            <w:tcBorders>
              <w:top w:val="single" w:sz="4" w:space="0" w:color="auto"/>
              <w:left w:val="single" w:sz="4" w:space="0" w:color="auto"/>
              <w:bottom w:val="single" w:sz="4" w:space="0" w:color="auto"/>
              <w:right w:val="single" w:sz="4" w:space="0" w:color="auto"/>
            </w:tcBorders>
            <w:shd w:val="clear" w:color="auto" w:fill="FFFFFF"/>
            <w:noWrap/>
            <w:vAlign w:val="center"/>
          </w:tcPr>
          <w:p w14:paraId="16E06A06" w14:textId="77777777" w:rsidR="0053025C" w:rsidRPr="00E05368" w:rsidRDefault="0053025C" w:rsidP="007B3231">
            <w:pPr>
              <w:spacing w:line="240" w:lineRule="exact"/>
              <w:rPr>
                <w:rFonts w:ascii="Arial" w:eastAsia="华文细黑" w:hAnsi="Arial" w:cs="Arial"/>
                <w:sz w:val="18"/>
                <w:szCs w:val="18"/>
              </w:rPr>
            </w:pPr>
            <w:r w:rsidRPr="00E05368">
              <w:rPr>
                <w:rFonts w:ascii="Arial" w:eastAsia="华文细黑" w:hAnsi="Arial" w:cs="Arial"/>
                <w:sz w:val="18"/>
                <w:szCs w:val="18"/>
              </w:rPr>
              <w:t>项</w:t>
            </w:r>
            <w:r w:rsidRPr="00E05368">
              <w:rPr>
                <w:rFonts w:ascii="Arial" w:eastAsia="华文细黑" w:hAnsi="Arial" w:cs="Arial"/>
                <w:sz w:val="18"/>
                <w:szCs w:val="18"/>
              </w:rPr>
              <w:t xml:space="preserve">        </w:t>
            </w:r>
            <w:r w:rsidRPr="00E05368">
              <w:rPr>
                <w:rFonts w:ascii="Arial" w:eastAsia="华文细黑" w:hAnsi="Arial" w:cs="Arial"/>
                <w:sz w:val="18"/>
                <w:szCs w:val="18"/>
              </w:rPr>
              <w:t>目</w:t>
            </w:r>
          </w:p>
        </w:tc>
        <w:tc>
          <w:tcPr>
            <w:tcW w:w="1133" w:type="pct"/>
            <w:tcBorders>
              <w:top w:val="single" w:sz="4" w:space="0" w:color="auto"/>
              <w:left w:val="nil"/>
              <w:bottom w:val="single" w:sz="4" w:space="0" w:color="auto"/>
              <w:right w:val="single" w:sz="4" w:space="0" w:color="auto"/>
            </w:tcBorders>
            <w:shd w:val="clear" w:color="auto" w:fill="FFFFFF"/>
            <w:noWrap/>
            <w:vAlign w:val="center"/>
          </w:tcPr>
          <w:p w14:paraId="3A503774" w14:textId="77777777" w:rsidR="0053025C" w:rsidRPr="00E05368" w:rsidRDefault="0053025C" w:rsidP="007B3231">
            <w:pPr>
              <w:spacing w:line="240" w:lineRule="exact"/>
              <w:rPr>
                <w:rFonts w:ascii="Arial" w:eastAsia="华文细黑" w:hAnsi="Arial" w:cs="Arial"/>
                <w:sz w:val="18"/>
                <w:szCs w:val="18"/>
              </w:rPr>
            </w:pPr>
            <w:r w:rsidRPr="00E05368">
              <w:rPr>
                <w:rFonts w:ascii="Arial" w:eastAsia="华文细黑" w:hAnsi="Arial" w:cs="Arial"/>
                <w:sz w:val="18"/>
                <w:szCs w:val="18"/>
              </w:rPr>
              <w:t>投资额（万元）</w:t>
            </w:r>
          </w:p>
        </w:tc>
        <w:tc>
          <w:tcPr>
            <w:tcW w:w="1133" w:type="pct"/>
            <w:tcBorders>
              <w:top w:val="single" w:sz="4" w:space="0" w:color="auto"/>
              <w:left w:val="nil"/>
              <w:bottom w:val="single" w:sz="4" w:space="0" w:color="auto"/>
              <w:right w:val="single" w:sz="4" w:space="0" w:color="auto"/>
            </w:tcBorders>
            <w:shd w:val="clear" w:color="auto" w:fill="FFFFFF"/>
            <w:noWrap/>
            <w:vAlign w:val="center"/>
          </w:tcPr>
          <w:p w14:paraId="326C3DB9" w14:textId="77777777" w:rsidR="0053025C" w:rsidRPr="00E05368" w:rsidRDefault="0053025C" w:rsidP="007B3231">
            <w:pPr>
              <w:spacing w:line="240" w:lineRule="exact"/>
              <w:rPr>
                <w:rFonts w:ascii="Arial" w:eastAsia="华文细黑" w:hAnsi="Arial" w:cs="Arial"/>
                <w:sz w:val="18"/>
                <w:szCs w:val="18"/>
              </w:rPr>
            </w:pPr>
            <w:r w:rsidRPr="00E05368">
              <w:rPr>
                <w:rFonts w:ascii="Arial" w:eastAsia="华文细黑" w:hAnsi="Arial" w:cs="Arial"/>
                <w:sz w:val="18"/>
                <w:szCs w:val="18"/>
              </w:rPr>
              <w:t>占项目总投资比例</w:t>
            </w:r>
          </w:p>
        </w:tc>
        <w:tc>
          <w:tcPr>
            <w:tcW w:w="1600" w:type="pct"/>
            <w:tcBorders>
              <w:top w:val="single" w:sz="4" w:space="0" w:color="auto"/>
              <w:left w:val="nil"/>
              <w:bottom w:val="single" w:sz="4" w:space="0" w:color="auto"/>
              <w:right w:val="single" w:sz="4" w:space="0" w:color="auto"/>
            </w:tcBorders>
            <w:shd w:val="clear" w:color="auto" w:fill="FFFFFF"/>
            <w:noWrap/>
            <w:vAlign w:val="center"/>
          </w:tcPr>
          <w:p w14:paraId="7D88C136" w14:textId="77777777" w:rsidR="0053025C" w:rsidRPr="00E05368" w:rsidRDefault="0053025C" w:rsidP="007B3231">
            <w:pPr>
              <w:spacing w:line="240" w:lineRule="exact"/>
              <w:rPr>
                <w:rFonts w:ascii="Arial" w:eastAsia="华文细黑" w:hAnsi="Arial" w:cs="Arial"/>
                <w:sz w:val="18"/>
                <w:szCs w:val="18"/>
              </w:rPr>
            </w:pPr>
            <w:r w:rsidRPr="00E05368">
              <w:rPr>
                <w:rFonts w:ascii="Arial" w:eastAsia="华文细黑" w:hAnsi="Arial" w:cs="Arial"/>
                <w:sz w:val="18"/>
                <w:szCs w:val="18"/>
              </w:rPr>
              <w:t>建筑面积单方造价（元</w:t>
            </w:r>
            <w:r w:rsidRPr="00E05368">
              <w:rPr>
                <w:rFonts w:ascii="Arial" w:eastAsia="华文细黑" w:hAnsi="Arial" w:cs="Arial"/>
                <w:sz w:val="18"/>
                <w:szCs w:val="18"/>
              </w:rPr>
              <w:t>/</w:t>
            </w:r>
            <w:r w:rsidRPr="00E05368">
              <w:rPr>
                <w:rFonts w:ascii="Arial" w:eastAsia="华文细黑" w:hAnsi="Arial" w:cs="Arial"/>
                <w:sz w:val="18"/>
                <w:szCs w:val="18"/>
              </w:rPr>
              <w:t>平方米）</w:t>
            </w:r>
          </w:p>
        </w:tc>
      </w:tr>
      <w:tr w:rsidR="0053025C" w:rsidRPr="00E05368" w14:paraId="3ADCC3F4" w14:textId="77777777" w:rsidTr="007B3231">
        <w:trPr>
          <w:cantSplit/>
          <w:trHeight w:val="283"/>
          <w:jc w:val="center"/>
        </w:trPr>
        <w:tc>
          <w:tcPr>
            <w:tcW w:w="1133" w:type="pct"/>
            <w:tcBorders>
              <w:top w:val="nil"/>
              <w:left w:val="single" w:sz="4" w:space="0" w:color="auto"/>
              <w:bottom w:val="single" w:sz="4" w:space="0" w:color="auto"/>
              <w:right w:val="single" w:sz="4" w:space="0" w:color="auto"/>
            </w:tcBorders>
            <w:shd w:val="clear" w:color="auto" w:fill="FFFFFF"/>
            <w:noWrap/>
            <w:vAlign w:val="center"/>
          </w:tcPr>
          <w:p w14:paraId="1AF398D4" w14:textId="77777777" w:rsidR="0053025C" w:rsidRPr="00E05368" w:rsidRDefault="0053025C" w:rsidP="007B3231">
            <w:pPr>
              <w:spacing w:line="240" w:lineRule="exact"/>
              <w:jc w:val="both"/>
              <w:rPr>
                <w:rFonts w:ascii="Arial" w:eastAsia="华文细黑" w:hAnsi="Arial" w:cs="Arial"/>
                <w:sz w:val="18"/>
                <w:szCs w:val="18"/>
              </w:rPr>
            </w:pPr>
            <w:r w:rsidRPr="00E05368">
              <w:rPr>
                <w:rFonts w:ascii="Arial" w:eastAsia="华文细黑" w:hAnsi="Arial" w:cs="Arial"/>
                <w:sz w:val="18"/>
                <w:szCs w:val="18"/>
              </w:rPr>
              <w:t>土地费用</w:t>
            </w:r>
          </w:p>
        </w:tc>
        <w:tc>
          <w:tcPr>
            <w:tcW w:w="1133" w:type="pct"/>
            <w:tcBorders>
              <w:top w:val="nil"/>
              <w:left w:val="nil"/>
              <w:bottom w:val="single" w:sz="4" w:space="0" w:color="auto"/>
              <w:right w:val="single" w:sz="4" w:space="0" w:color="auto"/>
            </w:tcBorders>
            <w:shd w:val="clear" w:color="auto" w:fill="FFFFFF"/>
            <w:noWrap/>
            <w:vAlign w:val="center"/>
          </w:tcPr>
          <w:p w14:paraId="0E3AC5B4" w14:textId="2E848539" w:rsidR="0053025C" w:rsidRPr="00E05368" w:rsidRDefault="00C66433" w:rsidP="007B3231">
            <w:pPr>
              <w:spacing w:line="240" w:lineRule="exact"/>
              <w:rPr>
                <w:rFonts w:ascii="Arial" w:eastAsia="华文细黑" w:hAnsi="Arial" w:cs="Arial"/>
                <w:sz w:val="18"/>
                <w:szCs w:val="18"/>
              </w:rPr>
            </w:pPr>
            <w:r w:rsidRPr="00C66433">
              <w:rPr>
                <w:rFonts w:ascii="Arial" w:eastAsia="华文细黑" w:hAnsi="Arial" w:cs="Arial"/>
                <w:sz w:val="18"/>
                <w:szCs w:val="18"/>
              </w:rPr>
              <w:t>263858</w:t>
            </w:r>
          </w:p>
        </w:tc>
        <w:tc>
          <w:tcPr>
            <w:tcW w:w="1133" w:type="pct"/>
            <w:tcBorders>
              <w:top w:val="nil"/>
              <w:left w:val="nil"/>
              <w:bottom w:val="single" w:sz="4" w:space="0" w:color="auto"/>
              <w:right w:val="single" w:sz="4" w:space="0" w:color="auto"/>
            </w:tcBorders>
            <w:shd w:val="clear" w:color="auto" w:fill="FFFFFF"/>
            <w:noWrap/>
            <w:vAlign w:val="center"/>
          </w:tcPr>
          <w:p w14:paraId="7FBF35D8" w14:textId="47E22DC5" w:rsidR="0053025C" w:rsidRPr="00E05368" w:rsidRDefault="00C66433" w:rsidP="007B3231">
            <w:pPr>
              <w:spacing w:line="240" w:lineRule="exact"/>
              <w:rPr>
                <w:rFonts w:ascii="Arial" w:eastAsia="华文细黑" w:hAnsi="Arial" w:cs="Arial"/>
                <w:sz w:val="18"/>
                <w:szCs w:val="18"/>
              </w:rPr>
            </w:pPr>
            <w:r>
              <w:rPr>
                <w:rFonts w:ascii="Arial" w:eastAsia="华文细黑" w:hAnsi="Arial" w:cs="Arial" w:hint="eastAsia"/>
                <w:sz w:val="18"/>
                <w:szCs w:val="18"/>
              </w:rPr>
              <w:t>60.49</w:t>
            </w:r>
            <w:r w:rsidR="0053025C" w:rsidRPr="00E05368">
              <w:rPr>
                <w:rFonts w:ascii="Arial" w:eastAsia="华文细黑" w:hAnsi="Arial" w:cs="Arial" w:hint="eastAsia"/>
                <w:sz w:val="18"/>
                <w:szCs w:val="18"/>
              </w:rPr>
              <w:t>%</w:t>
            </w:r>
          </w:p>
        </w:tc>
        <w:tc>
          <w:tcPr>
            <w:tcW w:w="1600" w:type="pct"/>
            <w:tcBorders>
              <w:top w:val="nil"/>
              <w:left w:val="nil"/>
              <w:bottom w:val="single" w:sz="4" w:space="0" w:color="auto"/>
              <w:right w:val="single" w:sz="4" w:space="0" w:color="auto"/>
            </w:tcBorders>
            <w:shd w:val="clear" w:color="auto" w:fill="FFFFFF"/>
            <w:noWrap/>
            <w:vAlign w:val="center"/>
          </w:tcPr>
          <w:p w14:paraId="6581AD28" w14:textId="76101398" w:rsidR="0053025C" w:rsidRPr="00E05368" w:rsidRDefault="00867AE3" w:rsidP="007B3231">
            <w:pPr>
              <w:spacing w:line="240" w:lineRule="exact"/>
              <w:rPr>
                <w:rFonts w:ascii="Arial" w:eastAsia="华文细黑" w:hAnsi="Arial" w:cs="Arial"/>
                <w:sz w:val="18"/>
                <w:szCs w:val="18"/>
              </w:rPr>
            </w:pPr>
            <w:r>
              <w:rPr>
                <w:rFonts w:ascii="Arial" w:eastAsia="华文细黑" w:hAnsi="Arial" w:cs="Arial" w:hint="eastAsia"/>
                <w:sz w:val="18"/>
                <w:szCs w:val="18"/>
              </w:rPr>
              <w:t>12680</w:t>
            </w:r>
          </w:p>
        </w:tc>
      </w:tr>
      <w:tr w:rsidR="0053025C" w:rsidRPr="00E05368" w14:paraId="3E90CA37" w14:textId="77777777" w:rsidTr="007B3231">
        <w:trPr>
          <w:cantSplit/>
          <w:trHeight w:val="283"/>
          <w:jc w:val="center"/>
        </w:trPr>
        <w:tc>
          <w:tcPr>
            <w:tcW w:w="1133" w:type="pct"/>
            <w:tcBorders>
              <w:top w:val="nil"/>
              <w:left w:val="single" w:sz="4" w:space="0" w:color="auto"/>
              <w:bottom w:val="single" w:sz="4" w:space="0" w:color="auto"/>
              <w:right w:val="single" w:sz="4" w:space="0" w:color="auto"/>
            </w:tcBorders>
            <w:shd w:val="clear" w:color="auto" w:fill="FFFFFF"/>
            <w:noWrap/>
            <w:vAlign w:val="center"/>
          </w:tcPr>
          <w:p w14:paraId="42563B1C" w14:textId="77777777" w:rsidR="0053025C" w:rsidRPr="00E05368" w:rsidRDefault="0053025C" w:rsidP="007B3231">
            <w:pPr>
              <w:spacing w:line="240" w:lineRule="exact"/>
              <w:jc w:val="both"/>
              <w:rPr>
                <w:rFonts w:ascii="Arial" w:eastAsia="华文细黑" w:hAnsi="Arial" w:cs="Arial"/>
                <w:sz w:val="18"/>
                <w:szCs w:val="18"/>
              </w:rPr>
            </w:pPr>
            <w:r w:rsidRPr="00E05368">
              <w:rPr>
                <w:rFonts w:ascii="Arial" w:eastAsia="华文细黑" w:hAnsi="Arial" w:cs="Arial"/>
                <w:sz w:val="18"/>
                <w:szCs w:val="18"/>
              </w:rPr>
              <w:t>前期工程费</w:t>
            </w:r>
          </w:p>
        </w:tc>
        <w:tc>
          <w:tcPr>
            <w:tcW w:w="1133" w:type="pct"/>
            <w:tcBorders>
              <w:top w:val="nil"/>
              <w:left w:val="nil"/>
              <w:bottom w:val="single" w:sz="4" w:space="0" w:color="auto"/>
              <w:right w:val="single" w:sz="4" w:space="0" w:color="auto"/>
            </w:tcBorders>
            <w:shd w:val="clear" w:color="auto" w:fill="FFFFFF"/>
            <w:noWrap/>
            <w:vAlign w:val="center"/>
          </w:tcPr>
          <w:p w14:paraId="0126885A" w14:textId="4CD01B64" w:rsidR="0053025C" w:rsidRPr="00E05368" w:rsidRDefault="00C66433" w:rsidP="007B3231">
            <w:pPr>
              <w:spacing w:line="240" w:lineRule="exact"/>
              <w:rPr>
                <w:rFonts w:ascii="Arial" w:eastAsia="华文细黑" w:hAnsi="Arial" w:cs="Arial"/>
                <w:sz w:val="18"/>
                <w:szCs w:val="18"/>
              </w:rPr>
            </w:pPr>
            <w:r w:rsidRPr="00C66433">
              <w:rPr>
                <w:rFonts w:ascii="Arial" w:eastAsia="华文细黑" w:hAnsi="Arial" w:cs="Arial"/>
                <w:sz w:val="18"/>
                <w:szCs w:val="18"/>
              </w:rPr>
              <w:t>4348</w:t>
            </w:r>
          </w:p>
        </w:tc>
        <w:tc>
          <w:tcPr>
            <w:tcW w:w="1133" w:type="pct"/>
            <w:tcBorders>
              <w:top w:val="nil"/>
              <w:left w:val="nil"/>
              <w:bottom w:val="single" w:sz="4" w:space="0" w:color="auto"/>
              <w:right w:val="single" w:sz="4" w:space="0" w:color="auto"/>
            </w:tcBorders>
            <w:shd w:val="clear" w:color="auto" w:fill="FFFFFF"/>
            <w:noWrap/>
            <w:vAlign w:val="center"/>
          </w:tcPr>
          <w:p w14:paraId="3E499CBE" w14:textId="4ED8866B" w:rsidR="0053025C" w:rsidRPr="00E05368" w:rsidRDefault="00C66433" w:rsidP="007B3231">
            <w:pPr>
              <w:spacing w:line="240" w:lineRule="exact"/>
              <w:rPr>
                <w:rFonts w:ascii="Arial" w:eastAsia="华文细黑" w:hAnsi="Arial" w:cs="Arial"/>
                <w:sz w:val="18"/>
                <w:szCs w:val="18"/>
              </w:rPr>
            </w:pPr>
            <w:r>
              <w:rPr>
                <w:rFonts w:ascii="Arial" w:eastAsia="华文细黑" w:hAnsi="Arial" w:cs="Arial" w:hint="eastAsia"/>
                <w:sz w:val="18"/>
                <w:szCs w:val="18"/>
              </w:rPr>
              <w:t>1.00</w:t>
            </w:r>
            <w:r w:rsidR="0053025C" w:rsidRPr="00E05368">
              <w:rPr>
                <w:rFonts w:ascii="Arial" w:eastAsia="华文细黑" w:hAnsi="Arial" w:cs="Arial" w:hint="eastAsia"/>
                <w:sz w:val="18"/>
                <w:szCs w:val="18"/>
              </w:rPr>
              <w:t>%</w:t>
            </w:r>
          </w:p>
        </w:tc>
        <w:tc>
          <w:tcPr>
            <w:tcW w:w="1600" w:type="pct"/>
            <w:tcBorders>
              <w:top w:val="nil"/>
              <w:left w:val="nil"/>
              <w:bottom w:val="single" w:sz="4" w:space="0" w:color="auto"/>
              <w:right w:val="single" w:sz="4" w:space="0" w:color="auto"/>
            </w:tcBorders>
            <w:shd w:val="clear" w:color="auto" w:fill="FFFFFF"/>
            <w:noWrap/>
            <w:vAlign w:val="center"/>
          </w:tcPr>
          <w:p w14:paraId="290EF9C5" w14:textId="2EC78B57" w:rsidR="0053025C" w:rsidRPr="00E05368" w:rsidRDefault="00867AE3" w:rsidP="007B3231">
            <w:pPr>
              <w:spacing w:line="240" w:lineRule="exact"/>
              <w:rPr>
                <w:rFonts w:ascii="Arial" w:eastAsia="华文细黑" w:hAnsi="Arial" w:cs="Arial"/>
                <w:sz w:val="18"/>
                <w:szCs w:val="18"/>
              </w:rPr>
            </w:pPr>
            <w:r>
              <w:rPr>
                <w:rFonts w:ascii="Arial" w:eastAsia="华文细黑" w:hAnsi="Arial" w:cs="Arial" w:hint="eastAsia"/>
                <w:sz w:val="18"/>
                <w:szCs w:val="18"/>
              </w:rPr>
              <w:t>209</w:t>
            </w:r>
          </w:p>
        </w:tc>
      </w:tr>
      <w:tr w:rsidR="0053025C" w:rsidRPr="00E05368" w14:paraId="75C96E02" w14:textId="77777777" w:rsidTr="007B3231">
        <w:trPr>
          <w:cantSplit/>
          <w:trHeight w:val="283"/>
          <w:jc w:val="center"/>
        </w:trPr>
        <w:tc>
          <w:tcPr>
            <w:tcW w:w="1133" w:type="pct"/>
            <w:tcBorders>
              <w:top w:val="nil"/>
              <w:left w:val="single" w:sz="4" w:space="0" w:color="auto"/>
              <w:bottom w:val="single" w:sz="4" w:space="0" w:color="auto"/>
              <w:right w:val="single" w:sz="4" w:space="0" w:color="auto"/>
            </w:tcBorders>
            <w:shd w:val="clear" w:color="auto" w:fill="FFFFFF"/>
            <w:noWrap/>
            <w:vAlign w:val="center"/>
          </w:tcPr>
          <w:p w14:paraId="53AA7D0A" w14:textId="77777777" w:rsidR="0053025C" w:rsidRPr="00E05368" w:rsidRDefault="0053025C" w:rsidP="007B3231">
            <w:pPr>
              <w:spacing w:line="240" w:lineRule="exact"/>
              <w:jc w:val="both"/>
              <w:rPr>
                <w:rFonts w:ascii="Arial" w:eastAsia="华文细黑" w:hAnsi="Arial" w:cs="Arial"/>
                <w:sz w:val="18"/>
                <w:szCs w:val="18"/>
              </w:rPr>
            </w:pPr>
            <w:r w:rsidRPr="00E05368">
              <w:rPr>
                <w:rFonts w:ascii="Arial" w:eastAsia="华文细黑" w:hAnsi="Arial" w:cs="Arial"/>
                <w:sz w:val="18"/>
                <w:szCs w:val="18"/>
              </w:rPr>
              <w:t>房屋开发费</w:t>
            </w:r>
          </w:p>
        </w:tc>
        <w:tc>
          <w:tcPr>
            <w:tcW w:w="1133" w:type="pct"/>
            <w:tcBorders>
              <w:top w:val="nil"/>
              <w:left w:val="nil"/>
              <w:bottom w:val="single" w:sz="4" w:space="0" w:color="auto"/>
              <w:right w:val="single" w:sz="4" w:space="0" w:color="auto"/>
            </w:tcBorders>
            <w:shd w:val="clear" w:color="auto" w:fill="FFFFFF"/>
            <w:noWrap/>
            <w:vAlign w:val="center"/>
          </w:tcPr>
          <w:p w14:paraId="4E8BD966" w14:textId="676E11E2" w:rsidR="0053025C" w:rsidRPr="00E05368" w:rsidRDefault="00C66433" w:rsidP="007B3231">
            <w:pPr>
              <w:spacing w:line="240" w:lineRule="exact"/>
              <w:rPr>
                <w:rFonts w:ascii="Arial" w:eastAsia="华文细黑" w:hAnsi="Arial" w:cs="Arial"/>
                <w:sz w:val="18"/>
                <w:szCs w:val="18"/>
              </w:rPr>
            </w:pPr>
            <w:r w:rsidRPr="00C66433">
              <w:rPr>
                <w:rFonts w:ascii="Arial" w:eastAsia="华文细黑" w:hAnsi="Arial" w:cs="Arial"/>
                <w:sz w:val="18"/>
                <w:szCs w:val="18"/>
              </w:rPr>
              <w:t>110305</w:t>
            </w:r>
          </w:p>
        </w:tc>
        <w:tc>
          <w:tcPr>
            <w:tcW w:w="1133" w:type="pct"/>
            <w:tcBorders>
              <w:top w:val="nil"/>
              <w:left w:val="nil"/>
              <w:bottom w:val="single" w:sz="4" w:space="0" w:color="auto"/>
              <w:right w:val="single" w:sz="4" w:space="0" w:color="auto"/>
            </w:tcBorders>
            <w:shd w:val="clear" w:color="auto" w:fill="FFFFFF"/>
            <w:noWrap/>
            <w:vAlign w:val="center"/>
          </w:tcPr>
          <w:p w14:paraId="6620060E" w14:textId="45282EF0" w:rsidR="0053025C" w:rsidRPr="00E05368" w:rsidRDefault="00C66433" w:rsidP="007B3231">
            <w:pPr>
              <w:spacing w:line="240" w:lineRule="exact"/>
              <w:rPr>
                <w:rFonts w:ascii="Arial" w:eastAsia="华文细黑" w:hAnsi="Arial" w:cs="Arial"/>
                <w:sz w:val="18"/>
                <w:szCs w:val="18"/>
              </w:rPr>
            </w:pPr>
            <w:r>
              <w:rPr>
                <w:rFonts w:ascii="Arial" w:eastAsia="华文细黑" w:hAnsi="Arial" w:cs="Arial" w:hint="eastAsia"/>
                <w:sz w:val="18"/>
                <w:szCs w:val="18"/>
              </w:rPr>
              <w:t>25.29</w:t>
            </w:r>
            <w:r w:rsidR="0053025C" w:rsidRPr="00E05368">
              <w:rPr>
                <w:rFonts w:ascii="Arial" w:eastAsia="华文细黑" w:hAnsi="Arial" w:cs="Arial" w:hint="eastAsia"/>
                <w:sz w:val="18"/>
                <w:szCs w:val="18"/>
              </w:rPr>
              <w:t>%</w:t>
            </w:r>
          </w:p>
        </w:tc>
        <w:tc>
          <w:tcPr>
            <w:tcW w:w="1600" w:type="pct"/>
            <w:tcBorders>
              <w:top w:val="nil"/>
              <w:left w:val="nil"/>
              <w:bottom w:val="single" w:sz="4" w:space="0" w:color="auto"/>
              <w:right w:val="single" w:sz="4" w:space="0" w:color="auto"/>
            </w:tcBorders>
            <w:shd w:val="clear" w:color="auto" w:fill="FFFFFF"/>
            <w:noWrap/>
            <w:vAlign w:val="center"/>
          </w:tcPr>
          <w:p w14:paraId="7595256B" w14:textId="48BA5B95" w:rsidR="0053025C" w:rsidRPr="00E05368" w:rsidRDefault="00867AE3" w:rsidP="007B3231">
            <w:pPr>
              <w:spacing w:line="240" w:lineRule="exact"/>
              <w:rPr>
                <w:rFonts w:ascii="Arial" w:eastAsia="华文细黑" w:hAnsi="Arial" w:cs="Arial"/>
                <w:sz w:val="18"/>
                <w:szCs w:val="18"/>
              </w:rPr>
            </w:pPr>
            <w:r>
              <w:rPr>
                <w:rFonts w:ascii="Arial" w:eastAsia="华文细黑" w:hAnsi="Arial" w:cs="Arial" w:hint="eastAsia"/>
                <w:sz w:val="18"/>
                <w:szCs w:val="18"/>
              </w:rPr>
              <w:t>5301</w:t>
            </w:r>
          </w:p>
        </w:tc>
      </w:tr>
      <w:tr w:rsidR="0053025C" w:rsidRPr="00E05368" w14:paraId="256E28F0" w14:textId="77777777" w:rsidTr="007B3231">
        <w:trPr>
          <w:cantSplit/>
          <w:trHeight w:val="283"/>
          <w:jc w:val="center"/>
        </w:trPr>
        <w:tc>
          <w:tcPr>
            <w:tcW w:w="1133" w:type="pct"/>
            <w:tcBorders>
              <w:top w:val="nil"/>
              <w:left w:val="single" w:sz="4" w:space="0" w:color="auto"/>
              <w:bottom w:val="single" w:sz="4" w:space="0" w:color="auto"/>
              <w:right w:val="single" w:sz="4" w:space="0" w:color="auto"/>
            </w:tcBorders>
            <w:shd w:val="clear" w:color="auto" w:fill="FFFFFF"/>
            <w:noWrap/>
            <w:vAlign w:val="center"/>
          </w:tcPr>
          <w:p w14:paraId="4B8E3165" w14:textId="77777777" w:rsidR="0053025C" w:rsidRPr="00E05368" w:rsidRDefault="0053025C" w:rsidP="007B3231">
            <w:pPr>
              <w:spacing w:line="240" w:lineRule="exact"/>
              <w:jc w:val="both"/>
              <w:rPr>
                <w:rFonts w:ascii="Arial" w:eastAsia="华文细黑" w:hAnsi="Arial" w:cs="Arial"/>
                <w:sz w:val="18"/>
                <w:szCs w:val="18"/>
              </w:rPr>
            </w:pPr>
            <w:r w:rsidRPr="00E05368">
              <w:rPr>
                <w:rFonts w:ascii="Arial" w:eastAsia="华文细黑" w:hAnsi="Arial" w:cs="Arial"/>
                <w:sz w:val="18"/>
                <w:szCs w:val="18"/>
              </w:rPr>
              <w:t>其中：建安工程费</w:t>
            </w:r>
          </w:p>
        </w:tc>
        <w:tc>
          <w:tcPr>
            <w:tcW w:w="1133" w:type="pct"/>
            <w:tcBorders>
              <w:top w:val="nil"/>
              <w:left w:val="nil"/>
              <w:bottom w:val="single" w:sz="4" w:space="0" w:color="auto"/>
              <w:right w:val="single" w:sz="4" w:space="0" w:color="auto"/>
            </w:tcBorders>
            <w:shd w:val="clear" w:color="auto" w:fill="FFFFFF"/>
            <w:noWrap/>
            <w:vAlign w:val="center"/>
          </w:tcPr>
          <w:p w14:paraId="2909D479" w14:textId="41CC421D" w:rsidR="0053025C" w:rsidRPr="00E05368" w:rsidRDefault="00C66433" w:rsidP="007B3231">
            <w:pPr>
              <w:spacing w:line="240" w:lineRule="exact"/>
              <w:rPr>
                <w:rFonts w:ascii="Arial" w:eastAsia="华文细黑" w:hAnsi="Arial" w:cs="Arial"/>
                <w:sz w:val="18"/>
                <w:szCs w:val="18"/>
              </w:rPr>
            </w:pPr>
            <w:r w:rsidRPr="00C66433">
              <w:rPr>
                <w:rFonts w:ascii="Arial" w:eastAsia="华文细黑" w:hAnsi="Arial" w:cs="Arial"/>
                <w:sz w:val="18"/>
                <w:szCs w:val="18"/>
              </w:rPr>
              <w:t>100941</w:t>
            </w:r>
          </w:p>
        </w:tc>
        <w:tc>
          <w:tcPr>
            <w:tcW w:w="1133" w:type="pct"/>
            <w:tcBorders>
              <w:top w:val="nil"/>
              <w:left w:val="nil"/>
              <w:bottom w:val="single" w:sz="4" w:space="0" w:color="auto"/>
              <w:right w:val="single" w:sz="4" w:space="0" w:color="auto"/>
            </w:tcBorders>
            <w:shd w:val="clear" w:color="auto" w:fill="FFFFFF"/>
            <w:noWrap/>
            <w:vAlign w:val="center"/>
          </w:tcPr>
          <w:p w14:paraId="7928E531" w14:textId="683CB300" w:rsidR="0053025C" w:rsidRPr="00E05368" w:rsidRDefault="00C66433" w:rsidP="007B3231">
            <w:pPr>
              <w:spacing w:line="240" w:lineRule="exact"/>
              <w:rPr>
                <w:rFonts w:ascii="Arial" w:eastAsia="华文细黑" w:hAnsi="Arial" w:cs="Arial"/>
                <w:sz w:val="18"/>
                <w:szCs w:val="18"/>
              </w:rPr>
            </w:pPr>
            <w:r>
              <w:rPr>
                <w:rFonts w:ascii="Arial" w:eastAsia="华文细黑" w:hAnsi="Arial" w:cs="Arial" w:hint="eastAsia"/>
                <w:sz w:val="18"/>
                <w:szCs w:val="18"/>
              </w:rPr>
              <w:t>23.14</w:t>
            </w:r>
            <w:r w:rsidR="0053025C" w:rsidRPr="00E05368">
              <w:rPr>
                <w:rFonts w:ascii="Arial" w:eastAsia="华文细黑" w:hAnsi="Arial" w:cs="Arial" w:hint="eastAsia"/>
                <w:sz w:val="18"/>
                <w:szCs w:val="18"/>
              </w:rPr>
              <w:t>%</w:t>
            </w:r>
          </w:p>
        </w:tc>
        <w:tc>
          <w:tcPr>
            <w:tcW w:w="1600" w:type="pct"/>
            <w:tcBorders>
              <w:top w:val="nil"/>
              <w:left w:val="nil"/>
              <w:bottom w:val="single" w:sz="4" w:space="0" w:color="auto"/>
              <w:right w:val="single" w:sz="4" w:space="0" w:color="auto"/>
            </w:tcBorders>
            <w:shd w:val="clear" w:color="auto" w:fill="FFFFFF"/>
            <w:noWrap/>
            <w:vAlign w:val="center"/>
          </w:tcPr>
          <w:p w14:paraId="30ED94B1" w14:textId="7A160BB4" w:rsidR="0053025C" w:rsidRPr="00E05368" w:rsidRDefault="00867AE3" w:rsidP="007B3231">
            <w:pPr>
              <w:spacing w:line="240" w:lineRule="exact"/>
              <w:rPr>
                <w:rFonts w:ascii="Arial" w:eastAsia="华文细黑" w:hAnsi="Arial" w:cs="Arial"/>
                <w:sz w:val="18"/>
                <w:szCs w:val="18"/>
              </w:rPr>
            </w:pPr>
            <w:r>
              <w:rPr>
                <w:rFonts w:ascii="Arial" w:eastAsia="华文细黑" w:hAnsi="Arial" w:cs="Arial" w:hint="eastAsia"/>
                <w:sz w:val="18"/>
                <w:szCs w:val="18"/>
              </w:rPr>
              <w:t>4851</w:t>
            </w:r>
          </w:p>
        </w:tc>
      </w:tr>
      <w:tr w:rsidR="0053025C" w:rsidRPr="00E05368" w14:paraId="34E69459" w14:textId="77777777" w:rsidTr="007B3231">
        <w:trPr>
          <w:cantSplit/>
          <w:trHeight w:val="283"/>
          <w:jc w:val="center"/>
        </w:trPr>
        <w:tc>
          <w:tcPr>
            <w:tcW w:w="1133" w:type="pct"/>
            <w:tcBorders>
              <w:top w:val="nil"/>
              <w:left w:val="single" w:sz="4" w:space="0" w:color="auto"/>
              <w:bottom w:val="single" w:sz="4" w:space="0" w:color="auto"/>
              <w:right w:val="single" w:sz="4" w:space="0" w:color="auto"/>
            </w:tcBorders>
            <w:shd w:val="clear" w:color="auto" w:fill="FFFFFF"/>
            <w:noWrap/>
            <w:vAlign w:val="center"/>
          </w:tcPr>
          <w:p w14:paraId="0E25427A" w14:textId="77777777" w:rsidR="0053025C" w:rsidRPr="00E05368" w:rsidRDefault="0053025C" w:rsidP="007B3231">
            <w:pPr>
              <w:spacing w:line="240" w:lineRule="exact"/>
              <w:jc w:val="both"/>
              <w:rPr>
                <w:rFonts w:ascii="Arial" w:eastAsia="华文细黑" w:hAnsi="Arial" w:cs="Arial"/>
                <w:sz w:val="18"/>
                <w:szCs w:val="18"/>
              </w:rPr>
            </w:pPr>
            <w:r w:rsidRPr="00E05368">
              <w:rPr>
                <w:rFonts w:ascii="Arial" w:eastAsia="华文细黑" w:hAnsi="Arial" w:cs="Arial"/>
                <w:sz w:val="18"/>
                <w:szCs w:val="18"/>
              </w:rPr>
              <w:t>开发间接费用</w:t>
            </w:r>
          </w:p>
        </w:tc>
        <w:tc>
          <w:tcPr>
            <w:tcW w:w="1133" w:type="pct"/>
            <w:tcBorders>
              <w:top w:val="nil"/>
              <w:left w:val="nil"/>
              <w:bottom w:val="single" w:sz="4" w:space="0" w:color="auto"/>
              <w:right w:val="single" w:sz="4" w:space="0" w:color="auto"/>
            </w:tcBorders>
            <w:shd w:val="clear" w:color="auto" w:fill="FFFFFF"/>
            <w:noWrap/>
            <w:vAlign w:val="center"/>
          </w:tcPr>
          <w:p w14:paraId="4673FA24" w14:textId="1C168FA0" w:rsidR="0053025C" w:rsidRPr="00E05368" w:rsidRDefault="00C66433" w:rsidP="007B3231">
            <w:pPr>
              <w:spacing w:line="240" w:lineRule="exact"/>
              <w:rPr>
                <w:rFonts w:ascii="Arial" w:eastAsia="华文细黑" w:hAnsi="Arial" w:cs="Arial"/>
                <w:sz w:val="18"/>
                <w:szCs w:val="18"/>
              </w:rPr>
            </w:pPr>
            <w:r w:rsidRPr="00C66433">
              <w:rPr>
                <w:rFonts w:ascii="Arial" w:eastAsia="华文细黑" w:hAnsi="Arial" w:cs="Arial"/>
                <w:sz w:val="18"/>
                <w:szCs w:val="18"/>
              </w:rPr>
              <w:t>1655</w:t>
            </w:r>
          </w:p>
        </w:tc>
        <w:tc>
          <w:tcPr>
            <w:tcW w:w="1133" w:type="pct"/>
            <w:tcBorders>
              <w:top w:val="nil"/>
              <w:left w:val="nil"/>
              <w:bottom w:val="single" w:sz="4" w:space="0" w:color="auto"/>
              <w:right w:val="single" w:sz="4" w:space="0" w:color="auto"/>
            </w:tcBorders>
            <w:shd w:val="clear" w:color="auto" w:fill="FFFFFF"/>
            <w:noWrap/>
            <w:vAlign w:val="center"/>
          </w:tcPr>
          <w:p w14:paraId="6A501D47" w14:textId="25C9BCDB" w:rsidR="0053025C" w:rsidRPr="00E05368" w:rsidRDefault="00C66433" w:rsidP="007B3231">
            <w:pPr>
              <w:spacing w:line="240" w:lineRule="exact"/>
              <w:rPr>
                <w:rFonts w:ascii="Arial" w:eastAsia="华文细黑" w:hAnsi="Arial" w:cs="Arial"/>
                <w:sz w:val="18"/>
                <w:szCs w:val="18"/>
              </w:rPr>
            </w:pPr>
            <w:r>
              <w:rPr>
                <w:rFonts w:ascii="Arial" w:eastAsia="华文细黑" w:hAnsi="Arial" w:cs="Arial" w:hint="eastAsia"/>
                <w:sz w:val="18"/>
                <w:szCs w:val="18"/>
              </w:rPr>
              <w:t>0.38</w:t>
            </w:r>
            <w:r w:rsidR="0053025C" w:rsidRPr="00E05368">
              <w:rPr>
                <w:rFonts w:ascii="Arial" w:eastAsia="华文细黑" w:hAnsi="Arial" w:cs="Arial" w:hint="eastAsia"/>
                <w:sz w:val="18"/>
                <w:szCs w:val="18"/>
              </w:rPr>
              <w:t>%</w:t>
            </w:r>
          </w:p>
        </w:tc>
        <w:tc>
          <w:tcPr>
            <w:tcW w:w="1600" w:type="pct"/>
            <w:tcBorders>
              <w:top w:val="nil"/>
              <w:left w:val="nil"/>
              <w:bottom w:val="single" w:sz="4" w:space="0" w:color="auto"/>
              <w:right w:val="single" w:sz="4" w:space="0" w:color="auto"/>
            </w:tcBorders>
            <w:shd w:val="clear" w:color="auto" w:fill="FFFFFF"/>
            <w:noWrap/>
            <w:vAlign w:val="center"/>
          </w:tcPr>
          <w:p w14:paraId="1E8023B5" w14:textId="3F209796" w:rsidR="0053025C" w:rsidRPr="00E05368" w:rsidRDefault="00867AE3" w:rsidP="007B3231">
            <w:pPr>
              <w:spacing w:line="240" w:lineRule="exact"/>
              <w:rPr>
                <w:rFonts w:ascii="Arial" w:eastAsia="华文细黑" w:hAnsi="Arial" w:cs="Arial"/>
                <w:sz w:val="18"/>
                <w:szCs w:val="18"/>
              </w:rPr>
            </w:pPr>
            <w:r>
              <w:rPr>
                <w:rFonts w:ascii="Arial" w:eastAsia="华文细黑" w:hAnsi="Arial" w:cs="Arial" w:hint="eastAsia"/>
                <w:sz w:val="18"/>
                <w:szCs w:val="18"/>
              </w:rPr>
              <w:t>80</w:t>
            </w:r>
          </w:p>
        </w:tc>
      </w:tr>
      <w:tr w:rsidR="00C66433" w:rsidRPr="00E05368" w14:paraId="4154A100" w14:textId="77777777" w:rsidTr="00C66433">
        <w:trPr>
          <w:cantSplit/>
          <w:trHeight w:val="283"/>
          <w:jc w:val="center"/>
        </w:trPr>
        <w:tc>
          <w:tcPr>
            <w:tcW w:w="1133" w:type="pct"/>
            <w:tcBorders>
              <w:top w:val="nil"/>
              <w:left w:val="single" w:sz="4" w:space="0" w:color="auto"/>
              <w:bottom w:val="single" w:sz="4" w:space="0" w:color="auto"/>
              <w:right w:val="single" w:sz="4" w:space="0" w:color="auto"/>
            </w:tcBorders>
            <w:shd w:val="clear" w:color="auto" w:fill="FFFFFF"/>
            <w:noWrap/>
            <w:vAlign w:val="center"/>
          </w:tcPr>
          <w:p w14:paraId="0CD5D9A6" w14:textId="77777777" w:rsidR="00C66433" w:rsidRPr="00E05368" w:rsidRDefault="00C66433" w:rsidP="007B3231">
            <w:pPr>
              <w:spacing w:line="240" w:lineRule="exact"/>
              <w:jc w:val="both"/>
              <w:rPr>
                <w:rFonts w:ascii="Arial" w:eastAsia="华文细黑" w:hAnsi="Arial" w:cs="Arial"/>
                <w:sz w:val="18"/>
                <w:szCs w:val="18"/>
              </w:rPr>
            </w:pPr>
            <w:r w:rsidRPr="00E05368">
              <w:rPr>
                <w:rFonts w:ascii="Arial" w:eastAsia="华文细黑" w:hAnsi="Arial" w:cs="Arial"/>
                <w:sz w:val="18"/>
                <w:szCs w:val="18"/>
              </w:rPr>
              <w:t>销售费用</w:t>
            </w:r>
          </w:p>
        </w:tc>
        <w:tc>
          <w:tcPr>
            <w:tcW w:w="1133" w:type="pct"/>
            <w:tcBorders>
              <w:top w:val="nil"/>
              <w:left w:val="nil"/>
              <w:bottom w:val="single" w:sz="4" w:space="0" w:color="auto"/>
              <w:right w:val="single" w:sz="4" w:space="0" w:color="auto"/>
            </w:tcBorders>
            <w:shd w:val="clear" w:color="auto" w:fill="FFFFFF"/>
            <w:noWrap/>
            <w:vAlign w:val="center"/>
          </w:tcPr>
          <w:p w14:paraId="030B7B71" w14:textId="5DF38CED" w:rsidR="00C66433" w:rsidRPr="00E05368" w:rsidRDefault="00C66433" w:rsidP="00C66433">
            <w:pPr>
              <w:spacing w:line="240" w:lineRule="exact"/>
              <w:jc w:val="both"/>
              <w:rPr>
                <w:rFonts w:ascii="Arial" w:eastAsia="华文细黑" w:hAnsi="Arial" w:cs="Arial"/>
                <w:sz w:val="18"/>
                <w:szCs w:val="18"/>
              </w:rPr>
            </w:pPr>
            <w:r w:rsidRPr="00C66433">
              <w:rPr>
                <w:rFonts w:ascii="Arial" w:eastAsia="华文细黑" w:hAnsi="Arial" w:cs="Arial"/>
                <w:sz w:val="18"/>
                <w:szCs w:val="18"/>
              </w:rPr>
              <w:t>4582</w:t>
            </w:r>
          </w:p>
        </w:tc>
        <w:tc>
          <w:tcPr>
            <w:tcW w:w="1133" w:type="pct"/>
            <w:tcBorders>
              <w:top w:val="nil"/>
              <w:left w:val="nil"/>
              <w:bottom w:val="single" w:sz="4" w:space="0" w:color="auto"/>
              <w:right w:val="single" w:sz="4" w:space="0" w:color="auto"/>
            </w:tcBorders>
            <w:shd w:val="clear" w:color="auto" w:fill="FFFFFF"/>
            <w:noWrap/>
            <w:vAlign w:val="center"/>
          </w:tcPr>
          <w:p w14:paraId="6A8B5220" w14:textId="6DF62920" w:rsidR="00C66433" w:rsidRPr="00E05368" w:rsidRDefault="00C66433" w:rsidP="007B3231">
            <w:pPr>
              <w:spacing w:line="240" w:lineRule="exact"/>
              <w:rPr>
                <w:rFonts w:ascii="Arial" w:eastAsia="华文细黑" w:hAnsi="Arial" w:cs="Arial"/>
                <w:sz w:val="18"/>
                <w:szCs w:val="18"/>
              </w:rPr>
            </w:pPr>
            <w:r>
              <w:rPr>
                <w:rFonts w:ascii="Arial" w:eastAsia="华文细黑" w:hAnsi="Arial" w:cs="Arial" w:hint="eastAsia"/>
                <w:sz w:val="18"/>
                <w:szCs w:val="18"/>
              </w:rPr>
              <w:t>1.05</w:t>
            </w:r>
            <w:r w:rsidRPr="00E05368">
              <w:rPr>
                <w:rFonts w:ascii="Arial" w:eastAsia="华文细黑" w:hAnsi="Arial" w:cs="Arial" w:hint="eastAsia"/>
                <w:sz w:val="18"/>
                <w:szCs w:val="18"/>
              </w:rPr>
              <w:t>%</w:t>
            </w:r>
          </w:p>
        </w:tc>
        <w:tc>
          <w:tcPr>
            <w:tcW w:w="1600" w:type="pct"/>
            <w:tcBorders>
              <w:top w:val="nil"/>
              <w:left w:val="nil"/>
              <w:bottom w:val="single" w:sz="4" w:space="0" w:color="auto"/>
              <w:right w:val="single" w:sz="4" w:space="0" w:color="auto"/>
            </w:tcBorders>
            <w:shd w:val="clear" w:color="auto" w:fill="FFFFFF"/>
            <w:noWrap/>
            <w:vAlign w:val="center"/>
          </w:tcPr>
          <w:p w14:paraId="7DDA78AE" w14:textId="1FE93417" w:rsidR="00C66433" w:rsidRPr="00E05368" w:rsidRDefault="00867AE3" w:rsidP="007B3231">
            <w:pPr>
              <w:spacing w:line="240" w:lineRule="exact"/>
              <w:rPr>
                <w:rFonts w:ascii="Arial" w:eastAsia="华文细黑" w:hAnsi="Arial" w:cs="Arial"/>
                <w:sz w:val="18"/>
                <w:szCs w:val="18"/>
              </w:rPr>
            </w:pPr>
            <w:r>
              <w:rPr>
                <w:rFonts w:ascii="Arial" w:eastAsia="华文细黑" w:hAnsi="Arial" w:cs="Arial" w:hint="eastAsia"/>
                <w:sz w:val="18"/>
                <w:szCs w:val="18"/>
              </w:rPr>
              <w:t>220</w:t>
            </w:r>
          </w:p>
        </w:tc>
      </w:tr>
      <w:tr w:rsidR="00C66433" w:rsidRPr="00E05368" w14:paraId="23262A25" w14:textId="77777777" w:rsidTr="00C66433">
        <w:trPr>
          <w:cantSplit/>
          <w:trHeight w:val="283"/>
          <w:jc w:val="center"/>
        </w:trPr>
        <w:tc>
          <w:tcPr>
            <w:tcW w:w="1133" w:type="pct"/>
            <w:tcBorders>
              <w:top w:val="nil"/>
              <w:left w:val="single" w:sz="4" w:space="0" w:color="auto"/>
              <w:bottom w:val="single" w:sz="4" w:space="0" w:color="auto"/>
              <w:right w:val="single" w:sz="4" w:space="0" w:color="auto"/>
            </w:tcBorders>
            <w:shd w:val="clear" w:color="auto" w:fill="FFFFFF"/>
            <w:noWrap/>
            <w:vAlign w:val="center"/>
          </w:tcPr>
          <w:p w14:paraId="66B14527" w14:textId="77777777" w:rsidR="00C66433" w:rsidRPr="00E05368" w:rsidRDefault="00C66433" w:rsidP="007B3231">
            <w:pPr>
              <w:spacing w:line="240" w:lineRule="exact"/>
              <w:jc w:val="both"/>
              <w:rPr>
                <w:rFonts w:ascii="Arial" w:eastAsia="华文细黑" w:hAnsi="Arial" w:cs="Arial"/>
                <w:sz w:val="18"/>
                <w:szCs w:val="18"/>
              </w:rPr>
            </w:pPr>
            <w:r w:rsidRPr="00E05368">
              <w:rPr>
                <w:rFonts w:ascii="Arial" w:eastAsia="华文细黑" w:hAnsi="Arial" w:cs="Arial"/>
                <w:sz w:val="18"/>
                <w:szCs w:val="18"/>
              </w:rPr>
              <w:t>管理费用</w:t>
            </w:r>
          </w:p>
        </w:tc>
        <w:tc>
          <w:tcPr>
            <w:tcW w:w="1133" w:type="pct"/>
            <w:tcBorders>
              <w:top w:val="nil"/>
              <w:left w:val="nil"/>
              <w:bottom w:val="single" w:sz="4" w:space="0" w:color="auto"/>
              <w:right w:val="single" w:sz="4" w:space="0" w:color="auto"/>
            </w:tcBorders>
            <w:shd w:val="clear" w:color="auto" w:fill="FFFFFF"/>
            <w:noWrap/>
            <w:vAlign w:val="center"/>
          </w:tcPr>
          <w:p w14:paraId="39B6E64D" w14:textId="6372477F" w:rsidR="00C66433" w:rsidRPr="00E05368" w:rsidRDefault="00C66433" w:rsidP="00C66433">
            <w:pPr>
              <w:spacing w:line="240" w:lineRule="exact"/>
              <w:jc w:val="both"/>
              <w:rPr>
                <w:rFonts w:ascii="Arial" w:eastAsia="华文细黑" w:hAnsi="Arial" w:cs="Arial"/>
                <w:sz w:val="18"/>
                <w:szCs w:val="18"/>
              </w:rPr>
            </w:pPr>
            <w:r w:rsidRPr="00C66433">
              <w:rPr>
                <w:rFonts w:ascii="Arial" w:eastAsia="华文细黑" w:hAnsi="Arial" w:cs="Arial"/>
                <w:sz w:val="18"/>
                <w:szCs w:val="18"/>
              </w:rPr>
              <w:t>1745</w:t>
            </w:r>
          </w:p>
        </w:tc>
        <w:tc>
          <w:tcPr>
            <w:tcW w:w="1133" w:type="pct"/>
            <w:tcBorders>
              <w:top w:val="nil"/>
              <w:left w:val="nil"/>
              <w:bottom w:val="single" w:sz="4" w:space="0" w:color="auto"/>
              <w:right w:val="single" w:sz="4" w:space="0" w:color="auto"/>
            </w:tcBorders>
            <w:shd w:val="clear" w:color="auto" w:fill="FFFFFF"/>
            <w:noWrap/>
            <w:vAlign w:val="center"/>
          </w:tcPr>
          <w:p w14:paraId="38ADD87D" w14:textId="5495BDFE" w:rsidR="00C66433" w:rsidRPr="00E05368" w:rsidRDefault="00C66433" w:rsidP="007B3231">
            <w:pPr>
              <w:spacing w:line="240" w:lineRule="exact"/>
              <w:rPr>
                <w:rFonts w:ascii="Arial" w:eastAsia="华文细黑" w:hAnsi="Arial" w:cs="Arial"/>
                <w:sz w:val="18"/>
                <w:szCs w:val="18"/>
              </w:rPr>
            </w:pPr>
            <w:r>
              <w:rPr>
                <w:rFonts w:ascii="Arial" w:eastAsia="华文细黑" w:hAnsi="Arial" w:cs="Arial" w:hint="eastAsia"/>
                <w:sz w:val="18"/>
                <w:szCs w:val="18"/>
              </w:rPr>
              <w:t>0.40</w:t>
            </w:r>
            <w:r w:rsidRPr="00E05368">
              <w:rPr>
                <w:rFonts w:ascii="Arial" w:eastAsia="华文细黑" w:hAnsi="Arial" w:cs="Arial" w:hint="eastAsia"/>
                <w:sz w:val="18"/>
                <w:szCs w:val="18"/>
              </w:rPr>
              <w:t>%</w:t>
            </w:r>
          </w:p>
        </w:tc>
        <w:tc>
          <w:tcPr>
            <w:tcW w:w="1600" w:type="pct"/>
            <w:tcBorders>
              <w:top w:val="nil"/>
              <w:left w:val="nil"/>
              <w:bottom w:val="single" w:sz="4" w:space="0" w:color="auto"/>
              <w:right w:val="single" w:sz="4" w:space="0" w:color="auto"/>
            </w:tcBorders>
            <w:shd w:val="clear" w:color="auto" w:fill="FFFFFF"/>
            <w:noWrap/>
            <w:vAlign w:val="center"/>
          </w:tcPr>
          <w:p w14:paraId="0056F5F3" w14:textId="6F363A5C" w:rsidR="00C66433" w:rsidRPr="00E05368" w:rsidRDefault="00C66433" w:rsidP="007B3231">
            <w:pPr>
              <w:spacing w:line="240" w:lineRule="exact"/>
              <w:rPr>
                <w:rFonts w:ascii="Arial" w:eastAsia="华文细黑" w:hAnsi="Arial" w:cs="Arial"/>
                <w:sz w:val="18"/>
                <w:szCs w:val="18"/>
              </w:rPr>
            </w:pPr>
            <w:r>
              <w:rPr>
                <w:rFonts w:ascii="Arial" w:eastAsia="华文细黑" w:hAnsi="Arial" w:cs="Arial" w:hint="eastAsia"/>
                <w:sz w:val="18"/>
                <w:szCs w:val="18"/>
              </w:rPr>
              <w:t>8</w:t>
            </w:r>
            <w:r w:rsidR="00867AE3">
              <w:rPr>
                <w:rFonts w:ascii="Arial" w:eastAsia="华文细黑" w:hAnsi="Arial" w:cs="Arial" w:hint="eastAsia"/>
                <w:sz w:val="18"/>
                <w:szCs w:val="18"/>
              </w:rPr>
              <w:t>4</w:t>
            </w:r>
          </w:p>
        </w:tc>
      </w:tr>
      <w:tr w:rsidR="00C66433" w:rsidRPr="00E05368" w14:paraId="445E0A64" w14:textId="77777777" w:rsidTr="00C66433">
        <w:trPr>
          <w:cantSplit/>
          <w:trHeight w:val="283"/>
          <w:jc w:val="center"/>
        </w:trPr>
        <w:tc>
          <w:tcPr>
            <w:tcW w:w="1133" w:type="pct"/>
            <w:tcBorders>
              <w:top w:val="nil"/>
              <w:left w:val="single" w:sz="4" w:space="0" w:color="auto"/>
              <w:bottom w:val="single" w:sz="4" w:space="0" w:color="auto"/>
              <w:right w:val="single" w:sz="4" w:space="0" w:color="auto"/>
            </w:tcBorders>
            <w:shd w:val="clear" w:color="auto" w:fill="FFFFFF"/>
            <w:noWrap/>
            <w:vAlign w:val="center"/>
          </w:tcPr>
          <w:p w14:paraId="0A2B9022" w14:textId="77777777" w:rsidR="00C66433" w:rsidRPr="00E05368" w:rsidRDefault="00C66433" w:rsidP="007B3231">
            <w:pPr>
              <w:spacing w:line="240" w:lineRule="exact"/>
              <w:jc w:val="both"/>
              <w:rPr>
                <w:rFonts w:ascii="Arial" w:eastAsia="华文细黑" w:hAnsi="Arial" w:cs="Arial"/>
                <w:sz w:val="18"/>
                <w:szCs w:val="18"/>
              </w:rPr>
            </w:pPr>
            <w:r w:rsidRPr="00E05368">
              <w:rPr>
                <w:rFonts w:ascii="Arial" w:eastAsia="华文细黑" w:hAnsi="Arial" w:cs="Arial"/>
                <w:sz w:val="18"/>
                <w:szCs w:val="18"/>
              </w:rPr>
              <w:t>财务费用</w:t>
            </w:r>
          </w:p>
        </w:tc>
        <w:tc>
          <w:tcPr>
            <w:tcW w:w="1133" w:type="pct"/>
            <w:tcBorders>
              <w:top w:val="nil"/>
              <w:left w:val="nil"/>
              <w:bottom w:val="single" w:sz="4" w:space="0" w:color="auto"/>
              <w:right w:val="single" w:sz="4" w:space="0" w:color="auto"/>
            </w:tcBorders>
            <w:shd w:val="clear" w:color="auto" w:fill="FFFFFF"/>
            <w:noWrap/>
            <w:vAlign w:val="center"/>
          </w:tcPr>
          <w:p w14:paraId="44451D2D" w14:textId="322DC674" w:rsidR="00C66433" w:rsidRPr="00E05368" w:rsidRDefault="00C66433" w:rsidP="00C66433">
            <w:pPr>
              <w:spacing w:line="240" w:lineRule="exact"/>
              <w:jc w:val="both"/>
              <w:rPr>
                <w:rFonts w:ascii="Arial" w:eastAsia="华文细黑" w:hAnsi="Arial" w:cs="Arial"/>
                <w:sz w:val="18"/>
                <w:szCs w:val="18"/>
              </w:rPr>
            </w:pPr>
            <w:r w:rsidRPr="00C66433">
              <w:rPr>
                <w:rFonts w:ascii="Arial" w:eastAsia="华文细黑" w:hAnsi="Arial" w:cs="Arial"/>
                <w:sz w:val="18"/>
                <w:szCs w:val="18"/>
              </w:rPr>
              <w:t>48551</w:t>
            </w:r>
          </w:p>
        </w:tc>
        <w:tc>
          <w:tcPr>
            <w:tcW w:w="1133" w:type="pct"/>
            <w:tcBorders>
              <w:top w:val="nil"/>
              <w:left w:val="nil"/>
              <w:bottom w:val="single" w:sz="4" w:space="0" w:color="auto"/>
              <w:right w:val="single" w:sz="4" w:space="0" w:color="auto"/>
            </w:tcBorders>
            <w:shd w:val="clear" w:color="auto" w:fill="FFFFFF"/>
            <w:noWrap/>
            <w:vAlign w:val="center"/>
          </w:tcPr>
          <w:p w14:paraId="2A7D235C" w14:textId="63A054AE" w:rsidR="00C66433" w:rsidRPr="00E05368" w:rsidRDefault="00C66433" w:rsidP="007B3231">
            <w:pPr>
              <w:spacing w:line="240" w:lineRule="exact"/>
              <w:rPr>
                <w:rFonts w:ascii="Arial" w:eastAsia="华文细黑" w:hAnsi="Arial" w:cs="Arial"/>
                <w:sz w:val="18"/>
                <w:szCs w:val="18"/>
              </w:rPr>
            </w:pPr>
            <w:r>
              <w:rPr>
                <w:rFonts w:ascii="Arial" w:eastAsia="华文细黑" w:hAnsi="Arial" w:cs="Arial" w:hint="eastAsia"/>
                <w:sz w:val="18"/>
                <w:szCs w:val="18"/>
              </w:rPr>
              <w:t>11.13</w:t>
            </w:r>
            <w:r w:rsidRPr="00E05368">
              <w:rPr>
                <w:rFonts w:ascii="Arial" w:eastAsia="华文细黑" w:hAnsi="Arial" w:cs="Arial" w:hint="eastAsia"/>
                <w:sz w:val="18"/>
                <w:szCs w:val="18"/>
              </w:rPr>
              <w:t>%</w:t>
            </w:r>
          </w:p>
        </w:tc>
        <w:tc>
          <w:tcPr>
            <w:tcW w:w="1600" w:type="pct"/>
            <w:tcBorders>
              <w:top w:val="nil"/>
              <w:left w:val="nil"/>
              <w:bottom w:val="single" w:sz="4" w:space="0" w:color="auto"/>
              <w:right w:val="single" w:sz="4" w:space="0" w:color="auto"/>
            </w:tcBorders>
            <w:shd w:val="clear" w:color="auto" w:fill="FFFFFF"/>
            <w:noWrap/>
            <w:vAlign w:val="center"/>
          </w:tcPr>
          <w:p w14:paraId="1DC25C5C" w14:textId="1B5F3E8E" w:rsidR="00C66433" w:rsidRPr="00E05368" w:rsidRDefault="00867AE3" w:rsidP="007B3231">
            <w:pPr>
              <w:spacing w:line="240" w:lineRule="exact"/>
              <w:rPr>
                <w:rFonts w:ascii="Arial" w:eastAsia="华文细黑" w:hAnsi="Arial" w:cs="Arial"/>
                <w:sz w:val="18"/>
                <w:szCs w:val="18"/>
              </w:rPr>
            </w:pPr>
            <w:r>
              <w:rPr>
                <w:rFonts w:ascii="Arial" w:eastAsia="华文细黑" w:hAnsi="Arial" w:cs="Arial" w:hint="eastAsia"/>
                <w:sz w:val="18"/>
                <w:szCs w:val="18"/>
              </w:rPr>
              <w:t>2333</w:t>
            </w:r>
          </w:p>
        </w:tc>
      </w:tr>
      <w:tr w:rsidR="00C66433" w:rsidRPr="00E05368" w14:paraId="3C384D1D" w14:textId="77777777" w:rsidTr="00C66433">
        <w:trPr>
          <w:cantSplit/>
          <w:trHeight w:val="283"/>
          <w:jc w:val="center"/>
        </w:trPr>
        <w:tc>
          <w:tcPr>
            <w:tcW w:w="1133" w:type="pct"/>
            <w:tcBorders>
              <w:top w:val="single" w:sz="4" w:space="0" w:color="auto"/>
              <w:left w:val="single" w:sz="4" w:space="0" w:color="auto"/>
              <w:bottom w:val="single" w:sz="4" w:space="0" w:color="auto"/>
              <w:right w:val="single" w:sz="4" w:space="0" w:color="auto"/>
            </w:tcBorders>
            <w:shd w:val="clear" w:color="auto" w:fill="FFFFFF"/>
            <w:noWrap/>
            <w:vAlign w:val="center"/>
          </w:tcPr>
          <w:p w14:paraId="66C1776A" w14:textId="77777777" w:rsidR="00C66433" w:rsidRPr="00E05368" w:rsidRDefault="00C66433" w:rsidP="007B3231">
            <w:pPr>
              <w:spacing w:line="240" w:lineRule="exact"/>
              <w:jc w:val="both"/>
              <w:rPr>
                <w:rFonts w:ascii="Arial" w:eastAsia="华文细黑" w:hAnsi="Arial" w:cs="Arial"/>
                <w:sz w:val="18"/>
                <w:szCs w:val="18"/>
              </w:rPr>
            </w:pPr>
            <w:r w:rsidRPr="00E05368">
              <w:rPr>
                <w:rFonts w:ascii="Arial" w:eastAsia="华文细黑" w:hAnsi="Arial" w:cs="Arial" w:hint="eastAsia"/>
                <w:sz w:val="18"/>
                <w:szCs w:val="18"/>
              </w:rPr>
              <w:t>不可预见费</w:t>
            </w:r>
          </w:p>
        </w:tc>
        <w:tc>
          <w:tcPr>
            <w:tcW w:w="1133" w:type="pct"/>
            <w:tcBorders>
              <w:top w:val="single" w:sz="4" w:space="0" w:color="auto"/>
              <w:left w:val="nil"/>
              <w:bottom w:val="single" w:sz="4" w:space="0" w:color="auto"/>
              <w:right w:val="single" w:sz="4" w:space="0" w:color="auto"/>
            </w:tcBorders>
            <w:shd w:val="clear" w:color="auto" w:fill="FFFFFF"/>
            <w:noWrap/>
            <w:vAlign w:val="center"/>
          </w:tcPr>
          <w:p w14:paraId="270F1C97" w14:textId="52152642" w:rsidR="00C66433" w:rsidRPr="00E05368" w:rsidRDefault="00C66433" w:rsidP="00C66433">
            <w:pPr>
              <w:spacing w:line="240" w:lineRule="exact"/>
              <w:jc w:val="both"/>
              <w:rPr>
                <w:rFonts w:ascii="Arial" w:eastAsia="华文细黑" w:hAnsi="Arial" w:cs="Arial"/>
                <w:sz w:val="18"/>
                <w:szCs w:val="18"/>
              </w:rPr>
            </w:pPr>
            <w:r w:rsidRPr="00C66433">
              <w:rPr>
                <w:rFonts w:ascii="Arial" w:eastAsia="华文细黑" w:hAnsi="Arial" w:cs="Arial"/>
                <w:sz w:val="18"/>
                <w:szCs w:val="18"/>
              </w:rPr>
              <w:t>1163</w:t>
            </w:r>
          </w:p>
        </w:tc>
        <w:tc>
          <w:tcPr>
            <w:tcW w:w="1133" w:type="pct"/>
            <w:tcBorders>
              <w:top w:val="single" w:sz="4" w:space="0" w:color="auto"/>
              <w:left w:val="nil"/>
              <w:bottom w:val="single" w:sz="4" w:space="0" w:color="auto"/>
              <w:right w:val="single" w:sz="4" w:space="0" w:color="auto"/>
            </w:tcBorders>
            <w:shd w:val="clear" w:color="auto" w:fill="FFFFFF"/>
            <w:noWrap/>
            <w:vAlign w:val="center"/>
          </w:tcPr>
          <w:p w14:paraId="09C882BC" w14:textId="6D345534" w:rsidR="00C66433" w:rsidRPr="00E05368" w:rsidRDefault="00C66433" w:rsidP="00C66433">
            <w:pPr>
              <w:spacing w:line="240" w:lineRule="exact"/>
              <w:rPr>
                <w:rFonts w:ascii="Arial" w:eastAsia="华文细黑" w:hAnsi="Arial" w:cs="Arial"/>
                <w:sz w:val="18"/>
                <w:szCs w:val="18"/>
              </w:rPr>
            </w:pPr>
            <w:r w:rsidRPr="00E05368">
              <w:rPr>
                <w:rFonts w:ascii="Arial" w:eastAsia="华文细黑" w:hAnsi="Arial" w:cs="Arial" w:hint="eastAsia"/>
                <w:sz w:val="18"/>
                <w:szCs w:val="18"/>
              </w:rPr>
              <w:t>0.</w:t>
            </w:r>
            <w:r>
              <w:rPr>
                <w:rFonts w:ascii="Arial" w:eastAsia="华文细黑" w:hAnsi="Arial" w:cs="Arial" w:hint="eastAsia"/>
                <w:sz w:val="18"/>
                <w:szCs w:val="18"/>
              </w:rPr>
              <w:t>27</w:t>
            </w:r>
            <w:r w:rsidRPr="00E05368">
              <w:rPr>
                <w:rFonts w:ascii="Arial" w:eastAsia="华文细黑" w:hAnsi="Arial" w:cs="Arial" w:hint="eastAsia"/>
                <w:sz w:val="18"/>
                <w:szCs w:val="18"/>
              </w:rPr>
              <w:t>%</w:t>
            </w:r>
          </w:p>
        </w:tc>
        <w:tc>
          <w:tcPr>
            <w:tcW w:w="1600" w:type="pct"/>
            <w:tcBorders>
              <w:top w:val="single" w:sz="4" w:space="0" w:color="auto"/>
              <w:left w:val="nil"/>
              <w:bottom w:val="single" w:sz="4" w:space="0" w:color="auto"/>
              <w:right w:val="single" w:sz="4" w:space="0" w:color="auto"/>
            </w:tcBorders>
            <w:shd w:val="clear" w:color="auto" w:fill="FFFFFF"/>
            <w:noWrap/>
            <w:vAlign w:val="center"/>
          </w:tcPr>
          <w:p w14:paraId="6C4C0A69" w14:textId="1E78AB5C" w:rsidR="00C66433" w:rsidRPr="00E05368" w:rsidRDefault="00867AE3" w:rsidP="007B3231">
            <w:pPr>
              <w:spacing w:line="240" w:lineRule="exact"/>
              <w:rPr>
                <w:rFonts w:ascii="Arial" w:eastAsia="华文细黑" w:hAnsi="Arial" w:cs="Arial"/>
                <w:sz w:val="18"/>
                <w:szCs w:val="18"/>
              </w:rPr>
            </w:pPr>
            <w:r>
              <w:rPr>
                <w:rFonts w:ascii="Arial" w:eastAsia="华文细黑" w:hAnsi="Arial" w:cs="Arial" w:hint="eastAsia"/>
                <w:sz w:val="18"/>
                <w:szCs w:val="18"/>
              </w:rPr>
              <w:t>56</w:t>
            </w:r>
          </w:p>
        </w:tc>
      </w:tr>
      <w:tr w:rsidR="0053025C" w:rsidRPr="00E05368" w14:paraId="3713644A" w14:textId="77777777" w:rsidTr="007B3231">
        <w:trPr>
          <w:cantSplit/>
          <w:trHeight w:val="283"/>
          <w:jc w:val="center"/>
        </w:trPr>
        <w:tc>
          <w:tcPr>
            <w:tcW w:w="1133" w:type="pct"/>
            <w:tcBorders>
              <w:top w:val="single" w:sz="4" w:space="0" w:color="auto"/>
              <w:left w:val="single" w:sz="4" w:space="0" w:color="auto"/>
              <w:bottom w:val="single" w:sz="4" w:space="0" w:color="auto"/>
              <w:right w:val="single" w:sz="4" w:space="0" w:color="auto"/>
            </w:tcBorders>
            <w:shd w:val="clear" w:color="auto" w:fill="FFFFFF"/>
            <w:noWrap/>
            <w:vAlign w:val="center"/>
          </w:tcPr>
          <w:p w14:paraId="56F32BD3" w14:textId="77777777" w:rsidR="0053025C" w:rsidRPr="00E05368" w:rsidRDefault="0053025C" w:rsidP="007B3231">
            <w:pPr>
              <w:spacing w:line="240" w:lineRule="exact"/>
              <w:jc w:val="both"/>
              <w:rPr>
                <w:rFonts w:ascii="Arial" w:eastAsia="华文细黑" w:hAnsi="Arial" w:cs="Arial"/>
                <w:sz w:val="18"/>
                <w:szCs w:val="18"/>
              </w:rPr>
            </w:pPr>
            <w:r w:rsidRPr="00E05368">
              <w:rPr>
                <w:rFonts w:ascii="Arial" w:eastAsia="华文细黑" w:hAnsi="Arial" w:cs="Arial" w:hint="eastAsia"/>
                <w:sz w:val="18"/>
                <w:szCs w:val="18"/>
              </w:rPr>
              <w:t>合计</w:t>
            </w:r>
          </w:p>
        </w:tc>
        <w:tc>
          <w:tcPr>
            <w:tcW w:w="1133" w:type="pct"/>
            <w:tcBorders>
              <w:top w:val="single" w:sz="4" w:space="0" w:color="auto"/>
              <w:left w:val="nil"/>
              <w:bottom w:val="single" w:sz="4" w:space="0" w:color="auto"/>
              <w:right w:val="single" w:sz="4" w:space="0" w:color="auto"/>
            </w:tcBorders>
            <w:shd w:val="clear" w:color="auto" w:fill="FFFFFF"/>
            <w:noWrap/>
            <w:vAlign w:val="center"/>
          </w:tcPr>
          <w:p w14:paraId="49E512C5" w14:textId="4CB22F25" w:rsidR="0053025C" w:rsidRPr="00E05368" w:rsidRDefault="00C66433" w:rsidP="007B3231">
            <w:pPr>
              <w:spacing w:line="240" w:lineRule="exact"/>
              <w:rPr>
                <w:rFonts w:ascii="Arial" w:eastAsia="华文细黑" w:hAnsi="Arial" w:cs="Arial"/>
                <w:sz w:val="18"/>
                <w:szCs w:val="18"/>
              </w:rPr>
            </w:pPr>
            <w:r w:rsidRPr="00C66433">
              <w:rPr>
                <w:rFonts w:ascii="Arial" w:eastAsia="华文细黑" w:hAnsi="Arial" w:cs="Arial"/>
                <w:sz w:val="18"/>
                <w:szCs w:val="18"/>
              </w:rPr>
              <w:t>436207</w:t>
            </w:r>
          </w:p>
        </w:tc>
        <w:tc>
          <w:tcPr>
            <w:tcW w:w="1133" w:type="pct"/>
            <w:tcBorders>
              <w:top w:val="single" w:sz="4" w:space="0" w:color="auto"/>
              <w:left w:val="nil"/>
              <w:bottom w:val="single" w:sz="4" w:space="0" w:color="auto"/>
              <w:right w:val="single" w:sz="4" w:space="0" w:color="auto"/>
            </w:tcBorders>
            <w:shd w:val="clear" w:color="auto" w:fill="FFFFFF"/>
            <w:noWrap/>
            <w:vAlign w:val="center"/>
          </w:tcPr>
          <w:p w14:paraId="740DF697" w14:textId="77777777" w:rsidR="0053025C" w:rsidRPr="00E05368" w:rsidRDefault="0053025C" w:rsidP="007B3231">
            <w:pPr>
              <w:spacing w:line="240" w:lineRule="exact"/>
              <w:rPr>
                <w:rFonts w:ascii="Arial" w:eastAsia="华文细黑" w:hAnsi="Arial" w:cs="Arial"/>
                <w:sz w:val="18"/>
                <w:szCs w:val="18"/>
              </w:rPr>
            </w:pPr>
            <w:r w:rsidRPr="00E05368">
              <w:rPr>
                <w:rFonts w:ascii="Arial" w:eastAsia="华文细黑" w:hAnsi="Arial" w:cs="Arial" w:hint="eastAsia"/>
                <w:sz w:val="18"/>
                <w:szCs w:val="18"/>
              </w:rPr>
              <w:t>100.00%</w:t>
            </w:r>
          </w:p>
        </w:tc>
        <w:tc>
          <w:tcPr>
            <w:tcW w:w="1600" w:type="pct"/>
            <w:tcBorders>
              <w:top w:val="single" w:sz="4" w:space="0" w:color="auto"/>
              <w:left w:val="nil"/>
              <w:bottom w:val="single" w:sz="4" w:space="0" w:color="auto"/>
              <w:right w:val="single" w:sz="4" w:space="0" w:color="auto"/>
            </w:tcBorders>
            <w:shd w:val="clear" w:color="auto" w:fill="FFFFFF"/>
            <w:noWrap/>
            <w:vAlign w:val="center"/>
          </w:tcPr>
          <w:p w14:paraId="56B9F5B1" w14:textId="763A2313" w:rsidR="0053025C" w:rsidRPr="00E05368" w:rsidRDefault="00C66433" w:rsidP="007B3231">
            <w:pPr>
              <w:spacing w:line="240" w:lineRule="exact"/>
              <w:rPr>
                <w:rFonts w:ascii="Arial" w:eastAsia="华文细黑" w:hAnsi="Arial" w:cs="Arial"/>
                <w:sz w:val="18"/>
                <w:szCs w:val="18"/>
              </w:rPr>
            </w:pPr>
            <w:r>
              <w:rPr>
                <w:rFonts w:ascii="Arial" w:eastAsia="华文细黑" w:hAnsi="Arial" w:cs="Arial" w:hint="eastAsia"/>
                <w:sz w:val="18"/>
                <w:szCs w:val="18"/>
              </w:rPr>
              <w:t>20963</w:t>
            </w:r>
          </w:p>
        </w:tc>
      </w:tr>
    </w:tbl>
    <w:p w14:paraId="7DFB2E51" w14:textId="77777777" w:rsidR="0053025C" w:rsidRPr="00E05368" w:rsidRDefault="0053025C" w:rsidP="0053025C">
      <w:pPr>
        <w:pStyle w:val="11"/>
        <w:autoSpaceDE/>
        <w:autoSpaceDN/>
        <w:adjustRightInd/>
        <w:rPr>
          <w:rFonts w:ascii="Arial" w:hAnsi="Arial" w:cs="Arial"/>
          <w:kern w:val="2"/>
          <w:sz w:val="10"/>
          <w:szCs w:val="10"/>
        </w:rPr>
      </w:pPr>
      <w:r w:rsidRPr="00E05368">
        <w:rPr>
          <w:rFonts w:ascii="Arial" w:hAnsi="Arial" w:cs="Arial"/>
          <w:kern w:val="2"/>
          <w:sz w:val="10"/>
          <w:szCs w:val="10"/>
        </w:rPr>
        <w:t xml:space="preserve">      </w:t>
      </w:r>
    </w:p>
    <w:p w14:paraId="282CC58D" w14:textId="77777777" w:rsidR="0053025C" w:rsidRPr="00E05368" w:rsidRDefault="0053025C" w:rsidP="0053025C">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评估认为，该项目总体投资估算基本符合项目实际情况，投资估算结果基本合理。</w:t>
      </w:r>
    </w:p>
    <w:p w14:paraId="58A369E5" w14:textId="77777777" w:rsidR="0053025C" w:rsidRPr="00E05368" w:rsidRDefault="0053025C" w:rsidP="0053025C">
      <w:pPr>
        <w:pStyle w:val="2"/>
        <w:keepNext w:val="0"/>
        <w:keepLines w:val="0"/>
        <w:widowControl w:val="0"/>
        <w:spacing w:before="0" w:after="0" w:line="480" w:lineRule="auto"/>
        <w:rPr>
          <w:rFonts w:eastAsia="宋体" w:cs="Arial"/>
          <w:sz w:val="21"/>
          <w:szCs w:val="21"/>
        </w:rPr>
      </w:pPr>
      <w:bookmarkStart w:id="170" w:name="_Toc146106155"/>
      <w:bookmarkStart w:id="171" w:name="_Toc74662917"/>
      <w:r w:rsidRPr="00E05368">
        <w:rPr>
          <w:rFonts w:eastAsia="宋体" w:cs="Arial"/>
          <w:sz w:val="21"/>
          <w:szCs w:val="21"/>
        </w:rPr>
        <w:t>二、筹资评价</w:t>
      </w:r>
      <w:bookmarkEnd w:id="170"/>
      <w:bookmarkEnd w:id="171"/>
    </w:p>
    <w:p w14:paraId="10224E76" w14:textId="2DF746CC" w:rsidR="0053025C" w:rsidRPr="000F61C8" w:rsidRDefault="0053025C" w:rsidP="0053025C">
      <w:pPr>
        <w:widowControl w:val="0"/>
        <w:adjustRightInd w:val="0"/>
        <w:snapToGrid w:val="0"/>
        <w:spacing w:line="480" w:lineRule="auto"/>
        <w:ind w:firstLineChars="200" w:firstLine="420"/>
        <w:rPr>
          <w:rFonts w:ascii="Arial" w:hAnsi="Arial" w:cs="Arial"/>
          <w:bCs/>
          <w:color w:val="000000"/>
          <w:sz w:val="21"/>
          <w:szCs w:val="21"/>
        </w:rPr>
      </w:pPr>
      <w:r w:rsidRPr="000F61C8">
        <w:rPr>
          <w:rFonts w:ascii="Arial" w:hAnsi="Arial" w:cs="Arial"/>
          <w:color w:val="000000"/>
          <w:sz w:val="21"/>
          <w:szCs w:val="21"/>
        </w:rPr>
        <w:t>项目总投资</w:t>
      </w:r>
      <w:r w:rsidR="00867AE3" w:rsidRPr="008669D0">
        <w:rPr>
          <w:rFonts w:ascii="Arial" w:hAnsi="Arial" w:cs="Arial"/>
          <w:bCs/>
          <w:color w:val="000000"/>
          <w:sz w:val="21"/>
          <w:szCs w:val="21"/>
        </w:rPr>
        <w:t>436207</w:t>
      </w:r>
      <w:r w:rsidRPr="000F61C8">
        <w:rPr>
          <w:rFonts w:ascii="Arial" w:hAnsi="Arial" w:cs="Arial"/>
          <w:color w:val="000000"/>
          <w:sz w:val="21"/>
          <w:szCs w:val="21"/>
        </w:rPr>
        <w:t>万元，其中：</w:t>
      </w:r>
      <w:r w:rsidR="00867AE3">
        <w:rPr>
          <w:rFonts w:ascii="Arial" w:hAnsi="Arial" w:cs="Arial" w:hint="eastAsia"/>
          <w:color w:val="000000"/>
          <w:sz w:val="21"/>
          <w:szCs w:val="21"/>
        </w:rPr>
        <w:t>集团自有资金</w:t>
      </w:r>
      <w:r w:rsidR="00867AE3">
        <w:rPr>
          <w:rFonts w:ascii="Arial" w:hAnsi="Arial" w:cs="Arial" w:hint="eastAsia"/>
          <w:color w:val="000000"/>
          <w:sz w:val="21"/>
          <w:szCs w:val="21"/>
        </w:rPr>
        <w:t>1020</w:t>
      </w:r>
      <w:r w:rsidR="00867AE3">
        <w:rPr>
          <w:rFonts w:ascii="Arial" w:hAnsi="Arial" w:cs="Arial" w:hint="eastAsia"/>
          <w:color w:val="000000"/>
          <w:sz w:val="21"/>
          <w:szCs w:val="21"/>
        </w:rPr>
        <w:t>万，</w:t>
      </w:r>
      <w:r>
        <w:rPr>
          <w:rFonts w:ascii="Arial" w:hAnsi="Arial" w:cs="Arial" w:hint="eastAsia"/>
          <w:color w:val="000000"/>
          <w:sz w:val="21"/>
          <w:szCs w:val="21"/>
        </w:rPr>
        <w:t>五矿信托股东权益性出资</w:t>
      </w:r>
      <w:r w:rsidR="00867AE3">
        <w:rPr>
          <w:rFonts w:ascii="Arial" w:hAnsi="Arial" w:cs="Arial" w:hint="eastAsia"/>
          <w:color w:val="000000"/>
          <w:sz w:val="21"/>
          <w:szCs w:val="21"/>
        </w:rPr>
        <w:t>980</w:t>
      </w:r>
      <w:r>
        <w:rPr>
          <w:rFonts w:ascii="Arial" w:hAnsi="Arial" w:cs="Arial" w:hint="eastAsia"/>
          <w:color w:val="000000"/>
          <w:sz w:val="21"/>
          <w:szCs w:val="21"/>
        </w:rPr>
        <w:t>万元，五矿信托</w:t>
      </w:r>
      <w:r w:rsidRPr="000F61C8">
        <w:rPr>
          <w:rFonts w:ascii="Arial" w:hAnsi="Arial" w:cs="Arial" w:hint="eastAsia"/>
          <w:color w:val="000000"/>
          <w:sz w:val="21"/>
          <w:szCs w:val="21"/>
        </w:rPr>
        <w:t>股东借款</w:t>
      </w:r>
      <w:r w:rsidR="00867AE3" w:rsidRPr="00867AE3">
        <w:rPr>
          <w:rFonts w:ascii="Arial" w:hAnsi="Arial" w:cs="Arial"/>
          <w:color w:val="000000"/>
          <w:sz w:val="21"/>
          <w:szCs w:val="21"/>
        </w:rPr>
        <w:t>174720</w:t>
      </w:r>
      <w:r w:rsidRPr="000F61C8">
        <w:rPr>
          <w:rFonts w:ascii="Arial" w:hAnsi="Arial" w:cs="Arial"/>
          <w:bCs/>
          <w:color w:val="000000"/>
          <w:sz w:val="21"/>
          <w:szCs w:val="21"/>
        </w:rPr>
        <w:t>万元</w:t>
      </w:r>
      <w:r>
        <w:rPr>
          <w:rFonts w:ascii="Arial" w:hAnsi="Arial" w:cs="Arial" w:hint="eastAsia"/>
          <w:bCs/>
          <w:color w:val="000000"/>
          <w:sz w:val="21"/>
          <w:szCs w:val="21"/>
        </w:rPr>
        <w:t>，</w:t>
      </w:r>
      <w:r>
        <w:rPr>
          <w:rFonts w:ascii="Arial" w:hAnsi="Arial" w:cs="Arial" w:hint="eastAsia"/>
          <w:color w:val="000000"/>
          <w:sz w:val="21"/>
          <w:szCs w:val="21"/>
        </w:rPr>
        <w:t>集团</w:t>
      </w:r>
      <w:r w:rsidRPr="000F61C8">
        <w:rPr>
          <w:rFonts w:ascii="Arial" w:hAnsi="Arial" w:cs="Arial" w:hint="eastAsia"/>
          <w:color w:val="000000"/>
          <w:sz w:val="21"/>
          <w:szCs w:val="21"/>
        </w:rPr>
        <w:t>股东借款</w:t>
      </w:r>
      <w:r w:rsidR="00867AE3" w:rsidRPr="00867AE3">
        <w:rPr>
          <w:rFonts w:ascii="Arial" w:hAnsi="Arial" w:cs="Arial"/>
          <w:color w:val="000000"/>
          <w:sz w:val="21"/>
          <w:szCs w:val="21"/>
        </w:rPr>
        <w:t>122069</w:t>
      </w:r>
      <w:r w:rsidRPr="000F61C8">
        <w:rPr>
          <w:rFonts w:ascii="Arial" w:hAnsi="Arial" w:cs="Arial"/>
          <w:bCs/>
          <w:color w:val="000000"/>
          <w:sz w:val="21"/>
          <w:szCs w:val="21"/>
        </w:rPr>
        <w:t>万元</w:t>
      </w:r>
      <w:r w:rsidR="00867AE3">
        <w:rPr>
          <w:rFonts w:ascii="Arial" w:hAnsi="Arial" w:cs="Arial" w:hint="eastAsia"/>
          <w:bCs/>
          <w:color w:val="000000"/>
          <w:sz w:val="21"/>
          <w:szCs w:val="21"/>
        </w:rPr>
        <w:t>，银行开发贷</w:t>
      </w:r>
      <w:r w:rsidR="00867AE3" w:rsidRPr="00867AE3">
        <w:rPr>
          <w:rFonts w:ascii="Arial" w:hAnsi="Arial" w:cs="Arial"/>
          <w:bCs/>
          <w:color w:val="000000"/>
          <w:sz w:val="21"/>
          <w:szCs w:val="21"/>
        </w:rPr>
        <w:t>18000</w:t>
      </w:r>
      <w:r w:rsidR="00867AE3">
        <w:rPr>
          <w:rFonts w:ascii="Arial" w:hAnsi="Arial" w:cs="Arial" w:hint="eastAsia"/>
          <w:bCs/>
          <w:color w:val="000000"/>
          <w:sz w:val="21"/>
          <w:szCs w:val="21"/>
        </w:rPr>
        <w:t>万元</w:t>
      </w:r>
      <w:r w:rsidRPr="000F61C8">
        <w:rPr>
          <w:rFonts w:ascii="Arial" w:hAnsi="Arial" w:cs="Arial"/>
          <w:bCs/>
          <w:color w:val="000000"/>
          <w:sz w:val="21"/>
          <w:szCs w:val="21"/>
        </w:rPr>
        <w:t>。其他全部为销售回款再投入。</w:t>
      </w:r>
    </w:p>
    <w:p w14:paraId="0F28B74C" w14:textId="77777777" w:rsidR="0053025C" w:rsidRPr="00E05368" w:rsidRDefault="0053025C" w:rsidP="0053025C">
      <w:pPr>
        <w:pStyle w:val="2"/>
        <w:spacing w:before="0" w:after="0" w:line="480" w:lineRule="auto"/>
        <w:rPr>
          <w:rFonts w:eastAsia="宋体" w:cs="Arial"/>
          <w:sz w:val="21"/>
          <w:szCs w:val="21"/>
        </w:rPr>
      </w:pPr>
      <w:bookmarkStart w:id="172" w:name="_Toc146106156"/>
      <w:bookmarkStart w:id="173" w:name="_Toc74662918"/>
      <w:r w:rsidRPr="00E05368">
        <w:rPr>
          <w:rFonts w:eastAsia="宋体" w:cs="Arial"/>
          <w:sz w:val="21"/>
          <w:szCs w:val="21"/>
        </w:rPr>
        <w:t>三、投资计划安排</w:t>
      </w:r>
      <w:bookmarkEnd w:id="172"/>
      <w:bookmarkEnd w:id="173"/>
    </w:p>
    <w:p w14:paraId="280C9B74" w14:textId="77777777" w:rsidR="0053025C" w:rsidRDefault="0053025C" w:rsidP="0053025C">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根据项目建设计划，具体投入进度如下：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1140"/>
        <w:gridCol w:w="1141"/>
        <w:gridCol w:w="1583"/>
        <w:gridCol w:w="1267"/>
        <w:gridCol w:w="4281"/>
      </w:tblGrid>
      <w:tr w:rsidR="0053025C" w:rsidRPr="00E05368" w14:paraId="524EFFC6" w14:textId="77777777" w:rsidTr="007B3231">
        <w:trPr>
          <w:trHeight w:val="283"/>
          <w:tblHeader/>
        </w:trPr>
        <w:tc>
          <w:tcPr>
            <w:tcW w:w="606" w:type="pct"/>
            <w:shd w:val="clear" w:color="auto" w:fill="auto"/>
            <w:vAlign w:val="center"/>
          </w:tcPr>
          <w:p w14:paraId="06B47781" w14:textId="77777777" w:rsidR="0053025C" w:rsidRPr="00E05368" w:rsidRDefault="0053025C" w:rsidP="007B3231">
            <w:pPr>
              <w:spacing w:line="0" w:lineRule="atLeast"/>
              <w:rPr>
                <w:rFonts w:ascii="华文细黑" w:eastAsia="华文细黑" w:hAnsi="华文细黑"/>
                <w:sz w:val="18"/>
                <w:szCs w:val="18"/>
              </w:rPr>
            </w:pPr>
            <w:r w:rsidRPr="00E05368">
              <w:rPr>
                <w:rFonts w:ascii="华文细黑" w:eastAsia="华文细黑" w:hAnsi="华文细黑" w:hint="eastAsia"/>
                <w:sz w:val="18"/>
                <w:szCs w:val="18"/>
              </w:rPr>
              <w:lastRenderedPageBreak/>
              <w:t>年份</w:t>
            </w:r>
          </w:p>
        </w:tc>
        <w:tc>
          <w:tcPr>
            <w:tcW w:w="606" w:type="pct"/>
            <w:shd w:val="clear" w:color="auto" w:fill="auto"/>
            <w:vAlign w:val="center"/>
          </w:tcPr>
          <w:p w14:paraId="5459327B" w14:textId="77777777" w:rsidR="0053025C" w:rsidRPr="00E05368" w:rsidRDefault="0053025C" w:rsidP="007B3231">
            <w:pPr>
              <w:spacing w:line="0" w:lineRule="atLeast"/>
              <w:rPr>
                <w:rFonts w:ascii="华文细黑" w:eastAsia="华文细黑" w:hAnsi="华文细黑"/>
                <w:sz w:val="18"/>
                <w:szCs w:val="18"/>
              </w:rPr>
            </w:pPr>
            <w:r w:rsidRPr="00E05368">
              <w:rPr>
                <w:rFonts w:ascii="华文细黑" w:eastAsia="华文细黑" w:hAnsi="华文细黑" w:hint="eastAsia"/>
                <w:sz w:val="18"/>
                <w:szCs w:val="18"/>
              </w:rPr>
              <w:t>季度</w:t>
            </w:r>
          </w:p>
        </w:tc>
        <w:tc>
          <w:tcPr>
            <w:tcW w:w="841" w:type="pct"/>
            <w:shd w:val="clear" w:color="auto" w:fill="auto"/>
            <w:vAlign w:val="center"/>
          </w:tcPr>
          <w:p w14:paraId="7CF26F5F" w14:textId="77777777" w:rsidR="0053025C" w:rsidRPr="00E05368" w:rsidRDefault="0053025C" w:rsidP="007B3231">
            <w:pPr>
              <w:spacing w:line="0" w:lineRule="atLeast"/>
              <w:rPr>
                <w:rFonts w:ascii="华文细黑" w:eastAsia="华文细黑" w:hAnsi="华文细黑"/>
                <w:sz w:val="18"/>
                <w:szCs w:val="18"/>
              </w:rPr>
            </w:pPr>
            <w:r w:rsidRPr="00E05368">
              <w:rPr>
                <w:rFonts w:ascii="华文细黑" w:eastAsia="华文细黑" w:hAnsi="华文细黑" w:hint="eastAsia"/>
                <w:sz w:val="18"/>
                <w:szCs w:val="18"/>
              </w:rPr>
              <w:t>投资额（万元）</w:t>
            </w:r>
          </w:p>
        </w:tc>
        <w:tc>
          <w:tcPr>
            <w:tcW w:w="673" w:type="pct"/>
            <w:shd w:val="clear" w:color="auto" w:fill="auto"/>
            <w:vAlign w:val="center"/>
          </w:tcPr>
          <w:p w14:paraId="7BA795C8" w14:textId="77777777" w:rsidR="0053025C" w:rsidRPr="00E05368" w:rsidRDefault="0053025C" w:rsidP="007B3231">
            <w:pPr>
              <w:spacing w:line="0" w:lineRule="atLeast"/>
              <w:rPr>
                <w:rFonts w:ascii="华文细黑" w:eastAsia="华文细黑" w:hAnsi="华文细黑"/>
                <w:sz w:val="18"/>
                <w:szCs w:val="18"/>
              </w:rPr>
            </w:pPr>
            <w:r w:rsidRPr="00E05368">
              <w:rPr>
                <w:rFonts w:ascii="华文细黑" w:eastAsia="华文细黑" w:hAnsi="华文细黑" w:hint="eastAsia"/>
                <w:sz w:val="18"/>
                <w:szCs w:val="18"/>
              </w:rPr>
              <w:t>占比</w:t>
            </w:r>
          </w:p>
        </w:tc>
        <w:tc>
          <w:tcPr>
            <w:tcW w:w="2274" w:type="pct"/>
            <w:shd w:val="clear" w:color="auto" w:fill="auto"/>
            <w:vAlign w:val="center"/>
          </w:tcPr>
          <w:p w14:paraId="672A06AD" w14:textId="77777777" w:rsidR="0053025C" w:rsidRPr="00E05368" w:rsidRDefault="0053025C" w:rsidP="007B3231">
            <w:pPr>
              <w:spacing w:line="0" w:lineRule="atLeast"/>
              <w:rPr>
                <w:rFonts w:ascii="华文细黑" w:eastAsia="华文细黑" w:hAnsi="华文细黑"/>
                <w:sz w:val="18"/>
                <w:szCs w:val="18"/>
              </w:rPr>
            </w:pPr>
            <w:r w:rsidRPr="00E05368">
              <w:rPr>
                <w:rFonts w:ascii="华文细黑" w:eastAsia="华文细黑" w:hAnsi="华文细黑" w:hint="eastAsia"/>
                <w:sz w:val="18"/>
                <w:szCs w:val="18"/>
              </w:rPr>
              <w:t>资金用途</w:t>
            </w:r>
          </w:p>
        </w:tc>
      </w:tr>
      <w:tr w:rsidR="0053025C" w:rsidRPr="00E05368" w14:paraId="66A413E1" w14:textId="77777777" w:rsidTr="007B3231">
        <w:trPr>
          <w:trHeight w:val="283"/>
        </w:trPr>
        <w:tc>
          <w:tcPr>
            <w:tcW w:w="606" w:type="pct"/>
            <w:vMerge w:val="restart"/>
            <w:shd w:val="clear" w:color="auto" w:fill="auto"/>
            <w:vAlign w:val="center"/>
          </w:tcPr>
          <w:p w14:paraId="4D11D1BC" w14:textId="77777777" w:rsidR="0053025C" w:rsidRPr="00E05368" w:rsidRDefault="0053025C" w:rsidP="007B3231">
            <w:pPr>
              <w:spacing w:line="0" w:lineRule="atLeast"/>
              <w:jc w:val="both"/>
              <w:rPr>
                <w:rFonts w:ascii="Arial" w:eastAsia="华文细黑" w:hAnsi="Arial"/>
                <w:sz w:val="18"/>
                <w:szCs w:val="18"/>
              </w:rPr>
            </w:pPr>
            <w:r w:rsidRPr="00E05368">
              <w:rPr>
                <w:rFonts w:ascii="Arial" w:eastAsia="华文细黑" w:hAnsi="Arial" w:hint="eastAsia"/>
                <w:sz w:val="18"/>
                <w:szCs w:val="18"/>
              </w:rPr>
              <w:t>2021</w:t>
            </w:r>
            <w:r w:rsidRPr="00E05368">
              <w:rPr>
                <w:rFonts w:ascii="Arial" w:eastAsia="华文细黑" w:hAnsi="Arial" w:hint="eastAsia"/>
                <w:sz w:val="18"/>
                <w:szCs w:val="18"/>
              </w:rPr>
              <w:t>年</w:t>
            </w:r>
          </w:p>
        </w:tc>
        <w:tc>
          <w:tcPr>
            <w:tcW w:w="606" w:type="pct"/>
            <w:shd w:val="clear" w:color="auto" w:fill="auto"/>
            <w:vAlign w:val="center"/>
          </w:tcPr>
          <w:p w14:paraId="3FA7F037" w14:textId="40098511" w:rsidR="0053025C" w:rsidRPr="00E05368" w:rsidRDefault="0053025C" w:rsidP="00AC1FD8">
            <w:pPr>
              <w:spacing w:line="0" w:lineRule="atLeast"/>
              <w:jc w:val="both"/>
              <w:rPr>
                <w:rFonts w:ascii="Arial" w:eastAsia="华文细黑" w:hAnsi="Arial"/>
                <w:sz w:val="18"/>
                <w:szCs w:val="18"/>
              </w:rPr>
            </w:pPr>
            <w:r w:rsidRPr="00E05368">
              <w:rPr>
                <w:rFonts w:ascii="Arial" w:eastAsia="华文细黑" w:hAnsi="Arial" w:hint="eastAsia"/>
                <w:sz w:val="18"/>
                <w:szCs w:val="18"/>
              </w:rPr>
              <w:t>Q</w:t>
            </w:r>
            <w:r w:rsidR="00AC1FD8">
              <w:rPr>
                <w:rFonts w:ascii="Arial" w:eastAsia="华文细黑" w:hAnsi="Arial" w:hint="eastAsia"/>
                <w:sz w:val="18"/>
                <w:szCs w:val="18"/>
              </w:rPr>
              <w:t>2</w:t>
            </w:r>
          </w:p>
        </w:tc>
        <w:tc>
          <w:tcPr>
            <w:tcW w:w="841" w:type="pct"/>
            <w:shd w:val="clear" w:color="auto" w:fill="auto"/>
            <w:vAlign w:val="center"/>
          </w:tcPr>
          <w:p w14:paraId="28B73C6F" w14:textId="2077351B" w:rsidR="0053025C" w:rsidRPr="00E05368" w:rsidRDefault="00AC1FD8" w:rsidP="007B3231">
            <w:pPr>
              <w:spacing w:line="0" w:lineRule="atLeast"/>
              <w:jc w:val="both"/>
              <w:rPr>
                <w:rFonts w:ascii="Arial" w:eastAsia="华文细黑" w:hAnsi="Arial"/>
                <w:sz w:val="18"/>
                <w:szCs w:val="18"/>
              </w:rPr>
            </w:pPr>
            <w:r>
              <w:rPr>
                <w:rFonts w:ascii="Arial" w:eastAsia="华文细黑" w:hAnsi="Arial"/>
                <w:sz w:val="18"/>
                <w:szCs w:val="18"/>
              </w:rPr>
              <w:t>125</w:t>
            </w:r>
            <w:r w:rsidRPr="00AC1FD8">
              <w:rPr>
                <w:rFonts w:ascii="Arial" w:eastAsia="华文细黑" w:hAnsi="Arial"/>
                <w:sz w:val="18"/>
                <w:szCs w:val="18"/>
              </w:rPr>
              <w:t>970</w:t>
            </w:r>
          </w:p>
        </w:tc>
        <w:tc>
          <w:tcPr>
            <w:tcW w:w="673" w:type="pct"/>
            <w:shd w:val="clear" w:color="auto" w:fill="auto"/>
            <w:vAlign w:val="center"/>
          </w:tcPr>
          <w:p w14:paraId="1896289F" w14:textId="5FAA674E" w:rsidR="0053025C" w:rsidRPr="00E05368" w:rsidRDefault="00AC1FD8" w:rsidP="007B3231">
            <w:pPr>
              <w:spacing w:line="0" w:lineRule="atLeast"/>
              <w:jc w:val="both"/>
              <w:rPr>
                <w:rFonts w:ascii="Arial" w:eastAsia="华文细黑" w:hAnsi="Arial"/>
                <w:sz w:val="18"/>
                <w:szCs w:val="18"/>
              </w:rPr>
            </w:pPr>
            <w:r>
              <w:rPr>
                <w:rFonts w:ascii="Arial" w:eastAsia="华文细黑" w:hAnsi="Arial" w:hint="eastAsia"/>
                <w:sz w:val="18"/>
                <w:szCs w:val="18"/>
              </w:rPr>
              <w:t>28.88</w:t>
            </w:r>
            <w:r w:rsidR="0053025C" w:rsidRPr="00E05368">
              <w:rPr>
                <w:rFonts w:ascii="Arial" w:eastAsia="华文细黑" w:hAnsi="Arial" w:hint="eastAsia"/>
                <w:sz w:val="18"/>
                <w:szCs w:val="18"/>
              </w:rPr>
              <w:t>%</w:t>
            </w:r>
          </w:p>
        </w:tc>
        <w:tc>
          <w:tcPr>
            <w:tcW w:w="2274" w:type="pct"/>
            <w:vMerge w:val="restart"/>
            <w:shd w:val="clear" w:color="auto" w:fill="auto"/>
            <w:vAlign w:val="center"/>
          </w:tcPr>
          <w:p w14:paraId="53A11B60" w14:textId="79C8F478" w:rsidR="0053025C" w:rsidRPr="00E05368" w:rsidRDefault="0053025C" w:rsidP="00AC1FD8">
            <w:pPr>
              <w:spacing w:line="0" w:lineRule="atLeast"/>
              <w:rPr>
                <w:rFonts w:ascii="华文细黑" w:eastAsia="华文细黑" w:hAnsi="华文细黑"/>
                <w:sz w:val="18"/>
                <w:szCs w:val="18"/>
              </w:rPr>
            </w:pPr>
            <w:r w:rsidRPr="00E05368">
              <w:rPr>
                <w:rFonts w:ascii="华文细黑" w:eastAsia="华文细黑" w:hAnsi="华文细黑" w:hint="eastAsia"/>
                <w:sz w:val="18"/>
                <w:szCs w:val="18"/>
              </w:rPr>
              <w:t>土地费用</w:t>
            </w:r>
            <w:r>
              <w:rPr>
                <w:rFonts w:ascii="华文细黑" w:eastAsia="华文细黑" w:hAnsi="华文细黑" w:hint="eastAsia"/>
                <w:sz w:val="18"/>
                <w:szCs w:val="18"/>
              </w:rPr>
              <w:t>、前期费用、</w:t>
            </w:r>
            <w:r w:rsidRPr="00E05368">
              <w:rPr>
                <w:rFonts w:ascii="华文细黑" w:eastAsia="华文细黑" w:hAnsi="华文细黑" w:hint="eastAsia"/>
                <w:sz w:val="18"/>
                <w:szCs w:val="18"/>
              </w:rPr>
              <w:t>房屋开发费、开发间接费用、管理费用、</w:t>
            </w:r>
            <w:r w:rsidRPr="00E05368">
              <w:rPr>
                <w:rFonts w:ascii="华文细黑" w:eastAsia="华文细黑" w:hAnsi="华文细黑"/>
                <w:sz w:val="18"/>
                <w:szCs w:val="18"/>
              </w:rPr>
              <w:t>财务费用</w:t>
            </w:r>
            <w:r w:rsidRPr="00E05368">
              <w:rPr>
                <w:rFonts w:ascii="华文细黑" w:eastAsia="华文细黑" w:hAnsi="华文细黑" w:hint="eastAsia"/>
                <w:sz w:val="18"/>
                <w:szCs w:val="18"/>
              </w:rPr>
              <w:t>、不可预见费</w:t>
            </w:r>
          </w:p>
        </w:tc>
      </w:tr>
      <w:tr w:rsidR="0053025C" w:rsidRPr="00E05368" w14:paraId="4D45ADF4" w14:textId="77777777" w:rsidTr="007B3231">
        <w:trPr>
          <w:trHeight w:val="283"/>
        </w:trPr>
        <w:tc>
          <w:tcPr>
            <w:tcW w:w="606" w:type="pct"/>
            <w:vMerge/>
            <w:shd w:val="clear" w:color="auto" w:fill="auto"/>
            <w:vAlign w:val="center"/>
          </w:tcPr>
          <w:p w14:paraId="3F9B8F0E" w14:textId="77777777" w:rsidR="0053025C" w:rsidRPr="00E05368" w:rsidRDefault="0053025C" w:rsidP="007B3231">
            <w:pPr>
              <w:spacing w:line="0" w:lineRule="atLeast"/>
              <w:jc w:val="both"/>
              <w:rPr>
                <w:rFonts w:ascii="Arial" w:eastAsia="华文细黑" w:hAnsi="Arial"/>
                <w:sz w:val="18"/>
                <w:szCs w:val="18"/>
              </w:rPr>
            </w:pPr>
          </w:p>
        </w:tc>
        <w:tc>
          <w:tcPr>
            <w:tcW w:w="606" w:type="pct"/>
            <w:shd w:val="clear" w:color="auto" w:fill="auto"/>
            <w:vAlign w:val="center"/>
          </w:tcPr>
          <w:p w14:paraId="4DCBF0A4" w14:textId="426866A4" w:rsidR="0053025C" w:rsidRPr="00E05368" w:rsidRDefault="0053025C" w:rsidP="00AC1FD8">
            <w:pPr>
              <w:spacing w:line="0" w:lineRule="atLeast"/>
              <w:jc w:val="both"/>
              <w:rPr>
                <w:rFonts w:ascii="Arial" w:eastAsia="华文细黑" w:hAnsi="Arial"/>
                <w:sz w:val="18"/>
                <w:szCs w:val="18"/>
              </w:rPr>
            </w:pPr>
            <w:r w:rsidRPr="00E05368">
              <w:rPr>
                <w:rFonts w:ascii="Arial" w:eastAsia="华文细黑" w:hAnsi="Arial" w:hint="eastAsia"/>
                <w:sz w:val="18"/>
                <w:szCs w:val="18"/>
              </w:rPr>
              <w:t>Q</w:t>
            </w:r>
            <w:r w:rsidR="00AC1FD8">
              <w:rPr>
                <w:rFonts w:ascii="Arial" w:eastAsia="华文细黑" w:hAnsi="Arial" w:hint="eastAsia"/>
                <w:sz w:val="18"/>
                <w:szCs w:val="18"/>
              </w:rPr>
              <w:t>3</w:t>
            </w:r>
          </w:p>
        </w:tc>
        <w:tc>
          <w:tcPr>
            <w:tcW w:w="841" w:type="pct"/>
            <w:shd w:val="clear" w:color="auto" w:fill="auto"/>
            <w:vAlign w:val="center"/>
          </w:tcPr>
          <w:p w14:paraId="23DB9447" w14:textId="217929B5" w:rsidR="0053025C" w:rsidRPr="00E05368" w:rsidRDefault="00AC1FD8" w:rsidP="00AC1FD8">
            <w:pPr>
              <w:spacing w:line="0" w:lineRule="atLeast"/>
              <w:jc w:val="both"/>
              <w:rPr>
                <w:rFonts w:ascii="Arial" w:eastAsia="华文细黑" w:hAnsi="Arial"/>
                <w:sz w:val="18"/>
                <w:szCs w:val="18"/>
              </w:rPr>
            </w:pPr>
            <w:r w:rsidRPr="00AC1FD8">
              <w:rPr>
                <w:rFonts w:ascii="Arial" w:eastAsia="华文细黑" w:hAnsi="Arial"/>
                <w:sz w:val="18"/>
                <w:szCs w:val="18"/>
              </w:rPr>
              <w:t>141220</w:t>
            </w:r>
          </w:p>
        </w:tc>
        <w:tc>
          <w:tcPr>
            <w:tcW w:w="673" w:type="pct"/>
            <w:shd w:val="clear" w:color="auto" w:fill="auto"/>
            <w:vAlign w:val="center"/>
          </w:tcPr>
          <w:p w14:paraId="39D43352" w14:textId="378B19EF" w:rsidR="0053025C" w:rsidRPr="00E05368" w:rsidRDefault="00AC1FD8" w:rsidP="007B3231">
            <w:pPr>
              <w:spacing w:line="0" w:lineRule="atLeast"/>
              <w:jc w:val="both"/>
              <w:rPr>
                <w:rFonts w:ascii="Arial" w:eastAsia="华文细黑" w:hAnsi="Arial"/>
                <w:sz w:val="18"/>
                <w:szCs w:val="18"/>
              </w:rPr>
            </w:pPr>
            <w:r>
              <w:rPr>
                <w:rFonts w:ascii="Arial" w:eastAsia="华文细黑" w:hAnsi="Arial" w:hint="eastAsia"/>
                <w:sz w:val="18"/>
                <w:szCs w:val="18"/>
              </w:rPr>
              <w:t>32.37</w:t>
            </w:r>
            <w:r w:rsidR="0053025C" w:rsidRPr="00E05368">
              <w:rPr>
                <w:rFonts w:ascii="Arial" w:eastAsia="华文细黑" w:hAnsi="Arial" w:hint="eastAsia"/>
                <w:sz w:val="18"/>
                <w:szCs w:val="18"/>
              </w:rPr>
              <w:t>%</w:t>
            </w:r>
          </w:p>
        </w:tc>
        <w:tc>
          <w:tcPr>
            <w:tcW w:w="2274" w:type="pct"/>
            <w:vMerge/>
            <w:shd w:val="clear" w:color="auto" w:fill="auto"/>
            <w:vAlign w:val="center"/>
          </w:tcPr>
          <w:p w14:paraId="1CC1AE3A" w14:textId="77777777" w:rsidR="0053025C" w:rsidRPr="00E05368" w:rsidRDefault="0053025C" w:rsidP="007B3231">
            <w:pPr>
              <w:spacing w:line="0" w:lineRule="atLeast"/>
              <w:rPr>
                <w:rFonts w:ascii="华文细黑" w:eastAsia="华文细黑" w:hAnsi="华文细黑"/>
                <w:sz w:val="18"/>
                <w:szCs w:val="18"/>
              </w:rPr>
            </w:pPr>
          </w:p>
        </w:tc>
      </w:tr>
      <w:tr w:rsidR="0053025C" w:rsidRPr="00E05368" w14:paraId="2812B09D" w14:textId="77777777" w:rsidTr="007B3231">
        <w:trPr>
          <w:trHeight w:val="283"/>
        </w:trPr>
        <w:tc>
          <w:tcPr>
            <w:tcW w:w="606" w:type="pct"/>
            <w:vMerge/>
            <w:shd w:val="clear" w:color="auto" w:fill="auto"/>
            <w:vAlign w:val="center"/>
          </w:tcPr>
          <w:p w14:paraId="052F3D0A" w14:textId="77777777" w:rsidR="0053025C" w:rsidRPr="00E05368" w:rsidRDefault="0053025C" w:rsidP="007B3231">
            <w:pPr>
              <w:spacing w:line="0" w:lineRule="atLeast"/>
              <w:jc w:val="both"/>
              <w:rPr>
                <w:rFonts w:ascii="Arial" w:eastAsia="华文细黑" w:hAnsi="Arial"/>
                <w:sz w:val="18"/>
                <w:szCs w:val="18"/>
              </w:rPr>
            </w:pPr>
          </w:p>
        </w:tc>
        <w:tc>
          <w:tcPr>
            <w:tcW w:w="606" w:type="pct"/>
            <w:shd w:val="clear" w:color="auto" w:fill="auto"/>
            <w:vAlign w:val="center"/>
          </w:tcPr>
          <w:p w14:paraId="0045627B" w14:textId="5990ADDE" w:rsidR="0053025C" w:rsidRPr="00E05368" w:rsidRDefault="0053025C" w:rsidP="00AC1FD8">
            <w:pPr>
              <w:spacing w:line="0" w:lineRule="atLeast"/>
              <w:jc w:val="both"/>
              <w:rPr>
                <w:rFonts w:ascii="Arial" w:eastAsia="华文细黑" w:hAnsi="Arial"/>
                <w:sz w:val="18"/>
                <w:szCs w:val="18"/>
              </w:rPr>
            </w:pPr>
            <w:r w:rsidRPr="00E05368">
              <w:rPr>
                <w:rFonts w:ascii="Arial" w:eastAsia="华文细黑" w:hAnsi="Arial" w:hint="eastAsia"/>
                <w:sz w:val="18"/>
                <w:szCs w:val="18"/>
              </w:rPr>
              <w:t>Q</w:t>
            </w:r>
            <w:r w:rsidR="00AC1FD8">
              <w:rPr>
                <w:rFonts w:ascii="Arial" w:eastAsia="华文细黑" w:hAnsi="Arial" w:hint="eastAsia"/>
                <w:sz w:val="18"/>
                <w:szCs w:val="18"/>
              </w:rPr>
              <w:t>4</w:t>
            </w:r>
          </w:p>
        </w:tc>
        <w:tc>
          <w:tcPr>
            <w:tcW w:w="841" w:type="pct"/>
            <w:shd w:val="clear" w:color="auto" w:fill="auto"/>
            <w:vAlign w:val="center"/>
          </w:tcPr>
          <w:p w14:paraId="00DFC4DB" w14:textId="50FFA0CF" w:rsidR="0053025C" w:rsidRPr="00E05368" w:rsidRDefault="00AC1FD8" w:rsidP="007B3231">
            <w:pPr>
              <w:spacing w:line="0" w:lineRule="atLeast"/>
              <w:jc w:val="both"/>
              <w:rPr>
                <w:rFonts w:ascii="Arial" w:eastAsia="华文细黑" w:hAnsi="Arial"/>
                <w:sz w:val="18"/>
                <w:szCs w:val="18"/>
              </w:rPr>
            </w:pPr>
            <w:r>
              <w:rPr>
                <w:rFonts w:ascii="Arial" w:eastAsia="华文细黑" w:hAnsi="Arial"/>
                <w:sz w:val="18"/>
                <w:szCs w:val="18"/>
              </w:rPr>
              <w:t>17</w:t>
            </w:r>
            <w:r w:rsidRPr="00AC1FD8">
              <w:rPr>
                <w:rFonts w:ascii="Arial" w:eastAsia="华文细黑" w:hAnsi="Arial"/>
                <w:sz w:val="18"/>
                <w:szCs w:val="18"/>
              </w:rPr>
              <w:t>669</w:t>
            </w:r>
          </w:p>
        </w:tc>
        <w:tc>
          <w:tcPr>
            <w:tcW w:w="673" w:type="pct"/>
            <w:shd w:val="clear" w:color="auto" w:fill="auto"/>
            <w:vAlign w:val="center"/>
          </w:tcPr>
          <w:p w14:paraId="238FB391" w14:textId="672500F8" w:rsidR="0053025C" w:rsidRPr="00E05368" w:rsidRDefault="0053025C" w:rsidP="00AC1FD8">
            <w:pPr>
              <w:spacing w:line="0" w:lineRule="atLeast"/>
              <w:jc w:val="both"/>
              <w:rPr>
                <w:rFonts w:ascii="Arial" w:eastAsia="华文细黑" w:hAnsi="Arial"/>
                <w:sz w:val="18"/>
                <w:szCs w:val="18"/>
              </w:rPr>
            </w:pPr>
            <w:r>
              <w:rPr>
                <w:rFonts w:ascii="Arial" w:eastAsia="华文细黑" w:hAnsi="Arial" w:hint="eastAsia"/>
                <w:sz w:val="18"/>
                <w:szCs w:val="18"/>
              </w:rPr>
              <w:t>4.</w:t>
            </w:r>
            <w:r w:rsidR="00AC1FD8">
              <w:rPr>
                <w:rFonts w:ascii="Arial" w:eastAsia="华文细黑" w:hAnsi="Arial" w:hint="eastAsia"/>
                <w:sz w:val="18"/>
                <w:szCs w:val="18"/>
              </w:rPr>
              <w:t>05</w:t>
            </w:r>
            <w:r w:rsidRPr="00E05368">
              <w:rPr>
                <w:rFonts w:ascii="Arial" w:eastAsia="华文细黑" w:hAnsi="Arial" w:hint="eastAsia"/>
                <w:sz w:val="18"/>
                <w:szCs w:val="18"/>
              </w:rPr>
              <w:t>%</w:t>
            </w:r>
          </w:p>
        </w:tc>
        <w:tc>
          <w:tcPr>
            <w:tcW w:w="2274" w:type="pct"/>
            <w:vMerge/>
            <w:shd w:val="clear" w:color="auto" w:fill="auto"/>
            <w:vAlign w:val="center"/>
          </w:tcPr>
          <w:p w14:paraId="5AE897C1" w14:textId="77777777" w:rsidR="0053025C" w:rsidRPr="00E05368" w:rsidRDefault="0053025C" w:rsidP="007B3231">
            <w:pPr>
              <w:spacing w:line="0" w:lineRule="atLeast"/>
              <w:rPr>
                <w:rFonts w:ascii="华文细黑" w:eastAsia="华文细黑" w:hAnsi="华文细黑"/>
                <w:sz w:val="18"/>
                <w:szCs w:val="18"/>
              </w:rPr>
            </w:pPr>
          </w:p>
        </w:tc>
      </w:tr>
      <w:tr w:rsidR="0053025C" w:rsidRPr="00E05368" w14:paraId="4CE30DD6" w14:textId="77777777" w:rsidTr="007B3231">
        <w:trPr>
          <w:trHeight w:val="283"/>
        </w:trPr>
        <w:tc>
          <w:tcPr>
            <w:tcW w:w="606" w:type="pct"/>
            <w:vMerge w:val="restart"/>
            <w:shd w:val="clear" w:color="auto" w:fill="auto"/>
            <w:vAlign w:val="center"/>
          </w:tcPr>
          <w:p w14:paraId="2A819472" w14:textId="77777777" w:rsidR="0053025C" w:rsidRPr="00E05368" w:rsidRDefault="0053025C" w:rsidP="007B3231">
            <w:pPr>
              <w:spacing w:line="0" w:lineRule="atLeast"/>
              <w:jc w:val="both"/>
              <w:rPr>
                <w:rFonts w:ascii="Arial" w:eastAsia="华文细黑" w:hAnsi="Arial"/>
                <w:sz w:val="18"/>
                <w:szCs w:val="18"/>
              </w:rPr>
            </w:pPr>
            <w:r w:rsidRPr="00E05368">
              <w:rPr>
                <w:rFonts w:ascii="Arial" w:eastAsia="华文细黑" w:hAnsi="Arial" w:hint="eastAsia"/>
                <w:sz w:val="18"/>
                <w:szCs w:val="18"/>
              </w:rPr>
              <w:t>2022</w:t>
            </w:r>
            <w:r w:rsidRPr="00E05368">
              <w:rPr>
                <w:rFonts w:ascii="Arial" w:eastAsia="华文细黑" w:hAnsi="Arial" w:hint="eastAsia"/>
                <w:sz w:val="18"/>
                <w:szCs w:val="18"/>
              </w:rPr>
              <w:t>年</w:t>
            </w:r>
          </w:p>
        </w:tc>
        <w:tc>
          <w:tcPr>
            <w:tcW w:w="606" w:type="pct"/>
            <w:shd w:val="clear" w:color="auto" w:fill="auto"/>
            <w:vAlign w:val="center"/>
          </w:tcPr>
          <w:p w14:paraId="4828A132" w14:textId="77777777" w:rsidR="0053025C" w:rsidRPr="00E05368" w:rsidRDefault="0053025C" w:rsidP="007B3231">
            <w:pPr>
              <w:spacing w:line="0" w:lineRule="atLeast"/>
              <w:jc w:val="both"/>
              <w:rPr>
                <w:rFonts w:ascii="Arial" w:eastAsia="华文细黑" w:hAnsi="Arial"/>
                <w:sz w:val="18"/>
                <w:szCs w:val="18"/>
              </w:rPr>
            </w:pPr>
            <w:r w:rsidRPr="00E05368">
              <w:rPr>
                <w:rFonts w:ascii="Arial" w:eastAsia="华文细黑" w:hAnsi="Arial" w:hint="eastAsia"/>
                <w:sz w:val="18"/>
                <w:szCs w:val="18"/>
              </w:rPr>
              <w:t>Q1</w:t>
            </w:r>
          </w:p>
        </w:tc>
        <w:tc>
          <w:tcPr>
            <w:tcW w:w="841" w:type="pct"/>
            <w:shd w:val="clear" w:color="auto" w:fill="auto"/>
            <w:vAlign w:val="center"/>
          </w:tcPr>
          <w:p w14:paraId="59BCD574" w14:textId="2AA1D600" w:rsidR="0053025C" w:rsidRPr="00E05368" w:rsidRDefault="00AC1FD8" w:rsidP="007B3231">
            <w:pPr>
              <w:spacing w:line="0" w:lineRule="atLeast"/>
              <w:jc w:val="both"/>
              <w:rPr>
                <w:rFonts w:ascii="Arial" w:eastAsia="华文细黑" w:hAnsi="Arial"/>
                <w:sz w:val="18"/>
                <w:szCs w:val="18"/>
              </w:rPr>
            </w:pPr>
            <w:r>
              <w:rPr>
                <w:rFonts w:ascii="Arial" w:eastAsia="华文细黑" w:hAnsi="Arial"/>
                <w:sz w:val="18"/>
                <w:szCs w:val="18"/>
              </w:rPr>
              <w:t>18</w:t>
            </w:r>
            <w:r w:rsidRPr="00AC1FD8">
              <w:rPr>
                <w:rFonts w:ascii="Arial" w:eastAsia="华文细黑" w:hAnsi="Arial"/>
                <w:sz w:val="18"/>
                <w:szCs w:val="18"/>
              </w:rPr>
              <w:t>930</w:t>
            </w:r>
          </w:p>
        </w:tc>
        <w:tc>
          <w:tcPr>
            <w:tcW w:w="673" w:type="pct"/>
            <w:shd w:val="clear" w:color="auto" w:fill="auto"/>
            <w:vAlign w:val="center"/>
          </w:tcPr>
          <w:p w14:paraId="3C559842" w14:textId="6D35215F" w:rsidR="0053025C" w:rsidRPr="00E05368" w:rsidRDefault="0053025C" w:rsidP="00AC1FD8">
            <w:pPr>
              <w:spacing w:line="0" w:lineRule="atLeast"/>
              <w:jc w:val="both"/>
              <w:rPr>
                <w:rFonts w:ascii="Arial" w:eastAsia="华文细黑" w:hAnsi="Arial"/>
                <w:sz w:val="18"/>
                <w:szCs w:val="18"/>
              </w:rPr>
            </w:pPr>
            <w:r>
              <w:rPr>
                <w:rFonts w:ascii="Arial" w:eastAsia="华文细黑" w:hAnsi="Arial" w:hint="eastAsia"/>
                <w:sz w:val="18"/>
                <w:szCs w:val="18"/>
              </w:rPr>
              <w:t>4.</w:t>
            </w:r>
            <w:r w:rsidR="00AC1FD8">
              <w:rPr>
                <w:rFonts w:ascii="Arial" w:eastAsia="华文细黑" w:hAnsi="Arial" w:hint="eastAsia"/>
                <w:sz w:val="18"/>
                <w:szCs w:val="18"/>
              </w:rPr>
              <w:t>34</w:t>
            </w:r>
            <w:r w:rsidRPr="00E05368">
              <w:rPr>
                <w:rFonts w:ascii="Arial" w:eastAsia="华文细黑" w:hAnsi="Arial"/>
                <w:sz w:val="18"/>
                <w:szCs w:val="18"/>
              </w:rPr>
              <w:t>%</w:t>
            </w:r>
          </w:p>
        </w:tc>
        <w:tc>
          <w:tcPr>
            <w:tcW w:w="2274" w:type="pct"/>
            <w:vMerge w:val="restart"/>
            <w:shd w:val="clear" w:color="auto" w:fill="auto"/>
            <w:vAlign w:val="center"/>
          </w:tcPr>
          <w:p w14:paraId="3ABF0301" w14:textId="77777777" w:rsidR="0053025C" w:rsidRPr="00E05368" w:rsidRDefault="0053025C" w:rsidP="007B3231">
            <w:pPr>
              <w:spacing w:line="0" w:lineRule="atLeast"/>
              <w:rPr>
                <w:rFonts w:ascii="华文细黑" w:eastAsia="华文细黑" w:hAnsi="华文细黑"/>
                <w:sz w:val="18"/>
                <w:szCs w:val="18"/>
              </w:rPr>
            </w:pPr>
            <w:r w:rsidRPr="00E05368">
              <w:rPr>
                <w:rFonts w:ascii="华文细黑" w:eastAsia="华文细黑" w:hAnsi="华文细黑" w:hint="eastAsia"/>
                <w:sz w:val="18"/>
                <w:szCs w:val="18"/>
              </w:rPr>
              <w:t>房屋开发费、开发间接费用、管理费用、</w:t>
            </w:r>
            <w:r w:rsidRPr="00E05368">
              <w:rPr>
                <w:rFonts w:ascii="华文细黑" w:eastAsia="华文细黑" w:hAnsi="华文细黑"/>
                <w:sz w:val="18"/>
                <w:szCs w:val="18"/>
              </w:rPr>
              <w:t>财务费用</w:t>
            </w:r>
            <w:r w:rsidRPr="00E05368">
              <w:rPr>
                <w:rFonts w:ascii="华文细黑" w:eastAsia="华文细黑" w:hAnsi="华文细黑" w:hint="eastAsia"/>
                <w:sz w:val="18"/>
                <w:szCs w:val="18"/>
              </w:rPr>
              <w:t>、不可预见费、销售费用</w:t>
            </w:r>
          </w:p>
        </w:tc>
      </w:tr>
      <w:tr w:rsidR="0053025C" w:rsidRPr="00E05368" w14:paraId="15BCB905" w14:textId="77777777" w:rsidTr="007B3231">
        <w:trPr>
          <w:trHeight w:val="283"/>
        </w:trPr>
        <w:tc>
          <w:tcPr>
            <w:tcW w:w="606" w:type="pct"/>
            <w:vMerge/>
            <w:shd w:val="clear" w:color="auto" w:fill="auto"/>
            <w:vAlign w:val="center"/>
          </w:tcPr>
          <w:p w14:paraId="3D96A7BB" w14:textId="77777777" w:rsidR="0053025C" w:rsidRPr="00E05368" w:rsidRDefault="0053025C" w:rsidP="007B3231">
            <w:pPr>
              <w:spacing w:line="0" w:lineRule="atLeast"/>
              <w:jc w:val="both"/>
              <w:rPr>
                <w:rFonts w:ascii="Arial" w:eastAsia="华文细黑" w:hAnsi="Arial"/>
                <w:sz w:val="18"/>
                <w:szCs w:val="18"/>
              </w:rPr>
            </w:pPr>
          </w:p>
        </w:tc>
        <w:tc>
          <w:tcPr>
            <w:tcW w:w="606" w:type="pct"/>
            <w:shd w:val="clear" w:color="auto" w:fill="auto"/>
            <w:vAlign w:val="center"/>
          </w:tcPr>
          <w:p w14:paraId="57AD745E" w14:textId="77777777" w:rsidR="0053025C" w:rsidRPr="00E05368" w:rsidRDefault="0053025C" w:rsidP="007B3231">
            <w:pPr>
              <w:spacing w:line="0" w:lineRule="atLeast"/>
              <w:jc w:val="both"/>
              <w:rPr>
                <w:rFonts w:ascii="Arial" w:eastAsia="华文细黑" w:hAnsi="Arial"/>
                <w:sz w:val="18"/>
                <w:szCs w:val="18"/>
              </w:rPr>
            </w:pPr>
            <w:r w:rsidRPr="00E05368">
              <w:rPr>
                <w:rFonts w:ascii="Arial" w:eastAsia="华文细黑" w:hAnsi="Arial" w:hint="eastAsia"/>
                <w:sz w:val="18"/>
                <w:szCs w:val="18"/>
              </w:rPr>
              <w:t>Q2</w:t>
            </w:r>
          </w:p>
        </w:tc>
        <w:tc>
          <w:tcPr>
            <w:tcW w:w="841" w:type="pct"/>
            <w:shd w:val="clear" w:color="auto" w:fill="auto"/>
            <w:vAlign w:val="center"/>
          </w:tcPr>
          <w:p w14:paraId="34562645" w14:textId="5D90B9CB" w:rsidR="0053025C" w:rsidRPr="00E05368" w:rsidRDefault="00AC1FD8" w:rsidP="007B3231">
            <w:pPr>
              <w:spacing w:line="0" w:lineRule="atLeast"/>
              <w:jc w:val="both"/>
              <w:rPr>
                <w:rFonts w:ascii="Arial" w:eastAsia="华文细黑" w:hAnsi="Arial"/>
                <w:sz w:val="18"/>
                <w:szCs w:val="18"/>
              </w:rPr>
            </w:pPr>
            <w:r>
              <w:rPr>
                <w:rFonts w:ascii="Arial" w:eastAsia="华文细黑" w:hAnsi="Arial"/>
                <w:sz w:val="18"/>
                <w:szCs w:val="18"/>
              </w:rPr>
              <w:t>18</w:t>
            </w:r>
            <w:r w:rsidRPr="00AC1FD8">
              <w:rPr>
                <w:rFonts w:ascii="Arial" w:eastAsia="华文细黑" w:hAnsi="Arial"/>
                <w:sz w:val="18"/>
                <w:szCs w:val="18"/>
              </w:rPr>
              <w:t>228</w:t>
            </w:r>
          </w:p>
        </w:tc>
        <w:tc>
          <w:tcPr>
            <w:tcW w:w="673" w:type="pct"/>
            <w:shd w:val="clear" w:color="auto" w:fill="auto"/>
            <w:vAlign w:val="center"/>
          </w:tcPr>
          <w:p w14:paraId="68070306" w14:textId="68AA4B31" w:rsidR="0053025C" w:rsidRPr="00E05368" w:rsidRDefault="0053025C" w:rsidP="00AC1FD8">
            <w:pPr>
              <w:spacing w:line="0" w:lineRule="atLeast"/>
              <w:jc w:val="both"/>
              <w:rPr>
                <w:rFonts w:ascii="Arial" w:eastAsia="华文细黑" w:hAnsi="Arial"/>
                <w:sz w:val="18"/>
                <w:szCs w:val="18"/>
              </w:rPr>
            </w:pPr>
            <w:r>
              <w:rPr>
                <w:rFonts w:ascii="Arial" w:eastAsia="华文细黑" w:hAnsi="Arial" w:hint="eastAsia"/>
                <w:sz w:val="18"/>
                <w:szCs w:val="18"/>
              </w:rPr>
              <w:t>4.</w:t>
            </w:r>
            <w:r w:rsidR="00AC1FD8">
              <w:rPr>
                <w:rFonts w:ascii="Arial" w:eastAsia="华文细黑" w:hAnsi="Arial" w:hint="eastAsia"/>
                <w:sz w:val="18"/>
                <w:szCs w:val="18"/>
              </w:rPr>
              <w:t>18</w:t>
            </w:r>
            <w:r w:rsidRPr="00E05368">
              <w:rPr>
                <w:rFonts w:ascii="Arial" w:eastAsia="华文细黑" w:hAnsi="Arial"/>
                <w:sz w:val="18"/>
                <w:szCs w:val="18"/>
              </w:rPr>
              <w:t>%</w:t>
            </w:r>
          </w:p>
        </w:tc>
        <w:tc>
          <w:tcPr>
            <w:tcW w:w="2274" w:type="pct"/>
            <w:vMerge/>
            <w:shd w:val="clear" w:color="auto" w:fill="auto"/>
            <w:vAlign w:val="center"/>
          </w:tcPr>
          <w:p w14:paraId="700BF4D6" w14:textId="77777777" w:rsidR="0053025C" w:rsidRPr="00E05368" w:rsidRDefault="0053025C" w:rsidP="007B3231">
            <w:pPr>
              <w:spacing w:line="0" w:lineRule="atLeast"/>
              <w:rPr>
                <w:rFonts w:ascii="华文细黑" w:eastAsia="华文细黑" w:hAnsi="华文细黑"/>
                <w:sz w:val="18"/>
                <w:szCs w:val="18"/>
              </w:rPr>
            </w:pPr>
          </w:p>
        </w:tc>
      </w:tr>
      <w:tr w:rsidR="0053025C" w:rsidRPr="00E05368" w14:paraId="34223336" w14:textId="77777777" w:rsidTr="007B3231">
        <w:trPr>
          <w:trHeight w:val="283"/>
        </w:trPr>
        <w:tc>
          <w:tcPr>
            <w:tcW w:w="606" w:type="pct"/>
            <w:vMerge/>
            <w:shd w:val="clear" w:color="auto" w:fill="auto"/>
            <w:vAlign w:val="center"/>
          </w:tcPr>
          <w:p w14:paraId="0412B14A" w14:textId="77777777" w:rsidR="0053025C" w:rsidRPr="00E05368" w:rsidRDefault="0053025C" w:rsidP="007B3231">
            <w:pPr>
              <w:spacing w:line="0" w:lineRule="atLeast"/>
              <w:jc w:val="both"/>
              <w:rPr>
                <w:rFonts w:ascii="Arial" w:eastAsia="华文细黑" w:hAnsi="Arial"/>
                <w:sz w:val="18"/>
                <w:szCs w:val="18"/>
              </w:rPr>
            </w:pPr>
          </w:p>
        </w:tc>
        <w:tc>
          <w:tcPr>
            <w:tcW w:w="606" w:type="pct"/>
            <w:shd w:val="clear" w:color="auto" w:fill="auto"/>
            <w:vAlign w:val="center"/>
          </w:tcPr>
          <w:p w14:paraId="5C280766" w14:textId="77777777" w:rsidR="0053025C" w:rsidRPr="00E05368" w:rsidRDefault="0053025C" w:rsidP="007B3231">
            <w:pPr>
              <w:spacing w:line="0" w:lineRule="atLeast"/>
              <w:jc w:val="both"/>
              <w:rPr>
                <w:rFonts w:ascii="Arial" w:eastAsia="华文细黑" w:hAnsi="Arial"/>
                <w:sz w:val="18"/>
                <w:szCs w:val="18"/>
              </w:rPr>
            </w:pPr>
            <w:r w:rsidRPr="00E05368">
              <w:rPr>
                <w:rFonts w:ascii="Arial" w:eastAsia="华文细黑" w:hAnsi="Arial" w:hint="eastAsia"/>
                <w:sz w:val="18"/>
                <w:szCs w:val="18"/>
              </w:rPr>
              <w:t>Q3</w:t>
            </w:r>
          </w:p>
        </w:tc>
        <w:tc>
          <w:tcPr>
            <w:tcW w:w="841" w:type="pct"/>
            <w:shd w:val="clear" w:color="auto" w:fill="auto"/>
            <w:vAlign w:val="center"/>
          </w:tcPr>
          <w:p w14:paraId="06B0B1A5" w14:textId="2528ADB3" w:rsidR="0053025C" w:rsidRPr="00E05368" w:rsidRDefault="00AC1FD8" w:rsidP="007B3231">
            <w:pPr>
              <w:spacing w:line="0" w:lineRule="atLeast"/>
              <w:jc w:val="both"/>
              <w:rPr>
                <w:rFonts w:ascii="Arial" w:eastAsia="华文细黑" w:hAnsi="Arial"/>
                <w:sz w:val="18"/>
                <w:szCs w:val="18"/>
              </w:rPr>
            </w:pPr>
            <w:r>
              <w:rPr>
                <w:rFonts w:ascii="Arial" w:eastAsia="华文细黑" w:hAnsi="Arial"/>
                <w:sz w:val="18"/>
                <w:szCs w:val="18"/>
              </w:rPr>
              <w:t>20</w:t>
            </w:r>
            <w:r w:rsidRPr="00AC1FD8">
              <w:rPr>
                <w:rFonts w:ascii="Arial" w:eastAsia="华文细黑" w:hAnsi="Arial"/>
                <w:sz w:val="18"/>
                <w:szCs w:val="18"/>
              </w:rPr>
              <w:t>473</w:t>
            </w:r>
          </w:p>
        </w:tc>
        <w:tc>
          <w:tcPr>
            <w:tcW w:w="673" w:type="pct"/>
            <w:shd w:val="clear" w:color="auto" w:fill="auto"/>
            <w:vAlign w:val="center"/>
          </w:tcPr>
          <w:p w14:paraId="439BB566" w14:textId="53FD21D0" w:rsidR="0053025C" w:rsidRPr="00E05368" w:rsidRDefault="0053025C" w:rsidP="00AC1FD8">
            <w:pPr>
              <w:spacing w:line="0" w:lineRule="atLeast"/>
              <w:jc w:val="both"/>
              <w:rPr>
                <w:rFonts w:ascii="Arial" w:eastAsia="华文细黑" w:hAnsi="Arial"/>
                <w:sz w:val="18"/>
                <w:szCs w:val="18"/>
              </w:rPr>
            </w:pPr>
            <w:r>
              <w:rPr>
                <w:rFonts w:ascii="Arial" w:eastAsia="华文细黑" w:hAnsi="Arial" w:hint="eastAsia"/>
                <w:sz w:val="18"/>
                <w:szCs w:val="18"/>
              </w:rPr>
              <w:t>4.</w:t>
            </w:r>
            <w:r w:rsidR="00AC1FD8">
              <w:rPr>
                <w:rFonts w:ascii="Arial" w:eastAsia="华文细黑" w:hAnsi="Arial" w:hint="eastAsia"/>
                <w:sz w:val="18"/>
                <w:szCs w:val="18"/>
              </w:rPr>
              <w:t>69</w:t>
            </w:r>
            <w:r w:rsidRPr="00E05368">
              <w:rPr>
                <w:rFonts w:ascii="Arial" w:eastAsia="华文细黑" w:hAnsi="Arial"/>
                <w:sz w:val="18"/>
                <w:szCs w:val="18"/>
              </w:rPr>
              <w:t>%</w:t>
            </w:r>
          </w:p>
        </w:tc>
        <w:tc>
          <w:tcPr>
            <w:tcW w:w="2274" w:type="pct"/>
            <w:vMerge/>
            <w:shd w:val="clear" w:color="auto" w:fill="auto"/>
            <w:vAlign w:val="center"/>
          </w:tcPr>
          <w:p w14:paraId="478AD535" w14:textId="77777777" w:rsidR="0053025C" w:rsidRPr="00E05368" w:rsidRDefault="0053025C" w:rsidP="007B3231">
            <w:pPr>
              <w:spacing w:line="0" w:lineRule="atLeast"/>
              <w:rPr>
                <w:rFonts w:ascii="华文细黑" w:eastAsia="华文细黑" w:hAnsi="华文细黑"/>
                <w:sz w:val="18"/>
                <w:szCs w:val="18"/>
              </w:rPr>
            </w:pPr>
          </w:p>
        </w:tc>
      </w:tr>
      <w:tr w:rsidR="0053025C" w:rsidRPr="00E05368" w14:paraId="3C282543" w14:textId="77777777" w:rsidTr="007B3231">
        <w:trPr>
          <w:trHeight w:val="283"/>
        </w:trPr>
        <w:tc>
          <w:tcPr>
            <w:tcW w:w="606" w:type="pct"/>
            <w:vMerge/>
            <w:shd w:val="clear" w:color="auto" w:fill="auto"/>
            <w:vAlign w:val="center"/>
          </w:tcPr>
          <w:p w14:paraId="1F137A1B" w14:textId="77777777" w:rsidR="0053025C" w:rsidRPr="00E05368" w:rsidRDefault="0053025C" w:rsidP="007B3231">
            <w:pPr>
              <w:spacing w:line="0" w:lineRule="atLeast"/>
              <w:jc w:val="both"/>
              <w:rPr>
                <w:rFonts w:ascii="Arial" w:eastAsia="华文细黑" w:hAnsi="Arial"/>
                <w:sz w:val="18"/>
                <w:szCs w:val="18"/>
              </w:rPr>
            </w:pPr>
          </w:p>
        </w:tc>
        <w:tc>
          <w:tcPr>
            <w:tcW w:w="606" w:type="pct"/>
            <w:shd w:val="clear" w:color="auto" w:fill="auto"/>
            <w:vAlign w:val="center"/>
          </w:tcPr>
          <w:p w14:paraId="49402F55" w14:textId="77777777" w:rsidR="0053025C" w:rsidRPr="00E05368" w:rsidRDefault="0053025C" w:rsidP="007B3231">
            <w:pPr>
              <w:spacing w:line="0" w:lineRule="atLeast"/>
              <w:jc w:val="both"/>
              <w:rPr>
                <w:rFonts w:ascii="Arial" w:eastAsia="华文细黑" w:hAnsi="Arial"/>
                <w:sz w:val="18"/>
                <w:szCs w:val="18"/>
              </w:rPr>
            </w:pPr>
            <w:r w:rsidRPr="00E05368">
              <w:rPr>
                <w:rFonts w:ascii="Arial" w:eastAsia="华文细黑" w:hAnsi="Arial" w:hint="eastAsia"/>
                <w:sz w:val="18"/>
                <w:szCs w:val="18"/>
              </w:rPr>
              <w:t>Q4</w:t>
            </w:r>
          </w:p>
        </w:tc>
        <w:tc>
          <w:tcPr>
            <w:tcW w:w="841" w:type="pct"/>
            <w:shd w:val="clear" w:color="auto" w:fill="auto"/>
            <w:vAlign w:val="center"/>
          </w:tcPr>
          <w:p w14:paraId="3E649B55" w14:textId="1AE897F4" w:rsidR="0053025C" w:rsidRPr="00E05368" w:rsidRDefault="00AC1FD8" w:rsidP="007B3231">
            <w:pPr>
              <w:spacing w:line="0" w:lineRule="atLeast"/>
              <w:jc w:val="both"/>
              <w:rPr>
                <w:rFonts w:ascii="Arial" w:eastAsia="华文细黑" w:hAnsi="Arial"/>
                <w:sz w:val="18"/>
                <w:szCs w:val="18"/>
              </w:rPr>
            </w:pPr>
            <w:r>
              <w:rPr>
                <w:rFonts w:ascii="Arial" w:eastAsia="华文细黑" w:hAnsi="Arial"/>
                <w:sz w:val="18"/>
                <w:szCs w:val="18"/>
              </w:rPr>
              <w:t>20</w:t>
            </w:r>
            <w:r w:rsidRPr="00AC1FD8">
              <w:rPr>
                <w:rFonts w:ascii="Arial" w:eastAsia="华文细黑" w:hAnsi="Arial"/>
                <w:sz w:val="18"/>
                <w:szCs w:val="18"/>
              </w:rPr>
              <w:t>148</w:t>
            </w:r>
          </w:p>
        </w:tc>
        <w:tc>
          <w:tcPr>
            <w:tcW w:w="673" w:type="pct"/>
            <w:shd w:val="clear" w:color="auto" w:fill="auto"/>
            <w:vAlign w:val="center"/>
          </w:tcPr>
          <w:p w14:paraId="34A7E259" w14:textId="32FDD6E3" w:rsidR="0053025C" w:rsidRPr="00E05368" w:rsidRDefault="0053025C" w:rsidP="00AC1FD8">
            <w:pPr>
              <w:spacing w:line="0" w:lineRule="atLeast"/>
              <w:jc w:val="both"/>
              <w:rPr>
                <w:rFonts w:ascii="Arial" w:eastAsia="华文细黑" w:hAnsi="Arial"/>
                <w:sz w:val="18"/>
                <w:szCs w:val="18"/>
              </w:rPr>
            </w:pPr>
            <w:r>
              <w:rPr>
                <w:rFonts w:ascii="Arial" w:eastAsia="华文细黑" w:hAnsi="Arial" w:hint="eastAsia"/>
                <w:sz w:val="18"/>
                <w:szCs w:val="18"/>
              </w:rPr>
              <w:t>4.</w:t>
            </w:r>
            <w:r w:rsidR="00AC1FD8">
              <w:rPr>
                <w:rFonts w:ascii="Arial" w:eastAsia="华文细黑" w:hAnsi="Arial" w:hint="eastAsia"/>
                <w:sz w:val="18"/>
                <w:szCs w:val="18"/>
              </w:rPr>
              <w:t>62</w:t>
            </w:r>
            <w:r w:rsidRPr="00E05368">
              <w:rPr>
                <w:rFonts w:ascii="Arial" w:eastAsia="华文细黑" w:hAnsi="Arial"/>
                <w:sz w:val="18"/>
                <w:szCs w:val="18"/>
              </w:rPr>
              <w:t>%</w:t>
            </w:r>
          </w:p>
        </w:tc>
        <w:tc>
          <w:tcPr>
            <w:tcW w:w="2274" w:type="pct"/>
            <w:vMerge/>
            <w:shd w:val="clear" w:color="auto" w:fill="auto"/>
            <w:vAlign w:val="center"/>
          </w:tcPr>
          <w:p w14:paraId="27A33B56" w14:textId="77777777" w:rsidR="0053025C" w:rsidRPr="00E05368" w:rsidRDefault="0053025C" w:rsidP="007B3231">
            <w:pPr>
              <w:spacing w:line="0" w:lineRule="atLeast"/>
              <w:rPr>
                <w:rFonts w:ascii="华文细黑" w:eastAsia="华文细黑" w:hAnsi="华文细黑"/>
                <w:sz w:val="18"/>
                <w:szCs w:val="18"/>
              </w:rPr>
            </w:pPr>
          </w:p>
        </w:tc>
      </w:tr>
      <w:tr w:rsidR="0053025C" w:rsidRPr="00E05368" w14:paraId="1219183E" w14:textId="77777777" w:rsidTr="007B3231">
        <w:trPr>
          <w:trHeight w:val="283"/>
        </w:trPr>
        <w:tc>
          <w:tcPr>
            <w:tcW w:w="606" w:type="pct"/>
            <w:vMerge w:val="restart"/>
            <w:shd w:val="clear" w:color="auto" w:fill="auto"/>
            <w:vAlign w:val="center"/>
          </w:tcPr>
          <w:p w14:paraId="6B2A5F11" w14:textId="77777777" w:rsidR="0053025C" w:rsidRPr="00E05368" w:rsidRDefault="0053025C" w:rsidP="007B3231">
            <w:pPr>
              <w:spacing w:line="0" w:lineRule="atLeast"/>
              <w:jc w:val="both"/>
              <w:rPr>
                <w:rFonts w:ascii="Arial" w:eastAsia="华文细黑" w:hAnsi="Arial"/>
                <w:sz w:val="18"/>
                <w:szCs w:val="18"/>
              </w:rPr>
            </w:pPr>
            <w:r w:rsidRPr="00E05368">
              <w:rPr>
                <w:rFonts w:ascii="Arial" w:eastAsia="华文细黑" w:hAnsi="Arial" w:hint="eastAsia"/>
                <w:sz w:val="18"/>
                <w:szCs w:val="18"/>
              </w:rPr>
              <w:t>2023</w:t>
            </w:r>
            <w:r w:rsidRPr="00E05368">
              <w:rPr>
                <w:rFonts w:ascii="Arial" w:eastAsia="华文细黑" w:hAnsi="Arial" w:hint="eastAsia"/>
                <w:sz w:val="18"/>
                <w:szCs w:val="18"/>
              </w:rPr>
              <w:t>年</w:t>
            </w:r>
          </w:p>
        </w:tc>
        <w:tc>
          <w:tcPr>
            <w:tcW w:w="606" w:type="pct"/>
            <w:shd w:val="clear" w:color="auto" w:fill="auto"/>
            <w:vAlign w:val="center"/>
          </w:tcPr>
          <w:p w14:paraId="538E0650" w14:textId="77777777" w:rsidR="0053025C" w:rsidRPr="00E05368" w:rsidRDefault="0053025C" w:rsidP="007B3231">
            <w:pPr>
              <w:spacing w:line="0" w:lineRule="atLeast"/>
              <w:jc w:val="both"/>
              <w:rPr>
                <w:rFonts w:ascii="Arial" w:eastAsia="华文细黑" w:hAnsi="Arial"/>
                <w:sz w:val="18"/>
                <w:szCs w:val="18"/>
              </w:rPr>
            </w:pPr>
            <w:r w:rsidRPr="00E05368">
              <w:rPr>
                <w:rFonts w:ascii="Arial" w:eastAsia="华文细黑" w:hAnsi="Arial" w:hint="eastAsia"/>
                <w:sz w:val="18"/>
                <w:szCs w:val="18"/>
              </w:rPr>
              <w:t>Q1</w:t>
            </w:r>
          </w:p>
        </w:tc>
        <w:tc>
          <w:tcPr>
            <w:tcW w:w="841" w:type="pct"/>
            <w:shd w:val="clear" w:color="auto" w:fill="auto"/>
            <w:vAlign w:val="center"/>
          </w:tcPr>
          <w:p w14:paraId="0A94FD90" w14:textId="623969AD" w:rsidR="0053025C" w:rsidRPr="00E05368" w:rsidRDefault="00220736" w:rsidP="007B3231">
            <w:pPr>
              <w:spacing w:line="0" w:lineRule="atLeast"/>
              <w:jc w:val="both"/>
              <w:rPr>
                <w:rFonts w:ascii="Arial" w:eastAsia="华文细黑" w:hAnsi="Arial"/>
                <w:sz w:val="18"/>
                <w:szCs w:val="18"/>
              </w:rPr>
            </w:pPr>
            <w:r>
              <w:rPr>
                <w:rFonts w:ascii="Arial" w:eastAsia="华文细黑" w:hAnsi="Arial"/>
                <w:sz w:val="18"/>
                <w:szCs w:val="18"/>
              </w:rPr>
              <w:t>19</w:t>
            </w:r>
            <w:r w:rsidRPr="00220736">
              <w:rPr>
                <w:rFonts w:ascii="Arial" w:eastAsia="华文细黑" w:hAnsi="Arial"/>
                <w:sz w:val="18"/>
                <w:szCs w:val="18"/>
              </w:rPr>
              <w:t>386</w:t>
            </w:r>
          </w:p>
        </w:tc>
        <w:tc>
          <w:tcPr>
            <w:tcW w:w="673" w:type="pct"/>
            <w:shd w:val="clear" w:color="auto" w:fill="auto"/>
            <w:vAlign w:val="center"/>
          </w:tcPr>
          <w:p w14:paraId="10D03044" w14:textId="4C5383BB" w:rsidR="0053025C" w:rsidRPr="00E05368" w:rsidRDefault="00220736" w:rsidP="00220736">
            <w:pPr>
              <w:spacing w:line="0" w:lineRule="atLeast"/>
              <w:jc w:val="both"/>
              <w:rPr>
                <w:rFonts w:ascii="Arial" w:eastAsia="华文细黑" w:hAnsi="Arial"/>
                <w:sz w:val="18"/>
                <w:szCs w:val="18"/>
              </w:rPr>
            </w:pPr>
            <w:r>
              <w:rPr>
                <w:rFonts w:ascii="Arial" w:eastAsia="华文细黑" w:hAnsi="Arial" w:hint="eastAsia"/>
                <w:sz w:val="18"/>
                <w:szCs w:val="18"/>
              </w:rPr>
              <w:t>4.44</w:t>
            </w:r>
            <w:r w:rsidR="0053025C" w:rsidRPr="00E05368">
              <w:rPr>
                <w:rFonts w:ascii="Arial" w:eastAsia="华文细黑" w:hAnsi="Arial"/>
                <w:sz w:val="18"/>
                <w:szCs w:val="18"/>
              </w:rPr>
              <w:t>%</w:t>
            </w:r>
          </w:p>
        </w:tc>
        <w:tc>
          <w:tcPr>
            <w:tcW w:w="2274" w:type="pct"/>
            <w:vMerge w:val="restart"/>
            <w:shd w:val="clear" w:color="auto" w:fill="auto"/>
            <w:vAlign w:val="center"/>
          </w:tcPr>
          <w:p w14:paraId="1DD867F6" w14:textId="2EC9F441" w:rsidR="0053025C" w:rsidRPr="00E05368" w:rsidRDefault="0053025C" w:rsidP="007B3231">
            <w:pPr>
              <w:spacing w:line="0" w:lineRule="atLeast"/>
              <w:rPr>
                <w:rFonts w:ascii="华文细黑" w:eastAsia="华文细黑" w:hAnsi="华文细黑"/>
                <w:sz w:val="18"/>
                <w:szCs w:val="18"/>
              </w:rPr>
            </w:pPr>
            <w:r w:rsidRPr="00E05368">
              <w:rPr>
                <w:rFonts w:ascii="华文细黑" w:eastAsia="华文细黑" w:hAnsi="华文细黑" w:hint="eastAsia"/>
                <w:sz w:val="18"/>
                <w:szCs w:val="18"/>
              </w:rPr>
              <w:t>房屋开发费、开发间接费用、管理费用、</w:t>
            </w:r>
            <w:r w:rsidR="00220736" w:rsidRPr="00E05368">
              <w:rPr>
                <w:rFonts w:ascii="华文细黑" w:eastAsia="华文细黑" w:hAnsi="华文细黑"/>
                <w:sz w:val="18"/>
                <w:szCs w:val="18"/>
              </w:rPr>
              <w:t>财务费用</w:t>
            </w:r>
            <w:r w:rsidR="00220736" w:rsidRPr="00E05368">
              <w:rPr>
                <w:rFonts w:ascii="华文细黑" w:eastAsia="华文细黑" w:hAnsi="华文细黑" w:hint="eastAsia"/>
                <w:sz w:val="18"/>
                <w:szCs w:val="18"/>
              </w:rPr>
              <w:t>、</w:t>
            </w:r>
            <w:r w:rsidRPr="00E05368">
              <w:rPr>
                <w:rFonts w:ascii="华文细黑" w:eastAsia="华文细黑" w:hAnsi="华文细黑" w:hint="eastAsia"/>
                <w:sz w:val="18"/>
                <w:szCs w:val="18"/>
              </w:rPr>
              <w:t>不可预见费、销售费用</w:t>
            </w:r>
          </w:p>
        </w:tc>
      </w:tr>
      <w:tr w:rsidR="0053025C" w:rsidRPr="00E05368" w14:paraId="6BD39AF3" w14:textId="77777777" w:rsidTr="007B3231">
        <w:trPr>
          <w:trHeight w:val="283"/>
        </w:trPr>
        <w:tc>
          <w:tcPr>
            <w:tcW w:w="606" w:type="pct"/>
            <w:vMerge/>
            <w:shd w:val="clear" w:color="auto" w:fill="auto"/>
            <w:vAlign w:val="center"/>
          </w:tcPr>
          <w:p w14:paraId="67C3CE20" w14:textId="77777777" w:rsidR="0053025C" w:rsidRPr="00E05368" w:rsidRDefault="0053025C" w:rsidP="007B3231">
            <w:pPr>
              <w:spacing w:line="0" w:lineRule="atLeast"/>
              <w:jc w:val="both"/>
              <w:rPr>
                <w:rFonts w:ascii="Arial" w:eastAsia="华文细黑" w:hAnsi="Arial"/>
                <w:sz w:val="18"/>
                <w:szCs w:val="18"/>
              </w:rPr>
            </w:pPr>
          </w:p>
        </w:tc>
        <w:tc>
          <w:tcPr>
            <w:tcW w:w="606" w:type="pct"/>
            <w:shd w:val="clear" w:color="auto" w:fill="auto"/>
            <w:vAlign w:val="center"/>
          </w:tcPr>
          <w:p w14:paraId="5DC78607" w14:textId="77777777" w:rsidR="0053025C" w:rsidRPr="00E05368" w:rsidRDefault="0053025C" w:rsidP="007B3231">
            <w:pPr>
              <w:spacing w:line="0" w:lineRule="atLeast"/>
              <w:jc w:val="both"/>
              <w:rPr>
                <w:rFonts w:ascii="Arial" w:eastAsia="华文细黑" w:hAnsi="Arial"/>
                <w:sz w:val="18"/>
                <w:szCs w:val="18"/>
              </w:rPr>
            </w:pPr>
            <w:r w:rsidRPr="00E05368">
              <w:rPr>
                <w:rFonts w:ascii="Arial" w:eastAsia="华文细黑" w:hAnsi="Arial" w:hint="eastAsia"/>
                <w:sz w:val="18"/>
                <w:szCs w:val="18"/>
              </w:rPr>
              <w:t>Q2</w:t>
            </w:r>
          </w:p>
        </w:tc>
        <w:tc>
          <w:tcPr>
            <w:tcW w:w="841" w:type="pct"/>
            <w:shd w:val="clear" w:color="auto" w:fill="auto"/>
            <w:vAlign w:val="center"/>
          </w:tcPr>
          <w:p w14:paraId="4A6DA3AB" w14:textId="00EF796F" w:rsidR="0053025C" w:rsidRPr="00E05368" w:rsidRDefault="00220736" w:rsidP="007B3231">
            <w:pPr>
              <w:spacing w:line="0" w:lineRule="atLeast"/>
              <w:jc w:val="both"/>
              <w:rPr>
                <w:rFonts w:ascii="Arial" w:eastAsia="华文细黑" w:hAnsi="Arial"/>
                <w:sz w:val="18"/>
                <w:szCs w:val="18"/>
              </w:rPr>
            </w:pPr>
            <w:r>
              <w:rPr>
                <w:rFonts w:ascii="Arial" w:eastAsia="华文细黑" w:hAnsi="Arial"/>
                <w:sz w:val="18"/>
                <w:szCs w:val="18"/>
              </w:rPr>
              <w:t>17</w:t>
            </w:r>
            <w:r w:rsidRPr="00220736">
              <w:rPr>
                <w:rFonts w:ascii="Arial" w:eastAsia="华文细黑" w:hAnsi="Arial"/>
                <w:sz w:val="18"/>
                <w:szCs w:val="18"/>
              </w:rPr>
              <w:t>848</w:t>
            </w:r>
          </w:p>
        </w:tc>
        <w:tc>
          <w:tcPr>
            <w:tcW w:w="673" w:type="pct"/>
            <w:shd w:val="clear" w:color="auto" w:fill="auto"/>
            <w:vAlign w:val="center"/>
          </w:tcPr>
          <w:p w14:paraId="6B2CAAE3" w14:textId="6BC0CA50" w:rsidR="0053025C" w:rsidRPr="00E05368" w:rsidRDefault="00220736" w:rsidP="007B3231">
            <w:pPr>
              <w:spacing w:line="0" w:lineRule="atLeast"/>
              <w:jc w:val="both"/>
              <w:rPr>
                <w:rFonts w:ascii="Arial" w:eastAsia="华文细黑" w:hAnsi="Arial"/>
                <w:sz w:val="18"/>
                <w:szCs w:val="18"/>
              </w:rPr>
            </w:pPr>
            <w:r>
              <w:rPr>
                <w:rFonts w:ascii="Arial" w:eastAsia="华文细黑" w:hAnsi="Arial" w:hint="eastAsia"/>
                <w:sz w:val="18"/>
                <w:szCs w:val="18"/>
              </w:rPr>
              <w:t>4.09</w:t>
            </w:r>
            <w:r w:rsidR="0053025C" w:rsidRPr="00E05368">
              <w:rPr>
                <w:rFonts w:ascii="Arial" w:eastAsia="华文细黑" w:hAnsi="Arial"/>
                <w:sz w:val="18"/>
                <w:szCs w:val="18"/>
              </w:rPr>
              <w:t>%</w:t>
            </w:r>
          </w:p>
        </w:tc>
        <w:tc>
          <w:tcPr>
            <w:tcW w:w="2274" w:type="pct"/>
            <w:vMerge/>
            <w:shd w:val="clear" w:color="auto" w:fill="auto"/>
            <w:vAlign w:val="center"/>
          </w:tcPr>
          <w:p w14:paraId="2BA4C984" w14:textId="77777777" w:rsidR="0053025C" w:rsidRPr="00E05368" w:rsidRDefault="0053025C" w:rsidP="007B3231">
            <w:pPr>
              <w:spacing w:line="0" w:lineRule="atLeast"/>
              <w:rPr>
                <w:rFonts w:ascii="华文细黑" w:eastAsia="华文细黑" w:hAnsi="华文细黑"/>
                <w:sz w:val="18"/>
                <w:szCs w:val="18"/>
              </w:rPr>
            </w:pPr>
          </w:p>
        </w:tc>
      </w:tr>
      <w:tr w:rsidR="0053025C" w:rsidRPr="00E05368" w14:paraId="1FABA9AB" w14:textId="77777777" w:rsidTr="007B3231">
        <w:trPr>
          <w:trHeight w:val="283"/>
        </w:trPr>
        <w:tc>
          <w:tcPr>
            <w:tcW w:w="606" w:type="pct"/>
            <w:vMerge/>
            <w:shd w:val="clear" w:color="auto" w:fill="auto"/>
            <w:vAlign w:val="center"/>
          </w:tcPr>
          <w:p w14:paraId="2FEC5FDA" w14:textId="77777777" w:rsidR="0053025C" w:rsidRPr="00E05368" w:rsidRDefault="0053025C" w:rsidP="007B3231">
            <w:pPr>
              <w:spacing w:line="0" w:lineRule="atLeast"/>
              <w:jc w:val="both"/>
              <w:rPr>
                <w:rFonts w:ascii="Arial" w:eastAsia="华文细黑" w:hAnsi="Arial"/>
                <w:sz w:val="18"/>
                <w:szCs w:val="18"/>
              </w:rPr>
            </w:pPr>
          </w:p>
        </w:tc>
        <w:tc>
          <w:tcPr>
            <w:tcW w:w="606" w:type="pct"/>
            <w:shd w:val="clear" w:color="auto" w:fill="auto"/>
            <w:vAlign w:val="center"/>
          </w:tcPr>
          <w:p w14:paraId="1A26068A" w14:textId="77777777" w:rsidR="0053025C" w:rsidRPr="00E05368" w:rsidRDefault="0053025C" w:rsidP="007B3231">
            <w:pPr>
              <w:spacing w:line="0" w:lineRule="atLeast"/>
              <w:jc w:val="both"/>
              <w:rPr>
                <w:rFonts w:ascii="Arial" w:eastAsia="华文细黑" w:hAnsi="Arial"/>
                <w:sz w:val="18"/>
                <w:szCs w:val="18"/>
              </w:rPr>
            </w:pPr>
            <w:r w:rsidRPr="00E05368">
              <w:rPr>
                <w:rFonts w:ascii="Arial" w:eastAsia="华文细黑" w:hAnsi="Arial" w:hint="eastAsia"/>
                <w:sz w:val="18"/>
                <w:szCs w:val="18"/>
              </w:rPr>
              <w:t>Q3</w:t>
            </w:r>
          </w:p>
        </w:tc>
        <w:tc>
          <w:tcPr>
            <w:tcW w:w="841" w:type="pct"/>
            <w:shd w:val="clear" w:color="auto" w:fill="auto"/>
            <w:vAlign w:val="center"/>
          </w:tcPr>
          <w:p w14:paraId="3FD59587" w14:textId="424B9730" w:rsidR="0053025C" w:rsidRPr="00E05368" w:rsidRDefault="00220736" w:rsidP="007B3231">
            <w:pPr>
              <w:spacing w:line="0" w:lineRule="atLeast"/>
              <w:jc w:val="both"/>
              <w:rPr>
                <w:rFonts w:ascii="Arial" w:eastAsia="华文细黑" w:hAnsi="Arial"/>
                <w:sz w:val="18"/>
                <w:szCs w:val="18"/>
              </w:rPr>
            </w:pPr>
            <w:r>
              <w:rPr>
                <w:rFonts w:ascii="Arial" w:eastAsia="华文细黑" w:hAnsi="Arial"/>
                <w:sz w:val="18"/>
                <w:szCs w:val="18"/>
              </w:rPr>
              <w:t>14</w:t>
            </w:r>
            <w:r w:rsidRPr="00220736">
              <w:rPr>
                <w:rFonts w:ascii="Arial" w:eastAsia="华文细黑" w:hAnsi="Arial"/>
                <w:sz w:val="18"/>
                <w:szCs w:val="18"/>
              </w:rPr>
              <w:t>255</w:t>
            </w:r>
          </w:p>
        </w:tc>
        <w:tc>
          <w:tcPr>
            <w:tcW w:w="673" w:type="pct"/>
            <w:shd w:val="clear" w:color="auto" w:fill="auto"/>
            <w:vAlign w:val="center"/>
          </w:tcPr>
          <w:p w14:paraId="7FD63B20" w14:textId="1D8E1E03" w:rsidR="0053025C" w:rsidRPr="00E05368" w:rsidRDefault="00220736" w:rsidP="007B3231">
            <w:pPr>
              <w:spacing w:line="0" w:lineRule="atLeast"/>
              <w:jc w:val="both"/>
              <w:rPr>
                <w:rFonts w:ascii="Arial" w:eastAsia="华文细黑" w:hAnsi="Arial"/>
                <w:sz w:val="18"/>
                <w:szCs w:val="18"/>
              </w:rPr>
            </w:pPr>
            <w:r>
              <w:rPr>
                <w:rFonts w:ascii="Arial" w:eastAsia="华文细黑" w:hAnsi="Arial" w:hint="eastAsia"/>
                <w:sz w:val="18"/>
                <w:szCs w:val="18"/>
              </w:rPr>
              <w:t>3.27</w:t>
            </w:r>
            <w:r w:rsidR="0053025C" w:rsidRPr="00E05368">
              <w:rPr>
                <w:rFonts w:ascii="Arial" w:eastAsia="华文细黑" w:hAnsi="Arial"/>
                <w:sz w:val="18"/>
                <w:szCs w:val="18"/>
              </w:rPr>
              <w:t>%</w:t>
            </w:r>
          </w:p>
        </w:tc>
        <w:tc>
          <w:tcPr>
            <w:tcW w:w="2274" w:type="pct"/>
            <w:vMerge/>
            <w:shd w:val="clear" w:color="auto" w:fill="auto"/>
            <w:vAlign w:val="center"/>
          </w:tcPr>
          <w:p w14:paraId="58A727B8" w14:textId="77777777" w:rsidR="0053025C" w:rsidRPr="00E05368" w:rsidRDefault="0053025C" w:rsidP="007B3231">
            <w:pPr>
              <w:spacing w:line="0" w:lineRule="atLeast"/>
              <w:rPr>
                <w:rFonts w:ascii="华文细黑" w:eastAsia="华文细黑" w:hAnsi="华文细黑"/>
                <w:sz w:val="18"/>
                <w:szCs w:val="18"/>
              </w:rPr>
            </w:pPr>
          </w:p>
        </w:tc>
      </w:tr>
      <w:tr w:rsidR="0053025C" w:rsidRPr="00E05368" w14:paraId="54322D67" w14:textId="77777777" w:rsidTr="007B3231">
        <w:trPr>
          <w:trHeight w:val="283"/>
        </w:trPr>
        <w:tc>
          <w:tcPr>
            <w:tcW w:w="606" w:type="pct"/>
            <w:vMerge/>
            <w:shd w:val="clear" w:color="auto" w:fill="auto"/>
            <w:vAlign w:val="center"/>
          </w:tcPr>
          <w:p w14:paraId="1798C736" w14:textId="77777777" w:rsidR="0053025C" w:rsidRPr="00E05368" w:rsidRDefault="0053025C" w:rsidP="007B3231">
            <w:pPr>
              <w:spacing w:line="0" w:lineRule="atLeast"/>
              <w:jc w:val="both"/>
              <w:rPr>
                <w:rFonts w:ascii="Arial" w:eastAsia="华文细黑" w:hAnsi="Arial"/>
                <w:sz w:val="18"/>
                <w:szCs w:val="18"/>
              </w:rPr>
            </w:pPr>
          </w:p>
        </w:tc>
        <w:tc>
          <w:tcPr>
            <w:tcW w:w="606" w:type="pct"/>
            <w:shd w:val="clear" w:color="auto" w:fill="auto"/>
            <w:vAlign w:val="center"/>
          </w:tcPr>
          <w:p w14:paraId="5B1F1E09" w14:textId="77777777" w:rsidR="0053025C" w:rsidRPr="00E05368" w:rsidRDefault="0053025C" w:rsidP="007B3231">
            <w:pPr>
              <w:spacing w:line="0" w:lineRule="atLeast"/>
              <w:jc w:val="both"/>
              <w:rPr>
                <w:rFonts w:ascii="Arial" w:eastAsia="华文细黑" w:hAnsi="Arial"/>
                <w:sz w:val="18"/>
                <w:szCs w:val="18"/>
              </w:rPr>
            </w:pPr>
            <w:r>
              <w:rPr>
                <w:rFonts w:ascii="Arial" w:eastAsia="华文细黑" w:hAnsi="Arial" w:hint="eastAsia"/>
                <w:sz w:val="18"/>
                <w:szCs w:val="18"/>
              </w:rPr>
              <w:t>Q4</w:t>
            </w:r>
          </w:p>
        </w:tc>
        <w:tc>
          <w:tcPr>
            <w:tcW w:w="841" w:type="pct"/>
            <w:shd w:val="clear" w:color="auto" w:fill="auto"/>
            <w:vAlign w:val="center"/>
          </w:tcPr>
          <w:p w14:paraId="53D01AAE" w14:textId="303086AC" w:rsidR="0053025C" w:rsidRPr="006060F9" w:rsidRDefault="00220736" w:rsidP="007B3231">
            <w:pPr>
              <w:spacing w:line="0" w:lineRule="atLeast"/>
              <w:jc w:val="both"/>
              <w:rPr>
                <w:rFonts w:ascii="Arial" w:eastAsia="华文细黑" w:hAnsi="Arial"/>
                <w:sz w:val="18"/>
                <w:szCs w:val="18"/>
              </w:rPr>
            </w:pPr>
            <w:r>
              <w:rPr>
                <w:rFonts w:ascii="Arial" w:eastAsia="华文细黑" w:hAnsi="Arial"/>
                <w:sz w:val="18"/>
                <w:szCs w:val="18"/>
              </w:rPr>
              <w:t>13</w:t>
            </w:r>
            <w:r w:rsidRPr="00220736">
              <w:rPr>
                <w:rFonts w:ascii="Arial" w:eastAsia="华文细黑" w:hAnsi="Arial"/>
                <w:sz w:val="18"/>
                <w:szCs w:val="18"/>
              </w:rPr>
              <w:t>032</w:t>
            </w:r>
          </w:p>
        </w:tc>
        <w:tc>
          <w:tcPr>
            <w:tcW w:w="673" w:type="pct"/>
            <w:shd w:val="clear" w:color="auto" w:fill="auto"/>
            <w:vAlign w:val="center"/>
          </w:tcPr>
          <w:p w14:paraId="719C7620" w14:textId="1516D714" w:rsidR="0053025C" w:rsidRDefault="0053025C" w:rsidP="00220736">
            <w:pPr>
              <w:spacing w:line="0" w:lineRule="atLeast"/>
              <w:jc w:val="both"/>
              <w:rPr>
                <w:rFonts w:ascii="Arial" w:eastAsia="华文细黑" w:hAnsi="Arial"/>
                <w:sz w:val="18"/>
                <w:szCs w:val="18"/>
              </w:rPr>
            </w:pPr>
            <w:r>
              <w:rPr>
                <w:rFonts w:ascii="Arial" w:eastAsia="华文细黑" w:hAnsi="Arial" w:hint="eastAsia"/>
                <w:sz w:val="18"/>
                <w:szCs w:val="18"/>
              </w:rPr>
              <w:t>2.</w:t>
            </w:r>
            <w:r w:rsidR="00220736">
              <w:rPr>
                <w:rFonts w:ascii="Arial" w:eastAsia="华文细黑" w:hAnsi="Arial" w:hint="eastAsia"/>
                <w:sz w:val="18"/>
                <w:szCs w:val="18"/>
              </w:rPr>
              <w:t>99</w:t>
            </w:r>
            <w:r w:rsidRPr="00E05368">
              <w:rPr>
                <w:rFonts w:ascii="Arial" w:eastAsia="华文细黑" w:hAnsi="Arial"/>
                <w:sz w:val="18"/>
                <w:szCs w:val="18"/>
              </w:rPr>
              <w:t>%</w:t>
            </w:r>
          </w:p>
        </w:tc>
        <w:tc>
          <w:tcPr>
            <w:tcW w:w="2274" w:type="pct"/>
            <w:vMerge/>
            <w:shd w:val="clear" w:color="auto" w:fill="auto"/>
            <w:vAlign w:val="center"/>
          </w:tcPr>
          <w:p w14:paraId="1A6C9F91" w14:textId="77777777" w:rsidR="0053025C" w:rsidRPr="00E05368" w:rsidRDefault="0053025C" w:rsidP="007B3231">
            <w:pPr>
              <w:spacing w:line="0" w:lineRule="atLeast"/>
              <w:rPr>
                <w:rFonts w:ascii="华文细黑" w:eastAsia="华文细黑" w:hAnsi="华文细黑"/>
                <w:sz w:val="18"/>
                <w:szCs w:val="18"/>
              </w:rPr>
            </w:pPr>
          </w:p>
        </w:tc>
      </w:tr>
      <w:tr w:rsidR="0053025C" w:rsidRPr="00E05368" w14:paraId="3FDEFD55" w14:textId="77777777" w:rsidTr="007B3231">
        <w:trPr>
          <w:trHeight w:val="283"/>
        </w:trPr>
        <w:tc>
          <w:tcPr>
            <w:tcW w:w="606" w:type="pct"/>
            <w:vMerge w:val="restart"/>
            <w:shd w:val="clear" w:color="auto" w:fill="auto"/>
            <w:vAlign w:val="center"/>
          </w:tcPr>
          <w:p w14:paraId="2404BD4F" w14:textId="77777777" w:rsidR="0053025C" w:rsidRPr="00E05368" w:rsidRDefault="0053025C" w:rsidP="007B3231">
            <w:pPr>
              <w:spacing w:line="0" w:lineRule="atLeast"/>
              <w:jc w:val="both"/>
              <w:rPr>
                <w:rFonts w:ascii="Arial" w:eastAsia="华文细黑" w:hAnsi="Arial"/>
                <w:sz w:val="18"/>
                <w:szCs w:val="18"/>
              </w:rPr>
            </w:pPr>
            <w:r>
              <w:rPr>
                <w:rFonts w:ascii="Arial" w:eastAsia="华文细黑" w:hAnsi="Arial" w:hint="eastAsia"/>
                <w:sz w:val="18"/>
                <w:szCs w:val="18"/>
              </w:rPr>
              <w:t>2024</w:t>
            </w:r>
            <w:r>
              <w:rPr>
                <w:rFonts w:ascii="Arial" w:eastAsia="华文细黑" w:hAnsi="Arial" w:hint="eastAsia"/>
                <w:sz w:val="18"/>
                <w:szCs w:val="18"/>
              </w:rPr>
              <w:t>年</w:t>
            </w:r>
          </w:p>
        </w:tc>
        <w:tc>
          <w:tcPr>
            <w:tcW w:w="606" w:type="pct"/>
            <w:shd w:val="clear" w:color="auto" w:fill="auto"/>
            <w:vAlign w:val="center"/>
          </w:tcPr>
          <w:p w14:paraId="64DF40F6" w14:textId="77777777" w:rsidR="0053025C" w:rsidRDefault="0053025C" w:rsidP="007B3231">
            <w:pPr>
              <w:spacing w:line="0" w:lineRule="atLeast"/>
              <w:jc w:val="both"/>
              <w:rPr>
                <w:rFonts w:ascii="Arial" w:eastAsia="华文细黑" w:hAnsi="Arial"/>
                <w:sz w:val="18"/>
                <w:szCs w:val="18"/>
              </w:rPr>
            </w:pPr>
            <w:r w:rsidRPr="00E05368">
              <w:rPr>
                <w:rFonts w:ascii="Arial" w:eastAsia="华文细黑" w:hAnsi="Arial" w:hint="eastAsia"/>
                <w:sz w:val="18"/>
                <w:szCs w:val="18"/>
              </w:rPr>
              <w:t>Q1</w:t>
            </w:r>
          </w:p>
        </w:tc>
        <w:tc>
          <w:tcPr>
            <w:tcW w:w="841" w:type="pct"/>
            <w:shd w:val="clear" w:color="auto" w:fill="auto"/>
            <w:vAlign w:val="center"/>
          </w:tcPr>
          <w:p w14:paraId="63CBFF39" w14:textId="22CEFCBE" w:rsidR="0053025C" w:rsidRDefault="00220736" w:rsidP="007B3231">
            <w:pPr>
              <w:spacing w:line="0" w:lineRule="atLeast"/>
              <w:jc w:val="both"/>
              <w:rPr>
                <w:rFonts w:ascii="Arial" w:eastAsia="华文细黑" w:hAnsi="Arial"/>
                <w:sz w:val="18"/>
                <w:szCs w:val="18"/>
              </w:rPr>
            </w:pPr>
            <w:r>
              <w:rPr>
                <w:rFonts w:ascii="Arial" w:eastAsia="华文细黑" w:hAnsi="Arial"/>
                <w:sz w:val="18"/>
                <w:szCs w:val="18"/>
              </w:rPr>
              <w:t>8</w:t>
            </w:r>
            <w:r w:rsidRPr="00220736">
              <w:rPr>
                <w:rFonts w:ascii="Arial" w:eastAsia="华文细黑" w:hAnsi="Arial"/>
                <w:sz w:val="18"/>
                <w:szCs w:val="18"/>
              </w:rPr>
              <w:t>862</w:t>
            </w:r>
          </w:p>
        </w:tc>
        <w:tc>
          <w:tcPr>
            <w:tcW w:w="673" w:type="pct"/>
            <w:shd w:val="clear" w:color="auto" w:fill="auto"/>
            <w:vAlign w:val="center"/>
          </w:tcPr>
          <w:p w14:paraId="240B1017" w14:textId="401B41EE" w:rsidR="0053025C" w:rsidRDefault="0053025C" w:rsidP="00220736">
            <w:pPr>
              <w:spacing w:line="0" w:lineRule="atLeast"/>
              <w:jc w:val="both"/>
              <w:rPr>
                <w:rFonts w:ascii="Arial" w:eastAsia="华文细黑" w:hAnsi="Arial"/>
                <w:sz w:val="18"/>
                <w:szCs w:val="18"/>
              </w:rPr>
            </w:pPr>
            <w:r>
              <w:rPr>
                <w:rFonts w:ascii="Arial" w:eastAsia="华文细黑" w:hAnsi="Arial" w:hint="eastAsia"/>
                <w:sz w:val="18"/>
                <w:szCs w:val="18"/>
              </w:rPr>
              <w:t>2.0</w:t>
            </w:r>
            <w:r w:rsidR="00220736">
              <w:rPr>
                <w:rFonts w:ascii="Arial" w:eastAsia="华文细黑" w:hAnsi="Arial" w:hint="eastAsia"/>
                <w:sz w:val="18"/>
                <w:szCs w:val="18"/>
              </w:rPr>
              <w:t>3</w:t>
            </w:r>
            <w:r>
              <w:rPr>
                <w:rFonts w:ascii="Arial" w:eastAsia="华文细黑" w:hAnsi="Arial" w:hint="eastAsia"/>
                <w:sz w:val="18"/>
                <w:szCs w:val="18"/>
              </w:rPr>
              <w:t>%</w:t>
            </w:r>
          </w:p>
        </w:tc>
        <w:tc>
          <w:tcPr>
            <w:tcW w:w="2274" w:type="pct"/>
            <w:vMerge w:val="restart"/>
            <w:shd w:val="clear" w:color="auto" w:fill="auto"/>
            <w:vAlign w:val="center"/>
          </w:tcPr>
          <w:p w14:paraId="577508C9" w14:textId="5B6ADE4E" w:rsidR="0053025C" w:rsidRPr="00E05368" w:rsidRDefault="00220736" w:rsidP="007B3231">
            <w:pPr>
              <w:spacing w:line="0" w:lineRule="atLeast"/>
              <w:rPr>
                <w:rFonts w:ascii="华文细黑" w:eastAsia="华文细黑" w:hAnsi="华文细黑"/>
                <w:sz w:val="18"/>
                <w:szCs w:val="18"/>
              </w:rPr>
            </w:pPr>
            <w:r w:rsidRPr="00E05368">
              <w:rPr>
                <w:rFonts w:ascii="华文细黑" w:eastAsia="华文细黑" w:hAnsi="华文细黑" w:hint="eastAsia"/>
                <w:sz w:val="18"/>
                <w:szCs w:val="18"/>
              </w:rPr>
              <w:t>房屋开发费、开发间接费用、管理费用、</w:t>
            </w:r>
            <w:r w:rsidRPr="00E05368">
              <w:rPr>
                <w:rFonts w:ascii="华文细黑" w:eastAsia="华文细黑" w:hAnsi="华文细黑"/>
                <w:sz w:val="18"/>
                <w:szCs w:val="18"/>
              </w:rPr>
              <w:t>财务费用</w:t>
            </w:r>
            <w:r w:rsidRPr="00E05368">
              <w:rPr>
                <w:rFonts w:ascii="华文细黑" w:eastAsia="华文细黑" w:hAnsi="华文细黑" w:hint="eastAsia"/>
                <w:sz w:val="18"/>
                <w:szCs w:val="18"/>
              </w:rPr>
              <w:t>、不可预见费、销售费用</w:t>
            </w:r>
          </w:p>
        </w:tc>
      </w:tr>
      <w:tr w:rsidR="0053025C" w:rsidRPr="00E05368" w14:paraId="5462F86C" w14:textId="77777777" w:rsidTr="007B3231">
        <w:trPr>
          <w:trHeight w:val="283"/>
        </w:trPr>
        <w:tc>
          <w:tcPr>
            <w:tcW w:w="606" w:type="pct"/>
            <w:vMerge/>
            <w:shd w:val="clear" w:color="auto" w:fill="auto"/>
            <w:vAlign w:val="center"/>
          </w:tcPr>
          <w:p w14:paraId="68A97873" w14:textId="77777777" w:rsidR="0053025C" w:rsidRPr="00E05368" w:rsidRDefault="0053025C" w:rsidP="007B3231">
            <w:pPr>
              <w:spacing w:line="0" w:lineRule="atLeast"/>
              <w:jc w:val="both"/>
              <w:rPr>
                <w:rFonts w:ascii="Arial" w:eastAsia="华文细黑" w:hAnsi="Arial"/>
                <w:sz w:val="18"/>
                <w:szCs w:val="18"/>
              </w:rPr>
            </w:pPr>
          </w:p>
        </w:tc>
        <w:tc>
          <w:tcPr>
            <w:tcW w:w="606" w:type="pct"/>
            <w:shd w:val="clear" w:color="auto" w:fill="auto"/>
            <w:vAlign w:val="center"/>
          </w:tcPr>
          <w:p w14:paraId="487EB40F" w14:textId="77777777" w:rsidR="0053025C" w:rsidRDefault="0053025C" w:rsidP="007B3231">
            <w:pPr>
              <w:spacing w:line="0" w:lineRule="atLeast"/>
              <w:jc w:val="both"/>
              <w:rPr>
                <w:rFonts w:ascii="Arial" w:eastAsia="华文细黑" w:hAnsi="Arial"/>
                <w:sz w:val="18"/>
                <w:szCs w:val="18"/>
              </w:rPr>
            </w:pPr>
            <w:r w:rsidRPr="00E05368">
              <w:rPr>
                <w:rFonts w:ascii="Arial" w:eastAsia="华文细黑" w:hAnsi="Arial" w:hint="eastAsia"/>
                <w:sz w:val="18"/>
                <w:szCs w:val="18"/>
              </w:rPr>
              <w:t>Q2</w:t>
            </w:r>
          </w:p>
        </w:tc>
        <w:tc>
          <w:tcPr>
            <w:tcW w:w="841" w:type="pct"/>
            <w:shd w:val="clear" w:color="auto" w:fill="auto"/>
            <w:vAlign w:val="center"/>
          </w:tcPr>
          <w:p w14:paraId="3FCE8CF3" w14:textId="515A722F" w:rsidR="0053025C" w:rsidRDefault="00220736" w:rsidP="007B3231">
            <w:pPr>
              <w:spacing w:line="0" w:lineRule="atLeast"/>
              <w:jc w:val="both"/>
              <w:rPr>
                <w:rFonts w:ascii="Arial" w:eastAsia="华文细黑" w:hAnsi="Arial"/>
                <w:sz w:val="18"/>
                <w:szCs w:val="18"/>
              </w:rPr>
            </w:pPr>
            <w:r w:rsidRPr="00220736">
              <w:rPr>
                <w:rFonts w:ascii="Arial" w:eastAsia="华文细黑" w:hAnsi="Arial"/>
                <w:sz w:val="18"/>
                <w:szCs w:val="18"/>
              </w:rPr>
              <w:t>111</w:t>
            </w:r>
          </w:p>
        </w:tc>
        <w:tc>
          <w:tcPr>
            <w:tcW w:w="673" w:type="pct"/>
            <w:shd w:val="clear" w:color="auto" w:fill="auto"/>
            <w:vAlign w:val="center"/>
          </w:tcPr>
          <w:p w14:paraId="72021686" w14:textId="249922AB" w:rsidR="0053025C" w:rsidRDefault="00220736" w:rsidP="007B3231">
            <w:pPr>
              <w:spacing w:line="0" w:lineRule="atLeast"/>
              <w:jc w:val="both"/>
              <w:rPr>
                <w:rFonts w:ascii="Arial" w:eastAsia="华文细黑" w:hAnsi="Arial"/>
                <w:sz w:val="18"/>
                <w:szCs w:val="18"/>
              </w:rPr>
            </w:pPr>
            <w:r>
              <w:rPr>
                <w:rFonts w:ascii="Arial" w:eastAsia="华文细黑" w:hAnsi="Arial" w:hint="eastAsia"/>
                <w:sz w:val="18"/>
                <w:szCs w:val="18"/>
              </w:rPr>
              <w:t>0.03</w:t>
            </w:r>
            <w:r w:rsidR="0053025C">
              <w:rPr>
                <w:rFonts w:ascii="Arial" w:eastAsia="华文细黑" w:hAnsi="Arial" w:hint="eastAsia"/>
                <w:sz w:val="18"/>
                <w:szCs w:val="18"/>
              </w:rPr>
              <w:t>%</w:t>
            </w:r>
          </w:p>
        </w:tc>
        <w:tc>
          <w:tcPr>
            <w:tcW w:w="2274" w:type="pct"/>
            <w:vMerge/>
            <w:shd w:val="clear" w:color="auto" w:fill="auto"/>
            <w:vAlign w:val="center"/>
          </w:tcPr>
          <w:p w14:paraId="5527011F" w14:textId="77777777" w:rsidR="0053025C" w:rsidRPr="00E05368" w:rsidRDefault="0053025C" w:rsidP="007B3231">
            <w:pPr>
              <w:spacing w:line="0" w:lineRule="atLeast"/>
              <w:rPr>
                <w:rFonts w:ascii="华文细黑" w:eastAsia="华文细黑" w:hAnsi="华文细黑"/>
                <w:sz w:val="18"/>
                <w:szCs w:val="18"/>
              </w:rPr>
            </w:pPr>
          </w:p>
        </w:tc>
      </w:tr>
      <w:tr w:rsidR="0053025C" w:rsidRPr="00E05368" w14:paraId="0DC1B160" w14:textId="77777777" w:rsidTr="007B3231">
        <w:trPr>
          <w:trHeight w:val="283"/>
        </w:trPr>
        <w:tc>
          <w:tcPr>
            <w:tcW w:w="606" w:type="pct"/>
            <w:vMerge/>
            <w:shd w:val="clear" w:color="auto" w:fill="auto"/>
            <w:vAlign w:val="center"/>
          </w:tcPr>
          <w:p w14:paraId="73E1323B" w14:textId="77777777" w:rsidR="0053025C" w:rsidRPr="00E05368" w:rsidRDefault="0053025C" w:rsidP="007B3231">
            <w:pPr>
              <w:spacing w:line="0" w:lineRule="atLeast"/>
              <w:jc w:val="both"/>
              <w:rPr>
                <w:rFonts w:ascii="Arial" w:eastAsia="华文细黑" w:hAnsi="Arial"/>
                <w:sz w:val="18"/>
                <w:szCs w:val="18"/>
              </w:rPr>
            </w:pPr>
          </w:p>
        </w:tc>
        <w:tc>
          <w:tcPr>
            <w:tcW w:w="606" w:type="pct"/>
            <w:shd w:val="clear" w:color="auto" w:fill="auto"/>
            <w:vAlign w:val="center"/>
          </w:tcPr>
          <w:p w14:paraId="2150E9F6" w14:textId="77777777" w:rsidR="0053025C" w:rsidRDefault="0053025C" w:rsidP="007B3231">
            <w:pPr>
              <w:spacing w:line="0" w:lineRule="atLeast"/>
              <w:jc w:val="both"/>
              <w:rPr>
                <w:rFonts w:ascii="Arial" w:eastAsia="华文细黑" w:hAnsi="Arial"/>
                <w:sz w:val="18"/>
                <w:szCs w:val="18"/>
              </w:rPr>
            </w:pPr>
            <w:r w:rsidRPr="00E05368">
              <w:rPr>
                <w:rFonts w:ascii="Arial" w:eastAsia="华文细黑" w:hAnsi="Arial" w:hint="eastAsia"/>
                <w:sz w:val="18"/>
                <w:szCs w:val="18"/>
              </w:rPr>
              <w:t>Q3</w:t>
            </w:r>
          </w:p>
        </w:tc>
        <w:tc>
          <w:tcPr>
            <w:tcW w:w="841" w:type="pct"/>
            <w:shd w:val="clear" w:color="auto" w:fill="auto"/>
            <w:vAlign w:val="center"/>
          </w:tcPr>
          <w:p w14:paraId="382C44D4" w14:textId="2532C9B1" w:rsidR="0053025C" w:rsidRDefault="00220736" w:rsidP="007B3231">
            <w:pPr>
              <w:spacing w:line="0" w:lineRule="atLeast"/>
              <w:jc w:val="both"/>
              <w:rPr>
                <w:rFonts w:ascii="Arial" w:eastAsia="华文细黑" w:hAnsi="Arial"/>
                <w:sz w:val="18"/>
                <w:szCs w:val="18"/>
              </w:rPr>
            </w:pPr>
            <w:r w:rsidRPr="00220736">
              <w:rPr>
                <w:rFonts w:ascii="Arial" w:eastAsia="华文细黑" w:hAnsi="Arial"/>
                <w:sz w:val="18"/>
                <w:szCs w:val="18"/>
              </w:rPr>
              <w:t>67</w:t>
            </w:r>
          </w:p>
        </w:tc>
        <w:tc>
          <w:tcPr>
            <w:tcW w:w="673" w:type="pct"/>
            <w:shd w:val="clear" w:color="auto" w:fill="auto"/>
            <w:vAlign w:val="center"/>
          </w:tcPr>
          <w:p w14:paraId="15595747" w14:textId="1C60FEAF" w:rsidR="0053025C" w:rsidRDefault="00220736" w:rsidP="007B3231">
            <w:pPr>
              <w:spacing w:line="0" w:lineRule="atLeast"/>
              <w:jc w:val="both"/>
              <w:rPr>
                <w:rFonts w:ascii="Arial" w:eastAsia="华文细黑" w:hAnsi="Arial"/>
                <w:sz w:val="18"/>
                <w:szCs w:val="18"/>
              </w:rPr>
            </w:pPr>
            <w:r>
              <w:rPr>
                <w:rFonts w:ascii="Arial" w:eastAsia="华文细黑" w:hAnsi="Arial" w:hint="eastAsia"/>
                <w:sz w:val="18"/>
                <w:szCs w:val="18"/>
              </w:rPr>
              <w:t>0.02</w:t>
            </w:r>
            <w:r w:rsidR="0053025C">
              <w:rPr>
                <w:rFonts w:ascii="Arial" w:eastAsia="华文细黑" w:hAnsi="Arial" w:hint="eastAsia"/>
                <w:sz w:val="18"/>
                <w:szCs w:val="18"/>
              </w:rPr>
              <w:t>%</w:t>
            </w:r>
          </w:p>
        </w:tc>
        <w:tc>
          <w:tcPr>
            <w:tcW w:w="2274" w:type="pct"/>
            <w:vMerge/>
            <w:shd w:val="clear" w:color="auto" w:fill="auto"/>
            <w:vAlign w:val="center"/>
          </w:tcPr>
          <w:p w14:paraId="1F76059A" w14:textId="77777777" w:rsidR="0053025C" w:rsidRPr="00E05368" w:rsidRDefault="0053025C" w:rsidP="007B3231">
            <w:pPr>
              <w:spacing w:line="0" w:lineRule="atLeast"/>
              <w:rPr>
                <w:rFonts w:ascii="华文细黑" w:eastAsia="华文细黑" w:hAnsi="华文细黑"/>
                <w:sz w:val="18"/>
                <w:szCs w:val="18"/>
              </w:rPr>
            </w:pPr>
          </w:p>
        </w:tc>
      </w:tr>
      <w:tr w:rsidR="0053025C" w:rsidRPr="00E05368" w14:paraId="29AC9E3A" w14:textId="77777777" w:rsidTr="007B3231">
        <w:trPr>
          <w:trHeight w:val="283"/>
        </w:trPr>
        <w:tc>
          <w:tcPr>
            <w:tcW w:w="606" w:type="pct"/>
            <w:vMerge/>
            <w:shd w:val="clear" w:color="auto" w:fill="auto"/>
            <w:vAlign w:val="center"/>
          </w:tcPr>
          <w:p w14:paraId="5ABE6DD7" w14:textId="77777777" w:rsidR="0053025C" w:rsidRPr="00E05368" w:rsidRDefault="0053025C" w:rsidP="007B3231">
            <w:pPr>
              <w:spacing w:line="0" w:lineRule="atLeast"/>
              <w:jc w:val="both"/>
              <w:rPr>
                <w:rFonts w:ascii="Arial" w:eastAsia="华文细黑" w:hAnsi="Arial"/>
                <w:sz w:val="18"/>
                <w:szCs w:val="18"/>
              </w:rPr>
            </w:pPr>
          </w:p>
        </w:tc>
        <w:tc>
          <w:tcPr>
            <w:tcW w:w="606" w:type="pct"/>
            <w:shd w:val="clear" w:color="auto" w:fill="auto"/>
            <w:vAlign w:val="center"/>
          </w:tcPr>
          <w:p w14:paraId="5688B343" w14:textId="77777777" w:rsidR="0053025C" w:rsidRDefault="0053025C" w:rsidP="007B3231">
            <w:pPr>
              <w:spacing w:line="0" w:lineRule="atLeast"/>
              <w:jc w:val="both"/>
              <w:rPr>
                <w:rFonts w:ascii="Arial" w:eastAsia="华文细黑" w:hAnsi="Arial"/>
                <w:sz w:val="18"/>
                <w:szCs w:val="18"/>
              </w:rPr>
            </w:pPr>
            <w:r>
              <w:rPr>
                <w:rFonts w:ascii="Arial" w:eastAsia="华文细黑" w:hAnsi="Arial" w:hint="eastAsia"/>
                <w:sz w:val="18"/>
                <w:szCs w:val="18"/>
              </w:rPr>
              <w:t>Q4</w:t>
            </w:r>
          </w:p>
        </w:tc>
        <w:tc>
          <w:tcPr>
            <w:tcW w:w="841" w:type="pct"/>
            <w:shd w:val="clear" w:color="auto" w:fill="auto"/>
            <w:vAlign w:val="center"/>
          </w:tcPr>
          <w:p w14:paraId="5551E93B" w14:textId="136B9184" w:rsidR="0053025C" w:rsidRDefault="00220736" w:rsidP="007B3231">
            <w:pPr>
              <w:spacing w:line="0" w:lineRule="atLeast"/>
              <w:jc w:val="both"/>
              <w:rPr>
                <w:rFonts w:ascii="Arial" w:eastAsia="华文细黑" w:hAnsi="Arial"/>
                <w:sz w:val="18"/>
                <w:szCs w:val="18"/>
              </w:rPr>
            </w:pPr>
            <w:r w:rsidRPr="00220736">
              <w:rPr>
                <w:rFonts w:ascii="Arial" w:eastAsia="华文细黑" w:hAnsi="Arial"/>
                <w:sz w:val="18"/>
                <w:szCs w:val="18"/>
              </w:rPr>
              <w:t>8</w:t>
            </w:r>
          </w:p>
        </w:tc>
        <w:tc>
          <w:tcPr>
            <w:tcW w:w="673" w:type="pct"/>
            <w:shd w:val="clear" w:color="auto" w:fill="auto"/>
            <w:vAlign w:val="center"/>
          </w:tcPr>
          <w:p w14:paraId="426D58BF" w14:textId="24EBCCF3" w:rsidR="0053025C" w:rsidRDefault="0053025C" w:rsidP="00220736">
            <w:pPr>
              <w:spacing w:line="0" w:lineRule="atLeast"/>
              <w:jc w:val="both"/>
              <w:rPr>
                <w:rFonts w:ascii="Arial" w:eastAsia="华文细黑" w:hAnsi="Arial"/>
                <w:sz w:val="18"/>
                <w:szCs w:val="18"/>
              </w:rPr>
            </w:pPr>
            <w:r>
              <w:rPr>
                <w:rFonts w:ascii="Arial" w:eastAsia="华文细黑" w:hAnsi="Arial" w:hint="eastAsia"/>
                <w:sz w:val="18"/>
                <w:szCs w:val="18"/>
              </w:rPr>
              <w:t>0.0</w:t>
            </w:r>
            <w:r w:rsidR="00220736">
              <w:rPr>
                <w:rFonts w:ascii="Arial" w:eastAsia="华文细黑" w:hAnsi="Arial" w:hint="eastAsia"/>
                <w:sz w:val="18"/>
                <w:szCs w:val="18"/>
              </w:rPr>
              <w:t>0</w:t>
            </w:r>
            <w:r>
              <w:rPr>
                <w:rFonts w:ascii="Arial" w:eastAsia="华文细黑" w:hAnsi="Arial" w:hint="eastAsia"/>
                <w:sz w:val="18"/>
                <w:szCs w:val="18"/>
              </w:rPr>
              <w:t>%</w:t>
            </w:r>
          </w:p>
        </w:tc>
        <w:tc>
          <w:tcPr>
            <w:tcW w:w="2274" w:type="pct"/>
            <w:vMerge/>
            <w:shd w:val="clear" w:color="auto" w:fill="auto"/>
            <w:vAlign w:val="center"/>
          </w:tcPr>
          <w:p w14:paraId="77F268D5" w14:textId="77777777" w:rsidR="0053025C" w:rsidRPr="00E05368" w:rsidRDefault="0053025C" w:rsidP="007B3231">
            <w:pPr>
              <w:spacing w:line="0" w:lineRule="atLeast"/>
              <w:rPr>
                <w:rFonts w:ascii="华文细黑" w:eastAsia="华文细黑" w:hAnsi="华文细黑"/>
                <w:sz w:val="18"/>
                <w:szCs w:val="18"/>
              </w:rPr>
            </w:pPr>
          </w:p>
        </w:tc>
      </w:tr>
      <w:tr w:rsidR="0053025C" w:rsidRPr="00E05368" w14:paraId="2CE1025F" w14:textId="77777777" w:rsidTr="007B3231">
        <w:trPr>
          <w:trHeight w:val="283"/>
        </w:trPr>
        <w:tc>
          <w:tcPr>
            <w:tcW w:w="1212" w:type="pct"/>
            <w:gridSpan w:val="2"/>
            <w:shd w:val="clear" w:color="auto" w:fill="auto"/>
            <w:vAlign w:val="center"/>
          </w:tcPr>
          <w:p w14:paraId="2795406B" w14:textId="77777777" w:rsidR="0053025C" w:rsidRPr="00E05368" w:rsidRDefault="0053025C" w:rsidP="007B3231">
            <w:pPr>
              <w:spacing w:line="0" w:lineRule="atLeast"/>
              <w:jc w:val="both"/>
              <w:rPr>
                <w:rFonts w:ascii="Arial" w:eastAsia="华文细黑" w:hAnsi="Arial"/>
                <w:sz w:val="18"/>
                <w:szCs w:val="18"/>
              </w:rPr>
            </w:pPr>
            <w:r w:rsidRPr="00E05368">
              <w:rPr>
                <w:rFonts w:ascii="Arial" w:eastAsia="华文细黑" w:hAnsi="Arial" w:hint="eastAsia"/>
                <w:sz w:val="18"/>
                <w:szCs w:val="18"/>
              </w:rPr>
              <w:t>合计</w:t>
            </w:r>
          </w:p>
        </w:tc>
        <w:tc>
          <w:tcPr>
            <w:tcW w:w="841" w:type="pct"/>
            <w:shd w:val="clear" w:color="auto" w:fill="auto"/>
            <w:vAlign w:val="center"/>
          </w:tcPr>
          <w:p w14:paraId="23D502A5" w14:textId="3B7A8B26" w:rsidR="0053025C" w:rsidRPr="00E05368" w:rsidRDefault="00AC1FD8" w:rsidP="007B3231">
            <w:pPr>
              <w:jc w:val="both"/>
              <w:rPr>
                <w:rFonts w:ascii="Arial" w:eastAsia="华文细黑" w:hAnsi="Arial"/>
                <w:sz w:val="18"/>
                <w:szCs w:val="18"/>
              </w:rPr>
            </w:pPr>
            <w:r w:rsidRPr="00AC1FD8">
              <w:rPr>
                <w:rFonts w:ascii="Arial" w:eastAsia="华文细黑" w:hAnsi="Arial"/>
                <w:sz w:val="18"/>
                <w:szCs w:val="18"/>
              </w:rPr>
              <w:t>436207</w:t>
            </w:r>
          </w:p>
        </w:tc>
        <w:tc>
          <w:tcPr>
            <w:tcW w:w="673" w:type="pct"/>
            <w:shd w:val="clear" w:color="auto" w:fill="auto"/>
            <w:vAlign w:val="center"/>
          </w:tcPr>
          <w:p w14:paraId="3DD32924" w14:textId="77777777" w:rsidR="0053025C" w:rsidRPr="00E05368" w:rsidRDefault="0053025C" w:rsidP="007B3231">
            <w:pPr>
              <w:jc w:val="both"/>
              <w:rPr>
                <w:rFonts w:ascii="Arial" w:eastAsia="华文细黑" w:hAnsi="Arial"/>
                <w:sz w:val="18"/>
                <w:szCs w:val="18"/>
              </w:rPr>
            </w:pPr>
            <w:r w:rsidRPr="00E05368">
              <w:rPr>
                <w:rFonts w:ascii="Arial" w:eastAsia="华文细黑" w:hAnsi="Arial"/>
                <w:sz w:val="18"/>
                <w:szCs w:val="18"/>
              </w:rPr>
              <w:t>100%</w:t>
            </w:r>
          </w:p>
        </w:tc>
        <w:tc>
          <w:tcPr>
            <w:tcW w:w="2274" w:type="pct"/>
            <w:shd w:val="clear" w:color="auto" w:fill="auto"/>
          </w:tcPr>
          <w:p w14:paraId="68DE2291" w14:textId="1185B655" w:rsidR="0053025C" w:rsidRPr="00E05368" w:rsidRDefault="001D1C1F" w:rsidP="007B3231">
            <w:r>
              <w:rPr>
                <w:rFonts w:hint="eastAsia"/>
              </w:rPr>
              <w:t>——</w:t>
            </w:r>
          </w:p>
        </w:tc>
      </w:tr>
    </w:tbl>
    <w:p w14:paraId="4F24CD5A" w14:textId="77777777" w:rsidR="0053025C" w:rsidRPr="00E05368" w:rsidRDefault="0053025C" w:rsidP="0053025C">
      <w:pPr>
        <w:spacing w:line="480" w:lineRule="auto"/>
        <w:rPr>
          <w:rFonts w:ascii="Arial" w:hAnsi="Arial" w:cs="Arial"/>
          <w:color w:val="000000"/>
          <w:sz w:val="10"/>
          <w:szCs w:val="10"/>
        </w:rPr>
      </w:pPr>
    </w:p>
    <w:p w14:paraId="51E6E38A" w14:textId="77777777" w:rsidR="0053025C" w:rsidRPr="00E05368" w:rsidRDefault="0053025C" w:rsidP="0053025C">
      <w:pPr>
        <w:spacing w:line="480" w:lineRule="auto"/>
        <w:ind w:firstLineChars="200" w:firstLine="420"/>
        <w:rPr>
          <w:rFonts w:ascii="Arial" w:hAnsi="Arial" w:cs="Arial"/>
          <w:sz w:val="21"/>
          <w:szCs w:val="21"/>
        </w:rPr>
      </w:pPr>
      <w:r w:rsidRPr="00E05368">
        <w:rPr>
          <w:rFonts w:ascii="Arial" w:hAnsi="Arial" w:cs="Arial"/>
          <w:color w:val="000000"/>
          <w:sz w:val="21"/>
          <w:szCs w:val="21"/>
        </w:rPr>
        <w:t>项目投资计划与实施进度基本吻合。</w:t>
      </w:r>
    </w:p>
    <w:p w14:paraId="21B409EA" w14:textId="77777777" w:rsidR="0053025C" w:rsidRPr="00E05368" w:rsidRDefault="0053025C" w:rsidP="0053025C">
      <w:pPr>
        <w:rPr>
          <w:rFonts w:ascii="Arial" w:hAnsi="Arial" w:cs="Arial"/>
        </w:rPr>
      </w:pPr>
      <w:r w:rsidRPr="00E05368">
        <w:rPr>
          <w:rFonts w:ascii="Arial" w:hAnsi="Arial" w:cs="Arial"/>
        </w:rPr>
        <w:br w:type="page"/>
      </w:r>
    </w:p>
    <w:p w14:paraId="12ED1540" w14:textId="77777777" w:rsidR="0053025C" w:rsidRPr="00E05368" w:rsidRDefault="0053025C" w:rsidP="0053025C">
      <w:pPr>
        <w:pStyle w:val="1"/>
        <w:spacing w:before="240"/>
        <w:rPr>
          <w:rFonts w:ascii="Arial" w:eastAsia="方正黑体简体" w:hAnsi="Arial" w:cs="Arial"/>
          <w:b w:val="0"/>
          <w:bCs/>
          <w:sz w:val="32"/>
          <w:szCs w:val="32"/>
        </w:rPr>
      </w:pPr>
      <w:bookmarkStart w:id="174" w:name="_Toc76889708"/>
      <w:bookmarkStart w:id="175" w:name="_Toc74662919"/>
      <w:bookmarkEnd w:id="164"/>
      <w:bookmarkEnd w:id="165"/>
      <w:bookmarkEnd w:id="166"/>
      <w:bookmarkEnd w:id="167"/>
      <w:bookmarkEnd w:id="168"/>
      <w:bookmarkEnd w:id="169"/>
      <w:r w:rsidRPr="00E05368">
        <w:rPr>
          <w:rFonts w:ascii="Arial" w:eastAsia="方正黑体简体" w:hAnsi="Arial" w:cs="Arial"/>
          <w:b w:val="0"/>
          <w:bCs/>
          <w:sz w:val="32"/>
          <w:szCs w:val="32"/>
        </w:rPr>
        <w:lastRenderedPageBreak/>
        <w:t>第五章</w:t>
      </w:r>
      <w:r w:rsidRPr="00E05368">
        <w:rPr>
          <w:rFonts w:ascii="Arial" w:eastAsia="方正黑体简体" w:hAnsi="Arial" w:cs="Arial"/>
          <w:b w:val="0"/>
          <w:bCs/>
          <w:sz w:val="32"/>
          <w:szCs w:val="32"/>
        </w:rPr>
        <w:t xml:space="preserve">  </w:t>
      </w:r>
      <w:r w:rsidRPr="00E05368">
        <w:rPr>
          <w:rFonts w:ascii="Arial" w:eastAsia="方正黑体简体" w:hAnsi="Arial" w:cs="Arial"/>
          <w:b w:val="0"/>
          <w:bCs/>
          <w:sz w:val="32"/>
          <w:szCs w:val="32"/>
        </w:rPr>
        <w:t>项目效益</w:t>
      </w:r>
      <w:bookmarkEnd w:id="174"/>
      <w:bookmarkEnd w:id="175"/>
    </w:p>
    <w:p w14:paraId="2C54F76B" w14:textId="77777777" w:rsidR="0053025C" w:rsidRPr="00E05368" w:rsidRDefault="0053025C" w:rsidP="0053025C">
      <w:pPr>
        <w:pStyle w:val="2"/>
        <w:spacing w:before="0" w:after="0" w:line="480" w:lineRule="auto"/>
        <w:rPr>
          <w:rFonts w:eastAsia="宋体" w:cs="Arial"/>
          <w:sz w:val="21"/>
          <w:szCs w:val="21"/>
        </w:rPr>
      </w:pPr>
      <w:bookmarkStart w:id="176" w:name="_Toc522074588"/>
      <w:bookmarkStart w:id="177" w:name="_Toc532810737"/>
      <w:bookmarkStart w:id="178" w:name="_Toc12072691"/>
      <w:bookmarkStart w:id="179" w:name="_Toc109012113"/>
      <w:bookmarkStart w:id="180" w:name="_Toc109118462"/>
      <w:bookmarkStart w:id="181" w:name="_Toc118531928"/>
      <w:bookmarkStart w:id="182" w:name="_Toc146106158"/>
      <w:bookmarkStart w:id="183" w:name="_Toc74662920"/>
      <w:r w:rsidRPr="00E05368">
        <w:rPr>
          <w:rFonts w:eastAsia="宋体" w:cs="Arial"/>
          <w:sz w:val="21"/>
          <w:szCs w:val="21"/>
        </w:rPr>
        <w:t>一、测算原则及考虑因素</w:t>
      </w:r>
      <w:bookmarkEnd w:id="176"/>
      <w:bookmarkEnd w:id="177"/>
      <w:bookmarkEnd w:id="178"/>
      <w:bookmarkEnd w:id="179"/>
      <w:bookmarkEnd w:id="180"/>
      <w:bookmarkEnd w:id="181"/>
      <w:bookmarkEnd w:id="182"/>
      <w:bookmarkEnd w:id="183"/>
    </w:p>
    <w:p w14:paraId="52A47C11" w14:textId="77777777" w:rsidR="0053025C" w:rsidRPr="00E05368" w:rsidRDefault="0053025C" w:rsidP="0053025C">
      <w:pPr>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本项目评估主要根据国家现行房地产开发企业财务制度和现行税制，结合房地产行业特点，按谨慎性原则进行分析判断。本次评估数据来源以企业提供的资料，企业财务报表以及评估人员市场调研获取的信息为依据。</w:t>
      </w:r>
    </w:p>
    <w:p w14:paraId="0B387ADC" w14:textId="77777777" w:rsidR="0053025C" w:rsidRPr="00E05368" w:rsidRDefault="0053025C" w:rsidP="0053025C">
      <w:pPr>
        <w:pStyle w:val="2"/>
        <w:spacing w:before="0" w:after="0" w:line="480" w:lineRule="auto"/>
        <w:ind w:firstLineChars="98" w:firstLine="207"/>
        <w:rPr>
          <w:rFonts w:eastAsia="宋体" w:cs="Arial"/>
          <w:sz w:val="21"/>
          <w:szCs w:val="21"/>
        </w:rPr>
      </w:pPr>
      <w:bookmarkStart w:id="184" w:name="_Toc522074589"/>
      <w:bookmarkStart w:id="185" w:name="_Toc532810738"/>
      <w:bookmarkStart w:id="186" w:name="_Toc12072692"/>
      <w:bookmarkStart w:id="187" w:name="_Toc109012114"/>
      <w:bookmarkStart w:id="188" w:name="_Toc109118463"/>
      <w:bookmarkStart w:id="189" w:name="_Toc118531929"/>
      <w:bookmarkStart w:id="190" w:name="_Toc146106159"/>
      <w:bookmarkStart w:id="191" w:name="_Toc74662921"/>
      <w:r w:rsidRPr="00E05368">
        <w:rPr>
          <w:rFonts w:eastAsia="宋体" w:cs="Arial"/>
          <w:sz w:val="21"/>
          <w:szCs w:val="21"/>
        </w:rPr>
        <w:t>二、预测数据的计取</w:t>
      </w:r>
      <w:bookmarkEnd w:id="184"/>
      <w:bookmarkEnd w:id="185"/>
      <w:bookmarkEnd w:id="186"/>
      <w:bookmarkEnd w:id="187"/>
      <w:bookmarkEnd w:id="188"/>
      <w:bookmarkEnd w:id="189"/>
      <w:bookmarkEnd w:id="190"/>
      <w:bookmarkEnd w:id="191"/>
    </w:p>
    <w:p w14:paraId="10CE05DE" w14:textId="77777777" w:rsidR="0053025C" w:rsidRPr="00E05368" w:rsidRDefault="0053025C" w:rsidP="0053025C">
      <w:pPr>
        <w:pStyle w:val="2"/>
        <w:spacing w:before="0" w:after="0" w:line="480" w:lineRule="auto"/>
        <w:ind w:firstLineChars="98" w:firstLine="207"/>
        <w:rPr>
          <w:rFonts w:eastAsia="宋体" w:cs="Arial"/>
          <w:sz w:val="21"/>
          <w:szCs w:val="21"/>
        </w:rPr>
      </w:pPr>
      <w:bookmarkStart w:id="192" w:name="_Toc12072693"/>
      <w:bookmarkStart w:id="193" w:name="_Toc109012115"/>
      <w:bookmarkStart w:id="194" w:name="_Toc146106160"/>
      <w:bookmarkStart w:id="195" w:name="_Toc74662922"/>
      <w:r w:rsidRPr="00E05368">
        <w:rPr>
          <w:rFonts w:eastAsia="宋体" w:cs="Arial"/>
          <w:sz w:val="21"/>
          <w:szCs w:val="21"/>
        </w:rPr>
        <w:t>（一）收入测算</w:t>
      </w:r>
      <w:bookmarkEnd w:id="192"/>
      <w:bookmarkEnd w:id="193"/>
      <w:bookmarkEnd w:id="194"/>
      <w:bookmarkEnd w:id="195"/>
    </w:p>
    <w:p w14:paraId="4AC3D51D" w14:textId="3D3D62BC" w:rsidR="0053025C" w:rsidRPr="00E05368" w:rsidRDefault="0053025C" w:rsidP="0053025C">
      <w:pPr>
        <w:adjustRightInd w:val="0"/>
        <w:snapToGrid w:val="0"/>
        <w:spacing w:line="480" w:lineRule="auto"/>
        <w:ind w:firstLineChars="200" w:firstLine="420"/>
        <w:rPr>
          <w:rFonts w:ascii="Arial" w:hAnsi="Arial" w:cs="Arial"/>
          <w:sz w:val="21"/>
          <w:szCs w:val="21"/>
        </w:rPr>
      </w:pPr>
      <w:r w:rsidRPr="00E05368">
        <w:rPr>
          <w:rFonts w:ascii="Arial" w:hAnsi="Arial" w:cs="Arial" w:hint="eastAsia"/>
          <w:sz w:val="21"/>
          <w:szCs w:val="21"/>
        </w:rPr>
        <w:t>1.</w:t>
      </w:r>
      <w:r w:rsidRPr="00E05368">
        <w:rPr>
          <w:rFonts w:ascii="Arial" w:hAnsi="Arial" w:cs="Arial"/>
          <w:sz w:val="21"/>
          <w:szCs w:val="21"/>
        </w:rPr>
        <w:t>建设期</w:t>
      </w:r>
      <w:r w:rsidRPr="00E05368">
        <w:rPr>
          <w:rFonts w:ascii="Arial" w:hAnsi="Arial" w:cs="Arial"/>
          <w:color w:val="000000"/>
          <w:sz w:val="21"/>
          <w:szCs w:val="21"/>
        </w:rPr>
        <w:t>：根据项目工程建设及销售计划安排，</w:t>
      </w:r>
      <w:r w:rsidRPr="00E05368">
        <w:rPr>
          <w:rFonts w:ascii="Arial" w:hAnsi="Arial" w:cs="Arial"/>
          <w:sz w:val="21"/>
          <w:szCs w:val="21"/>
        </w:rPr>
        <w:t>项目建设期取</w:t>
      </w:r>
      <w:r w:rsidR="00203CCD">
        <w:rPr>
          <w:rFonts w:ascii="Arial" w:hAnsi="Arial" w:cs="Arial" w:hint="eastAsia"/>
          <w:sz w:val="21"/>
          <w:szCs w:val="21"/>
        </w:rPr>
        <w:t>24</w:t>
      </w:r>
      <w:r w:rsidRPr="00E05368">
        <w:rPr>
          <w:rFonts w:ascii="Arial" w:hAnsi="Arial" w:cs="Arial" w:hint="eastAsia"/>
          <w:color w:val="000000"/>
          <w:sz w:val="21"/>
          <w:szCs w:val="21"/>
        </w:rPr>
        <w:t>个</w:t>
      </w:r>
      <w:r>
        <w:rPr>
          <w:rFonts w:ascii="Arial" w:hAnsi="Arial" w:cs="Arial" w:hint="eastAsia"/>
          <w:color w:val="000000"/>
          <w:sz w:val="21"/>
          <w:szCs w:val="21"/>
        </w:rPr>
        <w:t>月</w:t>
      </w:r>
      <w:r w:rsidRPr="00E05368">
        <w:rPr>
          <w:rFonts w:ascii="Arial" w:hAnsi="Arial" w:cs="Arial"/>
          <w:sz w:val="21"/>
          <w:szCs w:val="21"/>
        </w:rPr>
        <w:t>。</w:t>
      </w:r>
    </w:p>
    <w:p w14:paraId="55D38D9B" w14:textId="77777777" w:rsidR="0053025C" w:rsidRPr="00E05368" w:rsidRDefault="0053025C" w:rsidP="0053025C">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hint="eastAsia"/>
          <w:color w:val="000000"/>
          <w:sz w:val="21"/>
          <w:szCs w:val="21"/>
        </w:rPr>
        <w:t>2.</w:t>
      </w:r>
      <w:r w:rsidRPr="00E05368">
        <w:rPr>
          <w:rFonts w:ascii="Arial" w:hAnsi="Arial" w:cs="Arial"/>
          <w:color w:val="000000"/>
          <w:sz w:val="21"/>
          <w:szCs w:val="21"/>
        </w:rPr>
        <w:t>销售价格及销售量预测</w:t>
      </w:r>
    </w:p>
    <w:p w14:paraId="2FEC4582" w14:textId="770194F8" w:rsidR="0053025C" w:rsidRPr="00E05368" w:rsidRDefault="0053025C" w:rsidP="0053025C">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项目销售收入为</w:t>
      </w:r>
      <w:r>
        <w:rPr>
          <w:rFonts w:ascii="Arial" w:hAnsi="Arial" w:cs="Arial" w:hint="eastAsia"/>
          <w:color w:val="000000"/>
          <w:sz w:val="21"/>
          <w:szCs w:val="21"/>
        </w:rPr>
        <w:t>高层、商业</w:t>
      </w:r>
      <w:r w:rsidRPr="00E05368">
        <w:rPr>
          <w:rFonts w:ascii="Arial" w:hAnsi="Arial" w:cs="Arial" w:hint="eastAsia"/>
          <w:color w:val="000000"/>
          <w:sz w:val="21"/>
          <w:szCs w:val="21"/>
        </w:rPr>
        <w:t>及</w:t>
      </w:r>
      <w:r w:rsidRPr="00E05368">
        <w:rPr>
          <w:rFonts w:ascii="Arial" w:hAnsi="Arial" w:cs="Arial"/>
          <w:color w:val="000000"/>
          <w:sz w:val="21"/>
          <w:szCs w:val="21"/>
        </w:rPr>
        <w:t>地下车库用房销售收入，根据建设单位提供的相关资料，确定项目销售价格、可销售面积及销售比率如下：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firstRow="1" w:lastRow="0" w:firstColumn="1" w:lastColumn="0" w:noHBand="0" w:noVBand="0"/>
      </w:tblPr>
      <w:tblGrid>
        <w:gridCol w:w="2185"/>
        <w:gridCol w:w="1841"/>
        <w:gridCol w:w="1843"/>
        <w:gridCol w:w="1843"/>
        <w:gridCol w:w="1700"/>
      </w:tblGrid>
      <w:tr w:rsidR="0053025C" w:rsidRPr="00E05368" w14:paraId="47837B7F" w14:textId="77777777" w:rsidTr="007B3231">
        <w:trPr>
          <w:trHeight w:val="283"/>
        </w:trPr>
        <w:tc>
          <w:tcPr>
            <w:tcW w:w="1161" w:type="pct"/>
            <w:vAlign w:val="center"/>
          </w:tcPr>
          <w:p w14:paraId="163349AC" w14:textId="77777777" w:rsidR="0053025C" w:rsidRPr="00E05368" w:rsidRDefault="0053025C" w:rsidP="007B3231">
            <w:pPr>
              <w:jc w:val="both"/>
              <w:rPr>
                <w:rFonts w:ascii="Arial" w:eastAsia="华文细黑" w:hAnsi="Arial" w:cs="Arial"/>
                <w:color w:val="000000"/>
                <w:sz w:val="18"/>
                <w:szCs w:val="18"/>
              </w:rPr>
            </w:pPr>
            <w:r w:rsidRPr="00E05368">
              <w:rPr>
                <w:rFonts w:ascii="Arial" w:eastAsia="华文细黑" w:hAnsi="Arial" w:cs="Arial"/>
                <w:color w:val="000000"/>
                <w:sz w:val="18"/>
                <w:szCs w:val="18"/>
              </w:rPr>
              <w:t>用途</w:t>
            </w:r>
          </w:p>
        </w:tc>
        <w:tc>
          <w:tcPr>
            <w:tcW w:w="978" w:type="pct"/>
            <w:vAlign w:val="center"/>
          </w:tcPr>
          <w:p w14:paraId="489DFCDD" w14:textId="77777777" w:rsidR="0053025C" w:rsidRPr="00E05368" w:rsidRDefault="0053025C" w:rsidP="007B3231">
            <w:pPr>
              <w:jc w:val="both"/>
              <w:rPr>
                <w:rFonts w:ascii="Arial" w:eastAsia="华文细黑" w:hAnsi="Arial" w:cs="Arial"/>
                <w:color w:val="000000"/>
                <w:sz w:val="18"/>
                <w:szCs w:val="18"/>
              </w:rPr>
            </w:pPr>
            <w:r w:rsidRPr="00E05368">
              <w:rPr>
                <w:rFonts w:ascii="Arial" w:eastAsia="华文细黑" w:hAnsi="Arial" w:cs="Arial"/>
                <w:color w:val="000000"/>
                <w:sz w:val="18"/>
                <w:szCs w:val="18"/>
              </w:rPr>
              <w:t>销售均价</w:t>
            </w:r>
          </w:p>
          <w:p w14:paraId="6FFA78A8" w14:textId="77777777" w:rsidR="0053025C" w:rsidRPr="00E05368" w:rsidRDefault="0053025C" w:rsidP="007B3231">
            <w:pPr>
              <w:jc w:val="both"/>
              <w:rPr>
                <w:rFonts w:ascii="Arial" w:eastAsia="华文细黑" w:hAnsi="Arial" w:cs="Arial"/>
                <w:color w:val="000000"/>
                <w:sz w:val="18"/>
                <w:szCs w:val="18"/>
              </w:rPr>
            </w:pPr>
            <w:r w:rsidRPr="00E05368">
              <w:rPr>
                <w:rFonts w:ascii="Arial" w:eastAsia="华文细黑" w:hAnsi="Arial" w:cs="Arial"/>
                <w:color w:val="000000"/>
                <w:sz w:val="18"/>
                <w:szCs w:val="18"/>
              </w:rPr>
              <w:t>（元</w:t>
            </w:r>
            <w:r w:rsidRPr="00E05368">
              <w:rPr>
                <w:rFonts w:ascii="Arial" w:eastAsia="华文细黑" w:hAnsi="Arial" w:cs="Arial"/>
                <w:color w:val="000000"/>
                <w:sz w:val="18"/>
                <w:szCs w:val="18"/>
              </w:rPr>
              <w:t>/</w:t>
            </w:r>
            <w:r w:rsidRPr="00E05368">
              <w:rPr>
                <w:rFonts w:ascii="Arial" w:eastAsia="华文细黑" w:hAnsi="Arial" w:cs="Arial"/>
                <w:color w:val="000000"/>
                <w:sz w:val="18"/>
                <w:szCs w:val="18"/>
              </w:rPr>
              <w:t>平方米，元</w:t>
            </w:r>
            <w:r w:rsidRPr="00E05368">
              <w:rPr>
                <w:rFonts w:ascii="Arial" w:eastAsia="华文细黑" w:hAnsi="Arial" w:cs="Arial"/>
                <w:color w:val="000000"/>
                <w:sz w:val="18"/>
                <w:szCs w:val="18"/>
              </w:rPr>
              <w:t>/</w:t>
            </w:r>
            <w:proofErr w:type="gramStart"/>
            <w:r w:rsidRPr="00E05368">
              <w:rPr>
                <w:rFonts w:ascii="Arial" w:eastAsia="华文细黑" w:hAnsi="Arial" w:cs="Arial"/>
                <w:color w:val="000000"/>
                <w:sz w:val="18"/>
                <w:szCs w:val="18"/>
              </w:rPr>
              <w:t>个</w:t>
            </w:r>
            <w:proofErr w:type="gramEnd"/>
            <w:r w:rsidRPr="00E05368">
              <w:rPr>
                <w:rFonts w:ascii="Arial" w:eastAsia="华文细黑" w:hAnsi="Arial" w:cs="Arial"/>
                <w:color w:val="000000"/>
                <w:sz w:val="18"/>
                <w:szCs w:val="18"/>
              </w:rPr>
              <w:t>）</w:t>
            </w:r>
          </w:p>
        </w:tc>
        <w:tc>
          <w:tcPr>
            <w:tcW w:w="979" w:type="pct"/>
            <w:vAlign w:val="center"/>
          </w:tcPr>
          <w:p w14:paraId="76F3C515" w14:textId="77777777" w:rsidR="0053025C" w:rsidRPr="00E05368" w:rsidRDefault="0053025C" w:rsidP="007B3231">
            <w:pPr>
              <w:jc w:val="both"/>
              <w:rPr>
                <w:rFonts w:ascii="Arial" w:eastAsia="华文细黑" w:hAnsi="Arial" w:cs="Arial"/>
                <w:color w:val="000000"/>
                <w:sz w:val="18"/>
                <w:szCs w:val="18"/>
              </w:rPr>
            </w:pPr>
            <w:r w:rsidRPr="00E05368">
              <w:rPr>
                <w:rFonts w:ascii="Arial" w:eastAsia="华文细黑" w:hAnsi="Arial" w:cs="Arial"/>
                <w:color w:val="000000"/>
                <w:sz w:val="18"/>
                <w:szCs w:val="18"/>
              </w:rPr>
              <w:t>可销售面积</w:t>
            </w:r>
          </w:p>
          <w:p w14:paraId="00DCA0CE" w14:textId="77777777" w:rsidR="0053025C" w:rsidRPr="00E05368" w:rsidRDefault="0053025C" w:rsidP="007B3231">
            <w:pPr>
              <w:jc w:val="both"/>
              <w:rPr>
                <w:rFonts w:ascii="Arial" w:eastAsia="华文细黑" w:hAnsi="Arial" w:cs="Arial"/>
                <w:color w:val="000000"/>
                <w:sz w:val="18"/>
                <w:szCs w:val="18"/>
              </w:rPr>
            </w:pPr>
            <w:r w:rsidRPr="00E05368">
              <w:rPr>
                <w:rFonts w:ascii="Arial" w:eastAsia="华文细黑" w:hAnsi="Arial" w:cs="Arial"/>
                <w:color w:val="000000"/>
                <w:sz w:val="18"/>
                <w:szCs w:val="18"/>
              </w:rPr>
              <w:t>（平方米，</w:t>
            </w:r>
            <w:proofErr w:type="gramStart"/>
            <w:r w:rsidRPr="00E05368">
              <w:rPr>
                <w:rFonts w:ascii="Arial" w:eastAsia="华文细黑" w:hAnsi="Arial" w:cs="Arial"/>
                <w:color w:val="000000"/>
                <w:sz w:val="18"/>
                <w:szCs w:val="18"/>
              </w:rPr>
              <w:t>个</w:t>
            </w:r>
            <w:proofErr w:type="gramEnd"/>
            <w:r w:rsidRPr="00E05368">
              <w:rPr>
                <w:rFonts w:ascii="Arial" w:eastAsia="华文细黑" w:hAnsi="Arial" w:cs="Arial"/>
                <w:color w:val="000000"/>
                <w:sz w:val="18"/>
                <w:szCs w:val="18"/>
              </w:rPr>
              <w:t>）</w:t>
            </w:r>
          </w:p>
        </w:tc>
        <w:tc>
          <w:tcPr>
            <w:tcW w:w="979" w:type="pct"/>
            <w:vAlign w:val="center"/>
          </w:tcPr>
          <w:p w14:paraId="2B11C126" w14:textId="77777777" w:rsidR="0053025C" w:rsidRPr="00E05368" w:rsidRDefault="0053025C" w:rsidP="007B3231">
            <w:pPr>
              <w:jc w:val="both"/>
              <w:rPr>
                <w:rFonts w:ascii="Arial" w:eastAsia="华文细黑" w:hAnsi="Arial" w:cs="Arial"/>
                <w:color w:val="000000"/>
                <w:sz w:val="18"/>
                <w:szCs w:val="18"/>
              </w:rPr>
            </w:pPr>
            <w:r w:rsidRPr="00E05368">
              <w:rPr>
                <w:rFonts w:ascii="Arial" w:eastAsia="华文细黑" w:hAnsi="Arial" w:cs="Arial"/>
                <w:color w:val="000000"/>
                <w:sz w:val="18"/>
                <w:szCs w:val="18"/>
              </w:rPr>
              <w:t>销售比率</w:t>
            </w:r>
          </w:p>
        </w:tc>
        <w:tc>
          <w:tcPr>
            <w:tcW w:w="903" w:type="pct"/>
            <w:vAlign w:val="center"/>
          </w:tcPr>
          <w:p w14:paraId="632B9F21" w14:textId="77777777" w:rsidR="0053025C" w:rsidRPr="00E05368" w:rsidRDefault="0053025C" w:rsidP="007B3231">
            <w:pPr>
              <w:jc w:val="both"/>
              <w:rPr>
                <w:rFonts w:ascii="Arial" w:eastAsia="华文细黑" w:hAnsi="Arial" w:cs="Arial"/>
                <w:color w:val="000000"/>
                <w:sz w:val="18"/>
                <w:szCs w:val="18"/>
              </w:rPr>
            </w:pPr>
            <w:r w:rsidRPr="00E05368">
              <w:rPr>
                <w:rFonts w:ascii="Arial" w:eastAsia="华文细黑" w:hAnsi="Arial" w:cs="Arial"/>
                <w:color w:val="000000"/>
                <w:sz w:val="18"/>
                <w:szCs w:val="18"/>
              </w:rPr>
              <w:t>销售收入</w:t>
            </w:r>
          </w:p>
          <w:p w14:paraId="1B848F8B" w14:textId="77777777" w:rsidR="0053025C" w:rsidRPr="00E05368" w:rsidRDefault="0053025C" w:rsidP="007B3231">
            <w:pPr>
              <w:jc w:val="both"/>
              <w:rPr>
                <w:rFonts w:ascii="Arial" w:eastAsia="华文细黑" w:hAnsi="Arial" w:cs="Arial"/>
                <w:color w:val="000000"/>
                <w:sz w:val="18"/>
                <w:szCs w:val="18"/>
              </w:rPr>
            </w:pPr>
            <w:r w:rsidRPr="00E05368">
              <w:rPr>
                <w:rFonts w:ascii="Arial" w:eastAsia="华文细黑" w:hAnsi="Arial" w:cs="Arial"/>
                <w:color w:val="000000"/>
                <w:sz w:val="18"/>
                <w:szCs w:val="18"/>
              </w:rPr>
              <w:t>（万元）</w:t>
            </w:r>
          </w:p>
        </w:tc>
      </w:tr>
      <w:tr w:rsidR="0053025C" w:rsidRPr="00E05368" w14:paraId="28829BA5" w14:textId="77777777" w:rsidTr="007B3231">
        <w:trPr>
          <w:trHeight w:val="283"/>
        </w:trPr>
        <w:tc>
          <w:tcPr>
            <w:tcW w:w="1161" w:type="pct"/>
            <w:vAlign w:val="center"/>
          </w:tcPr>
          <w:p w14:paraId="1A25933A" w14:textId="77777777" w:rsidR="0053025C" w:rsidRPr="00E05368" w:rsidRDefault="0053025C" w:rsidP="007B3231">
            <w:pPr>
              <w:jc w:val="both"/>
              <w:rPr>
                <w:rFonts w:ascii="Arial" w:eastAsia="华文细黑" w:hAnsi="Arial" w:cs="Arial"/>
                <w:color w:val="000000"/>
                <w:sz w:val="18"/>
                <w:szCs w:val="18"/>
              </w:rPr>
            </w:pPr>
            <w:r>
              <w:rPr>
                <w:rFonts w:ascii="Arial" w:eastAsia="华文细黑" w:hAnsi="Arial" w:cs="Arial" w:hint="eastAsia"/>
                <w:sz w:val="18"/>
                <w:szCs w:val="18"/>
              </w:rPr>
              <w:t>高层</w:t>
            </w:r>
            <w:r w:rsidRPr="00E05368">
              <w:rPr>
                <w:rFonts w:ascii="Arial" w:eastAsia="华文细黑" w:hAnsi="Arial" w:cs="Arial" w:hint="eastAsia"/>
                <w:sz w:val="18"/>
                <w:szCs w:val="18"/>
              </w:rPr>
              <w:t>住宅</w:t>
            </w:r>
          </w:p>
        </w:tc>
        <w:tc>
          <w:tcPr>
            <w:tcW w:w="978" w:type="pct"/>
            <w:vAlign w:val="center"/>
          </w:tcPr>
          <w:p w14:paraId="2E8DD49D" w14:textId="23C1E5F2" w:rsidR="0053025C" w:rsidRPr="00E05368" w:rsidRDefault="00203CCD" w:rsidP="007B3231">
            <w:pPr>
              <w:jc w:val="both"/>
              <w:rPr>
                <w:rFonts w:ascii="Arial" w:eastAsia="华文细黑" w:hAnsi="Arial" w:cs="Arial"/>
                <w:color w:val="000000"/>
                <w:sz w:val="18"/>
                <w:szCs w:val="18"/>
              </w:rPr>
            </w:pPr>
            <w:r>
              <w:rPr>
                <w:rFonts w:ascii="Arial" w:eastAsia="华文细黑" w:hAnsi="Arial" w:cs="Arial" w:hint="eastAsia"/>
                <w:color w:val="000000"/>
                <w:sz w:val="18"/>
                <w:szCs w:val="18"/>
              </w:rPr>
              <w:t>29300</w:t>
            </w:r>
          </w:p>
        </w:tc>
        <w:tc>
          <w:tcPr>
            <w:tcW w:w="979" w:type="pct"/>
            <w:shd w:val="clear" w:color="auto" w:fill="auto"/>
            <w:vAlign w:val="center"/>
          </w:tcPr>
          <w:p w14:paraId="12225BE3" w14:textId="32078947" w:rsidR="0053025C" w:rsidRPr="00E05368" w:rsidRDefault="00203CCD" w:rsidP="007B3231">
            <w:pPr>
              <w:jc w:val="both"/>
              <w:rPr>
                <w:rFonts w:ascii="Arial" w:eastAsia="华文细黑" w:hAnsi="Arial" w:cs="Arial"/>
                <w:sz w:val="18"/>
                <w:szCs w:val="18"/>
              </w:rPr>
            </w:pPr>
            <w:r>
              <w:rPr>
                <w:rFonts w:ascii="Arial" w:eastAsia="华文细黑" w:hAnsi="Arial" w:cs="Arial"/>
                <w:sz w:val="18"/>
                <w:szCs w:val="18"/>
              </w:rPr>
              <w:t>137</w:t>
            </w:r>
            <w:r w:rsidRPr="00203CCD">
              <w:rPr>
                <w:rFonts w:ascii="Arial" w:eastAsia="华文细黑" w:hAnsi="Arial" w:cs="Arial"/>
                <w:sz w:val="18"/>
                <w:szCs w:val="18"/>
              </w:rPr>
              <w:t>460</w:t>
            </w:r>
          </w:p>
        </w:tc>
        <w:tc>
          <w:tcPr>
            <w:tcW w:w="979" w:type="pct"/>
            <w:shd w:val="clear" w:color="auto" w:fill="auto"/>
            <w:vAlign w:val="center"/>
          </w:tcPr>
          <w:p w14:paraId="4B2BC691" w14:textId="77777777" w:rsidR="0053025C" w:rsidRPr="00C132AF" w:rsidRDefault="0053025C" w:rsidP="007B3231">
            <w:pPr>
              <w:jc w:val="both"/>
              <w:rPr>
                <w:rFonts w:ascii="Arial" w:eastAsia="华文细黑" w:hAnsi="Arial" w:cs="Arial"/>
                <w:sz w:val="18"/>
                <w:szCs w:val="18"/>
              </w:rPr>
            </w:pPr>
            <w:r w:rsidRPr="00C132AF">
              <w:rPr>
                <w:rFonts w:ascii="Arial" w:eastAsia="华文细黑" w:hAnsi="Arial" w:cs="Arial"/>
                <w:sz w:val="18"/>
                <w:szCs w:val="18"/>
              </w:rPr>
              <w:t>100%</w:t>
            </w:r>
          </w:p>
        </w:tc>
        <w:tc>
          <w:tcPr>
            <w:tcW w:w="903" w:type="pct"/>
            <w:shd w:val="clear" w:color="auto" w:fill="auto"/>
            <w:vAlign w:val="center"/>
          </w:tcPr>
          <w:p w14:paraId="696D7DDE" w14:textId="5D901913" w:rsidR="0053025C" w:rsidRPr="00C132AF" w:rsidRDefault="00203CCD" w:rsidP="00203CCD">
            <w:pPr>
              <w:jc w:val="both"/>
              <w:rPr>
                <w:rFonts w:ascii="Arial" w:eastAsia="华文细黑" w:hAnsi="Arial" w:cs="Arial"/>
                <w:color w:val="000000"/>
                <w:sz w:val="18"/>
                <w:szCs w:val="18"/>
              </w:rPr>
            </w:pPr>
            <w:r w:rsidRPr="00203CCD">
              <w:rPr>
                <w:rFonts w:ascii="Arial" w:eastAsia="华文细黑" w:hAnsi="Arial" w:cs="Arial"/>
                <w:color w:val="000000"/>
                <w:sz w:val="18"/>
                <w:szCs w:val="18"/>
              </w:rPr>
              <w:t>402760</w:t>
            </w:r>
          </w:p>
        </w:tc>
      </w:tr>
      <w:tr w:rsidR="0053025C" w:rsidRPr="00E05368" w14:paraId="1FA6C527" w14:textId="77777777" w:rsidTr="007B3231">
        <w:trPr>
          <w:trHeight w:val="283"/>
        </w:trPr>
        <w:tc>
          <w:tcPr>
            <w:tcW w:w="1161" w:type="pct"/>
            <w:vAlign w:val="center"/>
          </w:tcPr>
          <w:p w14:paraId="176D91FA" w14:textId="77777777" w:rsidR="0053025C" w:rsidRDefault="0053025C" w:rsidP="007B3231">
            <w:pPr>
              <w:jc w:val="both"/>
              <w:rPr>
                <w:rFonts w:ascii="Arial" w:eastAsia="华文细黑" w:hAnsi="Arial" w:cs="Arial"/>
                <w:sz w:val="18"/>
                <w:szCs w:val="18"/>
              </w:rPr>
            </w:pPr>
            <w:r>
              <w:rPr>
                <w:rFonts w:ascii="Arial" w:eastAsia="华文细黑" w:hAnsi="Arial" w:cs="Arial" w:hint="eastAsia"/>
                <w:sz w:val="18"/>
                <w:szCs w:val="18"/>
              </w:rPr>
              <w:t>商业</w:t>
            </w:r>
          </w:p>
        </w:tc>
        <w:tc>
          <w:tcPr>
            <w:tcW w:w="978" w:type="pct"/>
            <w:vAlign w:val="center"/>
          </w:tcPr>
          <w:p w14:paraId="6185E9A7" w14:textId="16D41C05" w:rsidR="0053025C" w:rsidRPr="00E05368" w:rsidRDefault="00203CCD" w:rsidP="007B3231">
            <w:pPr>
              <w:jc w:val="both"/>
              <w:rPr>
                <w:rFonts w:ascii="Arial" w:eastAsia="华文细黑" w:hAnsi="Arial" w:cs="Arial"/>
                <w:color w:val="000000"/>
                <w:sz w:val="18"/>
                <w:szCs w:val="18"/>
              </w:rPr>
            </w:pPr>
            <w:r>
              <w:rPr>
                <w:rFonts w:ascii="Arial" w:eastAsia="华文细黑" w:hAnsi="Arial" w:cs="Arial" w:hint="eastAsia"/>
                <w:color w:val="000000"/>
                <w:sz w:val="18"/>
                <w:szCs w:val="18"/>
              </w:rPr>
              <w:t>55000</w:t>
            </w:r>
          </w:p>
        </w:tc>
        <w:tc>
          <w:tcPr>
            <w:tcW w:w="979" w:type="pct"/>
            <w:shd w:val="clear" w:color="auto" w:fill="auto"/>
            <w:vAlign w:val="center"/>
          </w:tcPr>
          <w:p w14:paraId="69619098" w14:textId="0B685BE5" w:rsidR="0053025C" w:rsidRPr="007335DE" w:rsidRDefault="00203CCD" w:rsidP="007B3231">
            <w:pPr>
              <w:jc w:val="both"/>
              <w:rPr>
                <w:rFonts w:ascii="Arial" w:eastAsia="华文细黑" w:hAnsi="Arial" w:cs="Arial"/>
                <w:sz w:val="18"/>
                <w:szCs w:val="18"/>
              </w:rPr>
            </w:pPr>
            <w:r>
              <w:rPr>
                <w:rFonts w:ascii="Arial" w:eastAsia="华文细黑" w:hAnsi="Arial" w:cs="Arial"/>
                <w:sz w:val="18"/>
                <w:szCs w:val="18"/>
              </w:rPr>
              <w:t>7</w:t>
            </w:r>
            <w:r w:rsidRPr="00203CCD">
              <w:rPr>
                <w:rFonts w:ascii="Arial" w:eastAsia="华文细黑" w:hAnsi="Arial" w:cs="Arial"/>
                <w:sz w:val="18"/>
                <w:szCs w:val="18"/>
              </w:rPr>
              <w:t>500</w:t>
            </w:r>
          </w:p>
        </w:tc>
        <w:tc>
          <w:tcPr>
            <w:tcW w:w="979" w:type="pct"/>
            <w:shd w:val="clear" w:color="auto" w:fill="auto"/>
            <w:vAlign w:val="center"/>
          </w:tcPr>
          <w:p w14:paraId="5EF50AC2" w14:textId="77777777" w:rsidR="0053025C" w:rsidRPr="00C132AF" w:rsidRDefault="0053025C" w:rsidP="007B3231">
            <w:pPr>
              <w:jc w:val="both"/>
              <w:rPr>
                <w:rFonts w:ascii="Arial" w:eastAsia="华文细黑" w:hAnsi="Arial" w:cs="Arial"/>
                <w:sz w:val="18"/>
                <w:szCs w:val="18"/>
              </w:rPr>
            </w:pPr>
            <w:r>
              <w:rPr>
                <w:rFonts w:ascii="Arial" w:eastAsia="华文细黑" w:hAnsi="Arial" w:cs="Arial" w:hint="eastAsia"/>
                <w:sz w:val="18"/>
                <w:szCs w:val="18"/>
              </w:rPr>
              <w:t>100%</w:t>
            </w:r>
          </w:p>
        </w:tc>
        <w:tc>
          <w:tcPr>
            <w:tcW w:w="903" w:type="pct"/>
            <w:shd w:val="clear" w:color="auto" w:fill="auto"/>
            <w:vAlign w:val="center"/>
          </w:tcPr>
          <w:p w14:paraId="79AA91C2" w14:textId="029C013C" w:rsidR="0053025C" w:rsidRPr="00C132AF" w:rsidRDefault="00203CCD" w:rsidP="007B3231">
            <w:pPr>
              <w:jc w:val="both"/>
              <w:rPr>
                <w:rFonts w:ascii="Arial" w:eastAsia="华文细黑" w:hAnsi="Arial" w:cs="Arial"/>
                <w:color w:val="000000"/>
                <w:sz w:val="18"/>
                <w:szCs w:val="18"/>
              </w:rPr>
            </w:pPr>
            <w:r>
              <w:rPr>
                <w:rFonts w:ascii="Arial" w:eastAsia="华文细黑" w:hAnsi="Arial" w:cs="Arial"/>
                <w:color w:val="000000"/>
                <w:sz w:val="18"/>
                <w:szCs w:val="18"/>
              </w:rPr>
              <w:t>41</w:t>
            </w:r>
            <w:r w:rsidRPr="00203CCD">
              <w:rPr>
                <w:rFonts w:ascii="Arial" w:eastAsia="华文细黑" w:hAnsi="Arial" w:cs="Arial"/>
                <w:color w:val="000000"/>
                <w:sz w:val="18"/>
                <w:szCs w:val="18"/>
              </w:rPr>
              <w:t>252</w:t>
            </w:r>
          </w:p>
        </w:tc>
      </w:tr>
      <w:tr w:rsidR="0053025C" w:rsidRPr="00E05368" w14:paraId="1529EB84" w14:textId="77777777" w:rsidTr="007B3231">
        <w:trPr>
          <w:trHeight w:val="283"/>
        </w:trPr>
        <w:tc>
          <w:tcPr>
            <w:tcW w:w="1161" w:type="pct"/>
            <w:vAlign w:val="center"/>
          </w:tcPr>
          <w:p w14:paraId="5BE61E71" w14:textId="77777777" w:rsidR="0053025C" w:rsidRPr="00E05368" w:rsidRDefault="0053025C" w:rsidP="007B3231">
            <w:pPr>
              <w:jc w:val="both"/>
              <w:rPr>
                <w:rFonts w:ascii="Arial" w:eastAsia="华文细黑" w:hAnsi="Arial" w:cs="Arial"/>
                <w:color w:val="000000"/>
                <w:sz w:val="18"/>
                <w:szCs w:val="18"/>
              </w:rPr>
            </w:pPr>
            <w:r w:rsidRPr="00E05368">
              <w:rPr>
                <w:rFonts w:ascii="Arial" w:eastAsia="华文细黑" w:hAnsi="Arial" w:cs="Arial" w:hint="eastAsia"/>
                <w:color w:val="000000"/>
                <w:sz w:val="18"/>
                <w:szCs w:val="18"/>
              </w:rPr>
              <w:t>地下车库</w:t>
            </w:r>
          </w:p>
        </w:tc>
        <w:tc>
          <w:tcPr>
            <w:tcW w:w="978" w:type="pct"/>
            <w:vAlign w:val="center"/>
          </w:tcPr>
          <w:p w14:paraId="262AB483" w14:textId="73E0F7DA" w:rsidR="0053025C" w:rsidRPr="00E05368" w:rsidRDefault="00203CCD" w:rsidP="007B3231">
            <w:pPr>
              <w:jc w:val="both"/>
              <w:rPr>
                <w:rFonts w:ascii="Arial" w:eastAsia="华文细黑" w:hAnsi="Arial" w:cs="Arial"/>
                <w:color w:val="000000"/>
                <w:sz w:val="18"/>
                <w:szCs w:val="18"/>
              </w:rPr>
            </w:pPr>
            <w:r>
              <w:rPr>
                <w:rFonts w:ascii="Arial" w:eastAsia="华文细黑" w:hAnsi="Arial" w:cs="Arial" w:hint="eastAsia"/>
                <w:color w:val="000000"/>
                <w:sz w:val="18"/>
                <w:szCs w:val="18"/>
              </w:rPr>
              <w:t>150000</w:t>
            </w:r>
          </w:p>
        </w:tc>
        <w:tc>
          <w:tcPr>
            <w:tcW w:w="979" w:type="pct"/>
            <w:vAlign w:val="center"/>
          </w:tcPr>
          <w:p w14:paraId="4F5BC8CD" w14:textId="5C3FBFB1" w:rsidR="0053025C" w:rsidRPr="00E05368" w:rsidRDefault="00203CCD" w:rsidP="007B3231">
            <w:pPr>
              <w:jc w:val="both"/>
              <w:rPr>
                <w:rFonts w:ascii="Arial" w:eastAsia="华文细黑" w:hAnsi="Arial" w:cs="Arial"/>
                <w:sz w:val="18"/>
                <w:szCs w:val="18"/>
              </w:rPr>
            </w:pPr>
            <w:r w:rsidRPr="00203CCD">
              <w:rPr>
                <w:rFonts w:ascii="Arial" w:eastAsia="华文细黑" w:hAnsi="Arial" w:cs="Arial"/>
                <w:sz w:val="18"/>
                <w:szCs w:val="18"/>
              </w:rPr>
              <w:t>945</w:t>
            </w:r>
            <w:r w:rsidR="0053025C">
              <w:rPr>
                <w:rFonts w:ascii="Arial" w:eastAsia="华文细黑" w:hAnsi="Arial" w:cs="Arial" w:hint="eastAsia"/>
                <w:sz w:val="18"/>
                <w:szCs w:val="18"/>
              </w:rPr>
              <w:t>（</w:t>
            </w:r>
            <w:proofErr w:type="gramStart"/>
            <w:r w:rsidR="0053025C">
              <w:rPr>
                <w:rFonts w:ascii="Arial" w:eastAsia="华文细黑" w:hAnsi="Arial" w:cs="Arial" w:hint="eastAsia"/>
                <w:sz w:val="18"/>
                <w:szCs w:val="18"/>
              </w:rPr>
              <w:t>个</w:t>
            </w:r>
            <w:proofErr w:type="gramEnd"/>
            <w:r w:rsidR="0053025C">
              <w:rPr>
                <w:rFonts w:ascii="Arial" w:eastAsia="华文细黑" w:hAnsi="Arial" w:cs="Arial" w:hint="eastAsia"/>
                <w:sz w:val="18"/>
                <w:szCs w:val="18"/>
              </w:rPr>
              <w:t>）</w:t>
            </w:r>
          </w:p>
        </w:tc>
        <w:tc>
          <w:tcPr>
            <w:tcW w:w="979" w:type="pct"/>
            <w:vAlign w:val="center"/>
          </w:tcPr>
          <w:p w14:paraId="0F3337B1" w14:textId="77777777" w:rsidR="0053025C" w:rsidRPr="00E05368" w:rsidRDefault="0053025C" w:rsidP="007B3231">
            <w:pPr>
              <w:jc w:val="both"/>
              <w:rPr>
                <w:rFonts w:ascii="Arial" w:eastAsia="华文细黑" w:hAnsi="Arial" w:cs="Arial"/>
                <w:sz w:val="18"/>
                <w:szCs w:val="18"/>
              </w:rPr>
            </w:pPr>
            <w:r w:rsidRPr="00E05368">
              <w:rPr>
                <w:rFonts w:ascii="Arial" w:eastAsia="华文细黑" w:hAnsi="Arial" w:cs="Arial"/>
                <w:sz w:val="18"/>
                <w:szCs w:val="18"/>
              </w:rPr>
              <w:t>100%</w:t>
            </w:r>
          </w:p>
        </w:tc>
        <w:tc>
          <w:tcPr>
            <w:tcW w:w="903" w:type="pct"/>
            <w:vAlign w:val="center"/>
          </w:tcPr>
          <w:p w14:paraId="3AEC4543" w14:textId="2CBD7C5E" w:rsidR="0053025C" w:rsidRPr="00E05368" w:rsidRDefault="00203CCD" w:rsidP="007B3231">
            <w:pPr>
              <w:jc w:val="both"/>
              <w:rPr>
                <w:rFonts w:ascii="Arial" w:eastAsia="华文细黑" w:hAnsi="Arial" w:cs="Arial"/>
                <w:color w:val="000000"/>
                <w:sz w:val="18"/>
                <w:szCs w:val="18"/>
              </w:rPr>
            </w:pPr>
            <w:r>
              <w:rPr>
                <w:rFonts w:ascii="Arial" w:eastAsia="华文细黑" w:hAnsi="Arial" w:cs="Arial"/>
                <w:color w:val="000000"/>
                <w:sz w:val="18"/>
                <w:szCs w:val="18"/>
              </w:rPr>
              <w:t>14</w:t>
            </w:r>
            <w:r w:rsidRPr="00203CCD">
              <w:rPr>
                <w:rFonts w:ascii="Arial" w:eastAsia="华文细黑" w:hAnsi="Arial" w:cs="Arial"/>
                <w:color w:val="000000"/>
                <w:sz w:val="18"/>
                <w:szCs w:val="18"/>
              </w:rPr>
              <w:t>175</w:t>
            </w:r>
          </w:p>
        </w:tc>
      </w:tr>
      <w:tr w:rsidR="0053025C" w:rsidRPr="00E05368" w14:paraId="579285E3" w14:textId="77777777" w:rsidTr="007B3231">
        <w:trPr>
          <w:trHeight w:val="283"/>
        </w:trPr>
        <w:tc>
          <w:tcPr>
            <w:tcW w:w="1161" w:type="pct"/>
            <w:vAlign w:val="center"/>
          </w:tcPr>
          <w:p w14:paraId="043CE812" w14:textId="77777777" w:rsidR="0053025C" w:rsidRPr="00E05368" w:rsidRDefault="0053025C" w:rsidP="007B3231">
            <w:pPr>
              <w:jc w:val="both"/>
              <w:rPr>
                <w:rFonts w:ascii="Arial" w:eastAsia="华文细黑" w:hAnsi="Arial" w:cs="Arial"/>
                <w:color w:val="000000"/>
                <w:sz w:val="18"/>
                <w:szCs w:val="18"/>
              </w:rPr>
            </w:pPr>
            <w:r>
              <w:rPr>
                <w:rFonts w:ascii="Arial" w:eastAsia="华文细黑" w:hAnsi="Arial" w:cs="Arial" w:hint="eastAsia"/>
                <w:color w:val="000000"/>
                <w:sz w:val="18"/>
                <w:szCs w:val="18"/>
              </w:rPr>
              <w:t>合计</w:t>
            </w:r>
          </w:p>
        </w:tc>
        <w:tc>
          <w:tcPr>
            <w:tcW w:w="978" w:type="pct"/>
            <w:vAlign w:val="center"/>
          </w:tcPr>
          <w:p w14:paraId="2F9FA819" w14:textId="77777777" w:rsidR="0053025C" w:rsidRDefault="0053025C" w:rsidP="007B3231">
            <w:pPr>
              <w:jc w:val="both"/>
              <w:rPr>
                <w:rFonts w:ascii="Arial" w:eastAsia="华文细黑" w:hAnsi="Arial" w:cs="Arial"/>
                <w:color w:val="000000"/>
                <w:sz w:val="18"/>
                <w:szCs w:val="18"/>
              </w:rPr>
            </w:pPr>
            <w:r>
              <w:rPr>
                <w:rFonts w:ascii="Arial" w:eastAsia="华文细黑" w:hAnsi="Arial" w:cs="Arial" w:hint="eastAsia"/>
                <w:color w:val="000000"/>
                <w:sz w:val="18"/>
                <w:szCs w:val="18"/>
              </w:rPr>
              <w:t>——</w:t>
            </w:r>
          </w:p>
        </w:tc>
        <w:tc>
          <w:tcPr>
            <w:tcW w:w="979" w:type="pct"/>
            <w:vAlign w:val="center"/>
          </w:tcPr>
          <w:p w14:paraId="1B008B58" w14:textId="77777777" w:rsidR="0053025C" w:rsidRPr="007335DE" w:rsidRDefault="0053025C" w:rsidP="007B3231">
            <w:pPr>
              <w:jc w:val="both"/>
              <w:rPr>
                <w:rFonts w:ascii="Arial" w:eastAsia="华文细黑" w:hAnsi="Arial" w:cs="Arial"/>
                <w:sz w:val="18"/>
                <w:szCs w:val="18"/>
              </w:rPr>
            </w:pPr>
            <w:r>
              <w:rPr>
                <w:rFonts w:ascii="Arial" w:eastAsia="华文细黑" w:hAnsi="Arial" w:cs="Arial" w:hint="eastAsia"/>
                <w:sz w:val="18"/>
                <w:szCs w:val="18"/>
              </w:rPr>
              <w:t>——</w:t>
            </w:r>
          </w:p>
        </w:tc>
        <w:tc>
          <w:tcPr>
            <w:tcW w:w="979" w:type="pct"/>
            <w:vAlign w:val="center"/>
          </w:tcPr>
          <w:p w14:paraId="7EEE74A6" w14:textId="77777777" w:rsidR="0053025C" w:rsidRPr="00E05368" w:rsidRDefault="0053025C" w:rsidP="007B3231">
            <w:pPr>
              <w:jc w:val="both"/>
              <w:rPr>
                <w:rFonts w:ascii="Arial" w:eastAsia="华文细黑" w:hAnsi="Arial" w:cs="Arial"/>
                <w:sz w:val="18"/>
                <w:szCs w:val="18"/>
              </w:rPr>
            </w:pPr>
            <w:r>
              <w:rPr>
                <w:rFonts w:ascii="Arial" w:eastAsia="华文细黑" w:hAnsi="Arial" w:cs="Arial" w:hint="eastAsia"/>
                <w:sz w:val="18"/>
                <w:szCs w:val="18"/>
              </w:rPr>
              <w:t>——</w:t>
            </w:r>
          </w:p>
        </w:tc>
        <w:tc>
          <w:tcPr>
            <w:tcW w:w="903" w:type="pct"/>
            <w:vAlign w:val="center"/>
          </w:tcPr>
          <w:p w14:paraId="1CFE01AA" w14:textId="4B320A5D" w:rsidR="0053025C" w:rsidRDefault="00203CCD" w:rsidP="007B3231">
            <w:pPr>
              <w:jc w:val="both"/>
              <w:rPr>
                <w:rFonts w:ascii="Arial" w:eastAsia="华文细黑" w:hAnsi="Arial" w:cs="Arial"/>
                <w:color w:val="000000"/>
                <w:sz w:val="18"/>
                <w:szCs w:val="18"/>
              </w:rPr>
            </w:pPr>
            <w:r>
              <w:rPr>
                <w:rFonts w:ascii="Arial" w:eastAsia="华文细黑" w:hAnsi="Arial" w:cs="Arial"/>
                <w:color w:val="000000"/>
                <w:sz w:val="18"/>
                <w:szCs w:val="18"/>
              </w:rPr>
              <w:t>458</w:t>
            </w:r>
            <w:r w:rsidRPr="00203CCD">
              <w:rPr>
                <w:rFonts w:ascii="Arial" w:eastAsia="华文细黑" w:hAnsi="Arial" w:cs="Arial"/>
                <w:color w:val="000000"/>
                <w:sz w:val="18"/>
                <w:szCs w:val="18"/>
              </w:rPr>
              <w:t>187</w:t>
            </w:r>
          </w:p>
        </w:tc>
      </w:tr>
    </w:tbl>
    <w:p w14:paraId="2B2738F9" w14:textId="77777777" w:rsidR="0053025C" w:rsidRPr="00E05368" w:rsidRDefault="0053025C" w:rsidP="0053025C">
      <w:pPr>
        <w:adjustRightInd w:val="0"/>
        <w:snapToGrid w:val="0"/>
        <w:spacing w:line="480" w:lineRule="auto"/>
        <w:rPr>
          <w:rFonts w:ascii="Arial" w:hAnsi="Arial" w:cs="Arial"/>
          <w:sz w:val="11"/>
          <w:szCs w:val="8"/>
        </w:rPr>
      </w:pPr>
    </w:p>
    <w:p w14:paraId="1AC16454" w14:textId="77777777" w:rsidR="0053025C" w:rsidRPr="00E05368" w:rsidRDefault="0053025C" w:rsidP="0053025C">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hint="eastAsia"/>
          <w:color w:val="000000"/>
          <w:sz w:val="21"/>
          <w:szCs w:val="21"/>
        </w:rPr>
        <w:t>2.</w:t>
      </w:r>
      <w:r w:rsidRPr="00E05368">
        <w:rPr>
          <w:rFonts w:ascii="Arial" w:hAnsi="Arial" w:cs="Arial"/>
          <w:color w:val="000000"/>
          <w:sz w:val="21"/>
          <w:szCs w:val="21"/>
        </w:rPr>
        <w:t>销</w:t>
      </w:r>
      <w:r w:rsidRPr="003872A1">
        <w:rPr>
          <w:rFonts w:ascii="Arial" w:hAnsi="Arial" w:cs="Arial" w:hint="eastAsia"/>
          <w:color w:val="000000"/>
          <w:sz w:val="21"/>
          <w:szCs w:val="21"/>
        </w:rPr>
        <w:t>售产生的现金流入</w:t>
      </w:r>
    </w:p>
    <w:p w14:paraId="0832A304" w14:textId="158BE379" w:rsidR="0053025C" w:rsidRPr="00E05368" w:rsidRDefault="0053025C" w:rsidP="0053025C">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根据市场预测及借款人提供的销售计划，项目实现销售后产生的现金流入为</w:t>
      </w:r>
      <w:r w:rsidR="00BF5A8F" w:rsidRPr="00BF5A8F">
        <w:rPr>
          <w:rFonts w:ascii="Arial" w:hAnsi="Arial" w:cs="Arial"/>
          <w:color w:val="000000"/>
          <w:sz w:val="21"/>
          <w:szCs w:val="21"/>
        </w:rPr>
        <w:t>458187</w:t>
      </w:r>
      <w:r w:rsidRPr="00E05368">
        <w:rPr>
          <w:rFonts w:ascii="Arial" w:hAnsi="Arial" w:cs="Arial"/>
          <w:color w:val="000000"/>
          <w:sz w:val="21"/>
          <w:szCs w:val="21"/>
        </w:rPr>
        <w:t>万元。预计</w:t>
      </w:r>
      <w:r w:rsidRPr="00E05368">
        <w:rPr>
          <w:rFonts w:ascii="Arial" w:hAnsi="Arial" w:cs="Arial"/>
          <w:color w:val="000000"/>
          <w:sz w:val="21"/>
          <w:szCs w:val="21"/>
        </w:rPr>
        <w:t>20</w:t>
      </w:r>
      <w:r w:rsidRPr="00E05368">
        <w:rPr>
          <w:rFonts w:ascii="Arial" w:hAnsi="Arial" w:cs="Arial" w:hint="eastAsia"/>
          <w:color w:val="000000"/>
          <w:sz w:val="21"/>
          <w:szCs w:val="21"/>
        </w:rPr>
        <w:t>2</w:t>
      </w:r>
      <w:r w:rsidR="00BF5A8F">
        <w:rPr>
          <w:rFonts w:ascii="Arial" w:hAnsi="Arial" w:cs="Arial" w:hint="eastAsia"/>
          <w:color w:val="000000"/>
          <w:sz w:val="21"/>
          <w:szCs w:val="21"/>
        </w:rPr>
        <w:t>2</w:t>
      </w:r>
      <w:r w:rsidRPr="00E05368">
        <w:rPr>
          <w:rFonts w:ascii="Arial" w:hAnsi="Arial" w:cs="Arial"/>
          <w:color w:val="000000"/>
          <w:sz w:val="21"/>
          <w:szCs w:val="21"/>
        </w:rPr>
        <w:t>-202</w:t>
      </w:r>
      <w:r w:rsidR="00BF5A8F">
        <w:rPr>
          <w:rFonts w:ascii="Arial" w:hAnsi="Arial" w:cs="Arial" w:hint="eastAsia"/>
          <w:color w:val="000000"/>
          <w:sz w:val="21"/>
          <w:szCs w:val="21"/>
        </w:rPr>
        <w:t>4</w:t>
      </w:r>
      <w:r w:rsidRPr="00E05368">
        <w:rPr>
          <w:rFonts w:ascii="Arial" w:hAnsi="Arial" w:cs="Arial"/>
          <w:color w:val="000000"/>
          <w:sz w:val="21"/>
          <w:szCs w:val="21"/>
        </w:rPr>
        <w:t>年分别实现现金</w:t>
      </w:r>
      <w:proofErr w:type="gramStart"/>
      <w:r w:rsidRPr="00E05368">
        <w:rPr>
          <w:rFonts w:ascii="Arial" w:hAnsi="Arial" w:cs="Arial"/>
          <w:color w:val="000000"/>
          <w:sz w:val="21"/>
          <w:szCs w:val="21"/>
        </w:rPr>
        <w:t>流入见</w:t>
      </w:r>
      <w:proofErr w:type="gramEnd"/>
      <w:r w:rsidRPr="00E05368">
        <w:rPr>
          <w:rFonts w:ascii="Arial" w:hAnsi="Arial" w:cs="Arial" w:hint="eastAsia"/>
          <w:color w:val="000000"/>
          <w:sz w:val="21"/>
          <w:szCs w:val="21"/>
        </w:rPr>
        <w:t>下表</w:t>
      </w:r>
      <w:r w:rsidRPr="00E05368">
        <w:rPr>
          <w:rFonts w:ascii="Arial" w:hAnsi="Arial" w:cs="Arial"/>
          <w:color w:val="000000"/>
          <w:sz w:val="21"/>
          <w:szCs w:val="21"/>
        </w:rPr>
        <w:t>（</w:t>
      </w:r>
      <w:r w:rsidRPr="00E05368">
        <w:rPr>
          <w:rFonts w:ascii="Arial" w:hAnsi="Arial" w:cs="Arial" w:hint="eastAsia"/>
          <w:color w:val="000000"/>
          <w:sz w:val="21"/>
          <w:szCs w:val="21"/>
        </w:rPr>
        <w:t>具体</w:t>
      </w:r>
      <w:r w:rsidRPr="00E05368">
        <w:rPr>
          <w:rFonts w:ascii="Arial" w:hAnsi="Arial" w:cs="Arial"/>
          <w:color w:val="000000"/>
          <w:sz w:val="21"/>
          <w:szCs w:val="21"/>
        </w:rPr>
        <w:t>见底表</w:t>
      </w:r>
      <w:r w:rsidRPr="00E05368">
        <w:rPr>
          <w:rFonts w:ascii="Arial" w:hAnsi="Arial" w:cs="Arial"/>
          <w:color w:val="000000"/>
          <w:sz w:val="21"/>
          <w:szCs w:val="21"/>
        </w:rPr>
        <w:t>1</w:t>
      </w:r>
      <w:r w:rsidRPr="00E05368">
        <w:rPr>
          <w:rFonts w:ascii="Arial" w:hAnsi="Arial" w:cs="Arial"/>
          <w:color w:val="000000"/>
          <w:sz w:val="21"/>
          <w:szCs w:val="21"/>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1570"/>
        <w:gridCol w:w="1570"/>
        <w:gridCol w:w="1568"/>
        <w:gridCol w:w="1568"/>
        <w:gridCol w:w="1568"/>
        <w:gridCol w:w="1568"/>
      </w:tblGrid>
      <w:tr w:rsidR="0053025C" w:rsidRPr="00E05368" w14:paraId="65C85AF0" w14:textId="77777777" w:rsidTr="007B3231">
        <w:trPr>
          <w:trHeight w:val="283"/>
        </w:trPr>
        <w:tc>
          <w:tcPr>
            <w:tcW w:w="834" w:type="pct"/>
            <w:vMerge w:val="restart"/>
            <w:vAlign w:val="center"/>
          </w:tcPr>
          <w:p w14:paraId="0FE61F70" w14:textId="77777777" w:rsidR="0053025C" w:rsidRPr="00E05368" w:rsidRDefault="0053025C" w:rsidP="007B3231">
            <w:pPr>
              <w:rPr>
                <w:rFonts w:ascii="华文细黑" w:eastAsia="华文细黑" w:hAnsi="华文细黑"/>
                <w:sz w:val="18"/>
                <w:szCs w:val="18"/>
              </w:rPr>
            </w:pPr>
            <w:r w:rsidRPr="00E05368">
              <w:rPr>
                <w:rFonts w:ascii="Arial" w:eastAsia="华文细黑" w:hAnsi="Arial" w:hint="eastAsia"/>
                <w:sz w:val="18"/>
                <w:szCs w:val="18"/>
              </w:rPr>
              <w:t>202</w:t>
            </w:r>
            <w:r>
              <w:rPr>
                <w:rFonts w:ascii="Arial" w:eastAsia="华文细黑" w:hAnsi="Arial" w:hint="eastAsia"/>
                <w:sz w:val="18"/>
                <w:szCs w:val="18"/>
              </w:rPr>
              <w:t>2</w:t>
            </w:r>
            <w:r w:rsidRPr="00E05368">
              <w:rPr>
                <w:rFonts w:ascii="华文细黑" w:eastAsia="华文细黑" w:hAnsi="华文细黑" w:hint="eastAsia"/>
                <w:sz w:val="18"/>
                <w:szCs w:val="18"/>
              </w:rPr>
              <w:t>年</w:t>
            </w:r>
          </w:p>
        </w:tc>
        <w:tc>
          <w:tcPr>
            <w:tcW w:w="834" w:type="pct"/>
            <w:vAlign w:val="center"/>
          </w:tcPr>
          <w:p w14:paraId="0A50C7EF" w14:textId="77777777" w:rsidR="0053025C" w:rsidRPr="00E05368" w:rsidRDefault="0053025C" w:rsidP="007B3231">
            <w:pPr>
              <w:jc w:val="both"/>
              <w:rPr>
                <w:rFonts w:ascii="Arial" w:eastAsia="华文细黑" w:hAnsi="Arial" w:cs="Arial"/>
                <w:sz w:val="18"/>
                <w:szCs w:val="18"/>
              </w:rPr>
            </w:pPr>
            <w:r w:rsidRPr="00E05368">
              <w:rPr>
                <w:rFonts w:ascii="Arial" w:eastAsia="华文细黑" w:hAnsi="Arial" w:cs="Arial"/>
                <w:sz w:val="18"/>
                <w:szCs w:val="18"/>
              </w:rPr>
              <w:t>季度</w:t>
            </w:r>
          </w:p>
        </w:tc>
        <w:tc>
          <w:tcPr>
            <w:tcW w:w="833" w:type="pct"/>
            <w:vAlign w:val="center"/>
          </w:tcPr>
          <w:p w14:paraId="5812D0CC" w14:textId="77777777" w:rsidR="0053025C" w:rsidRPr="00E05368" w:rsidRDefault="0053025C" w:rsidP="007B3231">
            <w:pPr>
              <w:jc w:val="both"/>
              <w:rPr>
                <w:rFonts w:ascii="Arial" w:eastAsia="华文细黑" w:hAnsi="Arial" w:cs="Arial"/>
                <w:sz w:val="18"/>
                <w:szCs w:val="18"/>
              </w:rPr>
            </w:pPr>
            <w:r w:rsidRPr="00E05368">
              <w:rPr>
                <w:rFonts w:ascii="Arial" w:eastAsia="华文细黑" w:hAnsi="Arial" w:cs="Arial"/>
                <w:sz w:val="18"/>
                <w:szCs w:val="18"/>
              </w:rPr>
              <w:t>Q1</w:t>
            </w:r>
          </w:p>
        </w:tc>
        <w:tc>
          <w:tcPr>
            <w:tcW w:w="833" w:type="pct"/>
            <w:shd w:val="clear" w:color="auto" w:fill="auto"/>
            <w:noWrap/>
            <w:vAlign w:val="center"/>
          </w:tcPr>
          <w:p w14:paraId="64E10C0E" w14:textId="77777777" w:rsidR="0053025C" w:rsidRPr="00E05368" w:rsidRDefault="0053025C" w:rsidP="007B3231">
            <w:pPr>
              <w:jc w:val="both"/>
              <w:rPr>
                <w:rFonts w:ascii="Arial" w:eastAsia="华文细黑" w:hAnsi="Arial" w:cs="Arial"/>
                <w:sz w:val="18"/>
                <w:szCs w:val="18"/>
              </w:rPr>
            </w:pPr>
            <w:r w:rsidRPr="00E05368">
              <w:rPr>
                <w:rFonts w:ascii="Arial" w:eastAsia="华文细黑" w:hAnsi="Arial" w:cs="Arial"/>
                <w:sz w:val="18"/>
                <w:szCs w:val="18"/>
              </w:rPr>
              <w:t>Q2</w:t>
            </w:r>
          </w:p>
        </w:tc>
        <w:tc>
          <w:tcPr>
            <w:tcW w:w="833" w:type="pct"/>
            <w:shd w:val="clear" w:color="auto" w:fill="auto"/>
            <w:noWrap/>
            <w:vAlign w:val="center"/>
          </w:tcPr>
          <w:p w14:paraId="28986F25" w14:textId="77777777" w:rsidR="0053025C" w:rsidRPr="00E05368" w:rsidRDefault="0053025C" w:rsidP="007B3231">
            <w:pPr>
              <w:jc w:val="both"/>
              <w:rPr>
                <w:rFonts w:ascii="Arial" w:eastAsia="华文细黑" w:hAnsi="Arial" w:cs="Arial"/>
                <w:sz w:val="18"/>
                <w:szCs w:val="18"/>
              </w:rPr>
            </w:pPr>
            <w:r w:rsidRPr="00E05368">
              <w:rPr>
                <w:rFonts w:ascii="Arial" w:eastAsia="华文细黑" w:hAnsi="Arial" w:cs="Arial"/>
                <w:sz w:val="18"/>
                <w:szCs w:val="18"/>
              </w:rPr>
              <w:t>Q3</w:t>
            </w:r>
          </w:p>
        </w:tc>
        <w:tc>
          <w:tcPr>
            <w:tcW w:w="833" w:type="pct"/>
            <w:shd w:val="clear" w:color="auto" w:fill="auto"/>
            <w:noWrap/>
            <w:vAlign w:val="center"/>
          </w:tcPr>
          <w:p w14:paraId="7AECB428" w14:textId="77777777" w:rsidR="0053025C" w:rsidRPr="00E05368" w:rsidRDefault="0053025C" w:rsidP="007B3231">
            <w:pPr>
              <w:jc w:val="both"/>
              <w:rPr>
                <w:rFonts w:ascii="Arial" w:eastAsia="华文细黑" w:hAnsi="Arial" w:cs="Arial"/>
                <w:sz w:val="18"/>
                <w:szCs w:val="18"/>
              </w:rPr>
            </w:pPr>
            <w:r w:rsidRPr="00E05368">
              <w:rPr>
                <w:rFonts w:ascii="Arial" w:eastAsia="华文细黑" w:hAnsi="Arial" w:cs="Arial"/>
                <w:sz w:val="18"/>
                <w:szCs w:val="18"/>
              </w:rPr>
              <w:t>Q4</w:t>
            </w:r>
          </w:p>
        </w:tc>
      </w:tr>
      <w:tr w:rsidR="0053025C" w:rsidRPr="00E05368" w14:paraId="008ED95F" w14:textId="77777777" w:rsidTr="007B3231">
        <w:trPr>
          <w:trHeight w:val="283"/>
        </w:trPr>
        <w:tc>
          <w:tcPr>
            <w:tcW w:w="834" w:type="pct"/>
            <w:vMerge/>
            <w:vAlign w:val="center"/>
          </w:tcPr>
          <w:p w14:paraId="5255A57E" w14:textId="77777777" w:rsidR="0053025C" w:rsidRPr="00E05368" w:rsidRDefault="0053025C" w:rsidP="007B3231">
            <w:pPr>
              <w:rPr>
                <w:rFonts w:ascii="华文细黑" w:eastAsia="华文细黑" w:hAnsi="华文细黑"/>
                <w:sz w:val="18"/>
                <w:szCs w:val="18"/>
              </w:rPr>
            </w:pPr>
          </w:p>
        </w:tc>
        <w:tc>
          <w:tcPr>
            <w:tcW w:w="834" w:type="pct"/>
            <w:vAlign w:val="center"/>
          </w:tcPr>
          <w:p w14:paraId="3ABAB9BA" w14:textId="77777777" w:rsidR="0053025C" w:rsidRPr="00E05368" w:rsidRDefault="0053025C" w:rsidP="007B3231">
            <w:pPr>
              <w:jc w:val="both"/>
              <w:rPr>
                <w:rFonts w:ascii="Arial" w:eastAsia="华文细黑" w:hAnsi="Arial" w:cs="Arial"/>
                <w:sz w:val="18"/>
                <w:szCs w:val="18"/>
              </w:rPr>
            </w:pPr>
            <w:r>
              <w:rPr>
                <w:rFonts w:ascii="Arial" w:eastAsia="华文细黑" w:hAnsi="Arial" w:cs="Arial"/>
                <w:sz w:val="18"/>
                <w:szCs w:val="18"/>
              </w:rPr>
              <w:t>销售</w:t>
            </w:r>
            <w:r>
              <w:rPr>
                <w:rFonts w:ascii="Arial" w:eastAsia="华文细黑" w:hAnsi="Arial" w:cs="Arial" w:hint="eastAsia"/>
                <w:sz w:val="18"/>
                <w:szCs w:val="18"/>
              </w:rPr>
              <w:t>回款</w:t>
            </w:r>
            <w:r w:rsidRPr="00E05368">
              <w:rPr>
                <w:rFonts w:ascii="Arial" w:eastAsia="华文细黑" w:hAnsi="Arial" w:cs="Arial"/>
                <w:sz w:val="18"/>
                <w:szCs w:val="18"/>
              </w:rPr>
              <w:t>（万元）</w:t>
            </w:r>
          </w:p>
        </w:tc>
        <w:tc>
          <w:tcPr>
            <w:tcW w:w="833" w:type="pct"/>
            <w:vAlign w:val="center"/>
          </w:tcPr>
          <w:p w14:paraId="2873DE14" w14:textId="79A0155B" w:rsidR="0053025C" w:rsidRPr="00E05368" w:rsidRDefault="00BF5A8F" w:rsidP="007B3231">
            <w:pPr>
              <w:jc w:val="both"/>
              <w:rPr>
                <w:rFonts w:ascii="Arial" w:eastAsia="华文细黑" w:hAnsi="Arial" w:cs="Arial"/>
                <w:sz w:val="18"/>
                <w:szCs w:val="18"/>
              </w:rPr>
            </w:pPr>
            <w:r>
              <w:rPr>
                <w:rFonts w:ascii="Arial" w:eastAsia="华文细黑" w:hAnsi="Arial" w:cs="Arial" w:hint="eastAsia"/>
                <w:sz w:val="18"/>
                <w:szCs w:val="18"/>
              </w:rPr>
              <w:t>——</w:t>
            </w:r>
            <w:r w:rsidR="0053025C" w:rsidRPr="00166C98">
              <w:rPr>
                <w:rFonts w:ascii="Arial" w:eastAsia="华文细黑" w:hAnsi="Arial" w:cs="Arial"/>
                <w:sz w:val="18"/>
                <w:szCs w:val="18"/>
              </w:rPr>
              <w:t xml:space="preserve"> </w:t>
            </w:r>
          </w:p>
        </w:tc>
        <w:tc>
          <w:tcPr>
            <w:tcW w:w="833" w:type="pct"/>
            <w:shd w:val="clear" w:color="auto" w:fill="auto"/>
            <w:noWrap/>
            <w:vAlign w:val="center"/>
          </w:tcPr>
          <w:p w14:paraId="001B6003" w14:textId="13EB3BA3" w:rsidR="0053025C" w:rsidRPr="00E05368" w:rsidRDefault="00BF5A8F" w:rsidP="00BF5A8F">
            <w:pPr>
              <w:jc w:val="both"/>
              <w:rPr>
                <w:rFonts w:ascii="Arial" w:eastAsia="华文细黑" w:hAnsi="Arial" w:cs="Arial"/>
                <w:sz w:val="18"/>
                <w:szCs w:val="18"/>
              </w:rPr>
            </w:pPr>
            <w:r w:rsidRPr="00BF5A8F">
              <w:rPr>
                <w:rFonts w:ascii="Arial" w:eastAsia="华文细黑" w:hAnsi="Arial" w:cs="Arial"/>
                <w:sz w:val="18"/>
                <w:szCs w:val="18"/>
              </w:rPr>
              <w:t>30207</w:t>
            </w:r>
          </w:p>
        </w:tc>
        <w:tc>
          <w:tcPr>
            <w:tcW w:w="833" w:type="pct"/>
            <w:shd w:val="clear" w:color="auto" w:fill="auto"/>
            <w:noWrap/>
            <w:vAlign w:val="center"/>
          </w:tcPr>
          <w:p w14:paraId="353F1627" w14:textId="77370F83" w:rsidR="0053025C" w:rsidRPr="00E05368" w:rsidRDefault="00BF5A8F" w:rsidP="007B3231">
            <w:pPr>
              <w:jc w:val="both"/>
              <w:rPr>
                <w:rFonts w:ascii="Arial" w:eastAsia="华文细黑" w:hAnsi="Arial" w:cs="Arial"/>
                <w:sz w:val="18"/>
                <w:szCs w:val="18"/>
              </w:rPr>
            </w:pPr>
            <w:r>
              <w:rPr>
                <w:rFonts w:ascii="Arial" w:eastAsia="华文细黑" w:hAnsi="Arial" w:cs="Arial"/>
                <w:sz w:val="18"/>
                <w:szCs w:val="18"/>
              </w:rPr>
              <w:t>60</w:t>
            </w:r>
            <w:r w:rsidRPr="00BF5A8F">
              <w:rPr>
                <w:rFonts w:ascii="Arial" w:eastAsia="华文细黑" w:hAnsi="Arial" w:cs="Arial"/>
                <w:sz w:val="18"/>
                <w:szCs w:val="18"/>
              </w:rPr>
              <w:t>414</w:t>
            </w:r>
          </w:p>
        </w:tc>
        <w:tc>
          <w:tcPr>
            <w:tcW w:w="833" w:type="pct"/>
            <w:shd w:val="clear" w:color="auto" w:fill="auto"/>
            <w:noWrap/>
            <w:vAlign w:val="center"/>
          </w:tcPr>
          <w:p w14:paraId="50419F73" w14:textId="4906533A" w:rsidR="0053025C" w:rsidRPr="00E05368" w:rsidRDefault="00BF5A8F" w:rsidP="007B3231">
            <w:pPr>
              <w:jc w:val="both"/>
              <w:rPr>
                <w:rFonts w:ascii="Arial" w:eastAsia="华文细黑" w:hAnsi="Arial" w:cs="Arial"/>
                <w:sz w:val="18"/>
                <w:szCs w:val="18"/>
              </w:rPr>
            </w:pPr>
            <w:r>
              <w:rPr>
                <w:rFonts w:ascii="Arial" w:eastAsia="华文细黑" w:hAnsi="Arial" w:cs="Arial"/>
                <w:sz w:val="18"/>
                <w:szCs w:val="18"/>
              </w:rPr>
              <w:t>60</w:t>
            </w:r>
            <w:r w:rsidRPr="00BF5A8F">
              <w:rPr>
                <w:rFonts w:ascii="Arial" w:eastAsia="华文细黑" w:hAnsi="Arial" w:cs="Arial"/>
                <w:sz w:val="18"/>
                <w:szCs w:val="18"/>
              </w:rPr>
              <w:t>414</w:t>
            </w:r>
          </w:p>
        </w:tc>
      </w:tr>
      <w:tr w:rsidR="0053025C" w:rsidRPr="00E05368" w14:paraId="4CB09297" w14:textId="77777777" w:rsidTr="007B3231">
        <w:trPr>
          <w:trHeight w:val="283"/>
        </w:trPr>
        <w:tc>
          <w:tcPr>
            <w:tcW w:w="834" w:type="pct"/>
            <w:vMerge w:val="restart"/>
            <w:vAlign w:val="center"/>
          </w:tcPr>
          <w:p w14:paraId="0335B5C8" w14:textId="77777777" w:rsidR="0053025C" w:rsidRPr="00E05368" w:rsidRDefault="0053025C" w:rsidP="007B3231">
            <w:pPr>
              <w:rPr>
                <w:rFonts w:ascii="华文细黑" w:eastAsia="华文细黑" w:hAnsi="华文细黑"/>
                <w:sz w:val="18"/>
                <w:szCs w:val="18"/>
              </w:rPr>
            </w:pPr>
            <w:r w:rsidRPr="00E05368">
              <w:rPr>
                <w:rFonts w:ascii="Arial" w:eastAsia="华文细黑" w:hAnsi="Arial" w:hint="eastAsia"/>
                <w:sz w:val="18"/>
                <w:szCs w:val="18"/>
              </w:rPr>
              <w:t>202</w:t>
            </w:r>
            <w:r>
              <w:rPr>
                <w:rFonts w:ascii="Arial" w:eastAsia="华文细黑" w:hAnsi="Arial" w:hint="eastAsia"/>
                <w:sz w:val="18"/>
                <w:szCs w:val="18"/>
              </w:rPr>
              <w:t>3</w:t>
            </w:r>
            <w:r w:rsidRPr="00E05368">
              <w:rPr>
                <w:rFonts w:ascii="华文细黑" w:eastAsia="华文细黑" w:hAnsi="华文细黑" w:hint="eastAsia"/>
                <w:sz w:val="18"/>
                <w:szCs w:val="18"/>
              </w:rPr>
              <w:t>年</w:t>
            </w:r>
          </w:p>
        </w:tc>
        <w:tc>
          <w:tcPr>
            <w:tcW w:w="834" w:type="pct"/>
            <w:vAlign w:val="center"/>
          </w:tcPr>
          <w:p w14:paraId="3E8B69D6" w14:textId="77777777" w:rsidR="0053025C" w:rsidRPr="00E05368" w:rsidRDefault="0053025C" w:rsidP="007B3231">
            <w:pPr>
              <w:jc w:val="both"/>
              <w:rPr>
                <w:rFonts w:ascii="Arial" w:eastAsia="华文细黑" w:hAnsi="Arial" w:cs="Arial"/>
                <w:sz w:val="18"/>
                <w:szCs w:val="18"/>
              </w:rPr>
            </w:pPr>
            <w:r w:rsidRPr="00E05368">
              <w:rPr>
                <w:rFonts w:ascii="Arial" w:eastAsia="华文细黑" w:hAnsi="Arial" w:cs="Arial"/>
                <w:sz w:val="18"/>
                <w:szCs w:val="18"/>
              </w:rPr>
              <w:t>季度</w:t>
            </w:r>
          </w:p>
        </w:tc>
        <w:tc>
          <w:tcPr>
            <w:tcW w:w="833" w:type="pct"/>
            <w:vAlign w:val="center"/>
          </w:tcPr>
          <w:p w14:paraId="05681437" w14:textId="77777777" w:rsidR="0053025C" w:rsidRPr="00E05368" w:rsidRDefault="0053025C" w:rsidP="007B3231">
            <w:pPr>
              <w:jc w:val="both"/>
              <w:rPr>
                <w:rFonts w:ascii="Arial" w:eastAsia="华文细黑" w:hAnsi="Arial" w:cs="Arial"/>
                <w:sz w:val="18"/>
                <w:szCs w:val="18"/>
              </w:rPr>
            </w:pPr>
            <w:r w:rsidRPr="00E05368">
              <w:rPr>
                <w:rFonts w:ascii="Arial" w:eastAsia="华文细黑" w:hAnsi="Arial" w:cs="Arial"/>
                <w:sz w:val="18"/>
                <w:szCs w:val="18"/>
              </w:rPr>
              <w:t>Q1</w:t>
            </w:r>
          </w:p>
        </w:tc>
        <w:tc>
          <w:tcPr>
            <w:tcW w:w="833" w:type="pct"/>
            <w:shd w:val="clear" w:color="auto" w:fill="auto"/>
            <w:noWrap/>
            <w:vAlign w:val="center"/>
          </w:tcPr>
          <w:p w14:paraId="04DC4891" w14:textId="77777777" w:rsidR="0053025C" w:rsidRPr="00E05368" w:rsidRDefault="0053025C" w:rsidP="007B3231">
            <w:pPr>
              <w:jc w:val="both"/>
              <w:rPr>
                <w:rFonts w:ascii="Arial" w:eastAsia="华文细黑" w:hAnsi="Arial" w:cs="Arial"/>
                <w:sz w:val="18"/>
                <w:szCs w:val="18"/>
              </w:rPr>
            </w:pPr>
            <w:r w:rsidRPr="00E05368">
              <w:rPr>
                <w:rFonts w:ascii="Arial" w:eastAsia="华文细黑" w:hAnsi="Arial" w:cs="Arial"/>
                <w:sz w:val="18"/>
                <w:szCs w:val="18"/>
              </w:rPr>
              <w:t>Q2</w:t>
            </w:r>
          </w:p>
        </w:tc>
        <w:tc>
          <w:tcPr>
            <w:tcW w:w="833" w:type="pct"/>
            <w:shd w:val="clear" w:color="auto" w:fill="auto"/>
            <w:noWrap/>
            <w:vAlign w:val="center"/>
          </w:tcPr>
          <w:p w14:paraId="11D89A33" w14:textId="77777777" w:rsidR="0053025C" w:rsidRPr="00E05368" w:rsidRDefault="0053025C" w:rsidP="007B3231">
            <w:pPr>
              <w:jc w:val="both"/>
              <w:rPr>
                <w:rFonts w:ascii="Arial" w:eastAsia="华文细黑" w:hAnsi="Arial" w:cs="Arial"/>
                <w:sz w:val="18"/>
                <w:szCs w:val="18"/>
              </w:rPr>
            </w:pPr>
            <w:r w:rsidRPr="00E05368">
              <w:rPr>
                <w:rFonts w:ascii="Arial" w:eastAsia="华文细黑" w:hAnsi="Arial" w:cs="Arial"/>
                <w:sz w:val="18"/>
                <w:szCs w:val="18"/>
              </w:rPr>
              <w:t>Q3</w:t>
            </w:r>
          </w:p>
        </w:tc>
        <w:tc>
          <w:tcPr>
            <w:tcW w:w="833" w:type="pct"/>
            <w:shd w:val="clear" w:color="auto" w:fill="auto"/>
            <w:noWrap/>
            <w:vAlign w:val="center"/>
          </w:tcPr>
          <w:p w14:paraId="3DA060DB" w14:textId="77777777" w:rsidR="0053025C" w:rsidRPr="00E05368" w:rsidRDefault="0053025C" w:rsidP="007B3231">
            <w:pPr>
              <w:jc w:val="both"/>
              <w:rPr>
                <w:rFonts w:ascii="Arial" w:eastAsia="华文细黑" w:hAnsi="Arial" w:cs="Arial"/>
                <w:sz w:val="18"/>
                <w:szCs w:val="18"/>
              </w:rPr>
            </w:pPr>
            <w:r w:rsidRPr="00E05368">
              <w:rPr>
                <w:rFonts w:ascii="Arial" w:eastAsia="华文细黑" w:hAnsi="Arial" w:cs="Arial"/>
                <w:sz w:val="18"/>
                <w:szCs w:val="18"/>
              </w:rPr>
              <w:t>Q4</w:t>
            </w:r>
          </w:p>
        </w:tc>
      </w:tr>
      <w:tr w:rsidR="0053025C" w:rsidRPr="00E05368" w14:paraId="4E50EF64" w14:textId="77777777" w:rsidTr="007B3231">
        <w:trPr>
          <w:trHeight w:val="283"/>
        </w:trPr>
        <w:tc>
          <w:tcPr>
            <w:tcW w:w="834" w:type="pct"/>
            <w:vMerge/>
            <w:vAlign w:val="center"/>
          </w:tcPr>
          <w:p w14:paraId="2CF48D50" w14:textId="77777777" w:rsidR="0053025C" w:rsidRPr="00E05368" w:rsidRDefault="0053025C" w:rsidP="007B3231">
            <w:pPr>
              <w:rPr>
                <w:rFonts w:ascii="华文细黑" w:eastAsia="华文细黑" w:hAnsi="华文细黑"/>
                <w:sz w:val="18"/>
                <w:szCs w:val="18"/>
              </w:rPr>
            </w:pPr>
          </w:p>
        </w:tc>
        <w:tc>
          <w:tcPr>
            <w:tcW w:w="834" w:type="pct"/>
            <w:vAlign w:val="center"/>
          </w:tcPr>
          <w:p w14:paraId="3CDE0377" w14:textId="77777777" w:rsidR="0053025C" w:rsidRPr="00E05368" w:rsidRDefault="0053025C" w:rsidP="007B3231">
            <w:pPr>
              <w:jc w:val="both"/>
              <w:rPr>
                <w:rFonts w:ascii="Arial" w:eastAsia="华文细黑" w:hAnsi="Arial" w:cs="Arial"/>
                <w:sz w:val="18"/>
                <w:szCs w:val="18"/>
              </w:rPr>
            </w:pPr>
            <w:r>
              <w:rPr>
                <w:rFonts w:ascii="Arial" w:eastAsia="华文细黑" w:hAnsi="Arial" w:cs="Arial"/>
                <w:sz w:val="18"/>
                <w:szCs w:val="18"/>
              </w:rPr>
              <w:t>销售</w:t>
            </w:r>
            <w:r>
              <w:rPr>
                <w:rFonts w:ascii="Arial" w:eastAsia="华文细黑" w:hAnsi="Arial" w:cs="Arial" w:hint="eastAsia"/>
                <w:sz w:val="18"/>
                <w:szCs w:val="18"/>
              </w:rPr>
              <w:t>回款</w:t>
            </w:r>
            <w:r w:rsidRPr="00E05368">
              <w:rPr>
                <w:rFonts w:ascii="Arial" w:eastAsia="华文细黑" w:hAnsi="Arial" w:cs="Arial"/>
                <w:sz w:val="18"/>
                <w:szCs w:val="18"/>
              </w:rPr>
              <w:t>（万元）</w:t>
            </w:r>
          </w:p>
        </w:tc>
        <w:tc>
          <w:tcPr>
            <w:tcW w:w="833" w:type="pct"/>
            <w:vAlign w:val="center"/>
          </w:tcPr>
          <w:p w14:paraId="2C37B80F" w14:textId="0E76A1EE" w:rsidR="0053025C" w:rsidRPr="00E05368" w:rsidRDefault="00BF5A8F" w:rsidP="007B3231">
            <w:pPr>
              <w:jc w:val="both"/>
              <w:rPr>
                <w:rFonts w:ascii="Arial" w:eastAsia="华文细黑" w:hAnsi="Arial" w:cs="Arial"/>
                <w:sz w:val="18"/>
                <w:szCs w:val="18"/>
              </w:rPr>
            </w:pPr>
            <w:r>
              <w:rPr>
                <w:rFonts w:ascii="Arial" w:eastAsia="华文细黑" w:hAnsi="Arial" w:cs="Arial"/>
                <w:sz w:val="18"/>
                <w:szCs w:val="18"/>
              </w:rPr>
              <w:t>65</w:t>
            </w:r>
            <w:r w:rsidRPr="00BF5A8F">
              <w:rPr>
                <w:rFonts w:ascii="Arial" w:eastAsia="华文细黑" w:hAnsi="Arial" w:cs="Arial"/>
                <w:sz w:val="18"/>
                <w:szCs w:val="18"/>
              </w:rPr>
              <w:t>571</w:t>
            </w:r>
          </w:p>
        </w:tc>
        <w:tc>
          <w:tcPr>
            <w:tcW w:w="833" w:type="pct"/>
            <w:shd w:val="clear" w:color="auto" w:fill="auto"/>
            <w:noWrap/>
            <w:vAlign w:val="center"/>
          </w:tcPr>
          <w:p w14:paraId="709CEA64" w14:textId="2068DD67" w:rsidR="0053025C" w:rsidRPr="00E05368" w:rsidRDefault="00BF5A8F" w:rsidP="007B3231">
            <w:pPr>
              <w:jc w:val="both"/>
              <w:rPr>
                <w:rFonts w:ascii="Arial" w:eastAsia="华文细黑" w:hAnsi="Arial" w:cs="Arial"/>
                <w:sz w:val="18"/>
                <w:szCs w:val="18"/>
              </w:rPr>
            </w:pPr>
            <w:r>
              <w:rPr>
                <w:rFonts w:ascii="Arial" w:eastAsia="华文细黑" w:hAnsi="Arial" w:cs="Arial"/>
                <w:sz w:val="18"/>
                <w:szCs w:val="18"/>
              </w:rPr>
              <w:t>70</w:t>
            </w:r>
            <w:r w:rsidRPr="00BF5A8F">
              <w:rPr>
                <w:rFonts w:ascii="Arial" w:eastAsia="华文细黑" w:hAnsi="Arial" w:cs="Arial"/>
                <w:sz w:val="18"/>
                <w:szCs w:val="18"/>
              </w:rPr>
              <w:t>727</w:t>
            </w:r>
          </w:p>
        </w:tc>
        <w:tc>
          <w:tcPr>
            <w:tcW w:w="833" w:type="pct"/>
            <w:shd w:val="clear" w:color="auto" w:fill="auto"/>
            <w:noWrap/>
            <w:vAlign w:val="center"/>
          </w:tcPr>
          <w:p w14:paraId="4ED90174" w14:textId="7250FB3F" w:rsidR="0053025C" w:rsidRPr="00E05368" w:rsidRDefault="00BF5A8F" w:rsidP="007B3231">
            <w:pPr>
              <w:jc w:val="both"/>
              <w:rPr>
                <w:rFonts w:ascii="Arial" w:eastAsia="华文细黑" w:hAnsi="Arial" w:cs="Arial"/>
                <w:sz w:val="18"/>
                <w:szCs w:val="18"/>
              </w:rPr>
            </w:pPr>
            <w:r>
              <w:rPr>
                <w:rFonts w:ascii="Arial" w:eastAsia="华文细黑" w:hAnsi="Arial" w:cs="Arial"/>
                <w:sz w:val="18"/>
                <w:szCs w:val="18"/>
              </w:rPr>
              <w:t>73</w:t>
            </w:r>
            <w:r w:rsidRPr="00BF5A8F">
              <w:rPr>
                <w:rFonts w:ascii="Arial" w:eastAsia="华文细黑" w:hAnsi="Arial" w:cs="Arial"/>
                <w:sz w:val="18"/>
                <w:szCs w:val="18"/>
              </w:rPr>
              <w:t>562</w:t>
            </w:r>
          </w:p>
        </w:tc>
        <w:tc>
          <w:tcPr>
            <w:tcW w:w="833" w:type="pct"/>
            <w:shd w:val="clear" w:color="auto" w:fill="auto"/>
            <w:noWrap/>
            <w:vAlign w:val="center"/>
          </w:tcPr>
          <w:p w14:paraId="76199408" w14:textId="13068C02" w:rsidR="0053025C" w:rsidRPr="00E05368" w:rsidRDefault="00BF5A8F" w:rsidP="007B3231">
            <w:pPr>
              <w:jc w:val="both"/>
              <w:rPr>
                <w:rFonts w:ascii="Arial" w:eastAsia="华文细黑" w:hAnsi="Arial" w:cs="Arial"/>
                <w:sz w:val="18"/>
                <w:szCs w:val="18"/>
              </w:rPr>
            </w:pPr>
            <w:r>
              <w:rPr>
                <w:rFonts w:ascii="Arial" w:eastAsia="华文细黑" w:hAnsi="Arial" w:cs="Arial"/>
                <w:sz w:val="18"/>
                <w:szCs w:val="18"/>
              </w:rPr>
              <w:t>63</w:t>
            </w:r>
            <w:r w:rsidRPr="00BF5A8F">
              <w:rPr>
                <w:rFonts w:ascii="Arial" w:eastAsia="华文细黑" w:hAnsi="Arial" w:cs="Arial"/>
                <w:sz w:val="18"/>
                <w:szCs w:val="18"/>
              </w:rPr>
              <w:t>493</w:t>
            </w:r>
          </w:p>
        </w:tc>
      </w:tr>
      <w:tr w:rsidR="0053025C" w:rsidRPr="00E05368" w14:paraId="198783A0" w14:textId="77777777" w:rsidTr="007B3231">
        <w:trPr>
          <w:trHeight w:val="283"/>
        </w:trPr>
        <w:tc>
          <w:tcPr>
            <w:tcW w:w="834" w:type="pct"/>
            <w:vMerge w:val="restart"/>
            <w:vAlign w:val="center"/>
          </w:tcPr>
          <w:p w14:paraId="11FCAC2B" w14:textId="77777777" w:rsidR="0053025C" w:rsidRPr="00E05368" w:rsidRDefault="0053025C" w:rsidP="007B3231">
            <w:pPr>
              <w:rPr>
                <w:rFonts w:ascii="华文细黑" w:eastAsia="华文细黑" w:hAnsi="华文细黑"/>
                <w:sz w:val="18"/>
                <w:szCs w:val="18"/>
              </w:rPr>
            </w:pPr>
            <w:r w:rsidRPr="00E05368">
              <w:rPr>
                <w:rFonts w:ascii="Arial" w:eastAsia="华文细黑" w:hAnsi="Arial" w:hint="eastAsia"/>
                <w:sz w:val="18"/>
                <w:szCs w:val="18"/>
              </w:rPr>
              <w:t>2</w:t>
            </w:r>
            <w:r w:rsidRPr="00E05368">
              <w:rPr>
                <w:rFonts w:ascii="Arial" w:eastAsia="华文细黑" w:hAnsi="Arial"/>
                <w:sz w:val="18"/>
                <w:szCs w:val="18"/>
              </w:rPr>
              <w:t>02</w:t>
            </w:r>
            <w:r>
              <w:rPr>
                <w:rFonts w:ascii="Arial" w:eastAsia="华文细黑" w:hAnsi="Arial" w:hint="eastAsia"/>
                <w:sz w:val="18"/>
                <w:szCs w:val="18"/>
              </w:rPr>
              <w:t>4</w:t>
            </w:r>
            <w:r w:rsidRPr="00E05368">
              <w:rPr>
                <w:rFonts w:ascii="华文细黑" w:eastAsia="华文细黑" w:hAnsi="华文细黑"/>
                <w:sz w:val="18"/>
                <w:szCs w:val="18"/>
              </w:rPr>
              <w:t>年</w:t>
            </w:r>
          </w:p>
        </w:tc>
        <w:tc>
          <w:tcPr>
            <w:tcW w:w="834" w:type="pct"/>
            <w:vAlign w:val="center"/>
          </w:tcPr>
          <w:p w14:paraId="2565A31F" w14:textId="77777777" w:rsidR="0053025C" w:rsidRPr="00E05368" w:rsidRDefault="0053025C" w:rsidP="007B3231">
            <w:pPr>
              <w:jc w:val="both"/>
              <w:rPr>
                <w:rFonts w:ascii="Arial" w:eastAsia="华文细黑" w:hAnsi="Arial" w:cs="Arial"/>
                <w:sz w:val="18"/>
                <w:szCs w:val="18"/>
              </w:rPr>
            </w:pPr>
            <w:r w:rsidRPr="00E05368">
              <w:rPr>
                <w:rFonts w:ascii="Arial" w:eastAsia="华文细黑" w:hAnsi="Arial" w:cs="Arial"/>
                <w:sz w:val="18"/>
                <w:szCs w:val="18"/>
              </w:rPr>
              <w:t>季度</w:t>
            </w:r>
          </w:p>
        </w:tc>
        <w:tc>
          <w:tcPr>
            <w:tcW w:w="833" w:type="pct"/>
            <w:vAlign w:val="center"/>
          </w:tcPr>
          <w:p w14:paraId="472FAA43" w14:textId="77777777" w:rsidR="0053025C" w:rsidRPr="00E05368" w:rsidRDefault="0053025C" w:rsidP="007B3231">
            <w:pPr>
              <w:jc w:val="both"/>
              <w:rPr>
                <w:rFonts w:ascii="Arial" w:eastAsia="华文细黑" w:hAnsi="Arial" w:cs="Arial"/>
                <w:sz w:val="18"/>
                <w:szCs w:val="18"/>
              </w:rPr>
            </w:pPr>
            <w:r w:rsidRPr="00E05368">
              <w:rPr>
                <w:rFonts w:ascii="Arial" w:eastAsia="华文细黑" w:hAnsi="Arial" w:cs="Arial"/>
                <w:sz w:val="18"/>
                <w:szCs w:val="18"/>
              </w:rPr>
              <w:t>Q1</w:t>
            </w:r>
          </w:p>
        </w:tc>
        <w:tc>
          <w:tcPr>
            <w:tcW w:w="833" w:type="pct"/>
            <w:shd w:val="clear" w:color="auto" w:fill="auto"/>
            <w:noWrap/>
            <w:vAlign w:val="center"/>
          </w:tcPr>
          <w:p w14:paraId="0AA3A98E" w14:textId="77777777" w:rsidR="0053025C" w:rsidRPr="00E05368" w:rsidRDefault="0053025C" w:rsidP="007B3231">
            <w:pPr>
              <w:jc w:val="both"/>
              <w:rPr>
                <w:rFonts w:ascii="Arial" w:eastAsia="华文细黑" w:hAnsi="Arial" w:cs="Arial"/>
                <w:sz w:val="18"/>
                <w:szCs w:val="18"/>
              </w:rPr>
            </w:pPr>
            <w:r w:rsidRPr="00E05368">
              <w:rPr>
                <w:rFonts w:ascii="Arial" w:eastAsia="华文细黑" w:hAnsi="Arial" w:cs="Arial"/>
                <w:sz w:val="18"/>
                <w:szCs w:val="18"/>
              </w:rPr>
              <w:t>Q2</w:t>
            </w:r>
          </w:p>
        </w:tc>
        <w:tc>
          <w:tcPr>
            <w:tcW w:w="833" w:type="pct"/>
            <w:shd w:val="clear" w:color="auto" w:fill="auto"/>
            <w:noWrap/>
            <w:vAlign w:val="center"/>
          </w:tcPr>
          <w:p w14:paraId="43AC5E90" w14:textId="77777777" w:rsidR="0053025C" w:rsidRPr="00E05368" w:rsidRDefault="0053025C" w:rsidP="007B3231">
            <w:pPr>
              <w:jc w:val="both"/>
              <w:rPr>
                <w:rFonts w:ascii="Arial" w:eastAsia="华文细黑" w:hAnsi="Arial" w:cs="Arial"/>
                <w:sz w:val="18"/>
                <w:szCs w:val="18"/>
              </w:rPr>
            </w:pPr>
            <w:r w:rsidRPr="00E05368">
              <w:rPr>
                <w:rFonts w:ascii="Arial" w:eastAsia="华文细黑" w:hAnsi="Arial" w:cs="Arial"/>
                <w:sz w:val="18"/>
                <w:szCs w:val="18"/>
              </w:rPr>
              <w:t>Q3</w:t>
            </w:r>
          </w:p>
        </w:tc>
        <w:tc>
          <w:tcPr>
            <w:tcW w:w="833" w:type="pct"/>
            <w:shd w:val="clear" w:color="auto" w:fill="auto"/>
            <w:noWrap/>
            <w:vAlign w:val="center"/>
          </w:tcPr>
          <w:p w14:paraId="46B49A12" w14:textId="77777777" w:rsidR="0053025C" w:rsidRPr="00E05368" w:rsidRDefault="0053025C" w:rsidP="007B3231">
            <w:pPr>
              <w:jc w:val="both"/>
              <w:rPr>
                <w:rFonts w:ascii="Arial" w:eastAsia="华文细黑" w:hAnsi="Arial" w:cs="Arial"/>
                <w:sz w:val="18"/>
                <w:szCs w:val="18"/>
              </w:rPr>
            </w:pPr>
            <w:r w:rsidRPr="00E05368">
              <w:rPr>
                <w:rFonts w:ascii="Arial" w:eastAsia="华文细黑" w:hAnsi="Arial" w:cs="Arial"/>
                <w:sz w:val="18"/>
                <w:szCs w:val="18"/>
              </w:rPr>
              <w:t>Q4</w:t>
            </w:r>
          </w:p>
        </w:tc>
      </w:tr>
      <w:tr w:rsidR="0053025C" w:rsidRPr="00E05368" w14:paraId="08779A5A" w14:textId="77777777" w:rsidTr="007B3231">
        <w:trPr>
          <w:trHeight w:val="283"/>
        </w:trPr>
        <w:tc>
          <w:tcPr>
            <w:tcW w:w="834" w:type="pct"/>
            <w:vMerge/>
            <w:vAlign w:val="center"/>
          </w:tcPr>
          <w:p w14:paraId="7ED157DB" w14:textId="77777777" w:rsidR="0053025C" w:rsidRPr="00E05368" w:rsidRDefault="0053025C" w:rsidP="007B3231">
            <w:pPr>
              <w:rPr>
                <w:rFonts w:ascii="华文细黑" w:eastAsia="华文细黑" w:hAnsi="华文细黑"/>
                <w:sz w:val="18"/>
                <w:szCs w:val="18"/>
              </w:rPr>
            </w:pPr>
          </w:p>
        </w:tc>
        <w:tc>
          <w:tcPr>
            <w:tcW w:w="834" w:type="pct"/>
            <w:vAlign w:val="center"/>
          </w:tcPr>
          <w:p w14:paraId="40245861" w14:textId="77777777" w:rsidR="0053025C" w:rsidRPr="00E05368" w:rsidRDefault="0053025C" w:rsidP="007B3231">
            <w:pPr>
              <w:jc w:val="both"/>
              <w:rPr>
                <w:rFonts w:ascii="Arial" w:eastAsia="华文细黑" w:hAnsi="Arial" w:cs="Arial"/>
                <w:sz w:val="18"/>
                <w:szCs w:val="18"/>
              </w:rPr>
            </w:pPr>
            <w:r>
              <w:rPr>
                <w:rFonts w:ascii="Arial" w:eastAsia="华文细黑" w:hAnsi="Arial" w:cs="Arial"/>
                <w:sz w:val="18"/>
                <w:szCs w:val="18"/>
              </w:rPr>
              <w:t>销售</w:t>
            </w:r>
            <w:r>
              <w:rPr>
                <w:rFonts w:ascii="Arial" w:eastAsia="华文细黑" w:hAnsi="Arial" w:cs="Arial" w:hint="eastAsia"/>
                <w:sz w:val="18"/>
                <w:szCs w:val="18"/>
              </w:rPr>
              <w:t>回款</w:t>
            </w:r>
            <w:r w:rsidRPr="00E05368">
              <w:rPr>
                <w:rFonts w:ascii="Arial" w:eastAsia="华文细黑" w:hAnsi="Arial" w:cs="Arial"/>
                <w:sz w:val="18"/>
                <w:szCs w:val="18"/>
              </w:rPr>
              <w:t>（万元）</w:t>
            </w:r>
          </w:p>
        </w:tc>
        <w:tc>
          <w:tcPr>
            <w:tcW w:w="833" w:type="pct"/>
            <w:vAlign w:val="center"/>
          </w:tcPr>
          <w:p w14:paraId="4D5F69C3" w14:textId="2EEE3AF9" w:rsidR="0053025C" w:rsidRPr="00E05368" w:rsidRDefault="00BF5A8F" w:rsidP="007B3231">
            <w:pPr>
              <w:jc w:val="both"/>
              <w:rPr>
                <w:rFonts w:ascii="Arial" w:eastAsia="华文细黑" w:hAnsi="Arial" w:cs="Arial"/>
                <w:sz w:val="18"/>
                <w:szCs w:val="18"/>
              </w:rPr>
            </w:pPr>
            <w:r>
              <w:rPr>
                <w:rFonts w:ascii="Arial" w:eastAsia="华文细黑" w:hAnsi="Arial" w:cs="Arial"/>
                <w:sz w:val="18"/>
                <w:szCs w:val="18"/>
              </w:rPr>
              <w:t>28</w:t>
            </w:r>
            <w:r w:rsidRPr="00BF5A8F">
              <w:rPr>
                <w:rFonts w:ascii="Arial" w:eastAsia="华文细黑" w:hAnsi="Arial" w:cs="Arial"/>
                <w:sz w:val="18"/>
                <w:szCs w:val="18"/>
              </w:rPr>
              <w:t>129</w:t>
            </w:r>
          </w:p>
        </w:tc>
        <w:tc>
          <w:tcPr>
            <w:tcW w:w="833" w:type="pct"/>
            <w:shd w:val="clear" w:color="auto" w:fill="auto"/>
            <w:noWrap/>
            <w:vAlign w:val="center"/>
          </w:tcPr>
          <w:p w14:paraId="60694697" w14:textId="53BDD34A" w:rsidR="0053025C" w:rsidRPr="00E05368" w:rsidRDefault="00BF5A8F" w:rsidP="007B3231">
            <w:pPr>
              <w:jc w:val="both"/>
              <w:rPr>
                <w:rFonts w:ascii="Arial" w:eastAsia="华文细黑" w:hAnsi="Arial" w:cs="Arial"/>
                <w:sz w:val="18"/>
                <w:szCs w:val="18"/>
              </w:rPr>
            </w:pPr>
            <w:r>
              <w:rPr>
                <w:rFonts w:ascii="Arial" w:eastAsia="华文细黑" w:hAnsi="Arial" w:cs="Arial"/>
                <w:sz w:val="18"/>
                <w:szCs w:val="18"/>
              </w:rPr>
              <w:t>2</w:t>
            </w:r>
            <w:r w:rsidRPr="00BF5A8F">
              <w:rPr>
                <w:rFonts w:ascii="Arial" w:eastAsia="华文细黑" w:hAnsi="Arial" w:cs="Arial"/>
                <w:sz w:val="18"/>
                <w:szCs w:val="18"/>
              </w:rPr>
              <w:t>835</w:t>
            </w:r>
          </w:p>
        </w:tc>
        <w:tc>
          <w:tcPr>
            <w:tcW w:w="833" w:type="pct"/>
            <w:shd w:val="clear" w:color="auto" w:fill="auto"/>
            <w:noWrap/>
            <w:vAlign w:val="center"/>
          </w:tcPr>
          <w:p w14:paraId="41C5E626" w14:textId="1B4D2CC9" w:rsidR="0053025C" w:rsidRPr="00E05368" w:rsidRDefault="00BF5A8F" w:rsidP="00BF5A8F">
            <w:pPr>
              <w:jc w:val="both"/>
              <w:rPr>
                <w:rFonts w:ascii="Arial" w:eastAsia="华文细黑" w:hAnsi="Arial" w:cs="Arial"/>
                <w:sz w:val="18"/>
                <w:szCs w:val="18"/>
              </w:rPr>
            </w:pPr>
            <w:r w:rsidRPr="00BF5A8F">
              <w:rPr>
                <w:rFonts w:ascii="Arial" w:eastAsia="华文细黑" w:hAnsi="Arial" w:cs="Arial"/>
                <w:sz w:val="18"/>
                <w:szCs w:val="18"/>
              </w:rPr>
              <w:t>2835</w:t>
            </w:r>
          </w:p>
        </w:tc>
        <w:tc>
          <w:tcPr>
            <w:tcW w:w="833" w:type="pct"/>
            <w:shd w:val="clear" w:color="auto" w:fill="auto"/>
            <w:noWrap/>
            <w:vAlign w:val="center"/>
          </w:tcPr>
          <w:p w14:paraId="601B0ABB" w14:textId="6428FFD3" w:rsidR="0053025C" w:rsidRPr="00E05368" w:rsidRDefault="00BF5A8F" w:rsidP="007B3231">
            <w:pPr>
              <w:jc w:val="both"/>
              <w:rPr>
                <w:rFonts w:ascii="Arial" w:eastAsia="华文细黑" w:hAnsi="Arial" w:cs="Arial"/>
                <w:sz w:val="18"/>
                <w:szCs w:val="18"/>
              </w:rPr>
            </w:pPr>
            <w:r>
              <w:rPr>
                <w:rFonts w:ascii="Arial" w:eastAsia="华文细黑" w:hAnsi="Arial" w:cs="Arial" w:hint="eastAsia"/>
                <w:sz w:val="18"/>
                <w:szCs w:val="18"/>
              </w:rPr>
              <w:t>——</w:t>
            </w:r>
          </w:p>
        </w:tc>
      </w:tr>
    </w:tbl>
    <w:p w14:paraId="583A13AC" w14:textId="77777777" w:rsidR="0053025C" w:rsidRPr="00E05368" w:rsidRDefault="0053025C" w:rsidP="0053025C">
      <w:pPr>
        <w:pStyle w:val="2"/>
        <w:spacing w:before="100" w:beforeAutospacing="1" w:after="0" w:line="480" w:lineRule="auto"/>
        <w:ind w:firstLineChars="98" w:firstLine="207"/>
        <w:rPr>
          <w:rFonts w:eastAsia="宋体" w:cs="Arial"/>
          <w:sz w:val="21"/>
          <w:szCs w:val="21"/>
        </w:rPr>
      </w:pPr>
      <w:bookmarkStart w:id="196" w:name="_Toc12072694"/>
      <w:bookmarkStart w:id="197" w:name="_Toc109012116"/>
      <w:bookmarkStart w:id="198" w:name="_Toc146106161"/>
      <w:bookmarkStart w:id="199" w:name="_Toc331425237"/>
      <w:bookmarkStart w:id="200" w:name="_Toc74662923"/>
      <w:r w:rsidRPr="00E05368">
        <w:rPr>
          <w:rFonts w:eastAsia="宋体" w:cs="Arial"/>
          <w:sz w:val="21"/>
          <w:szCs w:val="21"/>
        </w:rPr>
        <w:lastRenderedPageBreak/>
        <w:t>（二）开发成本</w:t>
      </w:r>
      <w:bookmarkEnd w:id="196"/>
      <w:bookmarkEnd w:id="197"/>
      <w:bookmarkEnd w:id="198"/>
      <w:bookmarkEnd w:id="199"/>
      <w:bookmarkEnd w:id="200"/>
    </w:p>
    <w:p w14:paraId="47119C01" w14:textId="10EEEC1C" w:rsidR="0053025C" w:rsidRPr="00E05368" w:rsidRDefault="0053025C" w:rsidP="0053025C">
      <w:pPr>
        <w:spacing w:line="480" w:lineRule="auto"/>
        <w:ind w:firstLineChars="200" w:firstLine="420"/>
        <w:rPr>
          <w:rFonts w:ascii="Arial" w:hAnsi="Arial" w:cs="Arial"/>
          <w:color w:val="000000"/>
          <w:szCs w:val="21"/>
        </w:rPr>
      </w:pPr>
      <w:r w:rsidRPr="00046870">
        <w:rPr>
          <w:rFonts w:ascii="Arial" w:hAnsi="Arial" w:cs="Arial"/>
          <w:color w:val="000000"/>
          <w:sz w:val="21"/>
          <w:szCs w:val="21"/>
        </w:rPr>
        <w:t>按收入与成本配比的原则，即把为取得本期收入而发生的开发成本与本期实现的收入在同一时期内确认和计量。经测算，项目开发总成本</w:t>
      </w:r>
      <w:r w:rsidR="00FD76E5" w:rsidRPr="00FD76E5">
        <w:rPr>
          <w:rFonts w:ascii="Arial" w:hAnsi="Arial" w:cs="Arial"/>
          <w:color w:val="000000"/>
          <w:sz w:val="21"/>
          <w:szCs w:val="21"/>
        </w:rPr>
        <w:t>381328</w:t>
      </w:r>
      <w:r w:rsidRPr="00046870">
        <w:rPr>
          <w:rFonts w:ascii="Arial" w:hAnsi="Arial" w:cs="Arial"/>
          <w:color w:val="000000"/>
          <w:sz w:val="21"/>
          <w:szCs w:val="21"/>
        </w:rPr>
        <w:t>万元，</w:t>
      </w:r>
      <w:r w:rsidRPr="00046870">
        <w:rPr>
          <w:rFonts w:ascii="Arial" w:hAnsi="Arial" w:cs="Arial"/>
          <w:color w:val="000000"/>
          <w:sz w:val="21"/>
          <w:szCs w:val="21"/>
        </w:rPr>
        <w:t>20</w:t>
      </w:r>
      <w:r w:rsidRPr="00046870">
        <w:rPr>
          <w:rFonts w:ascii="Arial" w:hAnsi="Arial" w:cs="Arial" w:hint="eastAsia"/>
          <w:color w:val="000000"/>
          <w:sz w:val="21"/>
          <w:szCs w:val="21"/>
        </w:rPr>
        <w:t>2</w:t>
      </w:r>
      <w:r w:rsidR="00FD76E5">
        <w:rPr>
          <w:rFonts w:ascii="Arial" w:hAnsi="Arial" w:cs="Arial" w:hint="eastAsia"/>
          <w:color w:val="000000"/>
          <w:sz w:val="21"/>
          <w:szCs w:val="21"/>
        </w:rPr>
        <w:t>2</w:t>
      </w:r>
      <w:r w:rsidRPr="00046870">
        <w:rPr>
          <w:rFonts w:ascii="Arial" w:hAnsi="Arial" w:cs="Arial"/>
          <w:color w:val="000000"/>
          <w:sz w:val="21"/>
          <w:szCs w:val="21"/>
        </w:rPr>
        <w:t>-202</w:t>
      </w:r>
      <w:r w:rsidR="00FD76E5">
        <w:rPr>
          <w:rFonts w:ascii="Arial" w:hAnsi="Arial" w:cs="Arial" w:hint="eastAsia"/>
          <w:color w:val="000000"/>
          <w:sz w:val="21"/>
          <w:szCs w:val="21"/>
        </w:rPr>
        <w:t>4</w:t>
      </w:r>
      <w:r w:rsidRPr="00046870">
        <w:rPr>
          <w:rFonts w:ascii="Arial" w:hAnsi="Arial" w:cs="Arial"/>
          <w:color w:val="000000"/>
          <w:sz w:val="21"/>
          <w:szCs w:val="21"/>
        </w:rPr>
        <w:t>年将分别结转开发成本</w:t>
      </w:r>
      <w:r w:rsidRPr="00046870">
        <w:rPr>
          <w:rFonts w:ascii="Arial" w:hAnsi="Arial" w:cs="Arial" w:hint="eastAsia"/>
          <w:color w:val="000000"/>
          <w:sz w:val="21"/>
          <w:szCs w:val="21"/>
        </w:rPr>
        <w:t>详见下表</w:t>
      </w:r>
      <w:r w:rsidRPr="00046870">
        <w:rPr>
          <w:rFonts w:ascii="Arial" w:hAnsi="Arial" w:cs="Arial"/>
          <w:color w:val="000000"/>
          <w:sz w:val="21"/>
          <w:szCs w:val="21"/>
        </w:rPr>
        <w:t>（</w:t>
      </w:r>
      <w:r w:rsidRPr="00046870">
        <w:rPr>
          <w:rFonts w:ascii="Arial" w:hAnsi="Arial" w:cs="Arial" w:hint="eastAsia"/>
          <w:color w:val="000000"/>
          <w:sz w:val="21"/>
          <w:szCs w:val="21"/>
        </w:rPr>
        <w:t>具体</w:t>
      </w:r>
      <w:r w:rsidRPr="00046870">
        <w:rPr>
          <w:rFonts w:ascii="Arial" w:hAnsi="Arial" w:cs="Arial"/>
          <w:color w:val="000000"/>
          <w:sz w:val="21"/>
          <w:szCs w:val="21"/>
        </w:rPr>
        <w:t>见主表</w:t>
      </w:r>
      <w:r w:rsidRPr="00046870">
        <w:rPr>
          <w:rFonts w:ascii="Arial" w:hAnsi="Arial" w:cs="Arial"/>
          <w:color w:val="000000"/>
          <w:sz w:val="21"/>
          <w:szCs w:val="21"/>
        </w:rPr>
        <w:t>3</w:t>
      </w:r>
      <w:r w:rsidRPr="00046870">
        <w:rPr>
          <w:rFonts w:ascii="Arial" w:hAnsi="Arial" w:cs="Arial"/>
          <w:color w:val="000000"/>
          <w:sz w:val="21"/>
          <w:szCs w:val="21"/>
        </w:rPr>
        <w:t>）</w:t>
      </w:r>
      <w:r w:rsidRPr="00E05368">
        <w:rPr>
          <w:rFonts w:ascii="Arial" w:hAnsi="Arial" w:cs="Arial"/>
          <w:color w:val="000000"/>
          <w:szCs w:val="21"/>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top w:w="57" w:type="dxa"/>
          <w:left w:w="57" w:type="dxa"/>
          <w:bottom w:w="57" w:type="dxa"/>
          <w:right w:w="57" w:type="dxa"/>
        </w:tblCellMar>
        <w:tblLook w:val="04A0" w:firstRow="1" w:lastRow="0" w:firstColumn="1" w:lastColumn="0" w:noHBand="0" w:noVBand="1"/>
      </w:tblPr>
      <w:tblGrid>
        <w:gridCol w:w="1570"/>
        <w:gridCol w:w="1570"/>
        <w:gridCol w:w="1568"/>
        <w:gridCol w:w="1568"/>
        <w:gridCol w:w="1568"/>
        <w:gridCol w:w="1568"/>
      </w:tblGrid>
      <w:tr w:rsidR="0053025C" w:rsidRPr="00747E16" w14:paraId="47BE97D0" w14:textId="77777777" w:rsidTr="007B3231">
        <w:trPr>
          <w:trHeight w:val="283"/>
        </w:trPr>
        <w:tc>
          <w:tcPr>
            <w:tcW w:w="834" w:type="pct"/>
            <w:vMerge w:val="restart"/>
            <w:shd w:val="clear" w:color="auto" w:fill="FFFFFF" w:themeFill="background1"/>
            <w:vAlign w:val="center"/>
          </w:tcPr>
          <w:p w14:paraId="1172DF8E" w14:textId="77777777" w:rsidR="0053025C" w:rsidRPr="00125C20" w:rsidRDefault="0053025C" w:rsidP="007B3231">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2022</w:t>
            </w:r>
            <w:r w:rsidRPr="00125C20">
              <w:rPr>
                <w:rFonts w:ascii="Arial" w:eastAsia="华文细黑" w:hAnsi="Arial" w:hint="eastAsia"/>
                <w:sz w:val="18"/>
                <w:szCs w:val="18"/>
              </w:rPr>
              <w:t>年</w:t>
            </w:r>
          </w:p>
        </w:tc>
        <w:tc>
          <w:tcPr>
            <w:tcW w:w="834" w:type="pct"/>
            <w:shd w:val="clear" w:color="auto" w:fill="FFFFFF" w:themeFill="background1"/>
            <w:vAlign w:val="center"/>
          </w:tcPr>
          <w:p w14:paraId="7EF70FBE" w14:textId="77777777" w:rsidR="0053025C" w:rsidRPr="00125C20" w:rsidRDefault="0053025C" w:rsidP="007B3231">
            <w:pPr>
              <w:spacing w:before="100" w:beforeAutospacing="1" w:after="100" w:afterAutospacing="1"/>
              <w:jc w:val="both"/>
              <w:rPr>
                <w:rFonts w:ascii="Arial" w:eastAsia="华文细黑" w:hAnsi="Arial"/>
                <w:sz w:val="18"/>
                <w:szCs w:val="18"/>
              </w:rPr>
            </w:pPr>
            <w:r w:rsidRPr="00125C20">
              <w:rPr>
                <w:rFonts w:ascii="Arial" w:eastAsia="华文细黑" w:hAnsi="Arial" w:hint="eastAsia"/>
                <w:sz w:val="18"/>
                <w:szCs w:val="18"/>
              </w:rPr>
              <w:t>季度</w:t>
            </w:r>
          </w:p>
        </w:tc>
        <w:tc>
          <w:tcPr>
            <w:tcW w:w="833" w:type="pct"/>
            <w:shd w:val="clear" w:color="auto" w:fill="FFFFFF" w:themeFill="background1"/>
            <w:vAlign w:val="center"/>
          </w:tcPr>
          <w:p w14:paraId="6723DEF6" w14:textId="77777777" w:rsidR="0053025C" w:rsidRPr="00125C20" w:rsidRDefault="0053025C" w:rsidP="007B3231">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Q1</w:t>
            </w:r>
          </w:p>
        </w:tc>
        <w:tc>
          <w:tcPr>
            <w:tcW w:w="833" w:type="pct"/>
            <w:shd w:val="clear" w:color="auto" w:fill="FFFFFF" w:themeFill="background1"/>
            <w:noWrap/>
            <w:vAlign w:val="center"/>
          </w:tcPr>
          <w:p w14:paraId="662D75A1" w14:textId="77777777" w:rsidR="0053025C" w:rsidRPr="00125C20" w:rsidRDefault="0053025C" w:rsidP="007B3231">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Q2</w:t>
            </w:r>
          </w:p>
        </w:tc>
        <w:tc>
          <w:tcPr>
            <w:tcW w:w="833" w:type="pct"/>
            <w:shd w:val="clear" w:color="auto" w:fill="FFFFFF" w:themeFill="background1"/>
            <w:noWrap/>
            <w:vAlign w:val="center"/>
          </w:tcPr>
          <w:p w14:paraId="7906A1C3" w14:textId="77777777" w:rsidR="0053025C" w:rsidRPr="00125C20" w:rsidRDefault="0053025C" w:rsidP="007B3231">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Q3</w:t>
            </w:r>
          </w:p>
        </w:tc>
        <w:tc>
          <w:tcPr>
            <w:tcW w:w="833" w:type="pct"/>
            <w:shd w:val="clear" w:color="auto" w:fill="FFFFFF" w:themeFill="background1"/>
            <w:noWrap/>
            <w:vAlign w:val="center"/>
          </w:tcPr>
          <w:p w14:paraId="0E78B4D9" w14:textId="77777777" w:rsidR="0053025C" w:rsidRPr="00125C20" w:rsidRDefault="0053025C" w:rsidP="007B3231">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Q4</w:t>
            </w:r>
          </w:p>
        </w:tc>
      </w:tr>
      <w:tr w:rsidR="0053025C" w:rsidRPr="00747E16" w14:paraId="4C4690BD" w14:textId="77777777" w:rsidTr="007B3231">
        <w:trPr>
          <w:trHeight w:val="283"/>
        </w:trPr>
        <w:tc>
          <w:tcPr>
            <w:tcW w:w="834" w:type="pct"/>
            <w:vMerge/>
            <w:shd w:val="clear" w:color="auto" w:fill="FFFFFF" w:themeFill="background1"/>
            <w:vAlign w:val="center"/>
          </w:tcPr>
          <w:p w14:paraId="75D2DC21" w14:textId="77777777" w:rsidR="0053025C" w:rsidRPr="00125C20" w:rsidRDefault="0053025C" w:rsidP="007B3231">
            <w:pPr>
              <w:jc w:val="both"/>
              <w:rPr>
                <w:rFonts w:ascii="Arial" w:eastAsia="华文细黑" w:hAnsi="Arial"/>
                <w:sz w:val="18"/>
                <w:szCs w:val="18"/>
              </w:rPr>
            </w:pPr>
          </w:p>
        </w:tc>
        <w:tc>
          <w:tcPr>
            <w:tcW w:w="834" w:type="pct"/>
            <w:shd w:val="clear" w:color="auto" w:fill="FFFFFF" w:themeFill="background1"/>
            <w:vAlign w:val="center"/>
          </w:tcPr>
          <w:p w14:paraId="3553C876" w14:textId="77777777" w:rsidR="0053025C" w:rsidRPr="00125C20" w:rsidRDefault="0053025C" w:rsidP="007B3231">
            <w:pPr>
              <w:spacing w:before="100" w:beforeAutospacing="1" w:after="100" w:afterAutospacing="1"/>
              <w:jc w:val="both"/>
              <w:rPr>
                <w:rFonts w:ascii="Arial" w:eastAsia="华文细黑" w:hAnsi="Arial"/>
                <w:sz w:val="18"/>
                <w:szCs w:val="18"/>
              </w:rPr>
            </w:pPr>
            <w:r w:rsidRPr="00125C20">
              <w:rPr>
                <w:rFonts w:ascii="Arial" w:eastAsia="华文细黑" w:hAnsi="Arial" w:hint="eastAsia"/>
                <w:sz w:val="18"/>
                <w:szCs w:val="18"/>
              </w:rPr>
              <w:t>开发成本（万元）</w:t>
            </w:r>
          </w:p>
        </w:tc>
        <w:tc>
          <w:tcPr>
            <w:tcW w:w="833" w:type="pct"/>
            <w:shd w:val="clear" w:color="auto" w:fill="FFFFFF" w:themeFill="background1"/>
            <w:vAlign w:val="center"/>
          </w:tcPr>
          <w:p w14:paraId="6A3E350D" w14:textId="5B6E9B7B" w:rsidR="0053025C" w:rsidRPr="00125C20" w:rsidRDefault="00FD76E5" w:rsidP="007B3231">
            <w:pPr>
              <w:spacing w:before="100" w:beforeAutospacing="1" w:after="100" w:afterAutospacing="1"/>
              <w:jc w:val="both"/>
              <w:rPr>
                <w:rFonts w:ascii="Arial" w:eastAsia="华文细黑" w:hAnsi="Arial"/>
                <w:sz w:val="18"/>
                <w:szCs w:val="18"/>
              </w:rPr>
            </w:pPr>
            <w:r>
              <w:rPr>
                <w:rFonts w:ascii="Arial" w:eastAsia="华文细黑" w:hAnsi="Arial" w:hint="eastAsia"/>
                <w:sz w:val="18"/>
                <w:szCs w:val="18"/>
              </w:rPr>
              <w:t>——</w:t>
            </w:r>
          </w:p>
        </w:tc>
        <w:tc>
          <w:tcPr>
            <w:tcW w:w="833" w:type="pct"/>
            <w:shd w:val="clear" w:color="auto" w:fill="FFFFFF" w:themeFill="background1"/>
            <w:noWrap/>
            <w:vAlign w:val="center"/>
          </w:tcPr>
          <w:p w14:paraId="6F8619EC" w14:textId="59209C5C" w:rsidR="0053025C" w:rsidRPr="00125C20" w:rsidRDefault="00FD76E5" w:rsidP="007B3231">
            <w:pPr>
              <w:spacing w:before="100" w:beforeAutospacing="1" w:after="100" w:afterAutospacing="1"/>
              <w:jc w:val="both"/>
              <w:rPr>
                <w:rFonts w:ascii="Arial" w:eastAsia="华文细黑" w:hAnsi="Arial"/>
                <w:sz w:val="18"/>
                <w:szCs w:val="18"/>
              </w:rPr>
            </w:pPr>
            <w:r w:rsidRPr="00FD76E5">
              <w:rPr>
                <w:rFonts w:ascii="Arial" w:eastAsia="华文细黑" w:hAnsi="Arial"/>
                <w:sz w:val="18"/>
                <w:szCs w:val="18"/>
              </w:rPr>
              <w:t>25140</w:t>
            </w:r>
          </w:p>
        </w:tc>
        <w:tc>
          <w:tcPr>
            <w:tcW w:w="833" w:type="pct"/>
            <w:shd w:val="clear" w:color="auto" w:fill="FFFFFF" w:themeFill="background1"/>
            <w:noWrap/>
            <w:vAlign w:val="center"/>
          </w:tcPr>
          <w:p w14:paraId="069D69A6" w14:textId="1678F21A" w:rsidR="0053025C" w:rsidRPr="00125C20" w:rsidRDefault="00FD76E5" w:rsidP="007B3231">
            <w:pPr>
              <w:spacing w:before="100" w:beforeAutospacing="1" w:after="100" w:afterAutospacing="1"/>
              <w:jc w:val="both"/>
              <w:rPr>
                <w:rFonts w:ascii="Arial" w:eastAsia="华文细黑" w:hAnsi="Arial"/>
                <w:sz w:val="18"/>
                <w:szCs w:val="18"/>
              </w:rPr>
            </w:pPr>
            <w:r w:rsidRPr="00FD76E5">
              <w:rPr>
                <w:rFonts w:ascii="Arial" w:eastAsia="华文细黑" w:hAnsi="Arial"/>
                <w:sz w:val="18"/>
                <w:szCs w:val="18"/>
              </w:rPr>
              <w:t>50280</w:t>
            </w:r>
          </w:p>
        </w:tc>
        <w:tc>
          <w:tcPr>
            <w:tcW w:w="833" w:type="pct"/>
            <w:shd w:val="clear" w:color="auto" w:fill="FFFFFF" w:themeFill="background1"/>
            <w:noWrap/>
            <w:vAlign w:val="center"/>
          </w:tcPr>
          <w:p w14:paraId="5FEAC2F8" w14:textId="2EA8DFAF" w:rsidR="0053025C" w:rsidRPr="00125C20" w:rsidRDefault="00FD76E5" w:rsidP="007B3231">
            <w:pPr>
              <w:spacing w:before="100" w:beforeAutospacing="1" w:after="100" w:afterAutospacing="1"/>
              <w:jc w:val="both"/>
              <w:rPr>
                <w:rFonts w:ascii="Arial" w:eastAsia="华文细黑" w:hAnsi="Arial"/>
                <w:sz w:val="18"/>
                <w:szCs w:val="18"/>
              </w:rPr>
            </w:pPr>
            <w:r w:rsidRPr="00FD76E5">
              <w:rPr>
                <w:rFonts w:ascii="Arial" w:eastAsia="华文细黑" w:hAnsi="Arial"/>
                <w:sz w:val="18"/>
                <w:szCs w:val="18"/>
              </w:rPr>
              <w:t>50280</w:t>
            </w:r>
          </w:p>
        </w:tc>
      </w:tr>
      <w:tr w:rsidR="0053025C" w:rsidRPr="00747E16" w14:paraId="3373CEB7" w14:textId="77777777" w:rsidTr="007B3231">
        <w:trPr>
          <w:trHeight w:val="283"/>
        </w:trPr>
        <w:tc>
          <w:tcPr>
            <w:tcW w:w="834" w:type="pct"/>
            <w:vMerge w:val="restart"/>
            <w:shd w:val="clear" w:color="auto" w:fill="FFFFFF" w:themeFill="background1"/>
            <w:vAlign w:val="center"/>
          </w:tcPr>
          <w:p w14:paraId="4A2B8B09" w14:textId="77777777" w:rsidR="0053025C" w:rsidRPr="00125C20" w:rsidRDefault="0053025C" w:rsidP="007B3231">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2023</w:t>
            </w:r>
            <w:r w:rsidRPr="00125C20">
              <w:rPr>
                <w:rFonts w:ascii="Arial" w:eastAsia="华文细黑" w:hAnsi="Arial" w:hint="eastAsia"/>
                <w:sz w:val="18"/>
                <w:szCs w:val="18"/>
              </w:rPr>
              <w:t>年</w:t>
            </w:r>
          </w:p>
        </w:tc>
        <w:tc>
          <w:tcPr>
            <w:tcW w:w="834" w:type="pct"/>
            <w:shd w:val="clear" w:color="auto" w:fill="FFFFFF" w:themeFill="background1"/>
            <w:vAlign w:val="center"/>
          </w:tcPr>
          <w:p w14:paraId="0381B316" w14:textId="77777777" w:rsidR="0053025C" w:rsidRPr="00125C20" w:rsidRDefault="0053025C" w:rsidP="007B3231">
            <w:pPr>
              <w:spacing w:before="100" w:beforeAutospacing="1" w:after="100" w:afterAutospacing="1"/>
              <w:jc w:val="both"/>
              <w:rPr>
                <w:rFonts w:ascii="Arial" w:eastAsia="华文细黑" w:hAnsi="Arial"/>
                <w:sz w:val="18"/>
                <w:szCs w:val="18"/>
              </w:rPr>
            </w:pPr>
            <w:r w:rsidRPr="00125C20">
              <w:rPr>
                <w:rFonts w:ascii="Arial" w:eastAsia="华文细黑" w:hAnsi="Arial" w:hint="eastAsia"/>
                <w:sz w:val="18"/>
                <w:szCs w:val="18"/>
              </w:rPr>
              <w:t>季度</w:t>
            </w:r>
          </w:p>
        </w:tc>
        <w:tc>
          <w:tcPr>
            <w:tcW w:w="833" w:type="pct"/>
            <w:shd w:val="clear" w:color="auto" w:fill="FFFFFF" w:themeFill="background1"/>
            <w:vAlign w:val="center"/>
          </w:tcPr>
          <w:p w14:paraId="21C00C2A" w14:textId="77777777" w:rsidR="0053025C" w:rsidRPr="00125C20" w:rsidRDefault="0053025C" w:rsidP="007B3231">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Q1</w:t>
            </w:r>
          </w:p>
        </w:tc>
        <w:tc>
          <w:tcPr>
            <w:tcW w:w="833" w:type="pct"/>
            <w:shd w:val="clear" w:color="auto" w:fill="FFFFFF" w:themeFill="background1"/>
            <w:noWrap/>
            <w:vAlign w:val="center"/>
          </w:tcPr>
          <w:p w14:paraId="5F9F716F" w14:textId="77777777" w:rsidR="0053025C" w:rsidRPr="00125C20" w:rsidRDefault="0053025C" w:rsidP="007B3231">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Q2</w:t>
            </w:r>
          </w:p>
        </w:tc>
        <w:tc>
          <w:tcPr>
            <w:tcW w:w="833" w:type="pct"/>
            <w:shd w:val="clear" w:color="auto" w:fill="FFFFFF" w:themeFill="background1"/>
            <w:noWrap/>
            <w:vAlign w:val="center"/>
          </w:tcPr>
          <w:p w14:paraId="02CFA8C9" w14:textId="77777777" w:rsidR="0053025C" w:rsidRPr="00125C20" w:rsidRDefault="0053025C" w:rsidP="007B3231">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Q3</w:t>
            </w:r>
          </w:p>
        </w:tc>
        <w:tc>
          <w:tcPr>
            <w:tcW w:w="833" w:type="pct"/>
            <w:shd w:val="clear" w:color="auto" w:fill="FFFFFF" w:themeFill="background1"/>
            <w:noWrap/>
            <w:vAlign w:val="center"/>
          </w:tcPr>
          <w:p w14:paraId="738AEB5A" w14:textId="77777777" w:rsidR="0053025C" w:rsidRPr="00125C20" w:rsidRDefault="0053025C" w:rsidP="007B3231">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Q4</w:t>
            </w:r>
          </w:p>
        </w:tc>
      </w:tr>
      <w:tr w:rsidR="00FD76E5" w:rsidRPr="00125C20" w14:paraId="1B68BE3A" w14:textId="77777777" w:rsidTr="00FD76E5">
        <w:trPr>
          <w:trHeight w:val="283"/>
        </w:trPr>
        <w:tc>
          <w:tcPr>
            <w:tcW w:w="834" w:type="pct"/>
            <w:vMerge/>
            <w:shd w:val="clear" w:color="auto" w:fill="FFFFFF" w:themeFill="background1"/>
            <w:vAlign w:val="center"/>
          </w:tcPr>
          <w:p w14:paraId="7CCE05FD" w14:textId="77777777" w:rsidR="00FD76E5" w:rsidRPr="00125C20" w:rsidRDefault="00FD76E5" w:rsidP="007B3231">
            <w:pPr>
              <w:jc w:val="both"/>
              <w:rPr>
                <w:rFonts w:ascii="Arial" w:eastAsia="华文细黑" w:hAnsi="Arial"/>
                <w:sz w:val="18"/>
                <w:szCs w:val="18"/>
              </w:rPr>
            </w:pPr>
          </w:p>
        </w:tc>
        <w:tc>
          <w:tcPr>
            <w:tcW w:w="834" w:type="pct"/>
            <w:shd w:val="clear" w:color="auto" w:fill="FFFFFF" w:themeFill="background1"/>
            <w:vAlign w:val="center"/>
          </w:tcPr>
          <w:p w14:paraId="06C8AE01" w14:textId="77777777" w:rsidR="00FD76E5" w:rsidRPr="00125C20" w:rsidRDefault="00FD76E5" w:rsidP="007B3231">
            <w:pPr>
              <w:spacing w:before="100" w:beforeAutospacing="1" w:after="100" w:afterAutospacing="1"/>
              <w:jc w:val="both"/>
              <w:rPr>
                <w:rFonts w:ascii="Arial" w:eastAsia="华文细黑" w:hAnsi="Arial"/>
                <w:sz w:val="18"/>
                <w:szCs w:val="18"/>
              </w:rPr>
            </w:pPr>
            <w:r w:rsidRPr="00125C20">
              <w:rPr>
                <w:rFonts w:ascii="Arial" w:eastAsia="华文细黑" w:hAnsi="Arial" w:hint="eastAsia"/>
                <w:sz w:val="18"/>
                <w:szCs w:val="18"/>
              </w:rPr>
              <w:t>开发成本（万元）</w:t>
            </w:r>
          </w:p>
        </w:tc>
        <w:tc>
          <w:tcPr>
            <w:tcW w:w="833" w:type="pct"/>
            <w:shd w:val="clear" w:color="auto" w:fill="FFFFFF" w:themeFill="background1"/>
            <w:vAlign w:val="center"/>
          </w:tcPr>
          <w:p w14:paraId="5BC80FD6" w14:textId="049FD00F" w:rsidR="00FD76E5" w:rsidRPr="00125C20" w:rsidRDefault="00FD76E5" w:rsidP="00FD76E5">
            <w:pPr>
              <w:spacing w:before="100" w:beforeAutospacing="1" w:after="100" w:afterAutospacing="1"/>
              <w:jc w:val="both"/>
              <w:rPr>
                <w:rFonts w:ascii="Arial" w:eastAsia="华文细黑" w:hAnsi="Arial"/>
                <w:sz w:val="18"/>
                <w:szCs w:val="18"/>
              </w:rPr>
            </w:pPr>
            <w:r w:rsidRPr="00FD76E5">
              <w:rPr>
                <w:rFonts w:ascii="Arial" w:eastAsia="华文细黑" w:hAnsi="Arial"/>
                <w:sz w:val="18"/>
                <w:szCs w:val="18"/>
              </w:rPr>
              <w:t xml:space="preserve">54572 </w:t>
            </w:r>
          </w:p>
        </w:tc>
        <w:tc>
          <w:tcPr>
            <w:tcW w:w="833" w:type="pct"/>
            <w:shd w:val="clear" w:color="auto" w:fill="FFFFFF" w:themeFill="background1"/>
            <w:noWrap/>
            <w:vAlign w:val="center"/>
          </w:tcPr>
          <w:p w14:paraId="25147CC7" w14:textId="75AE6E9A" w:rsidR="00FD76E5" w:rsidRPr="00125C20" w:rsidRDefault="00FD76E5" w:rsidP="00FD76E5">
            <w:pPr>
              <w:spacing w:before="100" w:beforeAutospacing="1" w:after="100" w:afterAutospacing="1"/>
              <w:jc w:val="both"/>
              <w:rPr>
                <w:rFonts w:ascii="Arial" w:eastAsia="华文细黑" w:hAnsi="Arial"/>
                <w:sz w:val="18"/>
                <w:szCs w:val="18"/>
              </w:rPr>
            </w:pPr>
            <w:r w:rsidRPr="00FD76E5">
              <w:rPr>
                <w:rFonts w:ascii="Arial" w:eastAsia="华文细黑" w:hAnsi="Arial"/>
                <w:sz w:val="18"/>
                <w:szCs w:val="18"/>
              </w:rPr>
              <w:t xml:space="preserve">58863 </w:t>
            </w:r>
          </w:p>
        </w:tc>
        <w:tc>
          <w:tcPr>
            <w:tcW w:w="833" w:type="pct"/>
            <w:shd w:val="clear" w:color="auto" w:fill="FFFFFF" w:themeFill="background1"/>
            <w:noWrap/>
            <w:vAlign w:val="center"/>
          </w:tcPr>
          <w:p w14:paraId="1E03B7AF" w14:textId="116FDAFC" w:rsidR="00FD76E5" w:rsidRPr="00125C20" w:rsidRDefault="00FD76E5" w:rsidP="00FD76E5">
            <w:pPr>
              <w:spacing w:before="100" w:beforeAutospacing="1" w:after="100" w:afterAutospacing="1"/>
              <w:jc w:val="both"/>
              <w:rPr>
                <w:rFonts w:ascii="Arial" w:eastAsia="华文细黑" w:hAnsi="Arial"/>
                <w:sz w:val="18"/>
                <w:szCs w:val="18"/>
              </w:rPr>
            </w:pPr>
            <w:r w:rsidRPr="00FD76E5">
              <w:rPr>
                <w:rFonts w:ascii="Arial" w:eastAsia="华文细黑" w:hAnsi="Arial"/>
                <w:sz w:val="18"/>
                <w:szCs w:val="18"/>
              </w:rPr>
              <w:t xml:space="preserve">61222 </w:t>
            </w:r>
          </w:p>
        </w:tc>
        <w:tc>
          <w:tcPr>
            <w:tcW w:w="833" w:type="pct"/>
            <w:shd w:val="clear" w:color="auto" w:fill="FFFFFF" w:themeFill="background1"/>
            <w:noWrap/>
            <w:vAlign w:val="center"/>
          </w:tcPr>
          <w:p w14:paraId="0FAA82CD" w14:textId="670D231D" w:rsidR="00FD76E5" w:rsidRPr="00125C20" w:rsidRDefault="00FD76E5" w:rsidP="00FD76E5">
            <w:pPr>
              <w:spacing w:before="100" w:beforeAutospacing="1" w:after="100" w:afterAutospacing="1"/>
              <w:jc w:val="both"/>
              <w:rPr>
                <w:rFonts w:ascii="Arial" w:eastAsia="华文细黑" w:hAnsi="Arial"/>
                <w:sz w:val="18"/>
                <w:szCs w:val="18"/>
              </w:rPr>
            </w:pPr>
            <w:r w:rsidRPr="00FD76E5">
              <w:rPr>
                <w:rFonts w:ascii="Arial" w:eastAsia="华文细黑" w:hAnsi="Arial"/>
                <w:sz w:val="18"/>
                <w:szCs w:val="18"/>
              </w:rPr>
              <w:t xml:space="preserve">52842 </w:t>
            </w:r>
          </w:p>
        </w:tc>
      </w:tr>
      <w:tr w:rsidR="0053025C" w:rsidRPr="00125C20" w14:paraId="375BEC30" w14:textId="77777777" w:rsidTr="007B3231">
        <w:trPr>
          <w:trHeight w:val="283"/>
        </w:trPr>
        <w:tc>
          <w:tcPr>
            <w:tcW w:w="834" w:type="pct"/>
            <w:vMerge w:val="restart"/>
            <w:shd w:val="clear" w:color="auto" w:fill="FFFFFF" w:themeFill="background1"/>
            <w:vAlign w:val="center"/>
          </w:tcPr>
          <w:p w14:paraId="1C56830D" w14:textId="77777777" w:rsidR="0053025C" w:rsidRPr="00125C20" w:rsidRDefault="0053025C" w:rsidP="007B3231">
            <w:pPr>
              <w:jc w:val="both"/>
              <w:rPr>
                <w:rFonts w:ascii="Arial" w:eastAsia="华文细黑" w:hAnsi="Arial"/>
                <w:sz w:val="18"/>
                <w:szCs w:val="18"/>
              </w:rPr>
            </w:pPr>
            <w:r w:rsidRPr="00125C20">
              <w:rPr>
                <w:rFonts w:ascii="Arial" w:eastAsia="华文细黑" w:hAnsi="Arial" w:hint="eastAsia"/>
                <w:sz w:val="18"/>
                <w:szCs w:val="18"/>
              </w:rPr>
              <w:t>2024</w:t>
            </w:r>
            <w:r w:rsidRPr="00125C20">
              <w:rPr>
                <w:rFonts w:ascii="Arial" w:eastAsia="华文细黑" w:hAnsi="Arial" w:hint="eastAsia"/>
                <w:sz w:val="18"/>
                <w:szCs w:val="18"/>
              </w:rPr>
              <w:t>年</w:t>
            </w:r>
          </w:p>
        </w:tc>
        <w:tc>
          <w:tcPr>
            <w:tcW w:w="834" w:type="pct"/>
            <w:shd w:val="clear" w:color="auto" w:fill="FFFFFF" w:themeFill="background1"/>
            <w:vAlign w:val="center"/>
          </w:tcPr>
          <w:p w14:paraId="3DEE443E" w14:textId="77777777" w:rsidR="0053025C" w:rsidRPr="00125C20" w:rsidRDefault="0053025C" w:rsidP="007B3231">
            <w:pPr>
              <w:spacing w:before="100" w:beforeAutospacing="1" w:after="100" w:afterAutospacing="1"/>
              <w:jc w:val="both"/>
              <w:rPr>
                <w:rFonts w:ascii="Arial" w:eastAsia="华文细黑" w:hAnsi="Arial"/>
                <w:sz w:val="18"/>
                <w:szCs w:val="18"/>
              </w:rPr>
            </w:pPr>
            <w:r w:rsidRPr="00125C20">
              <w:rPr>
                <w:rFonts w:ascii="Arial" w:eastAsia="华文细黑" w:hAnsi="Arial" w:hint="eastAsia"/>
                <w:sz w:val="18"/>
                <w:szCs w:val="18"/>
              </w:rPr>
              <w:t>季度</w:t>
            </w:r>
          </w:p>
        </w:tc>
        <w:tc>
          <w:tcPr>
            <w:tcW w:w="833" w:type="pct"/>
            <w:shd w:val="clear" w:color="auto" w:fill="FFFFFF" w:themeFill="background1"/>
            <w:vAlign w:val="center"/>
          </w:tcPr>
          <w:p w14:paraId="78BCD30A" w14:textId="77777777" w:rsidR="0053025C" w:rsidRPr="00125C20" w:rsidRDefault="0053025C" w:rsidP="007B3231">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Q1</w:t>
            </w:r>
          </w:p>
        </w:tc>
        <w:tc>
          <w:tcPr>
            <w:tcW w:w="833" w:type="pct"/>
            <w:shd w:val="clear" w:color="auto" w:fill="FFFFFF" w:themeFill="background1"/>
            <w:noWrap/>
            <w:vAlign w:val="center"/>
          </w:tcPr>
          <w:p w14:paraId="7EF922A3" w14:textId="77777777" w:rsidR="0053025C" w:rsidRPr="00125C20" w:rsidRDefault="0053025C" w:rsidP="007B3231">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Q2</w:t>
            </w:r>
          </w:p>
        </w:tc>
        <w:tc>
          <w:tcPr>
            <w:tcW w:w="833" w:type="pct"/>
            <w:shd w:val="clear" w:color="auto" w:fill="FFFFFF" w:themeFill="background1"/>
            <w:noWrap/>
            <w:vAlign w:val="center"/>
          </w:tcPr>
          <w:p w14:paraId="36B2B8BB" w14:textId="77777777" w:rsidR="0053025C" w:rsidRPr="00125C20" w:rsidRDefault="0053025C" w:rsidP="007B3231">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Q3</w:t>
            </w:r>
          </w:p>
        </w:tc>
        <w:tc>
          <w:tcPr>
            <w:tcW w:w="833" w:type="pct"/>
            <w:shd w:val="clear" w:color="auto" w:fill="FFFFFF" w:themeFill="background1"/>
            <w:noWrap/>
            <w:vAlign w:val="center"/>
          </w:tcPr>
          <w:p w14:paraId="0165BEF8" w14:textId="77777777" w:rsidR="0053025C" w:rsidRPr="00125C20" w:rsidRDefault="0053025C" w:rsidP="007B3231">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Q4</w:t>
            </w:r>
          </w:p>
        </w:tc>
      </w:tr>
      <w:tr w:rsidR="00FD76E5" w:rsidRPr="00747E16" w14:paraId="67DC9139" w14:textId="77777777" w:rsidTr="00FD76E5">
        <w:trPr>
          <w:trHeight w:val="283"/>
        </w:trPr>
        <w:tc>
          <w:tcPr>
            <w:tcW w:w="834" w:type="pct"/>
            <w:vMerge/>
            <w:shd w:val="clear" w:color="auto" w:fill="FFFFFF" w:themeFill="background1"/>
            <w:vAlign w:val="center"/>
          </w:tcPr>
          <w:p w14:paraId="5C80BAD7" w14:textId="77777777" w:rsidR="00FD76E5" w:rsidRPr="00125C20" w:rsidRDefault="00FD76E5" w:rsidP="007B3231">
            <w:pPr>
              <w:jc w:val="both"/>
              <w:rPr>
                <w:rFonts w:ascii="Arial" w:eastAsia="华文细黑" w:hAnsi="Arial"/>
                <w:sz w:val="18"/>
                <w:szCs w:val="18"/>
              </w:rPr>
            </w:pPr>
          </w:p>
        </w:tc>
        <w:tc>
          <w:tcPr>
            <w:tcW w:w="834" w:type="pct"/>
            <w:shd w:val="clear" w:color="auto" w:fill="FFFFFF" w:themeFill="background1"/>
            <w:vAlign w:val="center"/>
          </w:tcPr>
          <w:p w14:paraId="518CA165" w14:textId="77777777" w:rsidR="00FD76E5" w:rsidRPr="00125C20" w:rsidRDefault="00FD76E5" w:rsidP="007B3231">
            <w:pPr>
              <w:spacing w:before="100" w:beforeAutospacing="1" w:after="100" w:afterAutospacing="1"/>
              <w:jc w:val="both"/>
              <w:rPr>
                <w:rFonts w:ascii="Arial" w:eastAsia="华文细黑" w:hAnsi="Arial"/>
                <w:sz w:val="18"/>
                <w:szCs w:val="18"/>
              </w:rPr>
            </w:pPr>
            <w:r w:rsidRPr="00125C20">
              <w:rPr>
                <w:rFonts w:ascii="Arial" w:eastAsia="华文细黑" w:hAnsi="Arial" w:hint="eastAsia"/>
                <w:sz w:val="18"/>
                <w:szCs w:val="18"/>
              </w:rPr>
              <w:t>开发成本（万元）</w:t>
            </w:r>
          </w:p>
        </w:tc>
        <w:tc>
          <w:tcPr>
            <w:tcW w:w="833" w:type="pct"/>
            <w:shd w:val="clear" w:color="auto" w:fill="FFFFFF" w:themeFill="background1"/>
            <w:vAlign w:val="center"/>
          </w:tcPr>
          <w:p w14:paraId="1B1890FC" w14:textId="0C70B89B" w:rsidR="00FD76E5" w:rsidRPr="00125C20" w:rsidRDefault="00FD76E5" w:rsidP="00FD76E5">
            <w:pPr>
              <w:spacing w:before="100" w:beforeAutospacing="1" w:after="100" w:afterAutospacing="1"/>
              <w:jc w:val="both"/>
              <w:rPr>
                <w:rFonts w:ascii="Arial" w:eastAsia="华文细黑" w:hAnsi="Arial"/>
                <w:sz w:val="18"/>
                <w:szCs w:val="18"/>
              </w:rPr>
            </w:pPr>
            <w:r w:rsidRPr="00FD76E5">
              <w:rPr>
                <w:rFonts w:ascii="Arial" w:eastAsia="华文细黑" w:hAnsi="Arial"/>
                <w:sz w:val="18"/>
                <w:szCs w:val="18"/>
              </w:rPr>
              <w:t xml:space="preserve">23411 </w:t>
            </w:r>
          </w:p>
        </w:tc>
        <w:tc>
          <w:tcPr>
            <w:tcW w:w="833" w:type="pct"/>
            <w:shd w:val="clear" w:color="auto" w:fill="FFFFFF" w:themeFill="background1"/>
            <w:noWrap/>
            <w:vAlign w:val="center"/>
          </w:tcPr>
          <w:p w14:paraId="187EDF9A" w14:textId="13C69EC7" w:rsidR="00FD76E5" w:rsidRPr="00125C20" w:rsidRDefault="00FD76E5" w:rsidP="00FD76E5">
            <w:pPr>
              <w:spacing w:before="100" w:beforeAutospacing="1" w:after="100" w:afterAutospacing="1"/>
              <w:jc w:val="both"/>
              <w:rPr>
                <w:rFonts w:ascii="Arial" w:eastAsia="华文细黑" w:hAnsi="Arial"/>
                <w:sz w:val="18"/>
                <w:szCs w:val="18"/>
              </w:rPr>
            </w:pPr>
            <w:r w:rsidRPr="00FD76E5">
              <w:rPr>
                <w:rFonts w:ascii="Arial" w:eastAsia="华文细黑" w:hAnsi="Arial"/>
                <w:sz w:val="18"/>
                <w:szCs w:val="18"/>
              </w:rPr>
              <w:t xml:space="preserve">2359 </w:t>
            </w:r>
          </w:p>
        </w:tc>
        <w:tc>
          <w:tcPr>
            <w:tcW w:w="833" w:type="pct"/>
            <w:shd w:val="clear" w:color="auto" w:fill="FFFFFF" w:themeFill="background1"/>
            <w:noWrap/>
            <w:vAlign w:val="center"/>
          </w:tcPr>
          <w:p w14:paraId="5654D86E" w14:textId="54DBB746" w:rsidR="00FD76E5" w:rsidRPr="00125C20" w:rsidRDefault="00FD76E5" w:rsidP="00FD76E5">
            <w:pPr>
              <w:spacing w:before="100" w:beforeAutospacing="1" w:after="100" w:afterAutospacing="1"/>
              <w:jc w:val="both"/>
              <w:rPr>
                <w:rFonts w:ascii="Arial" w:eastAsia="华文细黑" w:hAnsi="Arial"/>
                <w:sz w:val="18"/>
                <w:szCs w:val="18"/>
              </w:rPr>
            </w:pPr>
            <w:r w:rsidRPr="00FD76E5">
              <w:rPr>
                <w:rFonts w:ascii="Arial" w:eastAsia="华文细黑" w:hAnsi="Arial"/>
                <w:sz w:val="18"/>
                <w:szCs w:val="18"/>
              </w:rPr>
              <w:t xml:space="preserve">2359 </w:t>
            </w:r>
          </w:p>
        </w:tc>
        <w:tc>
          <w:tcPr>
            <w:tcW w:w="833" w:type="pct"/>
            <w:shd w:val="clear" w:color="auto" w:fill="FFFFFF" w:themeFill="background1"/>
            <w:noWrap/>
            <w:vAlign w:val="center"/>
          </w:tcPr>
          <w:p w14:paraId="0FFFEABA" w14:textId="64E0AA21" w:rsidR="00FD76E5" w:rsidRPr="00125C20" w:rsidRDefault="00FD76E5" w:rsidP="007B3231">
            <w:pPr>
              <w:spacing w:before="100" w:beforeAutospacing="1" w:after="100" w:afterAutospacing="1"/>
              <w:jc w:val="both"/>
              <w:rPr>
                <w:rFonts w:ascii="Arial" w:eastAsia="华文细黑" w:hAnsi="Arial"/>
                <w:sz w:val="18"/>
                <w:szCs w:val="18"/>
              </w:rPr>
            </w:pPr>
            <w:r>
              <w:rPr>
                <w:rFonts w:ascii="Arial" w:eastAsia="华文细黑" w:hAnsi="Arial" w:hint="eastAsia"/>
                <w:sz w:val="18"/>
                <w:szCs w:val="18"/>
              </w:rPr>
              <w:t>——</w:t>
            </w:r>
          </w:p>
        </w:tc>
      </w:tr>
    </w:tbl>
    <w:p w14:paraId="53168E6B" w14:textId="77777777" w:rsidR="0053025C" w:rsidRPr="00E05368" w:rsidRDefault="0053025C" w:rsidP="0053025C">
      <w:pPr>
        <w:spacing w:line="480" w:lineRule="auto"/>
        <w:ind w:firstLineChars="200" w:firstLine="200"/>
        <w:rPr>
          <w:rFonts w:ascii="Arial" w:hAnsi="Arial" w:cs="Arial"/>
          <w:color w:val="000000"/>
          <w:sz w:val="10"/>
          <w:szCs w:val="10"/>
        </w:rPr>
      </w:pPr>
    </w:p>
    <w:p w14:paraId="2362854D" w14:textId="77777777" w:rsidR="0053025C" w:rsidRPr="00E05368" w:rsidRDefault="0053025C" w:rsidP="0053025C">
      <w:pPr>
        <w:pStyle w:val="2"/>
        <w:spacing w:before="0" w:after="0" w:line="480" w:lineRule="auto"/>
        <w:ind w:firstLineChars="98" w:firstLine="207"/>
        <w:rPr>
          <w:rFonts w:eastAsia="宋体" w:cs="Arial"/>
          <w:sz w:val="21"/>
          <w:szCs w:val="21"/>
        </w:rPr>
      </w:pPr>
      <w:bookmarkStart w:id="201" w:name="_Toc12072695"/>
      <w:bookmarkStart w:id="202" w:name="_Toc109012117"/>
      <w:bookmarkStart w:id="203" w:name="_Toc146106162"/>
      <w:bookmarkStart w:id="204" w:name="_Toc331425238"/>
      <w:bookmarkStart w:id="205" w:name="_Toc74662924"/>
      <w:r w:rsidRPr="00E05368">
        <w:rPr>
          <w:rFonts w:eastAsia="宋体" w:cs="Arial"/>
          <w:sz w:val="21"/>
          <w:szCs w:val="21"/>
        </w:rPr>
        <w:t>（三）利润分配</w:t>
      </w:r>
      <w:bookmarkEnd w:id="201"/>
      <w:bookmarkEnd w:id="202"/>
      <w:bookmarkEnd w:id="203"/>
      <w:bookmarkEnd w:id="204"/>
      <w:bookmarkEnd w:id="205"/>
    </w:p>
    <w:p w14:paraId="15A09A11" w14:textId="77777777" w:rsidR="0053025C" w:rsidRPr="00E05368" w:rsidRDefault="0053025C" w:rsidP="0053025C">
      <w:pPr>
        <w:spacing w:line="480" w:lineRule="auto"/>
        <w:ind w:firstLineChars="211" w:firstLine="443"/>
        <w:rPr>
          <w:rFonts w:ascii="Arial" w:hAnsi="Arial" w:cs="Arial"/>
          <w:color w:val="000000"/>
          <w:sz w:val="21"/>
          <w:szCs w:val="21"/>
        </w:rPr>
      </w:pPr>
      <w:r w:rsidRPr="00E05368">
        <w:rPr>
          <w:rFonts w:ascii="Arial" w:hAnsi="Arial" w:cs="Arial"/>
          <w:color w:val="000000"/>
          <w:sz w:val="21"/>
          <w:szCs w:val="21"/>
        </w:rPr>
        <w:t>1</w:t>
      </w:r>
      <w:r w:rsidRPr="00E05368">
        <w:rPr>
          <w:rFonts w:ascii="Arial" w:hAnsi="Arial" w:cs="Arial"/>
          <w:color w:val="000000"/>
          <w:sz w:val="21"/>
          <w:szCs w:val="21"/>
        </w:rPr>
        <w:t>、税费选择</w:t>
      </w:r>
    </w:p>
    <w:p w14:paraId="4D432F67" w14:textId="3674AEE5" w:rsidR="0053025C" w:rsidRPr="00E05368" w:rsidRDefault="0053025C" w:rsidP="0053025C">
      <w:pPr>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根据国家和</w:t>
      </w:r>
      <w:r>
        <w:rPr>
          <w:rFonts w:ascii="Arial" w:hAnsi="Arial" w:cs="Arial" w:hint="eastAsia"/>
          <w:color w:val="000000"/>
          <w:sz w:val="21"/>
          <w:szCs w:val="21"/>
        </w:rPr>
        <w:t>廊坊</w:t>
      </w:r>
      <w:r w:rsidRPr="00E05368">
        <w:rPr>
          <w:rFonts w:ascii="Arial" w:hAnsi="Arial" w:cs="Arial" w:hint="eastAsia"/>
          <w:color w:val="000000"/>
          <w:sz w:val="21"/>
          <w:szCs w:val="21"/>
        </w:rPr>
        <w:t>市</w:t>
      </w:r>
      <w:r w:rsidRPr="00E05368">
        <w:rPr>
          <w:rFonts w:ascii="Arial" w:hAnsi="Arial" w:cs="Arial"/>
          <w:color w:val="000000"/>
          <w:sz w:val="21"/>
          <w:szCs w:val="21"/>
        </w:rPr>
        <w:t>现行财税制度要求，结合企业实际情况，</w:t>
      </w:r>
      <w:r w:rsidR="00AE4AE5">
        <w:rPr>
          <w:rFonts w:ascii="Arial" w:hAnsi="Arial" w:cs="Arial" w:hint="eastAsia"/>
          <w:color w:val="000000"/>
          <w:sz w:val="21"/>
          <w:szCs w:val="21"/>
        </w:rPr>
        <w:t>调研项目</w:t>
      </w:r>
      <w:r w:rsidRPr="00E05368">
        <w:rPr>
          <w:rFonts w:ascii="Arial" w:hAnsi="Arial" w:cs="Arial"/>
          <w:color w:val="000000"/>
          <w:sz w:val="21"/>
          <w:szCs w:val="21"/>
        </w:rPr>
        <w:t>增值税率</w:t>
      </w:r>
      <w:r w:rsidR="00AE4AE5">
        <w:rPr>
          <w:rFonts w:ascii="Arial" w:hAnsi="Arial" w:cs="Arial" w:hint="eastAsia"/>
          <w:color w:val="000000"/>
          <w:sz w:val="21"/>
          <w:szCs w:val="21"/>
        </w:rPr>
        <w:t>为</w:t>
      </w:r>
      <w:r w:rsidR="00AE4AE5">
        <w:rPr>
          <w:rFonts w:ascii="Arial" w:hAnsi="Arial" w:cs="Arial" w:hint="eastAsia"/>
          <w:color w:val="000000"/>
          <w:sz w:val="21"/>
          <w:szCs w:val="21"/>
        </w:rPr>
        <w:t>9%</w:t>
      </w:r>
      <w:r w:rsidR="00AE4AE5">
        <w:rPr>
          <w:rFonts w:ascii="Arial" w:hAnsi="Arial" w:cs="Arial" w:hint="eastAsia"/>
          <w:color w:val="000000"/>
          <w:sz w:val="21"/>
          <w:szCs w:val="21"/>
        </w:rPr>
        <w:t>，</w:t>
      </w:r>
      <w:r w:rsidRPr="00E05368">
        <w:rPr>
          <w:rFonts w:ascii="Arial" w:hAnsi="Arial" w:cs="Arial"/>
          <w:color w:val="000000"/>
          <w:sz w:val="21"/>
          <w:szCs w:val="21"/>
        </w:rPr>
        <w:t>按销售收入</w:t>
      </w:r>
      <w:r w:rsidR="00AE4AE5">
        <w:rPr>
          <w:rFonts w:ascii="Arial" w:hAnsi="Arial" w:cs="Arial" w:hint="eastAsia"/>
          <w:color w:val="000000"/>
          <w:sz w:val="21"/>
          <w:szCs w:val="21"/>
        </w:rPr>
        <w:t>计算，预缴比例</w:t>
      </w:r>
      <w:proofErr w:type="gramStart"/>
      <w:r w:rsidR="00AE4AE5">
        <w:rPr>
          <w:rFonts w:ascii="Arial" w:hAnsi="Arial" w:cs="Arial" w:hint="eastAsia"/>
          <w:color w:val="000000"/>
          <w:sz w:val="21"/>
          <w:szCs w:val="21"/>
        </w:rPr>
        <w:t>诶</w:t>
      </w:r>
      <w:proofErr w:type="gramEnd"/>
      <w:r w:rsidR="00AE4AE5">
        <w:rPr>
          <w:rFonts w:ascii="Arial" w:hAnsi="Arial" w:cs="Arial" w:hint="eastAsia"/>
          <w:color w:val="000000"/>
          <w:sz w:val="21"/>
          <w:szCs w:val="21"/>
        </w:rPr>
        <w:t>3</w:t>
      </w:r>
      <w:r w:rsidRPr="00E05368">
        <w:rPr>
          <w:rFonts w:ascii="Arial" w:hAnsi="Arial" w:cs="Arial"/>
          <w:color w:val="000000"/>
          <w:sz w:val="21"/>
          <w:szCs w:val="21"/>
        </w:rPr>
        <w:t>%</w:t>
      </w:r>
      <w:r w:rsidRPr="00E05368">
        <w:rPr>
          <w:rFonts w:ascii="Arial" w:hAnsi="Arial" w:cs="Arial"/>
          <w:color w:val="000000"/>
          <w:sz w:val="21"/>
          <w:szCs w:val="21"/>
        </w:rPr>
        <w:t>，</w:t>
      </w:r>
      <w:r w:rsidR="00AE4AE5">
        <w:rPr>
          <w:rFonts w:ascii="Arial" w:hAnsi="Arial" w:cs="Arial" w:hint="eastAsia"/>
          <w:color w:val="000000"/>
          <w:sz w:val="21"/>
          <w:szCs w:val="21"/>
        </w:rPr>
        <w:t>多缴不退；</w:t>
      </w:r>
      <w:r w:rsidRPr="00E05368">
        <w:rPr>
          <w:rFonts w:ascii="Arial" w:hAnsi="Arial" w:cs="Arial"/>
          <w:color w:val="000000"/>
          <w:sz w:val="21"/>
          <w:szCs w:val="21"/>
        </w:rPr>
        <w:t>教育费附加、地方教育费附加、城市维护建设税率分别为增值税的</w:t>
      </w:r>
      <w:r w:rsidRPr="00E05368">
        <w:rPr>
          <w:rFonts w:ascii="Arial" w:hAnsi="Arial" w:cs="Arial"/>
          <w:color w:val="000000"/>
          <w:sz w:val="21"/>
          <w:szCs w:val="21"/>
        </w:rPr>
        <w:t>3%</w:t>
      </w:r>
      <w:r w:rsidRPr="00E05368">
        <w:rPr>
          <w:rFonts w:ascii="Arial" w:hAnsi="Arial" w:cs="Arial"/>
          <w:color w:val="000000"/>
          <w:sz w:val="21"/>
          <w:szCs w:val="21"/>
        </w:rPr>
        <w:t>、</w:t>
      </w:r>
      <w:r w:rsidRPr="00E05368">
        <w:rPr>
          <w:rFonts w:ascii="Arial" w:hAnsi="Arial" w:cs="Arial"/>
          <w:color w:val="000000"/>
          <w:sz w:val="21"/>
          <w:szCs w:val="21"/>
        </w:rPr>
        <w:t>2%</w:t>
      </w:r>
      <w:r w:rsidRPr="00E05368">
        <w:rPr>
          <w:rFonts w:ascii="Arial" w:hAnsi="Arial" w:cs="Arial"/>
          <w:color w:val="000000"/>
          <w:sz w:val="21"/>
          <w:szCs w:val="21"/>
        </w:rPr>
        <w:t>、</w:t>
      </w:r>
      <w:r w:rsidRPr="00E05368">
        <w:rPr>
          <w:rFonts w:ascii="Arial" w:hAnsi="Arial" w:cs="Arial"/>
          <w:color w:val="000000"/>
          <w:sz w:val="21"/>
          <w:szCs w:val="21"/>
        </w:rPr>
        <w:t>7%</w:t>
      </w:r>
      <w:r w:rsidRPr="00E05368">
        <w:rPr>
          <w:rFonts w:ascii="Arial" w:hAnsi="Arial" w:cs="Arial"/>
          <w:color w:val="000000"/>
          <w:sz w:val="21"/>
          <w:szCs w:val="21"/>
        </w:rPr>
        <w:t>；所得税按</w:t>
      </w:r>
      <w:r w:rsidRPr="00E05368">
        <w:rPr>
          <w:rFonts w:ascii="Arial" w:hAnsi="Arial" w:cs="Arial"/>
          <w:color w:val="000000"/>
          <w:sz w:val="21"/>
          <w:szCs w:val="21"/>
        </w:rPr>
        <w:t>25%</w:t>
      </w:r>
      <w:r w:rsidRPr="00E05368">
        <w:rPr>
          <w:rFonts w:ascii="Arial" w:hAnsi="Arial" w:cs="Arial"/>
          <w:color w:val="000000"/>
          <w:sz w:val="21"/>
          <w:szCs w:val="21"/>
        </w:rPr>
        <w:t>测算。</w:t>
      </w:r>
    </w:p>
    <w:p w14:paraId="257E6939" w14:textId="77777777" w:rsidR="0053025C" w:rsidRPr="00E05368" w:rsidRDefault="0053025C" w:rsidP="0053025C">
      <w:pPr>
        <w:spacing w:line="480" w:lineRule="auto"/>
        <w:ind w:firstLineChars="200" w:firstLine="420"/>
        <w:rPr>
          <w:rFonts w:ascii="Arial" w:hAnsi="Arial" w:cs="Arial"/>
          <w:color w:val="000000"/>
          <w:sz w:val="21"/>
          <w:szCs w:val="21"/>
        </w:rPr>
      </w:pPr>
      <w:r w:rsidRPr="00E05368">
        <w:rPr>
          <w:rFonts w:ascii="Arial" w:hAnsi="Arial" w:cs="Arial" w:hint="eastAsia"/>
          <w:color w:val="000000"/>
          <w:sz w:val="21"/>
          <w:szCs w:val="21"/>
        </w:rPr>
        <w:t>2</w:t>
      </w:r>
      <w:r w:rsidRPr="00E05368">
        <w:rPr>
          <w:rFonts w:ascii="Arial" w:hAnsi="Arial" w:cs="Arial"/>
          <w:color w:val="000000"/>
          <w:sz w:val="21"/>
          <w:szCs w:val="21"/>
        </w:rPr>
        <w:t>、公积金</w:t>
      </w:r>
    </w:p>
    <w:p w14:paraId="7D976B46" w14:textId="77777777" w:rsidR="0053025C" w:rsidRPr="00E05368" w:rsidRDefault="0053025C" w:rsidP="0053025C">
      <w:pPr>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公司按净利润的</w:t>
      </w:r>
      <w:r w:rsidRPr="00E05368">
        <w:rPr>
          <w:rFonts w:ascii="Arial" w:hAnsi="Arial" w:cs="Arial"/>
          <w:color w:val="000000"/>
          <w:sz w:val="21"/>
          <w:szCs w:val="21"/>
        </w:rPr>
        <w:t>10%</w:t>
      </w:r>
      <w:r w:rsidRPr="00E05368">
        <w:rPr>
          <w:rFonts w:ascii="Arial" w:hAnsi="Arial" w:cs="Arial"/>
          <w:color w:val="000000"/>
          <w:sz w:val="21"/>
          <w:szCs w:val="21"/>
        </w:rPr>
        <w:t>提取盈余公积金。</w:t>
      </w:r>
    </w:p>
    <w:p w14:paraId="34FB45C8" w14:textId="77777777" w:rsidR="0053025C" w:rsidRPr="00E05368" w:rsidRDefault="0053025C" w:rsidP="0053025C">
      <w:pPr>
        <w:pStyle w:val="2"/>
        <w:spacing w:before="0" w:after="0" w:line="480" w:lineRule="auto"/>
        <w:rPr>
          <w:rFonts w:eastAsia="宋体" w:cs="Arial"/>
          <w:b w:val="0"/>
          <w:bCs/>
          <w:color w:val="000000"/>
          <w:sz w:val="21"/>
          <w:szCs w:val="21"/>
        </w:rPr>
      </w:pPr>
      <w:bookmarkStart w:id="206" w:name="_Toc522074590"/>
      <w:bookmarkStart w:id="207" w:name="_Toc532810739"/>
      <w:bookmarkStart w:id="208" w:name="_Toc12072696"/>
      <w:bookmarkStart w:id="209" w:name="_Toc109012118"/>
      <w:bookmarkStart w:id="210" w:name="_Toc109118464"/>
      <w:bookmarkStart w:id="211" w:name="_Toc118531930"/>
      <w:bookmarkStart w:id="212" w:name="_Toc146106163"/>
      <w:bookmarkStart w:id="213" w:name="_Toc331425239"/>
      <w:bookmarkStart w:id="214" w:name="_Toc74662925"/>
      <w:r w:rsidRPr="00E05368">
        <w:rPr>
          <w:rFonts w:eastAsia="宋体" w:cs="Arial"/>
          <w:sz w:val="21"/>
          <w:szCs w:val="21"/>
        </w:rPr>
        <w:t>三、项目财务效益测算</w:t>
      </w:r>
      <w:bookmarkEnd w:id="206"/>
      <w:bookmarkEnd w:id="207"/>
      <w:bookmarkEnd w:id="208"/>
      <w:bookmarkEnd w:id="209"/>
      <w:bookmarkEnd w:id="210"/>
      <w:bookmarkEnd w:id="211"/>
      <w:bookmarkEnd w:id="212"/>
      <w:bookmarkEnd w:id="213"/>
      <w:bookmarkEnd w:id="214"/>
    </w:p>
    <w:p w14:paraId="26B0CBF8" w14:textId="77777777" w:rsidR="0053025C" w:rsidRPr="00E05368" w:rsidRDefault="0053025C" w:rsidP="0053025C">
      <w:pPr>
        <w:pStyle w:val="2"/>
        <w:spacing w:before="0" w:after="0" w:line="480" w:lineRule="auto"/>
        <w:ind w:firstLineChars="98" w:firstLine="207"/>
        <w:rPr>
          <w:rFonts w:eastAsia="宋体" w:cs="Arial"/>
          <w:sz w:val="21"/>
          <w:szCs w:val="21"/>
        </w:rPr>
      </w:pPr>
      <w:bookmarkStart w:id="215" w:name="_Toc12072697"/>
      <w:bookmarkStart w:id="216" w:name="_Toc109012119"/>
      <w:bookmarkStart w:id="217" w:name="_Toc146106164"/>
      <w:bookmarkStart w:id="218" w:name="_Toc331425240"/>
      <w:bookmarkStart w:id="219" w:name="_Toc74662926"/>
      <w:r w:rsidRPr="00E05368">
        <w:rPr>
          <w:rFonts w:eastAsia="宋体" w:cs="Arial"/>
          <w:sz w:val="21"/>
          <w:szCs w:val="21"/>
        </w:rPr>
        <w:t>（一）项目盈利能力预测</w:t>
      </w:r>
      <w:bookmarkEnd w:id="215"/>
      <w:bookmarkEnd w:id="216"/>
      <w:bookmarkEnd w:id="217"/>
      <w:bookmarkEnd w:id="218"/>
      <w:bookmarkEnd w:id="219"/>
    </w:p>
    <w:p w14:paraId="678DB96A" w14:textId="200EF15A" w:rsidR="0053025C" w:rsidRPr="00E05368" w:rsidRDefault="0053025C" w:rsidP="0053025C">
      <w:pPr>
        <w:spacing w:line="480" w:lineRule="auto"/>
        <w:ind w:firstLineChars="200" w:firstLine="420"/>
        <w:rPr>
          <w:rFonts w:ascii="Arial" w:hAnsi="Arial" w:cs="Arial"/>
          <w:bCs/>
          <w:color w:val="000000"/>
          <w:sz w:val="21"/>
          <w:szCs w:val="21"/>
        </w:rPr>
      </w:pPr>
      <w:bookmarkStart w:id="220" w:name="_Toc12072698"/>
      <w:bookmarkStart w:id="221" w:name="_Toc109012120"/>
      <w:bookmarkStart w:id="222" w:name="_Toc146106165"/>
      <w:bookmarkStart w:id="223" w:name="_Toc331425241"/>
      <w:r w:rsidRPr="00E05368">
        <w:rPr>
          <w:rFonts w:ascii="Arial" w:hAnsi="Arial" w:cs="Arial"/>
          <w:color w:val="000000"/>
          <w:sz w:val="21"/>
          <w:szCs w:val="21"/>
        </w:rPr>
        <w:t>经测算，项目</w:t>
      </w:r>
      <w:r w:rsidRPr="00E05368">
        <w:rPr>
          <w:rFonts w:ascii="Arial" w:hAnsi="Arial" w:cs="Arial" w:hint="eastAsia"/>
          <w:color w:val="000000"/>
          <w:sz w:val="21"/>
          <w:szCs w:val="21"/>
        </w:rPr>
        <w:t>总投资为</w:t>
      </w:r>
      <w:r w:rsidR="00EE1AF5" w:rsidRPr="00EE1AF5">
        <w:rPr>
          <w:rFonts w:ascii="Arial" w:hAnsi="Arial" w:cs="Arial"/>
          <w:color w:val="000000"/>
          <w:sz w:val="21"/>
          <w:szCs w:val="21"/>
        </w:rPr>
        <w:t>436207</w:t>
      </w:r>
      <w:r w:rsidRPr="00E05368">
        <w:rPr>
          <w:rFonts w:ascii="Arial" w:hAnsi="Arial" w:cs="Arial"/>
          <w:color w:val="000000"/>
          <w:sz w:val="21"/>
          <w:szCs w:val="21"/>
        </w:rPr>
        <w:t>万元，经测算项目可实现销售收入</w:t>
      </w:r>
      <w:r w:rsidR="00EE1AF5">
        <w:rPr>
          <w:rFonts w:ascii="Arial" w:hAnsi="Arial" w:cs="Arial"/>
          <w:color w:val="000000"/>
          <w:sz w:val="21"/>
          <w:szCs w:val="21"/>
        </w:rPr>
        <w:t>458</w:t>
      </w:r>
      <w:r w:rsidR="00EE1AF5" w:rsidRPr="00EE1AF5">
        <w:rPr>
          <w:rFonts w:ascii="Arial" w:hAnsi="Arial" w:cs="Arial"/>
          <w:color w:val="000000"/>
          <w:sz w:val="21"/>
          <w:szCs w:val="21"/>
        </w:rPr>
        <w:t>187</w:t>
      </w:r>
      <w:r w:rsidRPr="00E05368">
        <w:rPr>
          <w:rFonts w:ascii="Arial" w:hAnsi="Arial" w:cs="Arial"/>
          <w:color w:val="000000"/>
          <w:sz w:val="21"/>
          <w:szCs w:val="21"/>
        </w:rPr>
        <w:t>万元，税前利润总额</w:t>
      </w:r>
      <w:r w:rsidR="00EE1AF5" w:rsidRPr="00EE1AF5">
        <w:rPr>
          <w:rFonts w:ascii="Arial" w:hAnsi="Arial" w:cs="Arial"/>
          <w:color w:val="000000"/>
          <w:sz w:val="21"/>
          <w:szCs w:val="21"/>
        </w:rPr>
        <w:t>7859</w:t>
      </w:r>
      <w:r w:rsidRPr="00E05368">
        <w:rPr>
          <w:rFonts w:ascii="Arial" w:hAnsi="Arial" w:cs="Arial"/>
          <w:color w:val="000000"/>
          <w:sz w:val="21"/>
          <w:szCs w:val="21"/>
        </w:rPr>
        <w:t>万元，税后利润总</w:t>
      </w:r>
      <w:r w:rsidRPr="00E05368">
        <w:rPr>
          <w:rFonts w:ascii="Arial" w:hAnsi="Arial" w:cs="Arial"/>
          <w:sz w:val="21"/>
          <w:szCs w:val="21"/>
        </w:rPr>
        <w:t>额</w:t>
      </w:r>
      <w:r w:rsidR="00EE1AF5" w:rsidRPr="00EE1AF5">
        <w:rPr>
          <w:rFonts w:ascii="Arial" w:hAnsi="Arial" w:cs="Arial"/>
          <w:sz w:val="21"/>
          <w:szCs w:val="21"/>
        </w:rPr>
        <w:t>5894</w:t>
      </w:r>
      <w:r w:rsidRPr="00E05368">
        <w:rPr>
          <w:rFonts w:ascii="Arial" w:hAnsi="Arial" w:cs="Arial"/>
          <w:sz w:val="21"/>
          <w:szCs w:val="21"/>
        </w:rPr>
        <w:t>万</w:t>
      </w:r>
      <w:r w:rsidRPr="00E05368">
        <w:rPr>
          <w:rFonts w:ascii="Arial" w:hAnsi="Arial" w:cs="Arial"/>
          <w:color w:val="000000"/>
          <w:sz w:val="21"/>
          <w:szCs w:val="21"/>
        </w:rPr>
        <w:t>元，</w:t>
      </w:r>
      <w:r w:rsidRPr="00E05368">
        <w:rPr>
          <w:rFonts w:ascii="Arial" w:hAnsi="Arial" w:cs="Arial" w:hint="eastAsia"/>
          <w:color w:val="000000"/>
          <w:sz w:val="21"/>
          <w:szCs w:val="21"/>
        </w:rPr>
        <w:t>销售</w:t>
      </w:r>
      <w:r w:rsidRPr="00E05368">
        <w:rPr>
          <w:rFonts w:ascii="Arial" w:hAnsi="Arial" w:cs="Arial"/>
          <w:color w:val="000000"/>
          <w:sz w:val="21"/>
          <w:szCs w:val="21"/>
        </w:rPr>
        <w:t>利润率</w:t>
      </w:r>
      <w:r w:rsidR="00EE1AF5">
        <w:rPr>
          <w:rFonts w:ascii="Arial" w:hAnsi="Arial" w:cs="Arial"/>
          <w:color w:val="000000"/>
          <w:sz w:val="21"/>
          <w:szCs w:val="21"/>
        </w:rPr>
        <w:t>1.29</w:t>
      </w:r>
      <w:r w:rsidRPr="00CE1E38">
        <w:rPr>
          <w:rFonts w:ascii="Arial" w:hAnsi="Arial" w:cs="Arial"/>
          <w:color w:val="000000"/>
          <w:sz w:val="21"/>
          <w:szCs w:val="21"/>
        </w:rPr>
        <w:t>%</w:t>
      </w:r>
      <w:r w:rsidRPr="00E05368">
        <w:rPr>
          <w:rFonts w:ascii="Arial" w:hAnsi="Arial" w:cs="Arial"/>
          <w:bCs/>
          <w:color w:val="000000"/>
          <w:sz w:val="21"/>
          <w:szCs w:val="21"/>
        </w:rPr>
        <w:t>，表明</w:t>
      </w:r>
      <w:r w:rsidRPr="00E05368">
        <w:rPr>
          <w:rFonts w:ascii="Arial" w:hAnsi="Arial" w:cs="Arial"/>
          <w:color w:val="000000"/>
          <w:sz w:val="21"/>
          <w:szCs w:val="21"/>
        </w:rPr>
        <w:t>项目</w:t>
      </w:r>
      <w:r w:rsidR="00EE1AF5">
        <w:rPr>
          <w:rFonts w:ascii="Arial" w:hAnsi="Arial" w:cs="Arial" w:hint="eastAsia"/>
          <w:color w:val="000000"/>
          <w:sz w:val="21"/>
          <w:szCs w:val="21"/>
        </w:rPr>
        <w:t>有</w:t>
      </w:r>
      <w:r w:rsidRPr="00E05368">
        <w:rPr>
          <w:rFonts w:ascii="Arial" w:hAnsi="Arial" w:cs="Arial"/>
          <w:color w:val="000000"/>
          <w:sz w:val="21"/>
          <w:szCs w:val="21"/>
        </w:rPr>
        <w:t>盈利能力（见主表</w:t>
      </w:r>
      <w:r w:rsidRPr="00E05368">
        <w:rPr>
          <w:rFonts w:ascii="Arial" w:hAnsi="Arial" w:cs="Arial"/>
          <w:color w:val="000000"/>
          <w:sz w:val="21"/>
          <w:szCs w:val="21"/>
        </w:rPr>
        <w:t>3</w:t>
      </w:r>
      <w:r w:rsidRPr="00E05368">
        <w:rPr>
          <w:rFonts w:ascii="Arial" w:hAnsi="Arial" w:cs="Arial"/>
          <w:color w:val="000000"/>
          <w:sz w:val="21"/>
          <w:szCs w:val="21"/>
        </w:rPr>
        <w:t>）。</w:t>
      </w:r>
    </w:p>
    <w:p w14:paraId="430F0CEC" w14:textId="77777777" w:rsidR="0053025C" w:rsidRPr="00E05368" w:rsidRDefault="0053025C" w:rsidP="0053025C">
      <w:pPr>
        <w:pStyle w:val="2"/>
        <w:tabs>
          <w:tab w:val="left" w:pos="5010"/>
        </w:tabs>
        <w:spacing w:before="0" w:after="0" w:line="480" w:lineRule="auto"/>
        <w:ind w:firstLineChars="98" w:firstLine="207"/>
        <w:rPr>
          <w:rFonts w:eastAsia="宋体" w:cs="Arial"/>
          <w:b w:val="0"/>
          <w:bCs/>
          <w:color w:val="000000"/>
          <w:sz w:val="21"/>
          <w:szCs w:val="21"/>
        </w:rPr>
      </w:pPr>
      <w:bookmarkStart w:id="224" w:name="_Toc74662927"/>
      <w:r w:rsidRPr="00E05368">
        <w:rPr>
          <w:rFonts w:eastAsia="宋体" w:cs="Arial"/>
          <w:sz w:val="21"/>
          <w:szCs w:val="21"/>
        </w:rPr>
        <w:t>（二）项目财务效益预测</w:t>
      </w:r>
      <w:bookmarkEnd w:id="220"/>
      <w:bookmarkEnd w:id="221"/>
      <w:bookmarkEnd w:id="222"/>
      <w:bookmarkEnd w:id="223"/>
      <w:bookmarkEnd w:id="224"/>
    </w:p>
    <w:p w14:paraId="336F856A" w14:textId="44391B6D" w:rsidR="0053025C" w:rsidRPr="00E05368" w:rsidRDefault="0053025C" w:rsidP="0053025C">
      <w:pPr>
        <w:spacing w:line="480" w:lineRule="auto"/>
        <w:ind w:firstLineChars="200" w:firstLine="420"/>
      </w:pPr>
      <w:bookmarkStart w:id="225" w:name="_Toc12072699"/>
      <w:bookmarkStart w:id="226" w:name="_Toc109012121"/>
      <w:bookmarkStart w:id="227" w:name="_Toc146106166"/>
      <w:bookmarkStart w:id="228" w:name="_Toc331425242"/>
      <w:bookmarkStart w:id="229" w:name="_Toc459125519"/>
      <w:r w:rsidRPr="00E05368">
        <w:rPr>
          <w:rFonts w:ascii="Arial" w:hAnsi="Arial" w:cs="Arial"/>
          <w:color w:val="000000"/>
          <w:sz w:val="21"/>
          <w:szCs w:val="21"/>
        </w:rPr>
        <w:t>项目内部收益率</w:t>
      </w:r>
      <w:r w:rsidR="00C479B1">
        <w:rPr>
          <w:rFonts w:ascii="Arial" w:hAnsi="Arial" w:cs="Arial"/>
          <w:color w:val="000000"/>
          <w:sz w:val="21"/>
          <w:szCs w:val="21"/>
        </w:rPr>
        <w:t>10.34</w:t>
      </w:r>
      <w:r w:rsidRPr="00CE1E38">
        <w:rPr>
          <w:rFonts w:ascii="Arial" w:hAnsi="Arial" w:cs="Arial"/>
          <w:color w:val="000000"/>
          <w:sz w:val="21"/>
          <w:szCs w:val="21"/>
        </w:rPr>
        <w:t>%</w:t>
      </w:r>
      <w:r w:rsidRPr="00E05368">
        <w:rPr>
          <w:rFonts w:ascii="Arial" w:hAnsi="Arial" w:cs="Arial"/>
          <w:color w:val="000000"/>
          <w:sz w:val="21"/>
          <w:szCs w:val="21"/>
        </w:rPr>
        <w:t>。在基准折现率</w:t>
      </w:r>
      <w:r w:rsidRPr="00E05368">
        <w:rPr>
          <w:rFonts w:ascii="Arial" w:hAnsi="Arial" w:cs="Arial" w:hint="eastAsia"/>
          <w:color w:val="000000"/>
          <w:sz w:val="21"/>
          <w:szCs w:val="21"/>
        </w:rPr>
        <w:t>10</w:t>
      </w:r>
      <w:r w:rsidRPr="00E05368">
        <w:rPr>
          <w:rFonts w:ascii="Arial" w:hAnsi="Arial" w:cs="Arial"/>
          <w:color w:val="000000"/>
          <w:sz w:val="21"/>
          <w:szCs w:val="21"/>
        </w:rPr>
        <w:t>%</w:t>
      </w:r>
      <w:r w:rsidRPr="00E05368">
        <w:rPr>
          <w:rFonts w:ascii="Arial" w:hAnsi="Arial" w:cs="Arial"/>
          <w:color w:val="000000"/>
          <w:sz w:val="21"/>
          <w:szCs w:val="21"/>
        </w:rPr>
        <w:t>的条件下，财务净现值</w:t>
      </w:r>
      <w:r w:rsidR="00C479B1" w:rsidRPr="00C479B1">
        <w:rPr>
          <w:rFonts w:ascii="Arial" w:hAnsi="Arial" w:cs="Arial"/>
          <w:color w:val="000000"/>
          <w:sz w:val="21"/>
          <w:szCs w:val="21"/>
        </w:rPr>
        <w:t>1456</w:t>
      </w:r>
      <w:r w:rsidRPr="00E05368">
        <w:rPr>
          <w:rFonts w:ascii="Arial" w:hAnsi="Arial" w:cs="Arial"/>
          <w:color w:val="000000"/>
          <w:sz w:val="21"/>
          <w:szCs w:val="21"/>
        </w:rPr>
        <w:t>万元。测算结果表明，财务内部收益率高于基准折现率，财务净现值大于零，表明项目在财务上是可行的（见主表</w:t>
      </w:r>
      <w:r w:rsidRPr="00E05368">
        <w:rPr>
          <w:rFonts w:ascii="Arial" w:hAnsi="Arial" w:cs="Arial"/>
          <w:color w:val="000000"/>
          <w:sz w:val="21"/>
          <w:szCs w:val="21"/>
        </w:rPr>
        <w:t>2</w:t>
      </w:r>
      <w:r w:rsidRPr="00E05368">
        <w:rPr>
          <w:rFonts w:ascii="Arial" w:hAnsi="Arial" w:cs="Arial"/>
          <w:color w:val="000000"/>
          <w:sz w:val="21"/>
          <w:szCs w:val="21"/>
        </w:rPr>
        <w:t>）</w:t>
      </w:r>
      <w:r w:rsidRPr="00E05368">
        <w:rPr>
          <w:rFonts w:ascii="Arial" w:hAnsi="Arial" w:cs="Arial"/>
          <w:color w:val="000000"/>
          <w:szCs w:val="21"/>
        </w:rPr>
        <w:t>。</w:t>
      </w:r>
    </w:p>
    <w:p w14:paraId="585DF884" w14:textId="77777777" w:rsidR="0053025C" w:rsidRPr="00E05368" w:rsidRDefault="0053025C" w:rsidP="0053025C">
      <w:pPr>
        <w:pStyle w:val="2"/>
        <w:spacing w:before="0" w:after="0" w:line="480" w:lineRule="auto"/>
        <w:ind w:firstLineChars="98" w:firstLine="207"/>
        <w:rPr>
          <w:rFonts w:eastAsia="宋体" w:cs="Arial"/>
          <w:b w:val="0"/>
          <w:bCs/>
          <w:color w:val="000000"/>
          <w:sz w:val="21"/>
          <w:szCs w:val="21"/>
        </w:rPr>
      </w:pPr>
      <w:bookmarkStart w:id="230" w:name="_Toc74662928"/>
      <w:r w:rsidRPr="00E05368">
        <w:rPr>
          <w:rFonts w:eastAsia="宋体" w:cs="Arial"/>
          <w:sz w:val="21"/>
          <w:szCs w:val="21"/>
        </w:rPr>
        <w:t>（三）不确定性分析</w:t>
      </w:r>
      <w:bookmarkEnd w:id="225"/>
      <w:bookmarkEnd w:id="226"/>
      <w:bookmarkEnd w:id="227"/>
      <w:bookmarkEnd w:id="228"/>
      <w:bookmarkEnd w:id="229"/>
      <w:bookmarkEnd w:id="230"/>
    </w:p>
    <w:p w14:paraId="2813C4F5" w14:textId="77777777" w:rsidR="0053025C" w:rsidRPr="00E05368" w:rsidRDefault="0053025C" w:rsidP="0053025C">
      <w:pPr>
        <w:widowControl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1</w:t>
      </w:r>
      <w:r w:rsidRPr="00E05368">
        <w:rPr>
          <w:rFonts w:ascii="Arial" w:hAnsi="Arial" w:cs="Arial"/>
          <w:color w:val="000000"/>
          <w:sz w:val="21"/>
          <w:szCs w:val="21"/>
        </w:rPr>
        <w:t>、项目盈亏平衡分析</w:t>
      </w:r>
    </w:p>
    <w:p w14:paraId="1977BF27" w14:textId="1177B137" w:rsidR="0053025C" w:rsidRPr="00E05368" w:rsidRDefault="0053025C" w:rsidP="0053025C">
      <w:pPr>
        <w:widowControl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lastRenderedPageBreak/>
        <w:t>按照目前销售预测（销售率为</w:t>
      </w:r>
      <w:r w:rsidRPr="00E05368">
        <w:rPr>
          <w:rFonts w:ascii="Arial" w:hAnsi="Arial" w:cs="Arial"/>
          <w:color w:val="000000"/>
          <w:sz w:val="21"/>
          <w:szCs w:val="21"/>
        </w:rPr>
        <w:t>100%</w:t>
      </w:r>
      <w:r w:rsidRPr="00E05368">
        <w:rPr>
          <w:rFonts w:ascii="Arial" w:hAnsi="Arial" w:cs="Arial"/>
          <w:color w:val="000000"/>
          <w:sz w:val="21"/>
          <w:szCs w:val="21"/>
        </w:rPr>
        <w:t>），项目盈亏平衡点为</w:t>
      </w:r>
      <w:r w:rsidR="00C479B1">
        <w:rPr>
          <w:rFonts w:ascii="Arial" w:hAnsi="Arial" w:cs="Arial"/>
          <w:color w:val="000000"/>
          <w:sz w:val="21"/>
          <w:szCs w:val="21"/>
        </w:rPr>
        <w:t>98.23</w:t>
      </w:r>
      <w:r w:rsidRPr="00E05368">
        <w:rPr>
          <w:rFonts w:ascii="Arial" w:hAnsi="Arial" w:cs="Arial"/>
          <w:color w:val="000000"/>
          <w:sz w:val="21"/>
          <w:szCs w:val="21"/>
        </w:rPr>
        <w:t>%</w:t>
      </w:r>
      <w:r w:rsidRPr="00E05368">
        <w:rPr>
          <w:rFonts w:ascii="Arial" w:hAnsi="Arial" w:cs="Arial"/>
          <w:color w:val="000000"/>
          <w:sz w:val="21"/>
          <w:szCs w:val="21"/>
        </w:rPr>
        <w:t>，各类用房保本销售价格和保本销售量详细情况如下（见主表</w:t>
      </w:r>
      <w:r w:rsidRPr="00E05368">
        <w:rPr>
          <w:rFonts w:ascii="Arial" w:hAnsi="Arial" w:cs="Arial"/>
          <w:color w:val="000000"/>
          <w:sz w:val="21"/>
          <w:szCs w:val="21"/>
        </w:rPr>
        <w:t>4</w:t>
      </w:r>
      <w:r w:rsidRPr="00E05368">
        <w:rPr>
          <w:rFonts w:ascii="Arial" w:hAnsi="Arial" w:cs="Arial"/>
          <w:color w:val="000000"/>
          <w:sz w:val="21"/>
          <w:szCs w:val="21"/>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firstRow="1" w:lastRow="0" w:firstColumn="1" w:lastColumn="0" w:noHBand="0" w:noVBand="0"/>
      </w:tblPr>
      <w:tblGrid>
        <w:gridCol w:w="2831"/>
        <w:gridCol w:w="3413"/>
        <w:gridCol w:w="3168"/>
      </w:tblGrid>
      <w:tr w:rsidR="0053025C" w:rsidRPr="00E05368" w14:paraId="6A8EFAFF" w14:textId="77777777" w:rsidTr="007B3231">
        <w:trPr>
          <w:trHeight w:val="283"/>
        </w:trPr>
        <w:tc>
          <w:tcPr>
            <w:tcW w:w="1504" w:type="pct"/>
            <w:vAlign w:val="center"/>
          </w:tcPr>
          <w:p w14:paraId="21ECEDF9" w14:textId="77777777" w:rsidR="0053025C" w:rsidRPr="00E05368" w:rsidRDefault="0053025C" w:rsidP="007B3231">
            <w:pPr>
              <w:adjustRightInd w:val="0"/>
              <w:snapToGrid w:val="0"/>
              <w:jc w:val="both"/>
              <w:rPr>
                <w:rFonts w:ascii="Arial" w:eastAsia="华文细黑" w:hAnsi="Arial" w:cs="Arial"/>
                <w:sz w:val="18"/>
                <w:szCs w:val="18"/>
              </w:rPr>
            </w:pPr>
            <w:r w:rsidRPr="00E05368">
              <w:rPr>
                <w:rFonts w:ascii="Arial" w:eastAsia="华文细黑" w:hAnsi="Arial" w:cs="Arial"/>
                <w:sz w:val="18"/>
                <w:szCs w:val="18"/>
              </w:rPr>
              <w:t>用途</w:t>
            </w:r>
          </w:p>
        </w:tc>
        <w:tc>
          <w:tcPr>
            <w:tcW w:w="1813" w:type="pct"/>
            <w:vAlign w:val="center"/>
          </w:tcPr>
          <w:p w14:paraId="197222C8" w14:textId="77777777" w:rsidR="0053025C" w:rsidRPr="00E05368" w:rsidRDefault="0053025C" w:rsidP="007B3231">
            <w:pPr>
              <w:adjustRightInd w:val="0"/>
              <w:snapToGrid w:val="0"/>
              <w:jc w:val="both"/>
              <w:rPr>
                <w:rFonts w:ascii="Arial" w:eastAsia="华文细黑" w:hAnsi="Arial" w:cs="Arial"/>
                <w:sz w:val="18"/>
                <w:szCs w:val="18"/>
              </w:rPr>
            </w:pPr>
            <w:r w:rsidRPr="00E05368">
              <w:rPr>
                <w:rFonts w:ascii="Arial" w:eastAsia="华文细黑" w:hAnsi="Arial" w:cs="Arial"/>
                <w:sz w:val="18"/>
                <w:szCs w:val="18"/>
              </w:rPr>
              <w:t>保本销售价格（元</w:t>
            </w:r>
            <w:r w:rsidRPr="00E05368">
              <w:rPr>
                <w:rFonts w:ascii="Arial" w:eastAsia="华文细黑" w:hAnsi="Arial" w:cs="Arial"/>
                <w:sz w:val="18"/>
                <w:szCs w:val="18"/>
              </w:rPr>
              <w:t>/</w:t>
            </w:r>
            <w:r w:rsidRPr="00E05368">
              <w:rPr>
                <w:rFonts w:ascii="Arial" w:eastAsia="华文细黑" w:hAnsi="Arial" w:cs="Arial"/>
                <w:sz w:val="18"/>
                <w:szCs w:val="18"/>
              </w:rPr>
              <w:t>平方米，元</w:t>
            </w:r>
            <w:r w:rsidRPr="00E05368">
              <w:rPr>
                <w:rFonts w:ascii="Arial" w:eastAsia="华文细黑" w:hAnsi="Arial" w:cs="Arial"/>
                <w:sz w:val="18"/>
                <w:szCs w:val="18"/>
              </w:rPr>
              <w:t>/</w:t>
            </w:r>
            <w:proofErr w:type="gramStart"/>
            <w:r w:rsidRPr="00E05368">
              <w:rPr>
                <w:rFonts w:ascii="Arial" w:eastAsia="华文细黑" w:hAnsi="Arial" w:cs="Arial"/>
                <w:sz w:val="18"/>
                <w:szCs w:val="18"/>
              </w:rPr>
              <w:t>个</w:t>
            </w:r>
            <w:proofErr w:type="gramEnd"/>
            <w:r w:rsidRPr="00E05368">
              <w:rPr>
                <w:rFonts w:ascii="Arial" w:eastAsia="华文细黑" w:hAnsi="Arial" w:cs="Arial"/>
                <w:sz w:val="18"/>
                <w:szCs w:val="18"/>
              </w:rPr>
              <w:t>）</w:t>
            </w:r>
          </w:p>
        </w:tc>
        <w:tc>
          <w:tcPr>
            <w:tcW w:w="1683" w:type="pct"/>
            <w:vAlign w:val="center"/>
          </w:tcPr>
          <w:p w14:paraId="4AAD0469" w14:textId="77777777" w:rsidR="0053025C" w:rsidRPr="00E05368" w:rsidRDefault="0053025C" w:rsidP="007B3231">
            <w:pPr>
              <w:adjustRightInd w:val="0"/>
              <w:snapToGrid w:val="0"/>
              <w:jc w:val="both"/>
              <w:rPr>
                <w:rFonts w:ascii="Arial" w:eastAsia="华文细黑" w:hAnsi="Arial" w:cs="Arial"/>
                <w:sz w:val="18"/>
                <w:szCs w:val="18"/>
              </w:rPr>
            </w:pPr>
            <w:r w:rsidRPr="00E05368">
              <w:rPr>
                <w:rFonts w:ascii="Arial" w:eastAsia="华文细黑" w:hAnsi="Arial" w:cs="Arial"/>
                <w:sz w:val="18"/>
                <w:szCs w:val="18"/>
              </w:rPr>
              <w:t>保本销售收入（万元）</w:t>
            </w:r>
          </w:p>
        </w:tc>
      </w:tr>
      <w:tr w:rsidR="0053025C" w:rsidRPr="00E05368" w14:paraId="5BF797A2" w14:textId="77777777" w:rsidTr="007B3231">
        <w:trPr>
          <w:trHeight w:val="283"/>
        </w:trPr>
        <w:tc>
          <w:tcPr>
            <w:tcW w:w="1504" w:type="pct"/>
            <w:vAlign w:val="center"/>
          </w:tcPr>
          <w:p w14:paraId="0A3FF416" w14:textId="77777777" w:rsidR="0053025C" w:rsidRPr="00E05368" w:rsidRDefault="0053025C" w:rsidP="007B3231">
            <w:pPr>
              <w:adjustRightInd w:val="0"/>
              <w:snapToGrid w:val="0"/>
              <w:jc w:val="both"/>
              <w:rPr>
                <w:rFonts w:ascii="Arial" w:eastAsia="华文细黑" w:hAnsi="Arial" w:cs="Arial"/>
                <w:sz w:val="18"/>
                <w:szCs w:val="18"/>
              </w:rPr>
            </w:pPr>
            <w:r>
              <w:rPr>
                <w:rFonts w:ascii="Arial" w:eastAsia="华文细黑" w:hAnsi="Arial" w:cs="Arial" w:hint="eastAsia"/>
                <w:sz w:val="18"/>
                <w:szCs w:val="18"/>
              </w:rPr>
              <w:t>高层</w:t>
            </w:r>
            <w:r w:rsidRPr="00E05368">
              <w:rPr>
                <w:rFonts w:ascii="Arial" w:eastAsia="华文细黑" w:hAnsi="Arial" w:cs="Arial" w:hint="eastAsia"/>
                <w:sz w:val="18"/>
                <w:szCs w:val="18"/>
              </w:rPr>
              <w:t>住宅</w:t>
            </w:r>
          </w:p>
        </w:tc>
        <w:tc>
          <w:tcPr>
            <w:tcW w:w="1813" w:type="pct"/>
            <w:vAlign w:val="bottom"/>
          </w:tcPr>
          <w:p w14:paraId="5283B59A" w14:textId="045F5159" w:rsidR="0053025C" w:rsidRPr="00E05368" w:rsidRDefault="00C479B1" w:rsidP="007B3231">
            <w:pPr>
              <w:adjustRightInd w:val="0"/>
              <w:snapToGrid w:val="0"/>
              <w:jc w:val="both"/>
              <w:rPr>
                <w:rFonts w:ascii="Arial" w:eastAsia="华文细黑" w:hAnsi="Arial" w:cs="Arial"/>
                <w:sz w:val="18"/>
                <w:szCs w:val="18"/>
              </w:rPr>
            </w:pPr>
            <w:r>
              <w:rPr>
                <w:rFonts w:ascii="Arial" w:eastAsia="华文细黑" w:hAnsi="Arial" w:cs="Arial" w:hint="eastAsia"/>
                <w:sz w:val="18"/>
                <w:szCs w:val="18"/>
              </w:rPr>
              <w:t>28781</w:t>
            </w:r>
          </w:p>
        </w:tc>
        <w:tc>
          <w:tcPr>
            <w:tcW w:w="1683" w:type="pct"/>
            <w:vAlign w:val="bottom"/>
          </w:tcPr>
          <w:p w14:paraId="21DAA4F9" w14:textId="26F77DCB" w:rsidR="0053025C" w:rsidRPr="00237987" w:rsidRDefault="00C479B1" w:rsidP="007B3231">
            <w:pPr>
              <w:adjustRightInd w:val="0"/>
              <w:snapToGrid w:val="0"/>
              <w:jc w:val="both"/>
              <w:rPr>
                <w:rFonts w:ascii="Arial" w:eastAsia="华文细黑" w:hAnsi="Arial" w:cs="Arial"/>
                <w:sz w:val="18"/>
                <w:szCs w:val="18"/>
              </w:rPr>
            </w:pPr>
            <w:r>
              <w:rPr>
                <w:rFonts w:ascii="Arial" w:eastAsia="华文细黑" w:hAnsi="Arial" w:cs="Arial" w:hint="eastAsia"/>
                <w:sz w:val="18"/>
                <w:szCs w:val="18"/>
              </w:rPr>
              <w:t>395631</w:t>
            </w:r>
          </w:p>
        </w:tc>
      </w:tr>
      <w:tr w:rsidR="0053025C" w:rsidRPr="00E05368" w14:paraId="11E2B2BF" w14:textId="77777777" w:rsidTr="007B3231">
        <w:trPr>
          <w:trHeight w:val="283"/>
        </w:trPr>
        <w:tc>
          <w:tcPr>
            <w:tcW w:w="1504" w:type="pct"/>
            <w:vAlign w:val="center"/>
          </w:tcPr>
          <w:p w14:paraId="270015B8" w14:textId="77777777" w:rsidR="0053025C" w:rsidRDefault="0053025C" w:rsidP="007B3231">
            <w:pPr>
              <w:adjustRightInd w:val="0"/>
              <w:snapToGrid w:val="0"/>
              <w:jc w:val="both"/>
              <w:rPr>
                <w:rFonts w:ascii="Arial" w:eastAsia="华文细黑" w:hAnsi="Arial" w:cs="Arial"/>
                <w:sz w:val="18"/>
                <w:szCs w:val="18"/>
              </w:rPr>
            </w:pPr>
            <w:r>
              <w:rPr>
                <w:rFonts w:ascii="Arial" w:eastAsia="华文细黑" w:hAnsi="Arial" w:cs="Arial" w:hint="eastAsia"/>
                <w:sz w:val="18"/>
                <w:szCs w:val="18"/>
              </w:rPr>
              <w:t>商业</w:t>
            </w:r>
          </w:p>
        </w:tc>
        <w:tc>
          <w:tcPr>
            <w:tcW w:w="1813" w:type="pct"/>
            <w:vAlign w:val="bottom"/>
          </w:tcPr>
          <w:p w14:paraId="494DEDD7" w14:textId="37E91369" w:rsidR="0053025C" w:rsidRDefault="00C479B1" w:rsidP="007B3231">
            <w:pPr>
              <w:adjustRightInd w:val="0"/>
              <w:snapToGrid w:val="0"/>
              <w:jc w:val="both"/>
              <w:rPr>
                <w:rFonts w:ascii="Arial" w:eastAsia="华文细黑" w:hAnsi="Arial" w:cs="Arial"/>
                <w:sz w:val="18"/>
                <w:szCs w:val="18"/>
              </w:rPr>
            </w:pPr>
            <w:r>
              <w:rPr>
                <w:rFonts w:ascii="Arial" w:eastAsia="华文细黑" w:hAnsi="Arial" w:cs="Arial" w:hint="eastAsia"/>
                <w:sz w:val="18"/>
                <w:szCs w:val="18"/>
              </w:rPr>
              <w:t>54027</w:t>
            </w:r>
          </w:p>
        </w:tc>
        <w:tc>
          <w:tcPr>
            <w:tcW w:w="1683" w:type="pct"/>
            <w:vAlign w:val="bottom"/>
          </w:tcPr>
          <w:p w14:paraId="4DAA1B36" w14:textId="2BCB6943" w:rsidR="0053025C" w:rsidRPr="00237987" w:rsidRDefault="00C479B1" w:rsidP="007B3231">
            <w:pPr>
              <w:adjustRightInd w:val="0"/>
              <w:snapToGrid w:val="0"/>
              <w:jc w:val="both"/>
              <w:rPr>
                <w:rFonts w:ascii="Arial" w:eastAsia="华文细黑" w:hAnsi="Arial" w:cs="Arial"/>
                <w:sz w:val="18"/>
                <w:szCs w:val="18"/>
              </w:rPr>
            </w:pPr>
            <w:r>
              <w:rPr>
                <w:rFonts w:ascii="Arial" w:eastAsia="华文细黑" w:hAnsi="Arial" w:cs="Arial" w:hint="eastAsia"/>
                <w:sz w:val="18"/>
                <w:szCs w:val="18"/>
              </w:rPr>
              <w:t>40522</w:t>
            </w:r>
          </w:p>
        </w:tc>
      </w:tr>
      <w:tr w:rsidR="0053025C" w:rsidRPr="00E05368" w14:paraId="7A088CB0" w14:textId="77777777" w:rsidTr="007B3231">
        <w:trPr>
          <w:trHeight w:val="283"/>
        </w:trPr>
        <w:tc>
          <w:tcPr>
            <w:tcW w:w="1504" w:type="pct"/>
            <w:vAlign w:val="center"/>
          </w:tcPr>
          <w:p w14:paraId="40F011D8" w14:textId="77777777" w:rsidR="0053025C" w:rsidRPr="00E05368" w:rsidRDefault="0053025C" w:rsidP="007B3231">
            <w:pPr>
              <w:adjustRightInd w:val="0"/>
              <w:snapToGrid w:val="0"/>
              <w:jc w:val="both"/>
              <w:rPr>
                <w:rFonts w:ascii="Arial" w:eastAsia="华文细黑" w:hAnsi="Arial" w:cs="Arial"/>
                <w:sz w:val="18"/>
                <w:szCs w:val="18"/>
              </w:rPr>
            </w:pPr>
            <w:r w:rsidRPr="00E05368">
              <w:rPr>
                <w:rFonts w:ascii="Arial" w:eastAsia="华文细黑" w:hAnsi="Arial" w:cs="Arial" w:hint="eastAsia"/>
                <w:sz w:val="18"/>
                <w:szCs w:val="18"/>
              </w:rPr>
              <w:t>地下车库</w:t>
            </w:r>
          </w:p>
        </w:tc>
        <w:tc>
          <w:tcPr>
            <w:tcW w:w="1813" w:type="pct"/>
            <w:vAlign w:val="bottom"/>
          </w:tcPr>
          <w:p w14:paraId="54E957BF" w14:textId="0E2E24AE" w:rsidR="0053025C" w:rsidRPr="00E05368" w:rsidRDefault="00C479B1" w:rsidP="007B3231">
            <w:pPr>
              <w:adjustRightInd w:val="0"/>
              <w:snapToGrid w:val="0"/>
              <w:jc w:val="both"/>
              <w:rPr>
                <w:rFonts w:ascii="Arial" w:eastAsia="华文细黑" w:hAnsi="Arial" w:cs="Arial"/>
                <w:sz w:val="18"/>
                <w:szCs w:val="18"/>
              </w:rPr>
            </w:pPr>
            <w:r>
              <w:rPr>
                <w:rFonts w:ascii="Arial" w:eastAsia="华文细黑" w:hAnsi="Arial" w:cs="Arial" w:hint="eastAsia"/>
                <w:sz w:val="18"/>
                <w:szCs w:val="18"/>
              </w:rPr>
              <w:t>147345</w:t>
            </w:r>
          </w:p>
        </w:tc>
        <w:tc>
          <w:tcPr>
            <w:tcW w:w="1683" w:type="pct"/>
            <w:vAlign w:val="bottom"/>
          </w:tcPr>
          <w:p w14:paraId="16D810C8" w14:textId="23854163" w:rsidR="0053025C" w:rsidRPr="00237987" w:rsidRDefault="00C479B1" w:rsidP="007B3231">
            <w:pPr>
              <w:adjustRightInd w:val="0"/>
              <w:snapToGrid w:val="0"/>
              <w:jc w:val="both"/>
              <w:rPr>
                <w:rFonts w:ascii="Arial" w:eastAsia="华文细黑" w:hAnsi="Arial" w:cs="Arial"/>
                <w:sz w:val="18"/>
                <w:szCs w:val="18"/>
              </w:rPr>
            </w:pPr>
            <w:r>
              <w:rPr>
                <w:rFonts w:ascii="Arial" w:eastAsia="华文细黑" w:hAnsi="Arial" w:cs="Arial" w:hint="eastAsia"/>
                <w:sz w:val="18"/>
                <w:szCs w:val="18"/>
              </w:rPr>
              <w:t>13924</w:t>
            </w:r>
          </w:p>
        </w:tc>
      </w:tr>
    </w:tbl>
    <w:p w14:paraId="350A3972" w14:textId="77777777" w:rsidR="0053025C" w:rsidRPr="00E05368" w:rsidRDefault="0053025C" w:rsidP="0053025C">
      <w:pPr>
        <w:spacing w:line="480" w:lineRule="auto"/>
        <w:ind w:firstLineChars="200" w:firstLine="200"/>
        <w:rPr>
          <w:rFonts w:ascii="Arial" w:hAnsi="Arial" w:cs="Arial"/>
          <w:color w:val="000000"/>
          <w:sz w:val="10"/>
          <w:szCs w:val="10"/>
        </w:rPr>
      </w:pPr>
    </w:p>
    <w:p w14:paraId="644A877B" w14:textId="77777777" w:rsidR="0053025C" w:rsidRPr="00C25150" w:rsidRDefault="0053025C" w:rsidP="0053025C">
      <w:pPr>
        <w:spacing w:line="480" w:lineRule="auto"/>
        <w:ind w:firstLineChars="200" w:firstLine="420"/>
        <w:rPr>
          <w:rFonts w:ascii="Arial" w:hAnsi="Arial" w:cs="Arial"/>
          <w:color w:val="000000"/>
          <w:sz w:val="21"/>
          <w:szCs w:val="21"/>
        </w:rPr>
      </w:pPr>
      <w:r w:rsidRPr="00C25150">
        <w:rPr>
          <w:rFonts w:ascii="Arial" w:hAnsi="Arial" w:cs="Arial"/>
          <w:color w:val="000000"/>
          <w:sz w:val="21"/>
          <w:szCs w:val="21"/>
        </w:rPr>
        <w:t>2</w:t>
      </w:r>
      <w:r w:rsidRPr="00C25150">
        <w:rPr>
          <w:rFonts w:ascii="Arial" w:hAnsi="Arial" w:cs="Arial"/>
          <w:color w:val="000000"/>
          <w:sz w:val="21"/>
          <w:szCs w:val="21"/>
        </w:rPr>
        <w:t>、项目敏感性分析</w:t>
      </w:r>
    </w:p>
    <w:p w14:paraId="1A3C54F3" w14:textId="77777777" w:rsidR="0053025C" w:rsidRPr="00E05368" w:rsidRDefault="0053025C" w:rsidP="0053025C">
      <w:pPr>
        <w:spacing w:line="480" w:lineRule="auto"/>
        <w:ind w:firstLineChars="200" w:firstLine="420"/>
        <w:rPr>
          <w:rFonts w:ascii="Arial" w:hAnsi="Arial" w:cs="Arial"/>
          <w:color w:val="000000"/>
          <w:sz w:val="21"/>
          <w:szCs w:val="21"/>
        </w:rPr>
      </w:pPr>
      <w:r w:rsidRPr="00E05368">
        <w:rPr>
          <w:rFonts w:ascii="Arial" w:hAnsi="Arial" w:cs="Arial" w:hint="eastAsia"/>
          <w:color w:val="000000"/>
          <w:sz w:val="21"/>
          <w:szCs w:val="21"/>
        </w:rPr>
        <w:t>项目</w:t>
      </w:r>
      <w:r>
        <w:rPr>
          <w:rFonts w:ascii="Arial" w:hAnsi="Arial" w:cs="Arial"/>
          <w:color w:val="000000"/>
          <w:sz w:val="21"/>
          <w:szCs w:val="21"/>
        </w:rPr>
        <w:t>基本方案在财务上</w:t>
      </w:r>
      <w:r>
        <w:rPr>
          <w:rFonts w:ascii="Arial" w:hAnsi="Arial" w:cs="Arial" w:hint="eastAsia"/>
          <w:color w:val="000000"/>
          <w:sz w:val="21"/>
          <w:szCs w:val="21"/>
        </w:rPr>
        <w:t>可以</w:t>
      </w:r>
      <w:r w:rsidRPr="00E05368">
        <w:rPr>
          <w:rFonts w:ascii="Arial" w:hAnsi="Arial" w:cs="Arial"/>
          <w:color w:val="000000"/>
          <w:sz w:val="21"/>
          <w:szCs w:val="21"/>
        </w:rPr>
        <w:t>满足资本金盈利指标要求，当项目总投资增加，项目内部收益率</w:t>
      </w:r>
      <w:r w:rsidRPr="00E05368">
        <w:rPr>
          <w:rFonts w:ascii="Arial" w:hAnsi="Arial" w:cs="Arial" w:hint="eastAsia"/>
          <w:color w:val="000000"/>
          <w:sz w:val="21"/>
          <w:szCs w:val="21"/>
        </w:rPr>
        <w:t>、</w:t>
      </w:r>
      <w:r w:rsidRPr="00E05368">
        <w:rPr>
          <w:rFonts w:ascii="Arial" w:hAnsi="Arial" w:cs="Arial"/>
          <w:color w:val="000000"/>
          <w:sz w:val="21"/>
          <w:szCs w:val="21"/>
        </w:rPr>
        <w:t>财务净现值、</w:t>
      </w:r>
      <w:r w:rsidRPr="00E05368">
        <w:rPr>
          <w:rFonts w:ascii="Arial" w:hAnsi="Arial" w:cs="Arial" w:hint="eastAsia"/>
          <w:color w:val="000000"/>
          <w:sz w:val="21"/>
          <w:szCs w:val="21"/>
        </w:rPr>
        <w:t>动态</w:t>
      </w:r>
      <w:r w:rsidRPr="00E05368">
        <w:rPr>
          <w:rFonts w:ascii="Arial" w:hAnsi="Arial" w:cs="Arial"/>
          <w:color w:val="000000"/>
          <w:sz w:val="21"/>
          <w:szCs w:val="21"/>
        </w:rPr>
        <w:t>投资回收期详见下表：（见主表</w:t>
      </w:r>
      <w:r w:rsidRPr="00E05368">
        <w:rPr>
          <w:rFonts w:ascii="Arial" w:hAnsi="Arial" w:cs="Arial"/>
          <w:color w:val="000000"/>
          <w:sz w:val="21"/>
          <w:szCs w:val="21"/>
        </w:rPr>
        <w:t>4</w:t>
      </w:r>
      <w:r w:rsidRPr="00E05368">
        <w:rPr>
          <w:rFonts w:ascii="Arial" w:hAnsi="Arial" w:cs="Arial"/>
          <w:color w:val="000000"/>
          <w:sz w:val="21"/>
          <w:szCs w:val="21"/>
        </w:rPr>
        <w:t>）。</w:t>
      </w:r>
    </w:p>
    <w:tbl>
      <w:tblPr>
        <w:tblW w:w="4600" w:type="pct"/>
        <w:jc w:val="center"/>
        <w:tblCellMar>
          <w:top w:w="57" w:type="dxa"/>
          <w:left w:w="57" w:type="dxa"/>
          <w:bottom w:w="57" w:type="dxa"/>
          <w:right w:w="57" w:type="dxa"/>
        </w:tblCellMar>
        <w:tblLook w:val="04A0" w:firstRow="1" w:lastRow="0" w:firstColumn="1" w:lastColumn="0" w:noHBand="0" w:noVBand="1"/>
      </w:tblPr>
      <w:tblGrid>
        <w:gridCol w:w="1574"/>
        <w:gridCol w:w="1576"/>
        <w:gridCol w:w="2754"/>
        <w:gridCol w:w="2755"/>
      </w:tblGrid>
      <w:tr w:rsidR="0053025C" w:rsidRPr="00E05368" w14:paraId="58B78112" w14:textId="77777777" w:rsidTr="007B3231">
        <w:trPr>
          <w:trHeight w:val="283"/>
          <w:tblHeader/>
          <w:jc w:val="center"/>
        </w:trPr>
        <w:tc>
          <w:tcPr>
            <w:tcW w:w="1819" w:type="pct"/>
            <w:gridSpan w:val="2"/>
            <w:tcBorders>
              <w:top w:val="single" w:sz="4" w:space="0" w:color="auto"/>
              <w:left w:val="single" w:sz="4" w:space="0" w:color="auto"/>
              <w:bottom w:val="single" w:sz="4" w:space="0" w:color="auto"/>
              <w:right w:val="nil"/>
            </w:tcBorders>
            <w:shd w:val="clear" w:color="auto" w:fill="FFFFFF"/>
            <w:noWrap/>
            <w:vAlign w:val="center"/>
            <w:hideMark/>
          </w:tcPr>
          <w:p w14:paraId="1793AAE6" w14:textId="77777777" w:rsidR="0053025C" w:rsidRPr="00E05368" w:rsidRDefault="0053025C" w:rsidP="007B3231">
            <w:pPr>
              <w:jc w:val="both"/>
              <w:rPr>
                <w:rFonts w:ascii="Arial" w:eastAsia="华文细黑" w:hAnsi="Arial" w:cs="Arial"/>
                <w:b/>
                <w:sz w:val="18"/>
                <w:szCs w:val="18"/>
              </w:rPr>
            </w:pPr>
            <w:r w:rsidRPr="00E05368">
              <w:rPr>
                <w:rFonts w:ascii="Arial" w:eastAsia="华文细黑" w:hAnsi="Arial" w:cs="Arial"/>
                <w:b/>
                <w:sz w:val="18"/>
                <w:szCs w:val="18"/>
              </w:rPr>
              <w:t>敏感性变化因素</w:t>
            </w:r>
          </w:p>
        </w:tc>
        <w:tc>
          <w:tcPr>
            <w:tcW w:w="3181"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170FEB03" w14:textId="77777777" w:rsidR="0053025C" w:rsidRPr="00E05368" w:rsidRDefault="0053025C" w:rsidP="007B3231">
            <w:pPr>
              <w:jc w:val="both"/>
              <w:rPr>
                <w:rFonts w:ascii="Arial" w:eastAsia="华文细黑" w:hAnsi="Arial" w:cs="Arial"/>
                <w:b/>
                <w:sz w:val="18"/>
                <w:szCs w:val="18"/>
              </w:rPr>
            </w:pPr>
            <w:r w:rsidRPr="00E05368">
              <w:rPr>
                <w:rFonts w:ascii="Arial" w:eastAsia="华文细黑" w:hAnsi="Arial" w:cs="Arial"/>
                <w:b/>
                <w:sz w:val="18"/>
                <w:szCs w:val="18"/>
              </w:rPr>
              <w:t>敏感性分析结果</w:t>
            </w:r>
          </w:p>
        </w:tc>
      </w:tr>
      <w:tr w:rsidR="0053025C" w:rsidRPr="00E05368" w14:paraId="66EF69DB" w14:textId="77777777" w:rsidTr="007B3231">
        <w:trPr>
          <w:trHeight w:val="283"/>
          <w:tblHeader/>
          <w:jc w:val="center"/>
        </w:trPr>
        <w:tc>
          <w:tcPr>
            <w:tcW w:w="909" w:type="pct"/>
            <w:tcBorders>
              <w:top w:val="nil"/>
              <w:left w:val="single" w:sz="4" w:space="0" w:color="auto"/>
              <w:bottom w:val="single" w:sz="4" w:space="0" w:color="auto"/>
              <w:right w:val="single" w:sz="4" w:space="0" w:color="auto"/>
            </w:tcBorders>
            <w:shd w:val="clear" w:color="auto" w:fill="FFFFFF"/>
            <w:noWrap/>
            <w:vAlign w:val="center"/>
            <w:hideMark/>
          </w:tcPr>
          <w:p w14:paraId="12DF651C" w14:textId="77777777" w:rsidR="0053025C" w:rsidRPr="00E05368" w:rsidRDefault="0053025C" w:rsidP="007B3231">
            <w:pPr>
              <w:jc w:val="both"/>
              <w:rPr>
                <w:rFonts w:ascii="Arial" w:eastAsia="华文细黑" w:hAnsi="Arial" w:cs="Arial"/>
                <w:sz w:val="18"/>
                <w:szCs w:val="18"/>
              </w:rPr>
            </w:pPr>
            <w:r w:rsidRPr="00E05368">
              <w:rPr>
                <w:rFonts w:ascii="Arial" w:eastAsia="华文细黑" w:hAnsi="Arial" w:cs="Arial"/>
                <w:sz w:val="18"/>
                <w:szCs w:val="18"/>
              </w:rPr>
              <w:t>变化因素</w:t>
            </w:r>
          </w:p>
        </w:tc>
        <w:tc>
          <w:tcPr>
            <w:tcW w:w="910" w:type="pct"/>
            <w:shd w:val="clear" w:color="auto" w:fill="FFFFFF"/>
            <w:noWrap/>
            <w:vAlign w:val="center"/>
            <w:hideMark/>
          </w:tcPr>
          <w:p w14:paraId="1F36A749" w14:textId="77777777" w:rsidR="0053025C" w:rsidRPr="00E05368" w:rsidRDefault="0053025C" w:rsidP="007B3231">
            <w:pPr>
              <w:jc w:val="both"/>
              <w:rPr>
                <w:rFonts w:ascii="Arial" w:eastAsia="华文细黑" w:hAnsi="Arial" w:cs="Arial"/>
                <w:sz w:val="18"/>
                <w:szCs w:val="18"/>
              </w:rPr>
            </w:pPr>
            <w:r w:rsidRPr="00E05368">
              <w:rPr>
                <w:rFonts w:ascii="Arial" w:eastAsia="华文细黑" w:hAnsi="Arial" w:cs="Arial"/>
                <w:sz w:val="18"/>
                <w:szCs w:val="18"/>
              </w:rPr>
              <w:t>变化幅度</w:t>
            </w:r>
          </w:p>
        </w:tc>
        <w:tc>
          <w:tcPr>
            <w:tcW w:w="1590" w:type="pct"/>
            <w:tcBorders>
              <w:top w:val="nil"/>
              <w:left w:val="single" w:sz="4" w:space="0" w:color="auto"/>
              <w:bottom w:val="single" w:sz="4" w:space="0" w:color="auto"/>
              <w:right w:val="single" w:sz="4" w:space="0" w:color="auto"/>
            </w:tcBorders>
            <w:shd w:val="clear" w:color="auto" w:fill="FFFFFF"/>
            <w:noWrap/>
            <w:vAlign w:val="center"/>
            <w:hideMark/>
          </w:tcPr>
          <w:p w14:paraId="0EBC5345" w14:textId="77777777" w:rsidR="0053025C" w:rsidRPr="00E05368" w:rsidRDefault="0053025C" w:rsidP="007B3231">
            <w:pPr>
              <w:widowControl w:val="0"/>
              <w:jc w:val="both"/>
              <w:rPr>
                <w:rFonts w:ascii="Arial" w:eastAsia="华文细黑" w:hAnsi="Arial" w:cs="Arial"/>
                <w:sz w:val="18"/>
                <w:szCs w:val="18"/>
              </w:rPr>
            </w:pPr>
            <w:r w:rsidRPr="00E05368">
              <w:rPr>
                <w:rFonts w:ascii="Arial" w:eastAsia="华文细黑" w:hAnsi="Arial" w:cs="Arial"/>
                <w:sz w:val="18"/>
                <w:szCs w:val="18"/>
              </w:rPr>
              <w:t>财务净现值</w:t>
            </w:r>
          </w:p>
        </w:tc>
        <w:tc>
          <w:tcPr>
            <w:tcW w:w="1591" w:type="pct"/>
            <w:tcBorders>
              <w:top w:val="nil"/>
              <w:left w:val="nil"/>
              <w:bottom w:val="single" w:sz="4" w:space="0" w:color="auto"/>
              <w:right w:val="single" w:sz="4" w:space="0" w:color="auto"/>
            </w:tcBorders>
            <w:shd w:val="clear" w:color="auto" w:fill="FFFFFF"/>
            <w:noWrap/>
            <w:vAlign w:val="center"/>
            <w:hideMark/>
          </w:tcPr>
          <w:p w14:paraId="69D336EF" w14:textId="77777777" w:rsidR="0053025C" w:rsidRPr="00E05368" w:rsidRDefault="0053025C" w:rsidP="007B3231">
            <w:pPr>
              <w:widowControl w:val="0"/>
              <w:jc w:val="both"/>
              <w:rPr>
                <w:rFonts w:ascii="Arial" w:eastAsia="华文细黑" w:hAnsi="Arial" w:cs="Arial"/>
                <w:sz w:val="18"/>
                <w:szCs w:val="18"/>
              </w:rPr>
            </w:pPr>
            <w:r w:rsidRPr="00E05368">
              <w:rPr>
                <w:rFonts w:ascii="Arial" w:eastAsia="华文细黑" w:hAnsi="Arial" w:cs="Arial"/>
                <w:sz w:val="18"/>
                <w:szCs w:val="18"/>
              </w:rPr>
              <w:t>财务内部收益率</w:t>
            </w:r>
          </w:p>
        </w:tc>
      </w:tr>
      <w:tr w:rsidR="00C479B1" w:rsidRPr="00E05368" w14:paraId="38C0D9F1" w14:textId="77777777" w:rsidTr="00C479B1">
        <w:trPr>
          <w:trHeight w:val="283"/>
          <w:jc w:val="center"/>
        </w:trPr>
        <w:tc>
          <w:tcPr>
            <w:tcW w:w="909" w:type="pct"/>
            <w:tcBorders>
              <w:top w:val="nil"/>
              <w:left w:val="single" w:sz="4" w:space="0" w:color="auto"/>
              <w:bottom w:val="single" w:sz="4" w:space="0" w:color="auto"/>
              <w:right w:val="single" w:sz="4" w:space="0" w:color="auto"/>
            </w:tcBorders>
            <w:shd w:val="clear" w:color="auto" w:fill="FFFFFF"/>
            <w:noWrap/>
            <w:vAlign w:val="center"/>
            <w:hideMark/>
          </w:tcPr>
          <w:p w14:paraId="09BCDA24" w14:textId="77777777" w:rsidR="00C479B1" w:rsidRPr="00E05368" w:rsidRDefault="00C479B1" w:rsidP="007B3231">
            <w:pPr>
              <w:widowControl w:val="0"/>
              <w:jc w:val="both"/>
              <w:rPr>
                <w:rFonts w:ascii="Arial" w:eastAsia="华文细黑" w:hAnsi="Arial" w:cs="Arial"/>
                <w:kern w:val="2"/>
                <w:sz w:val="18"/>
                <w:szCs w:val="18"/>
              </w:rPr>
            </w:pPr>
            <w:r w:rsidRPr="00E05368">
              <w:rPr>
                <w:rFonts w:ascii="Arial" w:eastAsia="华文细黑" w:hAnsi="Arial" w:cs="Arial"/>
                <w:sz w:val="18"/>
                <w:szCs w:val="18"/>
              </w:rPr>
              <w:t>基本方案</w:t>
            </w:r>
          </w:p>
        </w:tc>
        <w:tc>
          <w:tcPr>
            <w:tcW w:w="910" w:type="pct"/>
            <w:tcBorders>
              <w:top w:val="single" w:sz="4" w:space="0" w:color="auto"/>
              <w:left w:val="nil"/>
              <w:bottom w:val="single" w:sz="4" w:space="0" w:color="auto"/>
              <w:right w:val="single" w:sz="4" w:space="0" w:color="auto"/>
            </w:tcBorders>
            <w:shd w:val="clear" w:color="auto" w:fill="FFFFFF"/>
            <w:noWrap/>
            <w:vAlign w:val="center"/>
            <w:hideMark/>
          </w:tcPr>
          <w:p w14:paraId="2D0959EA" w14:textId="77777777" w:rsidR="00C479B1" w:rsidRPr="00E05368" w:rsidRDefault="00C479B1" w:rsidP="007B3231">
            <w:pPr>
              <w:widowControl w:val="0"/>
              <w:jc w:val="both"/>
              <w:rPr>
                <w:rFonts w:ascii="Arial" w:eastAsia="华文细黑" w:hAnsi="Arial" w:cs="Arial"/>
                <w:kern w:val="2"/>
                <w:sz w:val="18"/>
                <w:szCs w:val="18"/>
              </w:rPr>
            </w:pPr>
            <w:r w:rsidRPr="00E05368">
              <w:rPr>
                <w:rFonts w:ascii="Arial" w:eastAsia="华文细黑" w:hAnsi="Arial" w:cs="Arial"/>
                <w:sz w:val="18"/>
                <w:szCs w:val="18"/>
              </w:rPr>
              <w:t xml:space="preserve">　</w:t>
            </w:r>
          </w:p>
        </w:tc>
        <w:tc>
          <w:tcPr>
            <w:tcW w:w="1590" w:type="pct"/>
            <w:tcBorders>
              <w:top w:val="nil"/>
              <w:left w:val="single" w:sz="4" w:space="0" w:color="auto"/>
              <w:bottom w:val="single" w:sz="4" w:space="0" w:color="auto"/>
              <w:right w:val="single" w:sz="4" w:space="0" w:color="auto"/>
            </w:tcBorders>
            <w:shd w:val="clear" w:color="auto" w:fill="FFFFFF"/>
            <w:noWrap/>
            <w:vAlign w:val="center"/>
            <w:hideMark/>
          </w:tcPr>
          <w:p w14:paraId="5ACB40BF" w14:textId="2D709655" w:rsidR="00C479B1" w:rsidRPr="00E05368" w:rsidRDefault="00C479B1" w:rsidP="00C479B1">
            <w:pPr>
              <w:adjustRightInd w:val="0"/>
              <w:snapToGrid w:val="0"/>
              <w:jc w:val="both"/>
              <w:rPr>
                <w:rFonts w:ascii="Arial" w:eastAsia="华文细黑" w:hAnsi="Arial" w:cs="Arial"/>
                <w:sz w:val="18"/>
                <w:szCs w:val="18"/>
              </w:rPr>
            </w:pPr>
            <w:r w:rsidRPr="00C479B1">
              <w:rPr>
                <w:rFonts w:ascii="Arial" w:eastAsia="华文细黑" w:hAnsi="Arial" w:cs="Arial"/>
                <w:sz w:val="18"/>
                <w:szCs w:val="18"/>
              </w:rPr>
              <w:t xml:space="preserve">1456 </w:t>
            </w:r>
          </w:p>
        </w:tc>
        <w:tc>
          <w:tcPr>
            <w:tcW w:w="1591" w:type="pct"/>
            <w:tcBorders>
              <w:top w:val="nil"/>
              <w:left w:val="nil"/>
              <w:bottom w:val="single" w:sz="4" w:space="0" w:color="auto"/>
              <w:right w:val="single" w:sz="4" w:space="0" w:color="auto"/>
            </w:tcBorders>
            <w:shd w:val="clear" w:color="auto" w:fill="FFFFFF"/>
            <w:noWrap/>
            <w:vAlign w:val="center"/>
            <w:hideMark/>
          </w:tcPr>
          <w:p w14:paraId="427FB7F4" w14:textId="748597E7" w:rsidR="00C479B1" w:rsidRPr="00E05368" w:rsidRDefault="00C479B1" w:rsidP="00C479B1">
            <w:pPr>
              <w:adjustRightInd w:val="0"/>
              <w:snapToGrid w:val="0"/>
              <w:jc w:val="both"/>
              <w:rPr>
                <w:rFonts w:ascii="Arial" w:eastAsia="华文细黑" w:hAnsi="Arial" w:cs="Arial"/>
                <w:sz w:val="18"/>
                <w:szCs w:val="18"/>
              </w:rPr>
            </w:pPr>
            <w:r w:rsidRPr="00C479B1">
              <w:rPr>
                <w:rFonts w:ascii="Arial" w:eastAsia="华文细黑" w:hAnsi="Arial" w:cs="Arial"/>
                <w:sz w:val="18"/>
                <w:szCs w:val="18"/>
              </w:rPr>
              <w:t>10.34%</w:t>
            </w:r>
          </w:p>
        </w:tc>
      </w:tr>
      <w:tr w:rsidR="00C479B1" w:rsidRPr="00E05368" w14:paraId="378C7C49" w14:textId="77777777" w:rsidTr="00C479B1">
        <w:trPr>
          <w:trHeight w:val="283"/>
          <w:jc w:val="center"/>
        </w:trPr>
        <w:tc>
          <w:tcPr>
            <w:tcW w:w="909" w:type="pct"/>
            <w:tcBorders>
              <w:top w:val="nil"/>
              <w:left w:val="single" w:sz="4" w:space="0" w:color="auto"/>
              <w:right w:val="single" w:sz="4" w:space="0" w:color="auto"/>
            </w:tcBorders>
            <w:shd w:val="clear" w:color="auto" w:fill="FFFFFF"/>
            <w:noWrap/>
            <w:vAlign w:val="center"/>
            <w:hideMark/>
          </w:tcPr>
          <w:p w14:paraId="5975C545" w14:textId="77777777" w:rsidR="00C479B1" w:rsidRPr="00E05368" w:rsidRDefault="00C479B1" w:rsidP="007B3231">
            <w:pPr>
              <w:widowControl w:val="0"/>
              <w:jc w:val="both"/>
              <w:rPr>
                <w:rFonts w:ascii="Arial" w:eastAsia="华文细黑" w:hAnsi="Arial" w:cs="Arial"/>
                <w:kern w:val="2"/>
                <w:sz w:val="18"/>
                <w:szCs w:val="18"/>
              </w:rPr>
            </w:pPr>
            <w:r w:rsidRPr="00E05368">
              <w:rPr>
                <w:rFonts w:ascii="Arial" w:eastAsia="华文细黑" w:hAnsi="Arial" w:cs="Arial"/>
                <w:sz w:val="18"/>
                <w:szCs w:val="18"/>
              </w:rPr>
              <w:t>项目总投资</w:t>
            </w:r>
          </w:p>
        </w:tc>
        <w:tc>
          <w:tcPr>
            <w:tcW w:w="910" w:type="pct"/>
            <w:tcBorders>
              <w:top w:val="nil"/>
              <w:left w:val="nil"/>
              <w:bottom w:val="single" w:sz="4" w:space="0" w:color="auto"/>
              <w:right w:val="single" w:sz="4" w:space="0" w:color="auto"/>
            </w:tcBorders>
            <w:shd w:val="clear" w:color="auto" w:fill="FFFFFF"/>
            <w:noWrap/>
            <w:vAlign w:val="center"/>
            <w:hideMark/>
          </w:tcPr>
          <w:p w14:paraId="161DD64A" w14:textId="3F1102FB" w:rsidR="00C479B1" w:rsidRPr="00E05368" w:rsidRDefault="00C479B1" w:rsidP="007B3231">
            <w:pPr>
              <w:widowControl w:val="0"/>
              <w:jc w:val="both"/>
              <w:rPr>
                <w:rFonts w:ascii="Arial" w:eastAsia="华文细黑" w:hAnsi="Arial" w:cs="Arial"/>
                <w:kern w:val="2"/>
                <w:sz w:val="18"/>
                <w:szCs w:val="18"/>
              </w:rPr>
            </w:pPr>
            <w:r>
              <w:rPr>
                <w:rFonts w:ascii="Arial" w:eastAsia="华文细黑" w:hAnsi="Arial" w:cs="Arial" w:hint="eastAsia"/>
                <w:sz w:val="18"/>
                <w:szCs w:val="18"/>
              </w:rPr>
              <w:t>1</w:t>
            </w:r>
            <w:r w:rsidRPr="00E05368">
              <w:rPr>
                <w:rFonts w:ascii="Arial" w:eastAsia="华文细黑" w:hAnsi="Arial" w:cs="Arial"/>
                <w:sz w:val="18"/>
                <w:szCs w:val="18"/>
              </w:rPr>
              <w:t>%</w:t>
            </w:r>
          </w:p>
        </w:tc>
        <w:tc>
          <w:tcPr>
            <w:tcW w:w="1590" w:type="pct"/>
            <w:tcBorders>
              <w:top w:val="nil"/>
              <w:left w:val="single" w:sz="4" w:space="0" w:color="auto"/>
              <w:bottom w:val="single" w:sz="4" w:space="0" w:color="auto"/>
              <w:right w:val="single" w:sz="4" w:space="0" w:color="auto"/>
            </w:tcBorders>
            <w:shd w:val="clear" w:color="auto" w:fill="FFFFFF"/>
            <w:noWrap/>
            <w:vAlign w:val="center"/>
            <w:hideMark/>
          </w:tcPr>
          <w:p w14:paraId="11B28FC8" w14:textId="4FF2DAD8" w:rsidR="00C479B1" w:rsidRPr="00E05368" w:rsidRDefault="00C479B1" w:rsidP="00C479B1">
            <w:pPr>
              <w:adjustRightInd w:val="0"/>
              <w:snapToGrid w:val="0"/>
              <w:jc w:val="both"/>
              <w:rPr>
                <w:rFonts w:ascii="Arial" w:eastAsia="华文细黑" w:hAnsi="Arial" w:cs="Arial"/>
                <w:sz w:val="18"/>
                <w:szCs w:val="18"/>
              </w:rPr>
            </w:pPr>
            <w:r w:rsidRPr="00C479B1">
              <w:rPr>
                <w:rFonts w:ascii="Arial" w:eastAsia="华文细黑" w:hAnsi="Arial" w:cs="Arial"/>
                <w:sz w:val="18"/>
                <w:szCs w:val="18"/>
              </w:rPr>
              <w:t xml:space="preserve">-1447 </w:t>
            </w:r>
          </w:p>
        </w:tc>
        <w:tc>
          <w:tcPr>
            <w:tcW w:w="1591" w:type="pct"/>
            <w:tcBorders>
              <w:top w:val="nil"/>
              <w:left w:val="nil"/>
              <w:bottom w:val="single" w:sz="4" w:space="0" w:color="auto"/>
              <w:right w:val="single" w:sz="4" w:space="0" w:color="auto"/>
            </w:tcBorders>
            <w:shd w:val="clear" w:color="auto" w:fill="FFFFFF"/>
            <w:noWrap/>
            <w:vAlign w:val="center"/>
            <w:hideMark/>
          </w:tcPr>
          <w:p w14:paraId="0A42964B" w14:textId="6946D56B" w:rsidR="00C479B1" w:rsidRPr="00E05368" w:rsidRDefault="00C479B1" w:rsidP="00C479B1">
            <w:pPr>
              <w:adjustRightInd w:val="0"/>
              <w:snapToGrid w:val="0"/>
              <w:jc w:val="both"/>
              <w:rPr>
                <w:rFonts w:ascii="Arial" w:eastAsia="华文细黑" w:hAnsi="Arial" w:cs="Arial"/>
                <w:sz w:val="18"/>
                <w:szCs w:val="18"/>
              </w:rPr>
            </w:pPr>
            <w:r w:rsidRPr="00C479B1">
              <w:rPr>
                <w:rFonts w:ascii="Arial" w:eastAsia="华文细黑" w:hAnsi="Arial" w:cs="Arial"/>
                <w:sz w:val="18"/>
                <w:szCs w:val="18"/>
              </w:rPr>
              <w:t>9.69%</w:t>
            </w:r>
          </w:p>
        </w:tc>
      </w:tr>
      <w:tr w:rsidR="00C479B1" w:rsidRPr="00E05368" w14:paraId="267C3DE7" w14:textId="77777777" w:rsidTr="00C479B1">
        <w:trPr>
          <w:trHeight w:val="283"/>
          <w:jc w:val="center"/>
        </w:trPr>
        <w:tc>
          <w:tcPr>
            <w:tcW w:w="909" w:type="pct"/>
            <w:tcBorders>
              <w:top w:val="single" w:sz="4" w:space="0" w:color="auto"/>
              <w:left w:val="single" w:sz="4" w:space="0" w:color="auto"/>
              <w:right w:val="single" w:sz="4" w:space="0" w:color="auto"/>
            </w:tcBorders>
            <w:shd w:val="clear" w:color="auto" w:fill="FFFFFF"/>
            <w:noWrap/>
            <w:vAlign w:val="center"/>
            <w:hideMark/>
          </w:tcPr>
          <w:p w14:paraId="2A490445" w14:textId="77777777" w:rsidR="00C479B1" w:rsidRPr="00E05368" w:rsidRDefault="00C479B1" w:rsidP="007B3231">
            <w:pPr>
              <w:widowControl w:val="0"/>
              <w:jc w:val="both"/>
              <w:rPr>
                <w:rFonts w:ascii="Arial" w:eastAsia="华文细黑" w:hAnsi="Arial" w:cs="Arial"/>
                <w:kern w:val="2"/>
                <w:sz w:val="18"/>
                <w:szCs w:val="18"/>
              </w:rPr>
            </w:pPr>
            <w:r w:rsidRPr="00E05368">
              <w:rPr>
                <w:rFonts w:ascii="Arial" w:eastAsia="华文细黑" w:hAnsi="Arial" w:cs="Arial"/>
                <w:sz w:val="18"/>
                <w:szCs w:val="18"/>
              </w:rPr>
              <w:t>租售价格</w:t>
            </w:r>
          </w:p>
        </w:tc>
        <w:tc>
          <w:tcPr>
            <w:tcW w:w="910" w:type="pct"/>
            <w:tcBorders>
              <w:top w:val="nil"/>
              <w:left w:val="nil"/>
              <w:bottom w:val="single" w:sz="4" w:space="0" w:color="auto"/>
              <w:right w:val="single" w:sz="4" w:space="0" w:color="auto"/>
            </w:tcBorders>
            <w:shd w:val="clear" w:color="auto" w:fill="FFFFFF"/>
            <w:noWrap/>
            <w:vAlign w:val="center"/>
            <w:hideMark/>
          </w:tcPr>
          <w:p w14:paraId="4E359CAA" w14:textId="0A26AD43" w:rsidR="00C479B1" w:rsidRPr="00E05368" w:rsidRDefault="00C479B1" w:rsidP="00C479B1">
            <w:pPr>
              <w:widowControl w:val="0"/>
              <w:jc w:val="both"/>
              <w:rPr>
                <w:rFonts w:ascii="Arial" w:eastAsia="华文细黑" w:hAnsi="Arial" w:cs="Arial"/>
                <w:kern w:val="2"/>
                <w:sz w:val="18"/>
                <w:szCs w:val="18"/>
              </w:rPr>
            </w:pPr>
            <w:r w:rsidRPr="00E05368">
              <w:rPr>
                <w:rFonts w:ascii="Arial" w:eastAsia="华文细黑" w:hAnsi="Arial" w:cs="Arial"/>
                <w:sz w:val="18"/>
                <w:szCs w:val="18"/>
              </w:rPr>
              <w:t>-</w:t>
            </w:r>
            <w:r>
              <w:rPr>
                <w:rFonts w:ascii="Arial" w:eastAsia="华文细黑" w:hAnsi="Arial" w:cs="Arial" w:hint="eastAsia"/>
                <w:sz w:val="18"/>
                <w:szCs w:val="18"/>
              </w:rPr>
              <w:t>1</w:t>
            </w:r>
            <w:r w:rsidRPr="00E05368">
              <w:rPr>
                <w:rFonts w:ascii="Arial" w:eastAsia="华文细黑" w:hAnsi="Arial" w:cs="Arial"/>
                <w:sz w:val="18"/>
                <w:szCs w:val="18"/>
              </w:rPr>
              <w:t>%</w:t>
            </w:r>
          </w:p>
        </w:tc>
        <w:tc>
          <w:tcPr>
            <w:tcW w:w="1590" w:type="pct"/>
            <w:tcBorders>
              <w:top w:val="nil"/>
              <w:left w:val="single" w:sz="4" w:space="0" w:color="auto"/>
              <w:bottom w:val="single" w:sz="4" w:space="0" w:color="auto"/>
              <w:right w:val="single" w:sz="4" w:space="0" w:color="auto"/>
            </w:tcBorders>
            <w:shd w:val="clear" w:color="auto" w:fill="FFFFFF"/>
            <w:noWrap/>
            <w:vAlign w:val="center"/>
            <w:hideMark/>
          </w:tcPr>
          <w:p w14:paraId="79C7F82D" w14:textId="2F0424B1" w:rsidR="00C479B1" w:rsidRPr="00E05368" w:rsidRDefault="00C479B1" w:rsidP="00C479B1">
            <w:pPr>
              <w:adjustRightInd w:val="0"/>
              <w:snapToGrid w:val="0"/>
              <w:jc w:val="both"/>
              <w:rPr>
                <w:rFonts w:ascii="Arial" w:eastAsia="华文细黑" w:hAnsi="Arial" w:cs="Arial"/>
                <w:sz w:val="18"/>
                <w:szCs w:val="18"/>
              </w:rPr>
            </w:pPr>
            <w:r w:rsidRPr="00C479B1">
              <w:rPr>
                <w:rFonts w:ascii="Arial" w:eastAsia="华文细黑" w:hAnsi="Arial" w:cs="Arial"/>
                <w:sz w:val="18"/>
                <w:szCs w:val="18"/>
              </w:rPr>
              <w:t xml:space="preserve">-1348 </w:t>
            </w:r>
          </w:p>
        </w:tc>
        <w:tc>
          <w:tcPr>
            <w:tcW w:w="1591" w:type="pct"/>
            <w:tcBorders>
              <w:top w:val="nil"/>
              <w:left w:val="nil"/>
              <w:bottom w:val="single" w:sz="4" w:space="0" w:color="auto"/>
              <w:right w:val="single" w:sz="4" w:space="0" w:color="auto"/>
            </w:tcBorders>
            <w:shd w:val="clear" w:color="auto" w:fill="FFFFFF"/>
            <w:noWrap/>
            <w:vAlign w:val="center"/>
            <w:hideMark/>
          </w:tcPr>
          <w:p w14:paraId="0788CF10" w14:textId="23D38D81" w:rsidR="00C479B1" w:rsidRPr="00E05368" w:rsidRDefault="00C479B1" w:rsidP="00C479B1">
            <w:pPr>
              <w:adjustRightInd w:val="0"/>
              <w:snapToGrid w:val="0"/>
              <w:jc w:val="both"/>
              <w:rPr>
                <w:rFonts w:ascii="Arial" w:eastAsia="华文细黑" w:hAnsi="Arial" w:cs="Arial"/>
                <w:sz w:val="18"/>
                <w:szCs w:val="18"/>
              </w:rPr>
            </w:pPr>
            <w:r w:rsidRPr="00C479B1">
              <w:rPr>
                <w:rFonts w:ascii="Arial" w:eastAsia="华文细黑" w:hAnsi="Arial" w:cs="Arial"/>
                <w:sz w:val="18"/>
                <w:szCs w:val="18"/>
              </w:rPr>
              <w:t>9.69%</w:t>
            </w:r>
          </w:p>
        </w:tc>
      </w:tr>
      <w:tr w:rsidR="0053025C" w:rsidRPr="00E05368" w14:paraId="38A2D5C8" w14:textId="77777777" w:rsidTr="007B3231">
        <w:trPr>
          <w:trHeight w:val="283"/>
          <w:jc w:val="center"/>
        </w:trPr>
        <w:tc>
          <w:tcPr>
            <w:tcW w:w="1819"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6D47DD1" w14:textId="77777777" w:rsidR="0053025C" w:rsidRPr="00E05368" w:rsidRDefault="0053025C" w:rsidP="007B3231">
            <w:pPr>
              <w:jc w:val="both"/>
              <w:rPr>
                <w:rFonts w:ascii="Arial" w:eastAsia="华文细黑" w:hAnsi="Arial" w:cs="Arial"/>
                <w:b/>
                <w:sz w:val="18"/>
                <w:szCs w:val="18"/>
              </w:rPr>
            </w:pPr>
            <w:r w:rsidRPr="00E05368">
              <w:rPr>
                <w:rFonts w:ascii="Arial" w:eastAsia="华文细黑" w:hAnsi="Arial" w:cs="Arial"/>
                <w:b/>
                <w:sz w:val="18"/>
                <w:szCs w:val="18"/>
              </w:rPr>
              <w:t>盈亏平衡分析</w:t>
            </w:r>
          </w:p>
        </w:tc>
        <w:tc>
          <w:tcPr>
            <w:tcW w:w="3181" w:type="pct"/>
            <w:gridSpan w:val="2"/>
            <w:tcBorders>
              <w:top w:val="single" w:sz="4" w:space="0" w:color="auto"/>
              <w:left w:val="nil"/>
              <w:bottom w:val="single" w:sz="4" w:space="0" w:color="auto"/>
              <w:right w:val="single" w:sz="4" w:space="0" w:color="auto"/>
            </w:tcBorders>
            <w:shd w:val="clear" w:color="auto" w:fill="FFFFFF"/>
            <w:vAlign w:val="center"/>
            <w:hideMark/>
          </w:tcPr>
          <w:p w14:paraId="10EB943E" w14:textId="77777777" w:rsidR="0053025C" w:rsidRPr="00E05368" w:rsidRDefault="0053025C" w:rsidP="007B3231">
            <w:pPr>
              <w:widowControl w:val="0"/>
              <w:jc w:val="both"/>
              <w:rPr>
                <w:rFonts w:ascii="Arial" w:eastAsia="华文细黑" w:hAnsi="Arial" w:cs="Arial"/>
                <w:sz w:val="18"/>
                <w:szCs w:val="18"/>
              </w:rPr>
            </w:pPr>
            <w:r w:rsidRPr="00E05368">
              <w:rPr>
                <w:rFonts w:ascii="Arial" w:eastAsia="华文细黑" w:hAnsi="Arial" w:cs="Arial"/>
                <w:sz w:val="18"/>
                <w:szCs w:val="18"/>
              </w:rPr>
              <w:t>盈亏平衡分析结果</w:t>
            </w:r>
          </w:p>
        </w:tc>
      </w:tr>
      <w:tr w:rsidR="0053025C" w:rsidRPr="00E05368" w14:paraId="659DBB21" w14:textId="77777777" w:rsidTr="007B3231">
        <w:trPr>
          <w:trHeight w:val="283"/>
          <w:jc w:val="center"/>
        </w:trPr>
        <w:tc>
          <w:tcPr>
            <w:tcW w:w="1819"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9F02987" w14:textId="77777777" w:rsidR="0053025C" w:rsidRPr="00E05368" w:rsidRDefault="0053025C" w:rsidP="007B3231">
            <w:pPr>
              <w:jc w:val="both"/>
              <w:rPr>
                <w:rFonts w:ascii="Arial" w:eastAsia="华文细黑" w:hAnsi="Arial" w:cs="Arial"/>
                <w:sz w:val="18"/>
                <w:szCs w:val="18"/>
              </w:rPr>
            </w:pPr>
            <w:r w:rsidRPr="00E05368">
              <w:rPr>
                <w:rFonts w:ascii="Arial" w:eastAsia="华文细黑" w:hAnsi="Arial" w:cs="Arial"/>
                <w:sz w:val="18"/>
                <w:szCs w:val="18"/>
              </w:rPr>
              <w:t>盈亏平衡点</w:t>
            </w:r>
          </w:p>
        </w:tc>
        <w:tc>
          <w:tcPr>
            <w:tcW w:w="3181" w:type="pct"/>
            <w:gridSpan w:val="2"/>
            <w:tcBorders>
              <w:top w:val="single" w:sz="4" w:space="0" w:color="auto"/>
              <w:left w:val="nil"/>
              <w:bottom w:val="single" w:sz="4" w:space="0" w:color="auto"/>
              <w:right w:val="single" w:sz="4" w:space="0" w:color="auto"/>
            </w:tcBorders>
            <w:shd w:val="clear" w:color="auto" w:fill="FFFFFF"/>
            <w:vAlign w:val="center"/>
            <w:hideMark/>
          </w:tcPr>
          <w:p w14:paraId="6D761202" w14:textId="06D08A7A" w:rsidR="0053025C" w:rsidRPr="00E05368" w:rsidRDefault="00C479B1" w:rsidP="007B3231">
            <w:pPr>
              <w:widowControl w:val="0"/>
              <w:jc w:val="both"/>
              <w:rPr>
                <w:rFonts w:ascii="Arial" w:eastAsia="华文细黑" w:hAnsi="Arial" w:cs="Arial"/>
                <w:sz w:val="18"/>
                <w:szCs w:val="18"/>
              </w:rPr>
            </w:pPr>
            <w:r w:rsidRPr="00C479B1">
              <w:rPr>
                <w:rFonts w:ascii="Arial" w:eastAsia="华文细黑" w:hAnsi="Arial" w:cs="Arial"/>
                <w:sz w:val="18"/>
                <w:szCs w:val="18"/>
              </w:rPr>
              <w:t>98.23%</w:t>
            </w:r>
          </w:p>
        </w:tc>
      </w:tr>
    </w:tbl>
    <w:p w14:paraId="7CB4A803" w14:textId="77777777" w:rsidR="00D62470" w:rsidRDefault="00D62470" w:rsidP="0053025C">
      <w:pPr>
        <w:pStyle w:val="1"/>
        <w:spacing w:before="240"/>
        <w:rPr>
          <w:rFonts w:ascii="Arial" w:eastAsia="方正黑体简体" w:hAnsi="Arial" w:cs="Arial"/>
          <w:b w:val="0"/>
          <w:bCs/>
          <w:sz w:val="32"/>
          <w:szCs w:val="32"/>
        </w:rPr>
        <w:sectPr w:rsidR="00D62470" w:rsidSect="009B0B0F">
          <w:headerReference w:type="even" r:id="rId69"/>
          <w:headerReference w:type="first" r:id="rId70"/>
          <w:pgSz w:w="11906" w:h="16838" w:code="9"/>
          <w:pgMar w:top="1843" w:right="1304" w:bottom="1134" w:left="1304" w:header="1134" w:footer="907" w:gutter="0"/>
          <w:cols w:space="425"/>
          <w:titlePg/>
          <w:docGrid w:linePitch="312"/>
        </w:sectPr>
      </w:pPr>
    </w:p>
    <w:p w14:paraId="6F20CA1C" w14:textId="7D6A93CA" w:rsidR="0053025C" w:rsidRPr="00E05368" w:rsidRDefault="0053025C" w:rsidP="0053025C">
      <w:pPr>
        <w:pStyle w:val="1"/>
        <w:spacing w:before="240"/>
        <w:rPr>
          <w:rFonts w:ascii="Arial" w:eastAsia="方正黑体简体" w:hAnsi="Arial" w:cs="Arial"/>
          <w:b w:val="0"/>
          <w:bCs/>
          <w:sz w:val="32"/>
          <w:szCs w:val="32"/>
        </w:rPr>
      </w:pPr>
      <w:bookmarkStart w:id="231" w:name="_Toc74662929"/>
      <w:r w:rsidRPr="00E05368">
        <w:rPr>
          <w:rFonts w:ascii="Arial" w:eastAsia="方正黑体简体" w:hAnsi="Arial" w:cs="Arial"/>
          <w:b w:val="0"/>
          <w:bCs/>
          <w:sz w:val="32"/>
          <w:szCs w:val="32"/>
        </w:rPr>
        <w:lastRenderedPageBreak/>
        <w:t>第六章</w:t>
      </w:r>
      <w:r w:rsidRPr="00E05368">
        <w:rPr>
          <w:rFonts w:ascii="Arial" w:eastAsia="方正黑体简体" w:hAnsi="Arial" w:cs="Arial"/>
          <w:b w:val="0"/>
          <w:bCs/>
          <w:sz w:val="32"/>
          <w:szCs w:val="32"/>
        </w:rPr>
        <w:t xml:space="preserve">  </w:t>
      </w:r>
      <w:r w:rsidRPr="00E05368">
        <w:rPr>
          <w:rFonts w:ascii="Arial" w:eastAsia="方正黑体简体" w:hAnsi="Arial" w:cs="Arial"/>
          <w:b w:val="0"/>
          <w:bCs/>
          <w:sz w:val="32"/>
          <w:szCs w:val="32"/>
        </w:rPr>
        <w:t>项目效应与风险评价</w:t>
      </w:r>
      <w:bookmarkEnd w:id="231"/>
    </w:p>
    <w:p w14:paraId="57F68E4E" w14:textId="77777777" w:rsidR="0053025C" w:rsidRPr="00E05368" w:rsidRDefault="0053025C" w:rsidP="0053025C">
      <w:pPr>
        <w:pStyle w:val="2"/>
        <w:spacing w:before="0" w:after="0" w:line="480" w:lineRule="auto"/>
        <w:rPr>
          <w:rFonts w:eastAsia="宋体" w:cs="Arial"/>
          <w:sz w:val="21"/>
          <w:szCs w:val="21"/>
        </w:rPr>
      </w:pPr>
      <w:bookmarkStart w:id="232" w:name="_Toc44300288"/>
      <w:bookmarkStart w:id="233" w:name="_Toc76889713"/>
      <w:bookmarkStart w:id="234" w:name="_Toc44300289"/>
      <w:bookmarkStart w:id="235" w:name="_Toc76889714"/>
      <w:bookmarkStart w:id="236" w:name="_Toc74662930"/>
      <w:r w:rsidRPr="00E05368">
        <w:rPr>
          <w:rFonts w:eastAsia="宋体" w:cs="Arial"/>
          <w:sz w:val="21"/>
          <w:szCs w:val="21"/>
        </w:rPr>
        <w:t>一、</w:t>
      </w:r>
      <w:bookmarkStart w:id="237" w:name="_Toc146106170"/>
      <w:bookmarkStart w:id="238" w:name="_Toc44300291"/>
      <w:bookmarkStart w:id="239" w:name="_Toc76889716"/>
      <w:bookmarkEnd w:id="232"/>
      <w:bookmarkEnd w:id="233"/>
      <w:bookmarkEnd w:id="234"/>
      <w:bookmarkEnd w:id="235"/>
      <w:r w:rsidRPr="00E05368">
        <w:rPr>
          <w:rFonts w:eastAsia="宋体" w:cs="Arial"/>
          <w:sz w:val="21"/>
          <w:szCs w:val="21"/>
        </w:rPr>
        <w:t>风险评价</w:t>
      </w:r>
      <w:bookmarkEnd w:id="237"/>
      <w:r w:rsidRPr="00E05368">
        <w:rPr>
          <w:rFonts w:eastAsia="宋体" w:cs="Arial" w:hint="eastAsia"/>
          <w:sz w:val="21"/>
          <w:szCs w:val="21"/>
        </w:rPr>
        <w:t>及</w:t>
      </w:r>
      <w:r w:rsidRPr="00E05368">
        <w:rPr>
          <w:rFonts w:eastAsia="宋体" w:cs="Arial"/>
          <w:sz w:val="21"/>
          <w:szCs w:val="21"/>
        </w:rPr>
        <w:t>防范措施</w:t>
      </w:r>
      <w:bookmarkEnd w:id="236"/>
    </w:p>
    <w:p w14:paraId="28BE2306" w14:textId="77777777" w:rsidR="0053025C" w:rsidRPr="00E05368" w:rsidRDefault="0053025C" w:rsidP="0053025C">
      <w:pPr>
        <w:adjustRightInd w:val="0"/>
        <w:snapToGrid w:val="0"/>
        <w:spacing w:line="480" w:lineRule="auto"/>
        <w:ind w:firstLine="561"/>
        <w:rPr>
          <w:rFonts w:ascii="Arial" w:hAnsi="Arial" w:cs="Arial"/>
          <w:color w:val="000000"/>
          <w:sz w:val="21"/>
          <w:szCs w:val="21"/>
        </w:rPr>
      </w:pPr>
      <w:bookmarkStart w:id="240" w:name="_Toc109118469"/>
      <w:bookmarkStart w:id="241" w:name="_Toc118531935"/>
      <w:bookmarkStart w:id="242" w:name="_Toc146106173"/>
      <w:r w:rsidRPr="00E05368">
        <w:rPr>
          <w:rFonts w:ascii="Arial" w:hAnsi="Arial" w:cs="Arial" w:hint="eastAsia"/>
          <w:color w:val="000000"/>
          <w:sz w:val="21"/>
          <w:szCs w:val="21"/>
        </w:rPr>
        <w:t>（一）风险</w:t>
      </w:r>
      <w:r w:rsidRPr="00E05368">
        <w:rPr>
          <w:rFonts w:ascii="Arial" w:hAnsi="Arial" w:cs="Arial"/>
          <w:color w:val="000000"/>
          <w:sz w:val="21"/>
          <w:szCs w:val="21"/>
        </w:rPr>
        <w:t>评价</w:t>
      </w:r>
    </w:p>
    <w:p w14:paraId="21526B1B" w14:textId="08893789" w:rsidR="0053025C" w:rsidRPr="00E05368" w:rsidRDefault="0053025C" w:rsidP="0053025C">
      <w:pPr>
        <w:adjustRightInd w:val="0"/>
        <w:snapToGrid w:val="0"/>
        <w:spacing w:line="480" w:lineRule="auto"/>
        <w:ind w:firstLine="561"/>
        <w:rPr>
          <w:rFonts w:ascii="Arial" w:hAnsi="Arial" w:cs="Arial"/>
          <w:color w:val="000000"/>
          <w:sz w:val="21"/>
          <w:szCs w:val="21"/>
        </w:rPr>
      </w:pPr>
      <w:r w:rsidRPr="00E05368">
        <w:rPr>
          <w:rFonts w:ascii="Arial" w:hAnsi="Arial" w:cs="Arial"/>
          <w:color w:val="000000"/>
          <w:sz w:val="21"/>
          <w:szCs w:val="21"/>
        </w:rPr>
        <w:t>根据国家和</w:t>
      </w:r>
      <w:r w:rsidR="00C017F5">
        <w:rPr>
          <w:rFonts w:ascii="Arial" w:hAnsi="Arial" w:cs="Arial" w:hint="eastAsia"/>
          <w:color w:val="000000"/>
          <w:sz w:val="21"/>
          <w:szCs w:val="21"/>
        </w:rPr>
        <w:t>南京</w:t>
      </w:r>
      <w:r w:rsidRPr="00E05368">
        <w:rPr>
          <w:rFonts w:ascii="Arial" w:hAnsi="Arial" w:cs="Arial"/>
          <w:color w:val="000000"/>
          <w:sz w:val="21"/>
          <w:szCs w:val="21"/>
        </w:rPr>
        <w:t>市对房地产物业政策、项目建设条件、资金筹措、产品销售进行综合分析，评估认为本项目主要存在市场风险</w:t>
      </w:r>
      <w:r w:rsidRPr="00E05368">
        <w:rPr>
          <w:rFonts w:ascii="Arial" w:hAnsi="Arial" w:cs="Arial" w:hint="eastAsia"/>
          <w:color w:val="000000"/>
          <w:sz w:val="21"/>
          <w:szCs w:val="21"/>
        </w:rPr>
        <w:t>、规划指标实现风险、工期控制及取得预售风险、成本控制风险</w:t>
      </w:r>
      <w:r w:rsidRPr="00E05368">
        <w:rPr>
          <w:rFonts w:ascii="Arial" w:hAnsi="Arial" w:cs="Arial"/>
          <w:color w:val="000000"/>
          <w:sz w:val="21"/>
          <w:szCs w:val="21"/>
        </w:rPr>
        <w:t>。</w:t>
      </w:r>
      <w:bookmarkStart w:id="243" w:name="_Toc148758536"/>
    </w:p>
    <w:p w14:paraId="71E3C10C" w14:textId="6EA06447" w:rsidR="0053025C" w:rsidRDefault="0053025C" w:rsidP="0053025C">
      <w:pPr>
        <w:adjustRightInd w:val="0"/>
        <w:snapToGrid w:val="0"/>
        <w:spacing w:line="480" w:lineRule="auto"/>
        <w:ind w:firstLine="561"/>
        <w:rPr>
          <w:rFonts w:ascii="Arial" w:hAnsi="Arial" w:cs="Arial"/>
          <w:color w:val="000000"/>
          <w:sz w:val="21"/>
          <w:szCs w:val="21"/>
        </w:rPr>
      </w:pPr>
      <w:r w:rsidRPr="00E05368">
        <w:rPr>
          <w:rFonts w:ascii="Arial" w:hAnsi="Arial" w:cs="Arial" w:hint="eastAsia"/>
          <w:color w:val="000000"/>
          <w:sz w:val="21"/>
          <w:szCs w:val="21"/>
        </w:rPr>
        <w:t>1</w:t>
      </w:r>
      <w:r w:rsidRPr="00E05368">
        <w:rPr>
          <w:rFonts w:ascii="Arial" w:hAnsi="Arial" w:cs="Arial"/>
          <w:color w:val="000000"/>
          <w:sz w:val="21"/>
          <w:szCs w:val="21"/>
        </w:rPr>
        <w:t>.</w:t>
      </w:r>
      <w:r w:rsidRPr="00E05368">
        <w:rPr>
          <w:rFonts w:ascii="Arial" w:hAnsi="Arial" w:cs="Arial" w:hint="eastAsia"/>
          <w:color w:val="000000"/>
          <w:sz w:val="21"/>
          <w:szCs w:val="21"/>
        </w:rPr>
        <w:t>市场风险</w:t>
      </w:r>
      <w:r w:rsidRPr="00E05368">
        <w:rPr>
          <w:rFonts w:ascii="Arial" w:hAnsi="Arial" w:cs="Arial"/>
          <w:color w:val="000000"/>
          <w:sz w:val="21"/>
          <w:szCs w:val="21"/>
        </w:rPr>
        <w:t>。虽然项目所处的</w:t>
      </w:r>
      <w:r w:rsidRPr="00E05368">
        <w:rPr>
          <w:rFonts w:ascii="Arial" w:hAnsi="Arial" w:cs="Arial" w:hint="eastAsia"/>
          <w:color w:val="000000"/>
          <w:sz w:val="21"/>
          <w:szCs w:val="21"/>
        </w:rPr>
        <w:t>区位</w:t>
      </w:r>
      <w:r>
        <w:rPr>
          <w:rFonts w:ascii="Arial" w:hAnsi="Arial" w:cs="Arial" w:hint="eastAsia"/>
          <w:color w:val="000000"/>
          <w:sz w:val="21"/>
          <w:szCs w:val="21"/>
        </w:rPr>
        <w:t>未来规划发展具有一定的市场潜力</w:t>
      </w:r>
      <w:r w:rsidRPr="00E05368">
        <w:rPr>
          <w:rFonts w:ascii="Arial" w:hAnsi="Arial" w:cs="Arial"/>
          <w:color w:val="000000"/>
          <w:sz w:val="21"/>
          <w:szCs w:val="21"/>
        </w:rPr>
        <w:t>，企业</w:t>
      </w:r>
      <w:r w:rsidRPr="00E05368">
        <w:rPr>
          <w:rFonts w:ascii="Arial" w:hAnsi="Arial" w:cs="Arial" w:hint="eastAsia"/>
          <w:color w:val="000000"/>
          <w:sz w:val="21"/>
          <w:szCs w:val="21"/>
        </w:rPr>
        <w:t>未来</w:t>
      </w:r>
      <w:r w:rsidRPr="00E05368">
        <w:rPr>
          <w:rFonts w:ascii="Arial" w:hAnsi="Arial" w:cs="Arial"/>
          <w:color w:val="000000"/>
          <w:sz w:val="21"/>
          <w:szCs w:val="21"/>
        </w:rPr>
        <w:t>也</w:t>
      </w:r>
      <w:r w:rsidRPr="00E05368">
        <w:rPr>
          <w:rFonts w:ascii="Arial" w:hAnsi="Arial" w:cs="Arial" w:hint="eastAsia"/>
          <w:color w:val="000000"/>
          <w:sz w:val="21"/>
          <w:szCs w:val="21"/>
        </w:rPr>
        <w:t>会</w:t>
      </w:r>
      <w:r w:rsidRPr="00E05368">
        <w:rPr>
          <w:rFonts w:ascii="Arial" w:hAnsi="Arial" w:cs="Arial"/>
          <w:color w:val="000000"/>
          <w:sz w:val="21"/>
          <w:szCs w:val="21"/>
        </w:rPr>
        <w:t>根据项目自身特色确定市场推广方式和促销办法</w:t>
      </w:r>
      <w:r w:rsidRPr="00E05368">
        <w:rPr>
          <w:rFonts w:ascii="Arial" w:hAnsi="Arial" w:cs="Arial" w:hint="eastAsia"/>
          <w:color w:val="000000"/>
          <w:sz w:val="21"/>
          <w:szCs w:val="21"/>
        </w:rPr>
        <w:t>，</w:t>
      </w:r>
      <w:r w:rsidRPr="00E05368">
        <w:rPr>
          <w:rFonts w:ascii="Arial" w:hAnsi="Arial" w:cs="Arial"/>
          <w:color w:val="000000"/>
          <w:sz w:val="21"/>
          <w:szCs w:val="21"/>
        </w:rPr>
        <w:t>但由于</w:t>
      </w:r>
      <w:r w:rsidRPr="00FA1FAC">
        <w:rPr>
          <w:rFonts w:ascii="Arial" w:hAnsi="Arial" w:cs="Arial" w:hint="eastAsia"/>
          <w:color w:val="000000"/>
          <w:sz w:val="21"/>
          <w:szCs w:val="21"/>
        </w:rPr>
        <w:t>近两年区域供应量</w:t>
      </w:r>
      <w:r w:rsidR="00C017F5">
        <w:rPr>
          <w:rFonts w:ascii="Arial" w:hAnsi="Arial" w:cs="Arial" w:hint="eastAsia"/>
          <w:color w:val="000000"/>
          <w:sz w:val="21"/>
          <w:szCs w:val="21"/>
        </w:rPr>
        <w:t>稳定</w:t>
      </w:r>
      <w:r w:rsidRPr="00FA1FAC">
        <w:rPr>
          <w:rFonts w:ascii="Arial" w:hAnsi="Arial" w:cs="Arial" w:hint="eastAsia"/>
          <w:color w:val="000000"/>
          <w:sz w:val="21"/>
          <w:szCs w:val="21"/>
        </w:rPr>
        <w:t>，</w:t>
      </w:r>
      <w:r w:rsidRPr="00E05368">
        <w:rPr>
          <w:rFonts w:ascii="Arial" w:hAnsi="Arial" w:cs="Arial"/>
          <w:color w:val="000000"/>
          <w:sz w:val="21"/>
          <w:szCs w:val="21"/>
        </w:rPr>
        <w:t>项目</w:t>
      </w:r>
      <w:r w:rsidRPr="00E05368">
        <w:rPr>
          <w:rFonts w:ascii="Arial" w:hAnsi="Arial" w:cs="Arial" w:hint="eastAsia"/>
          <w:color w:val="000000"/>
          <w:sz w:val="21"/>
          <w:szCs w:val="21"/>
        </w:rPr>
        <w:t>周边</w:t>
      </w:r>
      <w:r w:rsidR="00C017F5">
        <w:rPr>
          <w:rFonts w:ascii="Arial" w:hAnsi="Arial" w:cs="Arial" w:hint="eastAsia"/>
          <w:color w:val="000000"/>
          <w:sz w:val="21"/>
          <w:szCs w:val="21"/>
        </w:rPr>
        <w:t>存在一定数量的</w:t>
      </w:r>
      <w:proofErr w:type="gramStart"/>
      <w:r w:rsidR="00C017F5">
        <w:rPr>
          <w:rFonts w:ascii="Arial" w:hAnsi="Arial" w:cs="Arial" w:hint="eastAsia"/>
          <w:color w:val="000000"/>
          <w:sz w:val="21"/>
          <w:szCs w:val="21"/>
        </w:rPr>
        <w:t>竞品项目</w:t>
      </w:r>
      <w:proofErr w:type="gramEnd"/>
      <w:r w:rsidR="00C017F5">
        <w:rPr>
          <w:rFonts w:ascii="Arial" w:hAnsi="Arial" w:cs="Arial" w:hint="eastAsia"/>
          <w:color w:val="000000"/>
          <w:sz w:val="21"/>
          <w:szCs w:val="21"/>
        </w:rPr>
        <w:t>及潜在供应</w:t>
      </w:r>
      <w:r w:rsidRPr="00E05368">
        <w:rPr>
          <w:rFonts w:ascii="Arial" w:hAnsi="Arial" w:cs="Arial" w:hint="eastAsia"/>
          <w:color w:val="000000"/>
          <w:sz w:val="21"/>
          <w:szCs w:val="21"/>
        </w:rPr>
        <w:t>，</w:t>
      </w:r>
      <w:r>
        <w:rPr>
          <w:rFonts w:ascii="Arial" w:hAnsi="Arial" w:cs="Arial" w:hint="eastAsia"/>
          <w:color w:val="000000"/>
          <w:sz w:val="21"/>
          <w:szCs w:val="21"/>
        </w:rPr>
        <w:t>市场</w:t>
      </w:r>
      <w:r w:rsidR="00C017F5">
        <w:rPr>
          <w:rFonts w:ascii="Arial" w:hAnsi="Arial" w:cs="Arial" w:hint="eastAsia"/>
          <w:color w:val="000000"/>
          <w:sz w:val="21"/>
          <w:szCs w:val="21"/>
        </w:rPr>
        <w:t>价格受政府备案制度的约束，价格运行稳定，</w:t>
      </w:r>
      <w:r w:rsidRPr="00FA1FAC">
        <w:rPr>
          <w:rFonts w:ascii="Arial" w:hAnsi="Arial" w:cs="Arial" w:hint="eastAsia"/>
          <w:color w:val="000000"/>
          <w:sz w:val="21"/>
          <w:szCs w:val="21"/>
        </w:rPr>
        <w:t>区域涨价能力较弱。</w:t>
      </w:r>
      <w:r w:rsidRPr="00E05368">
        <w:rPr>
          <w:rFonts w:ascii="Arial" w:hAnsi="Arial" w:cs="Arial"/>
          <w:color w:val="000000"/>
          <w:sz w:val="21"/>
          <w:szCs w:val="21"/>
        </w:rPr>
        <w:t>评估认为只有在确保能够实现有效的营销策略以及房地产市场得以持续稳定增长的前提条件下，定价是可以实现的。因此项目销售可能受到一定影响。</w:t>
      </w:r>
      <w:bookmarkEnd w:id="243"/>
    </w:p>
    <w:p w14:paraId="4971EC2F" w14:textId="0A374DEF" w:rsidR="0053025C" w:rsidRPr="00E05368" w:rsidRDefault="0053025C" w:rsidP="0053025C">
      <w:pPr>
        <w:adjustRightInd w:val="0"/>
        <w:snapToGrid w:val="0"/>
        <w:spacing w:line="480" w:lineRule="auto"/>
        <w:ind w:firstLine="561"/>
        <w:rPr>
          <w:rFonts w:ascii="Arial" w:hAnsi="Arial" w:cs="Arial"/>
          <w:color w:val="000000"/>
          <w:sz w:val="21"/>
          <w:szCs w:val="21"/>
        </w:rPr>
      </w:pPr>
      <w:r w:rsidRPr="00E05368">
        <w:rPr>
          <w:rFonts w:ascii="Arial" w:hAnsi="Arial" w:cs="Arial" w:hint="eastAsia"/>
          <w:color w:val="000000"/>
          <w:sz w:val="21"/>
          <w:szCs w:val="21"/>
        </w:rPr>
        <w:t>2</w:t>
      </w:r>
      <w:r w:rsidRPr="00E05368">
        <w:rPr>
          <w:rFonts w:ascii="Arial" w:hAnsi="Arial" w:cs="Arial"/>
          <w:color w:val="000000"/>
          <w:sz w:val="21"/>
          <w:szCs w:val="21"/>
        </w:rPr>
        <w:t>.</w:t>
      </w:r>
      <w:r w:rsidRPr="00E05368">
        <w:rPr>
          <w:rFonts w:ascii="Arial" w:hAnsi="Arial" w:cs="Arial" w:hint="eastAsia"/>
          <w:color w:val="000000"/>
          <w:sz w:val="21"/>
          <w:szCs w:val="21"/>
        </w:rPr>
        <w:t>规划</w:t>
      </w:r>
      <w:r w:rsidRPr="00E05368">
        <w:rPr>
          <w:rFonts w:ascii="Arial" w:hAnsi="Arial" w:cs="Arial"/>
          <w:color w:val="000000"/>
          <w:sz w:val="21"/>
          <w:szCs w:val="21"/>
        </w:rPr>
        <w:t>指标实现风险。</w:t>
      </w:r>
      <w:r w:rsidRPr="00E05368">
        <w:rPr>
          <w:rFonts w:ascii="Arial" w:hAnsi="Arial" w:cs="Arial" w:hint="eastAsia"/>
          <w:color w:val="000000"/>
          <w:sz w:val="21"/>
          <w:szCs w:val="21"/>
        </w:rPr>
        <w:t>本次可行性研究项目规划建筑面积以建设</w:t>
      </w:r>
      <w:r>
        <w:rPr>
          <w:rFonts w:ascii="Arial" w:hAnsi="Arial" w:cs="Arial" w:hint="eastAsia"/>
          <w:color w:val="000000"/>
          <w:sz w:val="21"/>
          <w:szCs w:val="21"/>
        </w:rPr>
        <w:t>单位</w:t>
      </w:r>
      <w:r w:rsidRPr="00E05368">
        <w:rPr>
          <w:rFonts w:ascii="Arial" w:hAnsi="Arial" w:cs="Arial" w:hint="eastAsia"/>
          <w:color w:val="000000"/>
          <w:sz w:val="21"/>
          <w:szCs w:val="21"/>
        </w:rPr>
        <w:t>提供的</w:t>
      </w:r>
      <w:r w:rsidR="007517E9">
        <w:rPr>
          <w:rFonts w:ascii="Arial" w:hAnsi="Arial" w:cs="Arial" w:hint="eastAsia"/>
          <w:color w:val="000000"/>
          <w:sz w:val="21"/>
          <w:szCs w:val="21"/>
        </w:rPr>
        <w:t>现有资料</w:t>
      </w:r>
      <w:r w:rsidRPr="00E05368">
        <w:rPr>
          <w:rFonts w:ascii="Arial" w:hAnsi="Arial" w:cs="Arial" w:hint="eastAsia"/>
          <w:color w:val="000000"/>
          <w:sz w:val="21"/>
          <w:szCs w:val="21"/>
        </w:rPr>
        <w:t>为依据，</w:t>
      </w:r>
      <w:r>
        <w:rPr>
          <w:rFonts w:ascii="Arial" w:hAnsi="Arial" w:cs="Arial" w:hint="eastAsia"/>
          <w:color w:val="000000"/>
          <w:sz w:val="21"/>
          <w:szCs w:val="21"/>
        </w:rPr>
        <w:t>建设项目尚未</w:t>
      </w:r>
      <w:r w:rsidRPr="00E05368">
        <w:rPr>
          <w:rFonts w:ascii="Arial" w:hAnsi="Arial" w:cs="Arial" w:hint="eastAsia"/>
          <w:color w:val="000000"/>
          <w:sz w:val="21"/>
          <w:szCs w:val="21"/>
        </w:rPr>
        <w:t>办理《建设工程规划许可证》，</w:t>
      </w:r>
      <w:r>
        <w:rPr>
          <w:rFonts w:ascii="Arial" w:hAnsi="Arial" w:cs="Arial" w:hint="eastAsia"/>
          <w:color w:val="000000"/>
          <w:sz w:val="21"/>
          <w:szCs w:val="21"/>
        </w:rPr>
        <w:t>如不能按该设计指标办理《建设工程规划许可证》，则会影响项目现金流入；若由于规划变更可能将产生补缴地价款情况，也会影响项目现金流入。</w:t>
      </w:r>
    </w:p>
    <w:p w14:paraId="327EA676" w14:textId="77777777" w:rsidR="0053025C" w:rsidRPr="00E05368" w:rsidRDefault="0053025C" w:rsidP="0053025C">
      <w:pPr>
        <w:adjustRightInd w:val="0"/>
        <w:snapToGrid w:val="0"/>
        <w:spacing w:line="480" w:lineRule="auto"/>
        <w:ind w:firstLine="561"/>
        <w:rPr>
          <w:rFonts w:ascii="Arial" w:hAnsi="Arial" w:cs="Arial"/>
          <w:color w:val="000000"/>
          <w:sz w:val="21"/>
          <w:szCs w:val="21"/>
        </w:rPr>
      </w:pPr>
      <w:r w:rsidRPr="00E05368">
        <w:rPr>
          <w:rFonts w:ascii="Arial" w:hAnsi="Arial" w:cs="Arial" w:hint="eastAsia"/>
          <w:color w:val="000000"/>
          <w:sz w:val="21"/>
          <w:szCs w:val="21"/>
        </w:rPr>
        <w:t>3</w:t>
      </w:r>
      <w:r w:rsidRPr="00E05368">
        <w:rPr>
          <w:rFonts w:ascii="Arial" w:hAnsi="Arial" w:cs="Arial"/>
          <w:color w:val="000000"/>
          <w:sz w:val="21"/>
          <w:szCs w:val="21"/>
        </w:rPr>
        <w:t>.</w:t>
      </w:r>
      <w:r w:rsidRPr="00E05368">
        <w:rPr>
          <w:rFonts w:ascii="Arial" w:hAnsi="Arial" w:cs="Arial" w:hint="eastAsia"/>
          <w:color w:val="000000"/>
          <w:sz w:val="21"/>
          <w:szCs w:val="21"/>
        </w:rPr>
        <w:t>工期控制及取得预售风险。项目尚处于较前期阶段，尚未取得《不动产权证书》</w:t>
      </w:r>
      <w:r>
        <w:rPr>
          <w:rFonts w:ascii="Arial" w:hAnsi="Arial" w:cs="Arial" w:hint="eastAsia"/>
          <w:color w:val="000000"/>
          <w:sz w:val="21"/>
          <w:szCs w:val="21"/>
        </w:rPr>
        <w:t>、</w:t>
      </w:r>
      <w:r w:rsidRPr="00E05368">
        <w:rPr>
          <w:rFonts w:ascii="Arial" w:hAnsi="Arial" w:cs="Arial" w:hint="eastAsia"/>
          <w:color w:val="000000"/>
          <w:sz w:val="21"/>
          <w:szCs w:val="21"/>
        </w:rPr>
        <w:t>《建设工程规划许可证》</w:t>
      </w:r>
      <w:r>
        <w:rPr>
          <w:rFonts w:ascii="Arial" w:hAnsi="Arial" w:cs="Arial" w:hint="eastAsia"/>
          <w:color w:val="000000"/>
          <w:sz w:val="21"/>
          <w:szCs w:val="21"/>
        </w:rPr>
        <w:t>、《建筑工程施工许可证》、</w:t>
      </w:r>
      <w:r w:rsidRPr="00E05368">
        <w:rPr>
          <w:rFonts w:ascii="Arial" w:hAnsi="Arial" w:cs="Arial" w:hint="eastAsia"/>
          <w:color w:val="000000"/>
          <w:sz w:val="21"/>
          <w:szCs w:val="21"/>
        </w:rPr>
        <w:t>《预售许可证》</w:t>
      </w:r>
      <w:r>
        <w:rPr>
          <w:rFonts w:ascii="Arial" w:hAnsi="Arial" w:cs="Arial" w:hint="eastAsia"/>
          <w:color w:val="000000"/>
          <w:sz w:val="21"/>
          <w:szCs w:val="21"/>
        </w:rPr>
        <w:t>，</w:t>
      </w:r>
      <w:r w:rsidRPr="00E05368">
        <w:rPr>
          <w:rFonts w:ascii="Arial" w:hAnsi="Arial" w:cs="Arial" w:hint="eastAsia"/>
          <w:color w:val="000000"/>
          <w:sz w:val="21"/>
          <w:szCs w:val="21"/>
        </w:rPr>
        <w:t>能否保证工期进度、顺利取得预售、实现销售存在一定的风险。</w:t>
      </w:r>
    </w:p>
    <w:p w14:paraId="3FC4B91C" w14:textId="77777777" w:rsidR="0053025C" w:rsidRPr="00E05368" w:rsidRDefault="0053025C" w:rsidP="0053025C">
      <w:pPr>
        <w:adjustRightInd w:val="0"/>
        <w:snapToGrid w:val="0"/>
        <w:spacing w:line="480" w:lineRule="auto"/>
        <w:ind w:firstLine="561"/>
        <w:rPr>
          <w:rFonts w:ascii="Arial" w:hAnsi="Arial" w:cs="Arial"/>
          <w:color w:val="000000"/>
          <w:sz w:val="21"/>
          <w:szCs w:val="21"/>
        </w:rPr>
      </w:pPr>
      <w:r w:rsidRPr="00E05368">
        <w:rPr>
          <w:rFonts w:ascii="Arial" w:hAnsi="Arial" w:cs="Arial" w:hint="eastAsia"/>
          <w:color w:val="000000"/>
          <w:sz w:val="21"/>
          <w:szCs w:val="21"/>
        </w:rPr>
        <w:t>4</w:t>
      </w:r>
      <w:r w:rsidRPr="00E05368">
        <w:rPr>
          <w:rFonts w:ascii="Arial" w:hAnsi="Arial" w:cs="Arial"/>
          <w:color w:val="000000"/>
          <w:sz w:val="21"/>
          <w:szCs w:val="21"/>
        </w:rPr>
        <w:t>.</w:t>
      </w:r>
      <w:r w:rsidRPr="00E05368">
        <w:rPr>
          <w:rFonts w:ascii="Arial" w:hAnsi="Arial" w:cs="Arial" w:hint="eastAsia"/>
          <w:color w:val="000000"/>
          <w:sz w:val="21"/>
          <w:szCs w:val="21"/>
        </w:rPr>
        <w:t>成本控制风险。随着人力物料等成本的不断上升项目的开发成本会存在一定的上升风险。</w:t>
      </w:r>
    </w:p>
    <w:p w14:paraId="78FE4282" w14:textId="77777777" w:rsidR="0053025C" w:rsidRPr="00E05368" w:rsidRDefault="0053025C" w:rsidP="0053025C">
      <w:pPr>
        <w:adjustRightInd w:val="0"/>
        <w:snapToGrid w:val="0"/>
        <w:spacing w:line="480" w:lineRule="auto"/>
        <w:ind w:firstLine="561"/>
        <w:rPr>
          <w:rFonts w:ascii="Arial" w:hAnsi="Arial" w:cs="Arial"/>
          <w:color w:val="000000"/>
          <w:sz w:val="21"/>
          <w:szCs w:val="21"/>
        </w:rPr>
      </w:pPr>
      <w:r w:rsidRPr="00E05368">
        <w:rPr>
          <w:rFonts w:ascii="Arial" w:hAnsi="Arial" w:cs="Arial" w:hint="eastAsia"/>
          <w:color w:val="000000"/>
          <w:sz w:val="21"/>
          <w:szCs w:val="21"/>
        </w:rPr>
        <w:t>(</w:t>
      </w:r>
      <w:r w:rsidRPr="00E05368">
        <w:rPr>
          <w:rFonts w:ascii="Arial" w:hAnsi="Arial" w:cs="Arial" w:hint="eastAsia"/>
          <w:color w:val="000000"/>
          <w:sz w:val="21"/>
          <w:szCs w:val="21"/>
        </w:rPr>
        <w:t>二）风险防范措施</w:t>
      </w:r>
    </w:p>
    <w:p w14:paraId="4D4A5F2D" w14:textId="77777777" w:rsidR="0053025C" w:rsidRPr="00E05368" w:rsidRDefault="0053025C" w:rsidP="0053025C">
      <w:pPr>
        <w:adjustRightInd w:val="0"/>
        <w:snapToGrid w:val="0"/>
        <w:spacing w:line="480" w:lineRule="auto"/>
        <w:ind w:firstLine="561"/>
        <w:rPr>
          <w:rFonts w:ascii="Arial" w:hAnsi="Arial" w:cs="Arial"/>
          <w:color w:val="000000"/>
          <w:sz w:val="21"/>
          <w:szCs w:val="21"/>
        </w:rPr>
      </w:pPr>
      <w:r w:rsidRPr="00E05368">
        <w:rPr>
          <w:rFonts w:ascii="Arial" w:hAnsi="Arial" w:cs="Arial"/>
          <w:color w:val="000000"/>
          <w:sz w:val="21"/>
          <w:szCs w:val="21"/>
        </w:rPr>
        <w:t>1.</w:t>
      </w:r>
      <w:r w:rsidRPr="00E05368">
        <w:rPr>
          <w:rFonts w:ascii="Arial" w:hAnsi="Arial" w:cs="Arial" w:hint="eastAsia"/>
          <w:color w:val="000000"/>
          <w:sz w:val="21"/>
          <w:szCs w:val="21"/>
        </w:rPr>
        <w:t>针对规划指标实现风险，建议贵公司监督融资主体的前期进度，</w:t>
      </w:r>
      <w:r>
        <w:rPr>
          <w:rFonts w:ascii="Arial" w:hAnsi="Arial" w:cs="Arial"/>
          <w:color w:val="000000"/>
          <w:sz w:val="21"/>
          <w:szCs w:val="21"/>
        </w:rPr>
        <w:t>按时取得</w:t>
      </w:r>
      <w:r w:rsidRPr="00E05368">
        <w:rPr>
          <w:rFonts w:ascii="Arial" w:hAnsi="Arial" w:cs="Arial" w:hint="eastAsia"/>
          <w:color w:val="000000"/>
          <w:sz w:val="21"/>
          <w:szCs w:val="21"/>
        </w:rPr>
        <w:t>相关证件，保证项目工期。</w:t>
      </w:r>
    </w:p>
    <w:p w14:paraId="3932150B" w14:textId="77777777" w:rsidR="0053025C" w:rsidRDefault="0053025C" w:rsidP="0053025C">
      <w:pPr>
        <w:adjustRightInd w:val="0"/>
        <w:snapToGrid w:val="0"/>
        <w:spacing w:line="480" w:lineRule="auto"/>
        <w:ind w:firstLine="561"/>
        <w:rPr>
          <w:rFonts w:ascii="Arial" w:hAnsi="Arial" w:cs="Arial"/>
          <w:color w:val="000000"/>
          <w:sz w:val="21"/>
          <w:szCs w:val="21"/>
        </w:rPr>
      </w:pPr>
      <w:r w:rsidRPr="00E05368">
        <w:rPr>
          <w:rFonts w:ascii="Arial" w:hAnsi="Arial" w:cs="Arial"/>
          <w:color w:val="000000"/>
          <w:sz w:val="21"/>
          <w:szCs w:val="21"/>
        </w:rPr>
        <w:t>2.</w:t>
      </w:r>
      <w:r w:rsidRPr="00E05368">
        <w:rPr>
          <w:rFonts w:ascii="Arial" w:hAnsi="Arial" w:cs="Arial" w:hint="eastAsia"/>
          <w:color w:val="000000"/>
          <w:sz w:val="21"/>
          <w:szCs w:val="21"/>
        </w:rPr>
        <w:t>针对工期控制及取得预售风险，建议监督企业的开发进度，严格按照企业预定的时间节点进行项目开发建设。</w:t>
      </w:r>
    </w:p>
    <w:p w14:paraId="515E1CB7" w14:textId="77777777" w:rsidR="0053025C" w:rsidRPr="00E05368" w:rsidRDefault="0053025C" w:rsidP="0053025C">
      <w:pPr>
        <w:adjustRightInd w:val="0"/>
        <w:snapToGrid w:val="0"/>
        <w:spacing w:line="480" w:lineRule="auto"/>
        <w:ind w:firstLine="561"/>
        <w:rPr>
          <w:rFonts w:ascii="Arial" w:hAnsi="Arial" w:cs="Arial"/>
          <w:color w:val="000000"/>
          <w:sz w:val="21"/>
          <w:szCs w:val="21"/>
        </w:rPr>
      </w:pPr>
      <w:r w:rsidRPr="00E05368">
        <w:rPr>
          <w:rFonts w:ascii="Arial" w:hAnsi="Arial" w:cs="Arial"/>
          <w:color w:val="000000"/>
          <w:sz w:val="21"/>
          <w:szCs w:val="21"/>
        </w:rPr>
        <w:lastRenderedPageBreak/>
        <w:t>3.</w:t>
      </w:r>
      <w:r w:rsidRPr="00E05368">
        <w:rPr>
          <w:rFonts w:ascii="Arial" w:hAnsi="Arial" w:cs="Arial" w:hint="eastAsia"/>
          <w:color w:val="000000"/>
          <w:sz w:val="21"/>
          <w:szCs w:val="21"/>
        </w:rPr>
        <w:t>针对成本控制风险，建议贵公司督促主体及时与相关部门沟通，敦促证照</w:t>
      </w:r>
      <w:r w:rsidRPr="00E05368">
        <w:rPr>
          <w:rFonts w:ascii="Arial" w:hAnsi="Arial" w:cs="Arial"/>
          <w:color w:val="000000"/>
          <w:sz w:val="21"/>
          <w:szCs w:val="21"/>
        </w:rPr>
        <w:t>的及时取得</w:t>
      </w:r>
      <w:r w:rsidRPr="00E05368">
        <w:rPr>
          <w:rFonts w:ascii="Arial" w:hAnsi="Arial" w:cs="Arial" w:hint="eastAsia"/>
          <w:color w:val="000000"/>
          <w:sz w:val="21"/>
          <w:szCs w:val="21"/>
        </w:rPr>
        <w:t>，另外需督促融资企业尽快将项目具体设计方案确定下来，同时关注其总包合同的签订等相关事宜，严格控制项目建设的各项成本。</w:t>
      </w:r>
    </w:p>
    <w:p w14:paraId="22806A87" w14:textId="77777777" w:rsidR="0053025C" w:rsidRPr="00E05368" w:rsidRDefault="0053025C" w:rsidP="0053025C">
      <w:pPr>
        <w:adjustRightInd w:val="0"/>
        <w:snapToGrid w:val="0"/>
        <w:spacing w:line="480" w:lineRule="auto"/>
        <w:ind w:firstLine="561"/>
        <w:rPr>
          <w:rFonts w:ascii="Arial" w:hAnsi="Arial" w:cs="Arial"/>
          <w:color w:val="000000"/>
          <w:sz w:val="21"/>
          <w:szCs w:val="21"/>
        </w:rPr>
      </w:pPr>
      <w:r w:rsidRPr="00E05368">
        <w:rPr>
          <w:rFonts w:ascii="Arial" w:hAnsi="Arial" w:cs="Arial"/>
          <w:color w:val="000000"/>
          <w:sz w:val="21"/>
          <w:szCs w:val="21"/>
        </w:rPr>
        <w:t>4.</w:t>
      </w:r>
      <w:r w:rsidRPr="00E05368">
        <w:rPr>
          <w:rFonts w:ascii="Arial" w:hAnsi="Arial" w:cs="Arial" w:hint="eastAsia"/>
          <w:color w:val="000000"/>
          <w:sz w:val="21"/>
          <w:szCs w:val="21"/>
        </w:rPr>
        <w:t>针对市场风险，建议贵公司督促融资主体，严格控制工期，尽早取得预售证，争取早日将项目销售完毕。</w:t>
      </w:r>
    </w:p>
    <w:p w14:paraId="338392E9" w14:textId="77777777" w:rsidR="0053025C" w:rsidRPr="00E05368" w:rsidRDefault="0053025C" w:rsidP="0053025C">
      <w:pPr>
        <w:pStyle w:val="2"/>
        <w:spacing w:before="0" w:after="0" w:line="480" w:lineRule="auto"/>
        <w:rPr>
          <w:rFonts w:eastAsia="宋体" w:cs="Arial"/>
          <w:bCs/>
          <w:color w:val="000000"/>
          <w:sz w:val="21"/>
          <w:szCs w:val="21"/>
        </w:rPr>
      </w:pPr>
      <w:bookmarkStart w:id="244" w:name="_Toc74662931"/>
      <w:r w:rsidRPr="00E05368">
        <w:rPr>
          <w:rFonts w:eastAsia="宋体" w:cs="Arial"/>
          <w:sz w:val="21"/>
          <w:szCs w:val="21"/>
        </w:rPr>
        <w:t>二、项目效应评价</w:t>
      </w:r>
      <w:bookmarkEnd w:id="240"/>
      <w:bookmarkEnd w:id="241"/>
      <w:bookmarkEnd w:id="242"/>
      <w:bookmarkEnd w:id="244"/>
      <w:r w:rsidRPr="00E05368">
        <w:rPr>
          <w:rFonts w:eastAsia="宋体" w:cs="Arial"/>
          <w:b w:val="0"/>
          <w:bCs/>
          <w:color w:val="000000"/>
          <w:sz w:val="21"/>
          <w:szCs w:val="21"/>
        </w:rPr>
        <w:t xml:space="preserve"> </w:t>
      </w:r>
    </w:p>
    <w:p w14:paraId="59A7D4A0" w14:textId="77777777" w:rsidR="0053025C" w:rsidRPr="00E05368" w:rsidRDefault="0053025C" w:rsidP="0053025C">
      <w:pPr>
        <w:spacing w:line="480" w:lineRule="auto"/>
        <w:ind w:firstLineChars="200" w:firstLine="420"/>
        <w:rPr>
          <w:rFonts w:ascii="Arial" w:hAnsi="Arial" w:cs="Arial"/>
          <w:sz w:val="21"/>
          <w:szCs w:val="21"/>
        </w:rPr>
      </w:pPr>
      <w:r w:rsidRPr="00E05368">
        <w:rPr>
          <w:rFonts w:ascii="Arial" w:hAnsi="Arial" w:cs="Arial"/>
          <w:sz w:val="21"/>
          <w:szCs w:val="21"/>
        </w:rPr>
        <w:t>该项目的建设符合城市总体规划，一方面有利于更好地发挥城镇地区用地的土地利用价值，加速该城镇地区的建设</w:t>
      </w:r>
      <w:r w:rsidRPr="00E05368">
        <w:rPr>
          <w:rFonts w:ascii="Arial" w:hAnsi="Arial" w:cs="Arial" w:hint="eastAsia"/>
          <w:sz w:val="21"/>
          <w:szCs w:val="21"/>
        </w:rPr>
        <w:t>；</w:t>
      </w:r>
      <w:r w:rsidRPr="00E05368">
        <w:rPr>
          <w:rFonts w:ascii="Arial" w:hAnsi="Arial" w:cs="Arial"/>
          <w:sz w:val="21"/>
          <w:szCs w:val="21"/>
        </w:rPr>
        <w:t>另一方面项目为</w:t>
      </w:r>
      <w:r w:rsidRPr="00E05368">
        <w:rPr>
          <w:rFonts w:ascii="Arial" w:hAnsi="Arial" w:cs="Arial" w:hint="eastAsia"/>
          <w:sz w:val="21"/>
          <w:szCs w:val="21"/>
        </w:rPr>
        <w:t>居住</w:t>
      </w:r>
      <w:r w:rsidRPr="00E05368">
        <w:rPr>
          <w:rFonts w:ascii="Arial" w:hAnsi="Arial" w:cs="Arial"/>
          <w:sz w:val="21"/>
          <w:szCs w:val="21"/>
        </w:rPr>
        <w:t>项目，能够满足目标客户的居住及生活配套需求，具有一定的社会效益。</w:t>
      </w:r>
      <w:r w:rsidRPr="00E05368">
        <w:rPr>
          <w:rFonts w:ascii="Arial" w:hAnsi="Arial" w:cs="Arial"/>
          <w:sz w:val="21"/>
          <w:szCs w:val="21"/>
        </w:rPr>
        <w:br w:type="page"/>
      </w:r>
    </w:p>
    <w:p w14:paraId="1694F21E" w14:textId="77777777" w:rsidR="0053025C" w:rsidRPr="00E05368" w:rsidRDefault="0053025C" w:rsidP="0053025C">
      <w:pPr>
        <w:pStyle w:val="1"/>
        <w:spacing w:before="240"/>
        <w:rPr>
          <w:rFonts w:ascii="Arial" w:eastAsia="方正黑体简体" w:hAnsi="Arial" w:cs="Arial"/>
          <w:b w:val="0"/>
          <w:bCs/>
          <w:sz w:val="32"/>
          <w:szCs w:val="32"/>
        </w:rPr>
      </w:pPr>
      <w:bookmarkStart w:id="245" w:name="_Toc74662932"/>
      <w:r w:rsidRPr="00E05368">
        <w:rPr>
          <w:rFonts w:ascii="Arial" w:eastAsia="方正黑体简体" w:hAnsi="Arial" w:cs="Arial"/>
          <w:b w:val="0"/>
          <w:bCs/>
          <w:sz w:val="32"/>
          <w:szCs w:val="32"/>
        </w:rPr>
        <w:lastRenderedPageBreak/>
        <w:t>第七章</w:t>
      </w:r>
      <w:r w:rsidRPr="00E05368">
        <w:rPr>
          <w:rFonts w:ascii="Arial" w:eastAsia="方正黑体简体" w:hAnsi="Arial" w:cs="Arial"/>
          <w:b w:val="0"/>
          <w:bCs/>
          <w:sz w:val="32"/>
          <w:szCs w:val="32"/>
        </w:rPr>
        <w:t xml:space="preserve">  </w:t>
      </w:r>
      <w:bookmarkEnd w:id="238"/>
      <w:bookmarkEnd w:id="239"/>
      <w:r w:rsidRPr="00E05368">
        <w:rPr>
          <w:rFonts w:ascii="Arial" w:eastAsia="方正黑体简体" w:hAnsi="Arial" w:cs="Arial"/>
          <w:b w:val="0"/>
          <w:bCs/>
          <w:sz w:val="32"/>
          <w:szCs w:val="32"/>
        </w:rPr>
        <w:t>结论</w:t>
      </w:r>
      <w:bookmarkEnd w:id="245"/>
    </w:p>
    <w:p w14:paraId="6B192344" w14:textId="30343A05" w:rsidR="0053025C" w:rsidRPr="00E05368" w:rsidRDefault="0053025C" w:rsidP="0053025C">
      <w:pPr>
        <w:adjustRightInd w:val="0"/>
        <w:snapToGrid w:val="0"/>
        <w:spacing w:line="480" w:lineRule="auto"/>
        <w:ind w:firstLineChars="200" w:firstLine="420"/>
        <w:rPr>
          <w:rFonts w:ascii="Arial" w:hAnsi="Arial" w:cs="Arial"/>
          <w:sz w:val="21"/>
          <w:szCs w:val="21"/>
        </w:rPr>
      </w:pPr>
      <w:r w:rsidRPr="00E05368">
        <w:rPr>
          <w:rFonts w:ascii="Arial" w:hAnsi="Arial" w:cs="Arial"/>
          <w:color w:val="000000"/>
          <w:sz w:val="21"/>
          <w:szCs w:val="21"/>
        </w:rPr>
        <w:t>建设项目为</w:t>
      </w:r>
      <w:r w:rsidR="00233E84" w:rsidRPr="00233E84">
        <w:rPr>
          <w:rFonts w:ascii="Arial" w:hAnsi="Arial" w:cs="Arial" w:hint="eastAsia"/>
          <w:sz w:val="21"/>
          <w:szCs w:val="21"/>
        </w:rPr>
        <w:t>江苏省南京市雨花台区凤集大道以南、新湖大道以西</w:t>
      </w:r>
      <w:r w:rsidR="00233E84" w:rsidRPr="00233E84">
        <w:rPr>
          <w:rFonts w:ascii="Arial" w:hAnsi="Arial" w:cs="Arial"/>
          <w:sz w:val="21"/>
          <w:szCs w:val="21"/>
        </w:rPr>
        <w:t>NO.2021G35</w:t>
      </w:r>
      <w:r w:rsidR="00233E84" w:rsidRPr="00233E84">
        <w:rPr>
          <w:rFonts w:ascii="Arial" w:hAnsi="Arial" w:cs="Arial"/>
          <w:sz w:val="21"/>
          <w:szCs w:val="21"/>
        </w:rPr>
        <w:t>地块居住项目</w:t>
      </w:r>
      <w:r w:rsidRPr="00E05368">
        <w:rPr>
          <w:rFonts w:ascii="Arial" w:hAnsi="Arial" w:cs="Arial"/>
          <w:color w:val="000000"/>
          <w:sz w:val="21"/>
          <w:szCs w:val="21"/>
        </w:rPr>
        <w:t>，</w:t>
      </w:r>
      <w:r w:rsidRPr="00E05368">
        <w:rPr>
          <w:rFonts w:ascii="Arial" w:hAnsi="Arial" w:cs="Arial"/>
          <w:sz w:val="21"/>
          <w:szCs w:val="21"/>
        </w:rPr>
        <w:t>该项目的开发建设可以</w:t>
      </w:r>
      <w:r w:rsidRPr="00E05368">
        <w:rPr>
          <w:rFonts w:ascii="Arial" w:hAnsi="Arial" w:cs="Arial" w:hint="eastAsia"/>
          <w:sz w:val="21"/>
          <w:szCs w:val="21"/>
        </w:rPr>
        <w:t>提升该区域的成熟度</w:t>
      </w:r>
      <w:r w:rsidRPr="00E05368">
        <w:rPr>
          <w:rFonts w:ascii="Arial" w:hAnsi="Arial" w:cs="Arial"/>
          <w:sz w:val="21"/>
          <w:szCs w:val="21"/>
        </w:rPr>
        <w:t>，改善居民生活条件、优化区域发展环境，促进经济社会各方面提升拉动经济的增长，带动建筑、建材、生活消费品等相关产业的发展。</w:t>
      </w:r>
      <w:r w:rsidRPr="00E05368">
        <w:rPr>
          <w:rFonts w:ascii="Arial" w:hAnsi="Arial" w:cs="Arial"/>
          <w:color w:val="000000"/>
          <w:sz w:val="21"/>
          <w:szCs w:val="21"/>
        </w:rPr>
        <w:t>商品住宅可以满足人们对于首次置业或者改善性置业的需求</w:t>
      </w:r>
      <w:r w:rsidRPr="00E05368">
        <w:rPr>
          <w:rFonts w:ascii="Arial" w:hAnsi="Arial" w:cs="Arial"/>
          <w:sz w:val="21"/>
          <w:szCs w:val="21"/>
        </w:rPr>
        <w:t>，</w:t>
      </w:r>
      <w:r w:rsidRPr="00E05368">
        <w:rPr>
          <w:rFonts w:ascii="Arial" w:hAnsi="Arial" w:cs="Arial"/>
          <w:color w:val="000000"/>
          <w:sz w:val="21"/>
          <w:szCs w:val="21"/>
        </w:rPr>
        <w:t>产生较好的社会效益。从经济角度，该项目的建造标准以及建筑品质较高，</w:t>
      </w:r>
      <w:r w:rsidRPr="00E05368">
        <w:rPr>
          <w:rFonts w:ascii="Arial" w:hAnsi="Arial" w:cs="Arial" w:hint="eastAsia"/>
          <w:sz w:val="21"/>
          <w:szCs w:val="21"/>
        </w:rPr>
        <w:t>虽然</w:t>
      </w:r>
      <w:r w:rsidRPr="00E05368">
        <w:rPr>
          <w:rFonts w:ascii="Arial" w:hAnsi="Arial" w:cs="Arial"/>
          <w:sz w:val="21"/>
          <w:szCs w:val="21"/>
        </w:rPr>
        <w:t>项目</w:t>
      </w:r>
      <w:r w:rsidRPr="00E05368">
        <w:rPr>
          <w:rFonts w:ascii="Arial" w:hAnsi="Arial" w:cs="Arial" w:hint="eastAsia"/>
          <w:sz w:val="21"/>
          <w:szCs w:val="21"/>
        </w:rPr>
        <w:t>周边</w:t>
      </w:r>
      <w:r w:rsidR="00233E84">
        <w:rPr>
          <w:rFonts w:ascii="Arial" w:hAnsi="Arial" w:cs="Arial" w:hint="eastAsia"/>
          <w:sz w:val="21"/>
          <w:szCs w:val="21"/>
        </w:rPr>
        <w:t>存在一定</w:t>
      </w:r>
      <w:proofErr w:type="gramStart"/>
      <w:r w:rsidRPr="00E05368">
        <w:rPr>
          <w:rFonts w:ascii="Arial" w:hAnsi="Arial" w:cs="Arial" w:hint="eastAsia"/>
          <w:sz w:val="21"/>
          <w:szCs w:val="21"/>
        </w:rPr>
        <w:t>竞品项目</w:t>
      </w:r>
      <w:proofErr w:type="gramEnd"/>
      <w:r w:rsidR="00233E84">
        <w:rPr>
          <w:rFonts w:ascii="Arial" w:hAnsi="Arial" w:cs="Arial" w:hint="eastAsia"/>
          <w:sz w:val="21"/>
          <w:szCs w:val="21"/>
        </w:rPr>
        <w:t>及潜在供应</w:t>
      </w:r>
      <w:r w:rsidRPr="00E05368">
        <w:rPr>
          <w:rFonts w:ascii="Arial" w:hAnsi="Arial" w:cs="Arial"/>
          <w:color w:val="000000"/>
          <w:sz w:val="21"/>
          <w:szCs w:val="21"/>
        </w:rPr>
        <w:t>，</w:t>
      </w:r>
      <w:r w:rsidRPr="00E05368">
        <w:rPr>
          <w:rFonts w:ascii="Arial" w:hAnsi="Arial" w:cs="Arial" w:hint="eastAsia"/>
          <w:color w:val="000000"/>
          <w:sz w:val="21"/>
          <w:szCs w:val="21"/>
        </w:rPr>
        <w:t>但考虑到</w:t>
      </w:r>
      <w:r w:rsidRPr="00E05368">
        <w:rPr>
          <w:rFonts w:ascii="Arial" w:hAnsi="Arial" w:cs="Arial"/>
          <w:sz w:val="21"/>
          <w:szCs w:val="21"/>
        </w:rPr>
        <w:t>项目</w:t>
      </w:r>
      <w:r w:rsidRPr="00E05368">
        <w:rPr>
          <w:rFonts w:ascii="Arial" w:hAnsi="Arial" w:cs="Arial" w:hint="eastAsia"/>
          <w:sz w:val="21"/>
          <w:szCs w:val="21"/>
        </w:rPr>
        <w:t>区位</w:t>
      </w:r>
      <w:r w:rsidRPr="00E05368">
        <w:rPr>
          <w:rFonts w:ascii="Arial" w:hAnsi="Arial" w:cs="Arial"/>
          <w:sz w:val="21"/>
          <w:szCs w:val="21"/>
        </w:rPr>
        <w:t>条件</w:t>
      </w:r>
      <w:r w:rsidRPr="00E05368">
        <w:rPr>
          <w:rFonts w:ascii="Arial" w:hAnsi="Arial" w:cs="Arial" w:hint="eastAsia"/>
          <w:sz w:val="21"/>
          <w:szCs w:val="21"/>
        </w:rPr>
        <w:t>较好</w:t>
      </w:r>
      <w:r w:rsidRPr="00E05368">
        <w:rPr>
          <w:rFonts w:ascii="Arial" w:hAnsi="Arial" w:cs="Arial"/>
          <w:sz w:val="21"/>
          <w:szCs w:val="21"/>
        </w:rPr>
        <w:t>，未来有一定升值潜力</w:t>
      </w:r>
      <w:r w:rsidRPr="00E05368">
        <w:rPr>
          <w:rFonts w:ascii="Arial" w:hAnsi="Arial" w:cs="Arial"/>
          <w:color w:val="000000"/>
          <w:sz w:val="21"/>
          <w:szCs w:val="21"/>
        </w:rPr>
        <w:t>，因此本报告预测的项目售价是客观、合理的，是可以实现的。在预测销售计划</w:t>
      </w:r>
      <w:r w:rsidRPr="00E05368">
        <w:rPr>
          <w:rFonts w:ascii="Arial" w:hAnsi="Arial" w:cs="Arial" w:hint="eastAsia"/>
          <w:color w:val="000000"/>
          <w:sz w:val="21"/>
          <w:szCs w:val="21"/>
        </w:rPr>
        <w:t>、</w:t>
      </w:r>
      <w:r w:rsidRPr="00E05368">
        <w:rPr>
          <w:rFonts w:ascii="Arial" w:hAnsi="Arial" w:cs="Arial"/>
          <w:color w:val="000000"/>
          <w:sz w:val="21"/>
          <w:szCs w:val="21"/>
        </w:rPr>
        <w:t>经营计划能够实现的前提下，该项目的建设具有</w:t>
      </w:r>
      <w:r w:rsidRPr="00E05368">
        <w:rPr>
          <w:rFonts w:ascii="Arial" w:hAnsi="Arial" w:cs="Arial"/>
          <w:sz w:val="21"/>
          <w:szCs w:val="21"/>
        </w:rPr>
        <w:t>一定</w:t>
      </w:r>
      <w:r w:rsidRPr="00E05368">
        <w:rPr>
          <w:rFonts w:ascii="Arial" w:hAnsi="Arial" w:cs="Arial"/>
          <w:color w:val="000000"/>
          <w:sz w:val="21"/>
          <w:szCs w:val="21"/>
        </w:rPr>
        <w:t>的盈利能力。</w:t>
      </w:r>
      <w:r w:rsidRPr="00E05368">
        <w:rPr>
          <w:rFonts w:ascii="Arial" w:hAnsi="Arial" w:cs="Arial" w:hint="eastAsia"/>
          <w:color w:val="000000"/>
          <w:sz w:val="21"/>
          <w:szCs w:val="21"/>
        </w:rPr>
        <w:t>综上，</w:t>
      </w:r>
      <w:r w:rsidRPr="00E05368">
        <w:rPr>
          <w:rFonts w:ascii="Arial" w:hAnsi="Arial" w:cs="Arial" w:hint="eastAsia"/>
          <w:sz w:val="21"/>
          <w:szCs w:val="21"/>
        </w:rPr>
        <w:t>该项目的建设有一定的社会效益和市场需求，经测算经济效益能满足资金本盈利指标要求，因此评估认为该项目的建设是可行的。</w:t>
      </w:r>
    </w:p>
    <w:p w14:paraId="3E6AD4A6" w14:textId="77777777" w:rsidR="0053025C" w:rsidRPr="00E05368" w:rsidRDefault="0053025C" w:rsidP="0053025C">
      <w:pPr>
        <w:adjustRightInd w:val="0"/>
        <w:snapToGrid w:val="0"/>
        <w:spacing w:line="480" w:lineRule="auto"/>
        <w:ind w:firstLineChars="200" w:firstLine="420"/>
        <w:rPr>
          <w:rFonts w:ascii="Arial" w:hAnsi="Arial" w:cs="Arial"/>
          <w:sz w:val="21"/>
          <w:szCs w:val="21"/>
        </w:rPr>
      </w:pPr>
    </w:p>
    <w:p w14:paraId="236CC231" w14:textId="77777777" w:rsidR="0053025C" w:rsidRPr="00E05368" w:rsidRDefault="0053025C" w:rsidP="0053025C">
      <w:pPr>
        <w:adjustRightInd w:val="0"/>
        <w:snapToGrid w:val="0"/>
        <w:spacing w:line="480" w:lineRule="auto"/>
        <w:rPr>
          <w:rFonts w:ascii="Arial" w:hAnsi="Arial" w:cs="Arial"/>
          <w:sz w:val="21"/>
          <w:szCs w:val="21"/>
        </w:rPr>
      </w:pPr>
    </w:p>
    <w:p w14:paraId="1E629C22" w14:textId="77777777" w:rsidR="0053025C" w:rsidRPr="00E05368" w:rsidRDefault="0053025C" w:rsidP="0053025C">
      <w:pPr>
        <w:adjustRightInd w:val="0"/>
        <w:snapToGrid w:val="0"/>
        <w:spacing w:line="480" w:lineRule="auto"/>
        <w:ind w:firstLineChars="200" w:firstLine="420"/>
        <w:rPr>
          <w:rFonts w:ascii="Arial" w:hAnsi="Arial" w:cs="Arial"/>
          <w:sz w:val="21"/>
          <w:szCs w:val="21"/>
        </w:rPr>
      </w:pPr>
    </w:p>
    <w:p w14:paraId="480C7F05" w14:textId="77777777" w:rsidR="0053025C" w:rsidRPr="00E05368" w:rsidRDefault="0053025C" w:rsidP="0053025C">
      <w:pPr>
        <w:pStyle w:val="2"/>
        <w:rPr>
          <w:rFonts w:eastAsia="仿宋_GB2312" w:cs="Arial"/>
          <w:color w:val="000000"/>
        </w:rPr>
        <w:sectPr w:rsidR="0053025C" w:rsidRPr="00E05368" w:rsidSect="009B0B0F">
          <w:pgSz w:w="11906" w:h="16838" w:code="9"/>
          <w:pgMar w:top="1843" w:right="1304" w:bottom="1134" w:left="1304" w:header="1134" w:footer="907" w:gutter="0"/>
          <w:cols w:space="425"/>
          <w:titlePg/>
          <w:docGrid w:linePitch="312"/>
        </w:sectPr>
      </w:pPr>
    </w:p>
    <w:p w14:paraId="2271C546" w14:textId="77777777" w:rsidR="0053025C" w:rsidRPr="009F2FEF" w:rsidRDefault="0053025C" w:rsidP="0053025C">
      <w:pPr>
        <w:pStyle w:val="2"/>
        <w:spacing w:before="0" w:after="0" w:line="480" w:lineRule="auto"/>
        <w:rPr>
          <w:rFonts w:eastAsia="宋体" w:cs="Arial"/>
          <w:b w:val="0"/>
          <w:bCs/>
          <w:sz w:val="21"/>
          <w:szCs w:val="21"/>
        </w:rPr>
      </w:pPr>
      <w:bookmarkStart w:id="246" w:name="_Toc74662933"/>
      <w:r w:rsidRPr="009F2FEF">
        <w:rPr>
          <w:rFonts w:eastAsia="宋体" w:cs="Arial"/>
          <w:b w:val="0"/>
          <w:bCs/>
          <w:sz w:val="21"/>
          <w:szCs w:val="21"/>
        </w:rPr>
        <w:lastRenderedPageBreak/>
        <w:t>附</w:t>
      </w:r>
      <w:r w:rsidRPr="009F2FEF">
        <w:rPr>
          <w:rFonts w:eastAsia="宋体" w:cs="Arial" w:hint="eastAsia"/>
          <w:b w:val="0"/>
          <w:bCs/>
          <w:sz w:val="21"/>
          <w:szCs w:val="21"/>
        </w:rPr>
        <w:t>件</w:t>
      </w:r>
      <w:r w:rsidRPr="009F2FEF">
        <w:rPr>
          <w:rFonts w:eastAsia="宋体" w:cs="Arial"/>
          <w:b w:val="0"/>
          <w:bCs/>
          <w:sz w:val="21"/>
          <w:szCs w:val="21"/>
        </w:rPr>
        <w:t>：</w:t>
      </w:r>
      <w:bookmarkEnd w:id="246"/>
    </w:p>
    <w:p w14:paraId="01A9DBD6" w14:textId="77777777" w:rsidR="0053025C" w:rsidRPr="009F2FEF" w:rsidRDefault="0053025C" w:rsidP="0053025C">
      <w:pPr>
        <w:spacing w:line="480" w:lineRule="auto"/>
        <w:ind w:firstLineChars="100" w:firstLine="210"/>
        <w:rPr>
          <w:rFonts w:ascii="Arial" w:hAnsi="Arial" w:cs="Arial"/>
          <w:bCs/>
          <w:color w:val="000000"/>
          <w:sz w:val="21"/>
          <w:szCs w:val="21"/>
        </w:rPr>
      </w:pPr>
      <w:r w:rsidRPr="009F2FEF">
        <w:rPr>
          <w:rFonts w:ascii="Arial" w:hAnsi="Arial" w:cs="Arial"/>
          <w:bCs/>
          <w:color w:val="000000"/>
          <w:sz w:val="21"/>
          <w:szCs w:val="21"/>
        </w:rPr>
        <w:t>1</w:t>
      </w:r>
      <w:r w:rsidRPr="009F2FEF">
        <w:rPr>
          <w:rFonts w:ascii="Arial" w:hAnsi="Arial" w:cs="Arial"/>
          <w:bCs/>
          <w:color w:val="000000"/>
          <w:sz w:val="21"/>
          <w:szCs w:val="21"/>
        </w:rPr>
        <w:t>、评估主表</w:t>
      </w:r>
    </w:p>
    <w:p w14:paraId="6C634634" w14:textId="77777777" w:rsidR="0053025C" w:rsidRPr="009F2FEF" w:rsidRDefault="0053025C" w:rsidP="0053025C">
      <w:pPr>
        <w:spacing w:line="480" w:lineRule="auto"/>
        <w:ind w:firstLineChars="200" w:firstLine="420"/>
        <w:rPr>
          <w:rFonts w:ascii="Arial" w:hAnsi="Arial" w:cs="Arial"/>
          <w:bCs/>
          <w:color w:val="000000"/>
          <w:sz w:val="21"/>
          <w:szCs w:val="21"/>
        </w:rPr>
      </w:pPr>
      <w:r w:rsidRPr="009F2FEF">
        <w:rPr>
          <w:rFonts w:ascii="Arial" w:hAnsi="Arial" w:cs="Arial" w:hint="eastAsia"/>
          <w:bCs/>
          <w:color w:val="000000"/>
          <w:sz w:val="21"/>
          <w:szCs w:val="21"/>
        </w:rPr>
        <w:t>（</w:t>
      </w:r>
      <w:r w:rsidRPr="009F2FEF">
        <w:rPr>
          <w:rFonts w:ascii="Arial" w:hAnsi="Arial" w:cs="Arial" w:hint="eastAsia"/>
          <w:bCs/>
          <w:color w:val="000000"/>
          <w:sz w:val="21"/>
          <w:szCs w:val="21"/>
        </w:rPr>
        <w:t>1</w:t>
      </w:r>
      <w:r w:rsidRPr="009F2FEF">
        <w:rPr>
          <w:rFonts w:ascii="Arial" w:hAnsi="Arial" w:cs="Arial" w:hint="eastAsia"/>
          <w:bCs/>
          <w:color w:val="000000"/>
          <w:sz w:val="21"/>
          <w:szCs w:val="21"/>
        </w:rPr>
        <w:t>）</w:t>
      </w:r>
      <w:r w:rsidRPr="009F2FEF">
        <w:rPr>
          <w:rFonts w:ascii="Arial" w:hAnsi="Arial" w:cs="Arial"/>
          <w:bCs/>
          <w:color w:val="000000"/>
          <w:sz w:val="21"/>
          <w:szCs w:val="21"/>
        </w:rPr>
        <w:t>项目总投资来源及支出预测表（主表</w:t>
      </w:r>
      <w:r w:rsidRPr="009F2FEF">
        <w:rPr>
          <w:rFonts w:ascii="Arial" w:hAnsi="Arial" w:cs="Arial"/>
          <w:bCs/>
          <w:color w:val="000000"/>
          <w:sz w:val="21"/>
          <w:szCs w:val="21"/>
        </w:rPr>
        <w:t>1</w:t>
      </w:r>
      <w:r w:rsidRPr="009F2FEF">
        <w:rPr>
          <w:rFonts w:ascii="Arial" w:hAnsi="Arial" w:cs="Arial"/>
          <w:bCs/>
          <w:color w:val="000000"/>
          <w:sz w:val="21"/>
          <w:szCs w:val="21"/>
        </w:rPr>
        <w:t>）</w:t>
      </w:r>
    </w:p>
    <w:p w14:paraId="37893234" w14:textId="77777777" w:rsidR="0053025C" w:rsidRPr="009F2FEF" w:rsidRDefault="0053025C" w:rsidP="0053025C">
      <w:pPr>
        <w:spacing w:line="480" w:lineRule="auto"/>
        <w:ind w:firstLineChars="200" w:firstLine="420"/>
        <w:rPr>
          <w:rFonts w:ascii="Arial" w:hAnsi="Arial" w:cs="Arial"/>
          <w:bCs/>
          <w:color w:val="000000"/>
          <w:sz w:val="21"/>
          <w:szCs w:val="21"/>
        </w:rPr>
      </w:pPr>
      <w:r w:rsidRPr="009F2FEF">
        <w:rPr>
          <w:rFonts w:ascii="Arial" w:hAnsi="Arial" w:cs="Arial" w:hint="eastAsia"/>
          <w:bCs/>
          <w:color w:val="000000"/>
          <w:sz w:val="21"/>
          <w:szCs w:val="21"/>
        </w:rPr>
        <w:t>（</w:t>
      </w:r>
      <w:r w:rsidRPr="009F2FEF">
        <w:rPr>
          <w:rFonts w:ascii="Arial" w:hAnsi="Arial" w:cs="Arial" w:hint="eastAsia"/>
          <w:bCs/>
          <w:color w:val="000000"/>
          <w:sz w:val="21"/>
          <w:szCs w:val="21"/>
        </w:rPr>
        <w:t>2</w:t>
      </w:r>
      <w:r w:rsidRPr="009F2FEF">
        <w:rPr>
          <w:rFonts w:ascii="Arial" w:hAnsi="Arial" w:cs="Arial" w:hint="eastAsia"/>
          <w:bCs/>
          <w:color w:val="000000"/>
          <w:sz w:val="21"/>
          <w:szCs w:val="21"/>
        </w:rPr>
        <w:t>）</w:t>
      </w:r>
      <w:r w:rsidRPr="009F2FEF">
        <w:rPr>
          <w:rFonts w:ascii="Arial" w:hAnsi="Arial" w:cs="Arial"/>
          <w:bCs/>
          <w:color w:val="000000"/>
          <w:sz w:val="21"/>
          <w:szCs w:val="21"/>
        </w:rPr>
        <w:t>项目财务现金流量表（主表</w:t>
      </w:r>
      <w:r w:rsidRPr="009F2FEF">
        <w:rPr>
          <w:rFonts w:ascii="Arial" w:hAnsi="Arial" w:cs="Arial"/>
          <w:bCs/>
          <w:color w:val="000000"/>
          <w:sz w:val="21"/>
          <w:szCs w:val="21"/>
        </w:rPr>
        <w:t>2</w:t>
      </w:r>
      <w:r w:rsidRPr="009F2FEF">
        <w:rPr>
          <w:rFonts w:ascii="Arial" w:hAnsi="Arial" w:cs="Arial"/>
          <w:bCs/>
          <w:color w:val="000000"/>
          <w:sz w:val="21"/>
          <w:szCs w:val="21"/>
        </w:rPr>
        <w:t>）</w:t>
      </w:r>
    </w:p>
    <w:p w14:paraId="2557B6C1" w14:textId="77777777" w:rsidR="0053025C" w:rsidRPr="009F2FEF" w:rsidRDefault="0053025C" w:rsidP="0053025C">
      <w:pPr>
        <w:spacing w:line="480" w:lineRule="auto"/>
        <w:ind w:firstLineChars="200" w:firstLine="420"/>
        <w:rPr>
          <w:rFonts w:ascii="Arial" w:hAnsi="Arial" w:cs="Arial"/>
          <w:bCs/>
          <w:color w:val="000000"/>
          <w:sz w:val="21"/>
          <w:szCs w:val="21"/>
        </w:rPr>
      </w:pPr>
      <w:r w:rsidRPr="009F2FEF">
        <w:rPr>
          <w:rFonts w:ascii="Arial" w:hAnsi="Arial" w:cs="Arial" w:hint="eastAsia"/>
          <w:bCs/>
          <w:color w:val="000000"/>
          <w:sz w:val="21"/>
          <w:szCs w:val="21"/>
        </w:rPr>
        <w:t>（</w:t>
      </w:r>
      <w:r w:rsidRPr="009F2FEF">
        <w:rPr>
          <w:rFonts w:ascii="Arial" w:hAnsi="Arial" w:cs="Arial" w:hint="eastAsia"/>
          <w:bCs/>
          <w:color w:val="000000"/>
          <w:sz w:val="21"/>
          <w:szCs w:val="21"/>
        </w:rPr>
        <w:t>3</w:t>
      </w:r>
      <w:r w:rsidRPr="009F2FEF">
        <w:rPr>
          <w:rFonts w:ascii="Arial" w:hAnsi="Arial" w:cs="Arial" w:hint="eastAsia"/>
          <w:bCs/>
          <w:color w:val="000000"/>
          <w:sz w:val="21"/>
          <w:szCs w:val="21"/>
        </w:rPr>
        <w:t>）</w:t>
      </w:r>
      <w:r w:rsidRPr="009F2FEF">
        <w:rPr>
          <w:rFonts w:ascii="Arial" w:hAnsi="Arial" w:cs="Arial"/>
          <w:bCs/>
          <w:color w:val="000000"/>
          <w:sz w:val="21"/>
          <w:szCs w:val="21"/>
        </w:rPr>
        <w:t>项目损益预测表（主表</w:t>
      </w:r>
      <w:r w:rsidRPr="009F2FEF">
        <w:rPr>
          <w:rFonts w:ascii="Arial" w:hAnsi="Arial" w:cs="Arial"/>
          <w:bCs/>
          <w:color w:val="000000"/>
          <w:sz w:val="21"/>
          <w:szCs w:val="21"/>
        </w:rPr>
        <w:t>3</w:t>
      </w:r>
      <w:r w:rsidRPr="009F2FEF">
        <w:rPr>
          <w:rFonts w:ascii="Arial" w:hAnsi="Arial" w:cs="Arial"/>
          <w:bCs/>
          <w:color w:val="000000"/>
          <w:sz w:val="21"/>
          <w:szCs w:val="21"/>
        </w:rPr>
        <w:t>）</w:t>
      </w:r>
    </w:p>
    <w:p w14:paraId="310AD6FE" w14:textId="77777777" w:rsidR="0053025C" w:rsidRPr="009F2FEF" w:rsidRDefault="0053025C" w:rsidP="0053025C">
      <w:pPr>
        <w:spacing w:line="480" w:lineRule="auto"/>
        <w:ind w:firstLineChars="200" w:firstLine="420"/>
        <w:rPr>
          <w:rFonts w:ascii="Arial" w:hAnsi="Arial" w:cs="Arial"/>
          <w:bCs/>
          <w:color w:val="000000"/>
          <w:sz w:val="21"/>
          <w:szCs w:val="21"/>
        </w:rPr>
      </w:pPr>
      <w:bookmarkStart w:id="247" w:name="_Toc12072709"/>
      <w:bookmarkStart w:id="248" w:name="_Toc109012131"/>
      <w:r w:rsidRPr="009F2FEF">
        <w:rPr>
          <w:rFonts w:ascii="Arial" w:hAnsi="Arial" w:cs="Arial" w:hint="eastAsia"/>
          <w:bCs/>
          <w:color w:val="000000"/>
          <w:sz w:val="21"/>
          <w:szCs w:val="21"/>
        </w:rPr>
        <w:t>（</w:t>
      </w:r>
      <w:r w:rsidRPr="009F2FEF">
        <w:rPr>
          <w:rFonts w:ascii="Arial" w:hAnsi="Arial" w:cs="Arial"/>
          <w:bCs/>
          <w:color w:val="000000"/>
          <w:sz w:val="21"/>
          <w:szCs w:val="21"/>
        </w:rPr>
        <w:t>4</w:t>
      </w:r>
      <w:r w:rsidRPr="009F2FEF">
        <w:rPr>
          <w:rFonts w:ascii="Arial" w:hAnsi="Arial" w:cs="Arial" w:hint="eastAsia"/>
          <w:bCs/>
          <w:color w:val="000000"/>
          <w:sz w:val="21"/>
          <w:szCs w:val="21"/>
        </w:rPr>
        <w:t>）资金来源与运用表（主表</w:t>
      </w:r>
      <w:r w:rsidRPr="009F2FEF">
        <w:rPr>
          <w:rFonts w:ascii="Arial" w:hAnsi="Arial" w:cs="Arial"/>
          <w:bCs/>
          <w:color w:val="000000"/>
          <w:sz w:val="21"/>
          <w:szCs w:val="21"/>
        </w:rPr>
        <w:t>4</w:t>
      </w:r>
      <w:r w:rsidRPr="009F2FEF">
        <w:rPr>
          <w:rFonts w:ascii="Arial" w:hAnsi="Arial" w:cs="Arial" w:hint="eastAsia"/>
          <w:bCs/>
          <w:color w:val="000000"/>
          <w:sz w:val="21"/>
          <w:szCs w:val="21"/>
        </w:rPr>
        <w:t>）</w:t>
      </w:r>
    </w:p>
    <w:p w14:paraId="07E68FB1" w14:textId="77777777" w:rsidR="0053025C" w:rsidRPr="009F2FEF" w:rsidRDefault="0053025C" w:rsidP="0053025C">
      <w:pPr>
        <w:spacing w:line="480" w:lineRule="auto"/>
        <w:ind w:firstLineChars="200" w:firstLine="420"/>
        <w:rPr>
          <w:rFonts w:ascii="Arial" w:hAnsi="Arial" w:cs="Arial"/>
          <w:bCs/>
          <w:color w:val="000000"/>
          <w:sz w:val="21"/>
          <w:szCs w:val="21"/>
        </w:rPr>
      </w:pPr>
      <w:r w:rsidRPr="009F2FEF">
        <w:rPr>
          <w:rFonts w:ascii="Arial" w:hAnsi="Arial" w:cs="Arial" w:hint="eastAsia"/>
          <w:bCs/>
          <w:color w:val="000000"/>
          <w:sz w:val="21"/>
          <w:szCs w:val="21"/>
        </w:rPr>
        <w:t>（</w:t>
      </w:r>
      <w:r w:rsidRPr="009F2FEF">
        <w:rPr>
          <w:rFonts w:ascii="Arial" w:hAnsi="Arial" w:cs="Arial"/>
          <w:bCs/>
          <w:color w:val="000000"/>
          <w:sz w:val="21"/>
          <w:szCs w:val="21"/>
        </w:rPr>
        <w:t>5</w:t>
      </w:r>
      <w:r w:rsidRPr="009F2FEF">
        <w:rPr>
          <w:rFonts w:ascii="Arial" w:hAnsi="Arial" w:cs="Arial" w:hint="eastAsia"/>
          <w:bCs/>
          <w:color w:val="000000"/>
          <w:sz w:val="21"/>
          <w:szCs w:val="21"/>
        </w:rPr>
        <w:t>）项目敏感性分析表（主表</w:t>
      </w:r>
      <w:r w:rsidRPr="009F2FEF">
        <w:rPr>
          <w:rFonts w:ascii="Arial" w:hAnsi="Arial" w:cs="Arial"/>
          <w:bCs/>
          <w:color w:val="000000"/>
          <w:sz w:val="21"/>
          <w:szCs w:val="21"/>
        </w:rPr>
        <w:t>5</w:t>
      </w:r>
      <w:r w:rsidRPr="009F2FEF">
        <w:rPr>
          <w:rFonts w:ascii="Arial" w:hAnsi="Arial" w:cs="Arial" w:hint="eastAsia"/>
          <w:bCs/>
          <w:color w:val="000000"/>
          <w:sz w:val="21"/>
          <w:szCs w:val="21"/>
        </w:rPr>
        <w:t>）</w:t>
      </w:r>
    </w:p>
    <w:p w14:paraId="65041C49" w14:textId="77777777" w:rsidR="0053025C" w:rsidRPr="009F2FEF" w:rsidRDefault="0053025C" w:rsidP="0053025C">
      <w:pPr>
        <w:spacing w:line="480" w:lineRule="auto"/>
        <w:rPr>
          <w:rFonts w:ascii="Arial" w:hAnsi="Arial" w:cs="Arial"/>
          <w:bCs/>
          <w:color w:val="000000"/>
          <w:sz w:val="21"/>
          <w:szCs w:val="21"/>
        </w:rPr>
      </w:pPr>
    </w:p>
    <w:p w14:paraId="69BE0A10" w14:textId="77777777" w:rsidR="0053025C" w:rsidRPr="009F2FEF" w:rsidRDefault="0053025C" w:rsidP="0053025C">
      <w:pPr>
        <w:spacing w:line="480" w:lineRule="auto"/>
        <w:ind w:firstLineChars="100" w:firstLine="210"/>
        <w:rPr>
          <w:rFonts w:ascii="Arial" w:hAnsi="Arial" w:cs="Arial"/>
          <w:bCs/>
          <w:color w:val="000000"/>
          <w:sz w:val="21"/>
          <w:szCs w:val="21"/>
        </w:rPr>
      </w:pPr>
      <w:r w:rsidRPr="009F2FEF">
        <w:rPr>
          <w:rFonts w:ascii="Arial" w:hAnsi="Arial" w:cs="Arial"/>
          <w:bCs/>
          <w:color w:val="000000"/>
          <w:sz w:val="21"/>
          <w:szCs w:val="21"/>
        </w:rPr>
        <w:t>2</w:t>
      </w:r>
      <w:r w:rsidRPr="009F2FEF">
        <w:rPr>
          <w:rFonts w:ascii="Arial" w:hAnsi="Arial" w:cs="Arial"/>
          <w:bCs/>
          <w:color w:val="000000"/>
          <w:sz w:val="21"/>
          <w:szCs w:val="21"/>
        </w:rPr>
        <w:t>、评估底表</w:t>
      </w:r>
      <w:bookmarkEnd w:id="247"/>
      <w:bookmarkEnd w:id="248"/>
    </w:p>
    <w:p w14:paraId="3A94F715" w14:textId="77777777" w:rsidR="0053025C" w:rsidRPr="009F2FEF" w:rsidRDefault="0053025C" w:rsidP="0053025C">
      <w:pPr>
        <w:spacing w:line="480" w:lineRule="auto"/>
        <w:ind w:firstLineChars="200" w:firstLine="420"/>
        <w:rPr>
          <w:rFonts w:ascii="Arial" w:hAnsi="Arial" w:cs="Arial"/>
          <w:bCs/>
          <w:color w:val="000000"/>
          <w:sz w:val="21"/>
          <w:szCs w:val="21"/>
        </w:rPr>
      </w:pPr>
      <w:r w:rsidRPr="009F2FEF">
        <w:rPr>
          <w:rFonts w:ascii="Arial" w:hAnsi="Arial" w:cs="Arial"/>
          <w:bCs/>
          <w:color w:val="000000"/>
          <w:sz w:val="21"/>
          <w:szCs w:val="21"/>
        </w:rPr>
        <w:t>项目销售收入、销售税金及附加测算表（底表</w:t>
      </w:r>
      <w:r w:rsidRPr="009F2FEF">
        <w:rPr>
          <w:rFonts w:ascii="Arial" w:hAnsi="Arial" w:cs="Arial"/>
          <w:bCs/>
          <w:color w:val="000000"/>
          <w:sz w:val="21"/>
          <w:szCs w:val="21"/>
        </w:rPr>
        <w:t>1</w:t>
      </w:r>
      <w:r w:rsidRPr="009F2FEF">
        <w:rPr>
          <w:rFonts w:ascii="Arial" w:hAnsi="Arial" w:cs="Arial"/>
          <w:bCs/>
          <w:color w:val="000000"/>
          <w:sz w:val="21"/>
          <w:szCs w:val="21"/>
        </w:rPr>
        <w:t>）</w:t>
      </w:r>
    </w:p>
    <w:p w14:paraId="7FD7B059" w14:textId="77777777" w:rsidR="0053025C" w:rsidRPr="00092C72" w:rsidRDefault="0053025C" w:rsidP="0053025C">
      <w:pPr>
        <w:spacing w:line="480" w:lineRule="auto"/>
        <w:ind w:firstLineChars="200" w:firstLine="420"/>
        <w:rPr>
          <w:rFonts w:ascii="Arial" w:hAnsi="Arial" w:cs="Arial"/>
          <w:bCs/>
          <w:color w:val="000000"/>
          <w:sz w:val="21"/>
          <w:szCs w:val="21"/>
        </w:rPr>
      </w:pPr>
    </w:p>
    <w:p w14:paraId="109550BA" w14:textId="77777777" w:rsidR="0053025C" w:rsidRPr="009F2FEF" w:rsidRDefault="0053025C" w:rsidP="0053025C">
      <w:pPr>
        <w:spacing w:line="480" w:lineRule="auto"/>
        <w:ind w:firstLineChars="100" w:firstLine="210"/>
        <w:rPr>
          <w:rFonts w:ascii="Arial" w:hAnsi="Arial" w:cs="Arial"/>
          <w:bCs/>
          <w:color w:val="000000"/>
          <w:sz w:val="21"/>
          <w:szCs w:val="21"/>
        </w:rPr>
      </w:pPr>
      <w:r w:rsidRPr="009F2FEF">
        <w:rPr>
          <w:rFonts w:ascii="Arial" w:hAnsi="Arial" w:cs="Arial"/>
          <w:bCs/>
          <w:color w:val="000000"/>
          <w:sz w:val="21"/>
          <w:szCs w:val="21"/>
        </w:rPr>
        <w:t>3</w:t>
      </w:r>
      <w:r w:rsidRPr="009F2FEF">
        <w:rPr>
          <w:rFonts w:ascii="Arial" w:hAnsi="Arial" w:cs="Arial"/>
          <w:bCs/>
          <w:color w:val="000000"/>
          <w:sz w:val="21"/>
          <w:szCs w:val="21"/>
        </w:rPr>
        <w:t>、项目文件</w:t>
      </w:r>
    </w:p>
    <w:p w14:paraId="4B46B5ED" w14:textId="77777777" w:rsidR="0053025C" w:rsidRPr="009F2FEF" w:rsidRDefault="0053025C" w:rsidP="0053025C">
      <w:pPr>
        <w:adjustRightInd w:val="0"/>
        <w:snapToGrid w:val="0"/>
        <w:spacing w:line="480" w:lineRule="auto"/>
        <w:ind w:firstLineChars="200" w:firstLine="420"/>
        <w:rPr>
          <w:rFonts w:ascii="Arial" w:hAnsi="Arial" w:cs="Arial"/>
          <w:bCs/>
          <w:color w:val="000000"/>
          <w:sz w:val="21"/>
          <w:szCs w:val="21"/>
        </w:rPr>
      </w:pPr>
      <w:r w:rsidRPr="009F2FEF">
        <w:rPr>
          <w:rFonts w:ascii="Arial" w:hAnsi="Arial" w:cs="Arial"/>
          <w:bCs/>
          <w:color w:val="000000"/>
          <w:sz w:val="21"/>
          <w:szCs w:val="21"/>
        </w:rPr>
        <w:t>（</w:t>
      </w:r>
      <w:r w:rsidRPr="009F2FEF">
        <w:rPr>
          <w:rFonts w:ascii="Arial" w:hAnsi="Arial" w:cs="Arial"/>
          <w:bCs/>
          <w:color w:val="000000"/>
          <w:sz w:val="21"/>
          <w:szCs w:val="21"/>
        </w:rPr>
        <w:t>1</w:t>
      </w:r>
      <w:r w:rsidRPr="009F2FEF">
        <w:rPr>
          <w:rFonts w:ascii="Arial" w:hAnsi="Arial" w:cs="Arial"/>
          <w:bCs/>
          <w:color w:val="000000"/>
          <w:sz w:val="21"/>
          <w:szCs w:val="21"/>
        </w:rPr>
        <w:t>）估价对象所在位置示意图</w:t>
      </w:r>
    </w:p>
    <w:p w14:paraId="5B282B8B" w14:textId="7B7D3631" w:rsidR="0053025C" w:rsidRPr="009F2FEF" w:rsidRDefault="0053025C" w:rsidP="00EE55FB">
      <w:pPr>
        <w:adjustRightInd w:val="0"/>
        <w:snapToGrid w:val="0"/>
        <w:spacing w:line="480" w:lineRule="auto"/>
        <w:ind w:firstLineChars="200" w:firstLine="420"/>
        <w:rPr>
          <w:rFonts w:ascii="Arial" w:hAnsi="Arial" w:cs="Arial"/>
          <w:bCs/>
          <w:color w:val="000000"/>
          <w:sz w:val="21"/>
          <w:szCs w:val="21"/>
        </w:rPr>
        <w:sectPr w:rsidR="0053025C" w:rsidRPr="009F2FEF" w:rsidSect="009B0B0F">
          <w:pgSz w:w="11906" w:h="16838" w:code="9"/>
          <w:pgMar w:top="1843" w:right="1304" w:bottom="1134" w:left="1304" w:header="1134" w:footer="907" w:gutter="0"/>
          <w:cols w:space="425"/>
          <w:titlePg/>
          <w:docGrid w:linePitch="312"/>
        </w:sectPr>
      </w:pPr>
      <w:r w:rsidRPr="009F2FEF">
        <w:rPr>
          <w:rFonts w:ascii="Arial" w:hAnsi="Arial" w:cs="Arial"/>
          <w:bCs/>
          <w:color w:val="000000"/>
          <w:sz w:val="21"/>
          <w:szCs w:val="21"/>
        </w:rPr>
        <w:t>（</w:t>
      </w:r>
      <w:r w:rsidRPr="009F2FEF">
        <w:rPr>
          <w:rFonts w:ascii="Arial" w:hAnsi="Arial" w:cs="Arial"/>
          <w:bCs/>
          <w:color w:val="000000"/>
          <w:sz w:val="21"/>
          <w:szCs w:val="21"/>
        </w:rPr>
        <w:t>2</w:t>
      </w:r>
      <w:r w:rsidRPr="009F2FEF">
        <w:rPr>
          <w:rFonts w:ascii="Arial" w:hAnsi="Arial" w:cs="Arial"/>
          <w:bCs/>
          <w:color w:val="000000"/>
          <w:sz w:val="21"/>
          <w:szCs w:val="21"/>
        </w:rPr>
        <w:t>）</w:t>
      </w:r>
      <w:r w:rsidR="00EE55FB" w:rsidRPr="00E13E5D">
        <w:rPr>
          <w:rFonts w:ascii="Arial" w:hAnsi="Arial" w:cs="Arial"/>
          <w:sz w:val="21"/>
          <w:szCs w:val="21"/>
        </w:rPr>
        <w:t>建设单位提供的有关项目的资料</w:t>
      </w:r>
    </w:p>
    <w:p w14:paraId="2F1B5162" w14:textId="77777777" w:rsidR="0053025C" w:rsidRPr="00E05368" w:rsidRDefault="0053025C" w:rsidP="0053025C">
      <w:pPr>
        <w:spacing w:line="480" w:lineRule="auto"/>
        <w:ind w:firstLineChars="100" w:firstLine="210"/>
        <w:rPr>
          <w:rFonts w:ascii="Arial" w:hAnsi="Arial" w:cs="Arial"/>
          <w:bCs/>
          <w:color w:val="000000"/>
          <w:sz w:val="21"/>
          <w:szCs w:val="21"/>
        </w:rPr>
      </w:pPr>
      <w:r w:rsidRPr="00E05368">
        <w:rPr>
          <w:rFonts w:ascii="Arial" w:hAnsi="Arial" w:cs="Arial"/>
          <w:bCs/>
          <w:color w:val="000000"/>
          <w:sz w:val="21"/>
          <w:szCs w:val="21"/>
        </w:rPr>
        <w:lastRenderedPageBreak/>
        <w:t>1</w:t>
      </w:r>
      <w:r w:rsidRPr="00E05368">
        <w:rPr>
          <w:rFonts w:ascii="Arial" w:hAnsi="Arial" w:cs="Arial"/>
          <w:bCs/>
          <w:color w:val="000000"/>
          <w:sz w:val="21"/>
          <w:szCs w:val="21"/>
        </w:rPr>
        <w:t>、评估主表</w:t>
      </w:r>
    </w:p>
    <w:p w14:paraId="460DE6EE" w14:textId="77777777" w:rsidR="0053025C" w:rsidRPr="00E05368" w:rsidRDefault="0053025C" w:rsidP="0053025C">
      <w:pPr>
        <w:adjustRightInd w:val="0"/>
        <w:snapToGrid w:val="0"/>
        <w:spacing w:line="480" w:lineRule="auto"/>
        <w:ind w:firstLineChars="150" w:firstLine="315"/>
        <w:rPr>
          <w:rFonts w:ascii="Arial" w:hAnsi="Arial" w:cs="Arial"/>
          <w:bCs/>
          <w:color w:val="000000"/>
          <w:sz w:val="21"/>
          <w:szCs w:val="21"/>
        </w:rPr>
      </w:pPr>
      <w:r w:rsidRPr="00E05368">
        <w:rPr>
          <w:rFonts w:ascii="Arial" w:hAnsi="Arial" w:cs="Arial" w:hint="eastAsia"/>
          <w:bCs/>
          <w:color w:val="000000"/>
          <w:sz w:val="21"/>
          <w:szCs w:val="21"/>
        </w:rPr>
        <w:t>（</w:t>
      </w:r>
      <w:r w:rsidRPr="00E05368">
        <w:rPr>
          <w:rFonts w:ascii="Arial" w:hAnsi="Arial" w:cs="Arial" w:hint="eastAsia"/>
          <w:bCs/>
          <w:color w:val="000000"/>
          <w:sz w:val="21"/>
          <w:szCs w:val="21"/>
        </w:rPr>
        <w:t>1</w:t>
      </w:r>
      <w:r w:rsidRPr="00E05368">
        <w:rPr>
          <w:rFonts w:ascii="Arial" w:hAnsi="Arial" w:cs="Arial" w:hint="eastAsia"/>
          <w:bCs/>
          <w:color w:val="000000"/>
          <w:sz w:val="21"/>
          <w:szCs w:val="21"/>
        </w:rPr>
        <w:t>）</w:t>
      </w:r>
      <w:r w:rsidRPr="00E05368">
        <w:rPr>
          <w:rFonts w:ascii="Arial" w:hAnsi="Arial" w:cs="Arial"/>
          <w:bCs/>
          <w:color w:val="000000"/>
          <w:sz w:val="21"/>
          <w:szCs w:val="21"/>
        </w:rPr>
        <w:t>项目总投资来源及支出预测表（主表</w:t>
      </w:r>
      <w:r w:rsidRPr="00E05368">
        <w:rPr>
          <w:rFonts w:ascii="Arial" w:hAnsi="Arial" w:cs="Arial"/>
          <w:bCs/>
          <w:color w:val="000000"/>
          <w:sz w:val="21"/>
          <w:szCs w:val="21"/>
        </w:rPr>
        <w:t>1</w:t>
      </w:r>
      <w:r w:rsidRPr="00E05368">
        <w:rPr>
          <w:rFonts w:ascii="Arial" w:hAnsi="Arial" w:cs="Arial"/>
          <w:bCs/>
          <w:color w:val="000000"/>
          <w:sz w:val="21"/>
          <w:szCs w:val="21"/>
        </w:rPr>
        <w:t>）</w:t>
      </w:r>
    </w:p>
    <w:tbl>
      <w:tblPr>
        <w:tblW w:w="14572" w:type="dxa"/>
        <w:jc w:val="center"/>
        <w:tblCellMar>
          <w:left w:w="28" w:type="dxa"/>
          <w:right w:w="28" w:type="dxa"/>
        </w:tblCellMar>
        <w:tblLook w:val="04A0" w:firstRow="1" w:lastRow="0" w:firstColumn="1" w:lastColumn="0" w:noHBand="0" w:noVBand="1"/>
      </w:tblPr>
      <w:tblGrid>
        <w:gridCol w:w="496"/>
        <w:gridCol w:w="1737"/>
        <w:gridCol w:w="743"/>
        <w:gridCol w:w="743"/>
        <w:gridCol w:w="633"/>
        <w:gridCol w:w="633"/>
        <w:gridCol w:w="633"/>
        <w:gridCol w:w="790"/>
        <w:gridCol w:w="791"/>
        <w:gridCol w:w="633"/>
        <w:gridCol w:w="791"/>
        <w:gridCol w:w="948"/>
        <w:gridCol w:w="791"/>
        <w:gridCol w:w="791"/>
        <w:gridCol w:w="506"/>
        <w:gridCol w:w="603"/>
        <w:gridCol w:w="603"/>
        <w:gridCol w:w="583"/>
        <w:gridCol w:w="1124"/>
      </w:tblGrid>
      <w:tr w:rsidR="001F38E6" w:rsidRPr="00E05368" w14:paraId="40DDA9FD" w14:textId="77777777" w:rsidTr="002279C3">
        <w:trPr>
          <w:trHeight w:val="340"/>
          <w:tblHeader/>
          <w:jc w:val="center"/>
        </w:trPr>
        <w:tc>
          <w:tcPr>
            <w:tcW w:w="437" w:type="dxa"/>
            <w:vMerge w:val="restart"/>
            <w:tcBorders>
              <w:top w:val="single" w:sz="4" w:space="0" w:color="auto"/>
              <w:left w:val="single" w:sz="4" w:space="0" w:color="auto"/>
              <w:right w:val="single" w:sz="4" w:space="0" w:color="auto"/>
            </w:tcBorders>
            <w:shd w:val="clear" w:color="auto" w:fill="auto"/>
            <w:noWrap/>
            <w:vAlign w:val="center"/>
            <w:hideMark/>
          </w:tcPr>
          <w:p w14:paraId="1E61197F" w14:textId="77777777" w:rsidR="001F38E6" w:rsidRPr="00925798" w:rsidRDefault="001F38E6"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序号　</w:t>
            </w:r>
          </w:p>
        </w:tc>
        <w:tc>
          <w:tcPr>
            <w:tcW w:w="1533" w:type="dxa"/>
            <w:vMerge w:val="restart"/>
            <w:tcBorders>
              <w:top w:val="single" w:sz="4" w:space="0" w:color="auto"/>
              <w:left w:val="nil"/>
              <w:right w:val="single" w:sz="4" w:space="0" w:color="auto"/>
            </w:tcBorders>
            <w:shd w:val="clear" w:color="auto" w:fill="auto"/>
            <w:noWrap/>
            <w:vAlign w:val="center"/>
            <w:hideMark/>
          </w:tcPr>
          <w:p w14:paraId="0E1BD93C" w14:textId="77777777" w:rsidR="001F38E6" w:rsidRPr="00925798" w:rsidRDefault="001F38E6"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项目</w:t>
            </w:r>
          </w:p>
        </w:tc>
        <w:tc>
          <w:tcPr>
            <w:tcW w:w="2430"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3273D292" w14:textId="77777777" w:rsidR="001F38E6" w:rsidRPr="00925798" w:rsidRDefault="001F38E6"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2021年</w:t>
            </w:r>
          </w:p>
        </w:tc>
        <w:tc>
          <w:tcPr>
            <w:tcW w:w="2513" w:type="dxa"/>
            <w:gridSpan w:val="4"/>
            <w:tcBorders>
              <w:top w:val="single" w:sz="4" w:space="0" w:color="auto"/>
              <w:left w:val="nil"/>
              <w:bottom w:val="single" w:sz="4" w:space="0" w:color="auto"/>
              <w:right w:val="single" w:sz="4" w:space="0" w:color="auto"/>
            </w:tcBorders>
            <w:shd w:val="clear" w:color="auto" w:fill="auto"/>
            <w:noWrap/>
            <w:vAlign w:val="center"/>
            <w:hideMark/>
          </w:tcPr>
          <w:p w14:paraId="2061FDFD" w14:textId="77777777" w:rsidR="001F38E6" w:rsidRPr="00925798" w:rsidRDefault="001F38E6"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2022年</w:t>
            </w:r>
          </w:p>
        </w:tc>
        <w:tc>
          <w:tcPr>
            <w:tcW w:w="2931" w:type="dxa"/>
            <w:gridSpan w:val="4"/>
            <w:tcBorders>
              <w:top w:val="single" w:sz="4" w:space="0" w:color="auto"/>
              <w:left w:val="nil"/>
              <w:bottom w:val="single" w:sz="4" w:space="0" w:color="auto"/>
              <w:right w:val="single" w:sz="4" w:space="0" w:color="auto"/>
            </w:tcBorders>
            <w:shd w:val="clear" w:color="auto" w:fill="auto"/>
            <w:noWrap/>
            <w:vAlign w:val="center"/>
            <w:hideMark/>
          </w:tcPr>
          <w:p w14:paraId="6A59894E" w14:textId="77777777" w:rsidR="001F38E6" w:rsidRPr="00925798" w:rsidRDefault="001F38E6"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2023年</w:t>
            </w:r>
          </w:p>
        </w:tc>
        <w:tc>
          <w:tcPr>
            <w:tcW w:w="2026" w:type="dxa"/>
            <w:gridSpan w:val="4"/>
            <w:tcBorders>
              <w:top w:val="single" w:sz="4" w:space="0" w:color="auto"/>
              <w:left w:val="single" w:sz="4" w:space="0" w:color="auto"/>
              <w:bottom w:val="single" w:sz="4" w:space="0" w:color="auto"/>
              <w:right w:val="single" w:sz="4" w:space="0" w:color="auto"/>
            </w:tcBorders>
            <w:vAlign w:val="center"/>
          </w:tcPr>
          <w:p w14:paraId="07F57099" w14:textId="77777777" w:rsidR="001F38E6" w:rsidRPr="00925798" w:rsidRDefault="001F38E6" w:rsidP="007B3231">
            <w:pPr>
              <w:jc w:val="center"/>
              <w:rPr>
                <w:rFonts w:ascii="华文细黑" w:eastAsia="华文细黑" w:hAnsi="华文细黑"/>
                <w:sz w:val="13"/>
                <w:szCs w:val="13"/>
              </w:rPr>
            </w:pPr>
            <w:r>
              <w:rPr>
                <w:rFonts w:ascii="华文细黑" w:eastAsia="华文细黑" w:hAnsi="华文细黑" w:hint="eastAsia"/>
                <w:sz w:val="13"/>
                <w:szCs w:val="13"/>
              </w:rPr>
              <w:t>2024年</w:t>
            </w:r>
          </w:p>
        </w:tc>
        <w:tc>
          <w:tcPr>
            <w:tcW w:w="992" w:type="dxa"/>
            <w:vMerge w:val="restart"/>
            <w:tcBorders>
              <w:top w:val="single" w:sz="4" w:space="0" w:color="auto"/>
              <w:left w:val="single" w:sz="4" w:space="0" w:color="auto"/>
              <w:right w:val="single" w:sz="4" w:space="0" w:color="auto"/>
            </w:tcBorders>
            <w:shd w:val="clear" w:color="auto" w:fill="auto"/>
            <w:noWrap/>
            <w:vAlign w:val="center"/>
            <w:hideMark/>
          </w:tcPr>
          <w:p w14:paraId="43236B71" w14:textId="77777777" w:rsidR="001F38E6" w:rsidRPr="00925798" w:rsidRDefault="001F38E6"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合计</w:t>
            </w:r>
          </w:p>
        </w:tc>
      </w:tr>
      <w:tr w:rsidR="001F38E6" w:rsidRPr="00E05368" w14:paraId="51EBFB03" w14:textId="77777777" w:rsidTr="002279C3">
        <w:trPr>
          <w:trHeight w:val="340"/>
          <w:tblHeader/>
          <w:jc w:val="center"/>
        </w:trPr>
        <w:tc>
          <w:tcPr>
            <w:tcW w:w="437" w:type="dxa"/>
            <w:vMerge/>
            <w:tcBorders>
              <w:left w:val="single" w:sz="4" w:space="0" w:color="auto"/>
              <w:bottom w:val="single" w:sz="4" w:space="0" w:color="auto"/>
              <w:right w:val="single" w:sz="4" w:space="0" w:color="auto"/>
            </w:tcBorders>
            <w:shd w:val="clear" w:color="auto" w:fill="auto"/>
            <w:noWrap/>
            <w:vAlign w:val="center"/>
            <w:hideMark/>
          </w:tcPr>
          <w:p w14:paraId="12CF23E2" w14:textId="77777777" w:rsidR="001F38E6" w:rsidRPr="00925798" w:rsidRDefault="001F38E6" w:rsidP="007B3231">
            <w:pPr>
              <w:jc w:val="center"/>
              <w:rPr>
                <w:rFonts w:ascii="华文细黑" w:eastAsia="华文细黑" w:hAnsi="华文细黑"/>
                <w:sz w:val="13"/>
                <w:szCs w:val="13"/>
              </w:rPr>
            </w:pPr>
          </w:p>
        </w:tc>
        <w:tc>
          <w:tcPr>
            <w:tcW w:w="1533" w:type="dxa"/>
            <w:vMerge/>
            <w:tcBorders>
              <w:left w:val="nil"/>
              <w:bottom w:val="single" w:sz="4" w:space="0" w:color="auto"/>
              <w:right w:val="single" w:sz="4" w:space="0" w:color="auto"/>
            </w:tcBorders>
            <w:shd w:val="clear" w:color="auto" w:fill="auto"/>
            <w:noWrap/>
            <w:vAlign w:val="center"/>
            <w:hideMark/>
          </w:tcPr>
          <w:p w14:paraId="2FA047D4" w14:textId="77777777" w:rsidR="001F38E6" w:rsidRPr="00925798" w:rsidRDefault="001F38E6"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hideMark/>
          </w:tcPr>
          <w:p w14:paraId="4BEEAA2B" w14:textId="77777777" w:rsidR="001F38E6" w:rsidRPr="00925798" w:rsidRDefault="001F38E6"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Q1</w:t>
            </w:r>
          </w:p>
        </w:tc>
        <w:tc>
          <w:tcPr>
            <w:tcW w:w="656" w:type="dxa"/>
            <w:tcBorders>
              <w:top w:val="nil"/>
              <w:left w:val="nil"/>
              <w:bottom w:val="single" w:sz="4" w:space="0" w:color="auto"/>
              <w:right w:val="single" w:sz="4" w:space="0" w:color="auto"/>
            </w:tcBorders>
            <w:shd w:val="clear" w:color="auto" w:fill="auto"/>
            <w:noWrap/>
            <w:vAlign w:val="center"/>
            <w:hideMark/>
          </w:tcPr>
          <w:p w14:paraId="1E032477" w14:textId="77777777" w:rsidR="001F38E6" w:rsidRPr="00925798" w:rsidRDefault="001F38E6"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Q2</w:t>
            </w:r>
          </w:p>
        </w:tc>
        <w:tc>
          <w:tcPr>
            <w:tcW w:w="559" w:type="dxa"/>
            <w:tcBorders>
              <w:top w:val="nil"/>
              <w:left w:val="nil"/>
              <w:bottom w:val="single" w:sz="4" w:space="0" w:color="auto"/>
              <w:right w:val="single" w:sz="4" w:space="0" w:color="auto"/>
            </w:tcBorders>
            <w:shd w:val="clear" w:color="auto" w:fill="auto"/>
            <w:noWrap/>
            <w:vAlign w:val="center"/>
            <w:hideMark/>
          </w:tcPr>
          <w:p w14:paraId="799AB1D5" w14:textId="77777777" w:rsidR="001F38E6" w:rsidRPr="00925798" w:rsidRDefault="001F38E6"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Q3</w:t>
            </w:r>
          </w:p>
        </w:tc>
        <w:tc>
          <w:tcPr>
            <w:tcW w:w="559" w:type="dxa"/>
            <w:tcBorders>
              <w:top w:val="nil"/>
              <w:left w:val="nil"/>
              <w:bottom w:val="single" w:sz="4" w:space="0" w:color="auto"/>
              <w:right w:val="single" w:sz="4" w:space="0" w:color="auto"/>
            </w:tcBorders>
            <w:shd w:val="clear" w:color="auto" w:fill="auto"/>
            <w:noWrap/>
            <w:vAlign w:val="center"/>
            <w:hideMark/>
          </w:tcPr>
          <w:p w14:paraId="3EA538F5" w14:textId="77777777" w:rsidR="001F38E6" w:rsidRPr="00925798" w:rsidRDefault="001F38E6"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Q4</w:t>
            </w:r>
          </w:p>
        </w:tc>
        <w:tc>
          <w:tcPr>
            <w:tcW w:w="559" w:type="dxa"/>
            <w:tcBorders>
              <w:top w:val="nil"/>
              <w:left w:val="nil"/>
              <w:bottom w:val="single" w:sz="4" w:space="0" w:color="auto"/>
              <w:right w:val="single" w:sz="4" w:space="0" w:color="auto"/>
            </w:tcBorders>
            <w:shd w:val="clear" w:color="auto" w:fill="auto"/>
            <w:noWrap/>
            <w:vAlign w:val="center"/>
            <w:hideMark/>
          </w:tcPr>
          <w:p w14:paraId="6386DD27" w14:textId="77777777" w:rsidR="001F38E6" w:rsidRPr="00925798" w:rsidRDefault="001F38E6"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Q1</w:t>
            </w:r>
          </w:p>
        </w:tc>
        <w:tc>
          <w:tcPr>
            <w:tcW w:w="697" w:type="dxa"/>
            <w:tcBorders>
              <w:top w:val="nil"/>
              <w:left w:val="nil"/>
              <w:bottom w:val="single" w:sz="4" w:space="0" w:color="auto"/>
              <w:right w:val="single" w:sz="4" w:space="0" w:color="auto"/>
            </w:tcBorders>
            <w:shd w:val="clear" w:color="auto" w:fill="auto"/>
            <w:noWrap/>
            <w:vAlign w:val="center"/>
            <w:hideMark/>
          </w:tcPr>
          <w:p w14:paraId="47DF0C51" w14:textId="77777777" w:rsidR="001F38E6" w:rsidRPr="00925798" w:rsidRDefault="001F38E6"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Q2</w:t>
            </w:r>
          </w:p>
        </w:tc>
        <w:tc>
          <w:tcPr>
            <w:tcW w:w="698" w:type="dxa"/>
            <w:tcBorders>
              <w:top w:val="nil"/>
              <w:left w:val="nil"/>
              <w:bottom w:val="single" w:sz="4" w:space="0" w:color="auto"/>
              <w:right w:val="single" w:sz="4" w:space="0" w:color="auto"/>
            </w:tcBorders>
            <w:shd w:val="clear" w:color="auto" w:fill="auto"/>
            <w:noWrap/>
            <w:vAlign w:val="center"/>
            <w:hideMark/>
          </w:tcPr>
          <w:p w14:paraId="52E84F86" w14:textId="77777777" w:rsidR="001F38E6" w:rsidRPr="00925798" w:rsidRDefault="001F38E6"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Q3</w:t>
            </w:r>
          </w:p>
        </w:tc>
        <w:tc>
          <w:tcPr>
            <w:tcW w:w="559" w:type="dxa"/>
            <w:tcBorders>
              <w:top w:val="nil"/>
              <w:left w:val="nil"/>
              <w:bottom w:val="single" w:sz="4" w:space="0" w:color="auto"/>
              <w:right w:val="single" w:sz="4" w:space="0" w:color="auto"/>
            </w:tcBorders>
            <w:shd w:val="clear" w:color="auto" w:fill="auto"/>
            <w:noWrap/>
            <w:vAlign w:val="center"/>
            <w:hideMark/>
          </w:tcPr>
          <w:p w14:paraId="353FA830" w14:textId="77777777" w:rsidR="001F38E6" w:rsidRPr="00925798" w:rsidRDefault="001F38E6"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Q4</w:t>
            </w:r>
          </w:p>
        </w:tc>
        <w:tc>
          <w:tcPr>
            <w:tcW w:w="698" w:type="dxa"/>
            <w:tcBorders>
              <w:top w:val="nil"/>
              <w:left w:val="nil"/>
              <w:bottom w:val="single" w:sz="4" w:space="0" w:color="auto"/>
              <w:right w:val="single" w:sz="4" w:space="0" w:color="auto"/>
            </w:tcBorders>
            <w:shd w:val="clear" w:color="auto" w:fill="auto"/>
            <w:noWrap/>
            <w:vAlign w:val="center"/>
            <w:hideMark/>
          </w:tcPr>
          <w:p w14:paraId="6624117A" w14:textId="77777777" w:rsidR="001F38E6" w:rsidRPr="00925798" w:rsidRDefault="001F38E6"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Q1</w:t>
            </w:r>
          </w:p>
        </w:tc>
        <w:tc>
          <w:tcPr>
            <w:tcW w:w="837" w:type="dxa"/>
            <w:tcBorders>
              <w:top w:val="nil"/>
              <w:left w:val="nil"/>
              <w:bottom w:val="single" w:sz="4" w:space="0" w:color="auto"/>
              <w:right w:val="single" w:sz="4" w:space="0" w:color="auto"/>
            </w:tcBorders>
            <w:shd w:val="clear" w:color="auto" w:fill="auto"/>
            <w:noWrap/>
            <w:vAlign w:val="center"/>
            <w:hideMark/>
          </w:tcPr>
          <w:p w14:paraId="10BF5F92" w14:textId="77777777" w:rsidR="001F38E6" w:rsidRPr="00925798" w:rsidRDefault="001F38E6"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Q2</w:t>
            </w:r>
          </w:p>
        </w:tc>
        <w:tc>
          <w:tcPr>
            <w:tcW w:w="698" w:type="dxa"/>
            <w:tcBorders>
              <w:top w:val="nil"/>
              <w:left w:val="nil"/>
              <w:bottom w:val="single" w:sz="4" w:space="0" w:color="auto"/>
              <w:right w:val="single" w:sz="4" w:space="0" w:color="auto"/>
            </w:tcBorders>
            <w:shd w:val="clear" w:color="auto" w:fill="auto"/>
            <w:noWrap/>
            <w:vAlign w:val="center"/>
            <w:hideMark/>
          </w:tcPr>
          <w:p w14:paraId="18C22D3F" w14:textId="77777777" w:rsidR="001F38E6" w:rsidRPr="00925798" w:rsidRDefault="001F38E6"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Q3</w:t>
            </w:r>
          </w:p>
        </w:tc>
        <w:tc>
          <w:tcPr>
            <w:tcW w:w="698" w:type="dxa"/>
            <w:tcBorders>
              <w:top w:val="single" w:sz="4" w:space="0" w:color="auto"/>
              <w:left w:val="nil"/>
              <w:bottom w:val="single" w:sz="4" w:space="0" w:color="auto"/>
              <w:right w:val="single" w:sz="4" w:space="0" w:color="auto"/>
            </w:tcBorders>
            <w:vAlign w:val="center"/>
          </w:tcPr>
          <w:p w14:paraId="6C4E8F1E" w14:textId="77777777" w:rsidR="001F38E6" w:rsidRPr="00925798" w:rsidRDefault="001F38E6" w:rsidP="007B3231">
            <w:pPr>
              <w:jc w:val="center"/>
              <w:rPr>
                <w:rFonts w:ascii="华文细黑" w:eastAsia="华文细黑" w:hAnsi="华文细黑"/>
                <w:sz w:val="13"/>
                <w:szCs w:val="13"/>
              </w:rPr>
            </w:pPr>
            <w:r>
              <w:rPr>
                <w:rFonts w:ascii="华文细黑" w:eastAsia="华文细黑" w:hAnsi="华文细黑" w:hint="eastAsia"/>
                <w:sz w:val="13"/>
                <w:szCs w:val="13"/>
              </w:rPr>
              <w:t>Q4</w:t>
            </w:r>
          </w:p>
        </w:tc>
        <w:tc>
          <w:tcPr>
            <w:tcW w:w="447" w:type="dxa"/>
            <w:tcBorders>
              <w:top w:val="single" w:sz="4" w:space="0" w:color="auto"/>
              <w:left w:val="single" w:sz="4" w:space="0" w:color="auto"/>
              <w:bottom w:val="single" w:sz="4" w:space="0" w:color="auto"/>
              <w:right w:val="single" w:sz="4" w:space="0" w:color="auto"/>
            </w:tcBorders>
            <w:vAlign w:val="center"/>
          </w:tcPr>
          <w:p w14:paraId="1CD56BCF" w14:textId="77777777" w:rsidR="001F38E6" w:rsidRPr="00925798" w:rsidRDefault="001F38E6"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Q1</w:t>
            </w:r>
          </w:p>
        </w:tc>
        <w:tc>
          <w:tcPr>
            <w:tcW w:w="532" w:type="dxa"/>
            <w:tcBorders>
              <w:top w:val="single" w:sz="4" w:space="0" w:color="auto"/>
              <w:left w:val="single" w:sz="4" w:space="0" w:color="auto"/>
              <w:bottom w:val="single" w:sz="4" w:space="0" w:color="auto"/>
              <w:right w:val="single" w:sz="4" w:space="0" w:color="auto"/>
            </w:tcBorders>
            <w:vAlign w:val="center"/>
          </w:tcPr>
          <w:p w14:paraId="4295AC0E" w14:textId="77777777" w:rsidR="001F38E6" w:rsidRPr="00925798" w:rsidRDefault="001F38E6"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Q2</w:t>
            </w:r>
          </w:p>
        </w:tc>
        <w:tc>
          <w:tcPr>
            <w:tcW w:w="532" w:type="dxa"/>
            <w:tcBorders>
              <w:top w:val="single" w:sz="4" w:space="0" w:color="auto"/>
              <w:left w:val="single" w:sz="4" w:space="0" w:color="auto"/>
              <w:bottom w:val="single" w:sz="4" w:space="0" w:color="auto"/>
              <w:right w:val="single" w:sz="4" w:space="0" w:color="auto"/>
            </w:tcBorders>
            <w:vAlign w:val="center"/>
          </w:tcPr>
          <w:p w14:paraId="02F67659" w14:textId="77777777" w:rsidR="001F38E6" w:rsidRPr="00925798" w:rsidRDefault="001F38E6"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Q3</w:t>
            </w:r>
          </w:p>
        </w:tc>
        <w:tc>
          <w:tcPr>
            <w:tcW w:w="515" w:type="dxa"/>
            <w:tcBorders>
              <w:top w:val="single" w:sz="4" w:space="0" w:color="auto"/>
              <w:left w:val="single" w:sz="4" w:space="0" w:color="auto"/>
              <w:bottom w:val="single" w:sz="4" w:space="0" w:color="auto"/>
              <w:right w:val="single" w:sz="4" w:space="0" w:color="auto"/>
            </w:tcBorders>
            <w:vAlign w:val="center"/>
          </w:tcPr>
          <w:p w14:paraId="4426DEF7" w14:textId="77777777" w:rsidR="001F38E6" w:rsidRPr="00925798" w:rsidRDefault="001F38E6" w:rsidP="007B3231">
            <w:pPr>
              <w:jc w:val="center"/>
              <w:rPr>
                <w:rFonts w:ascii="华文细黑" w:eastAsia="华文细黑" w:hAnsi="华文细黑"/>
                <w:sz w:val="13"/>
                <w:szCs w:val="13"/>
              </w:rPr>
            </w:pPr>
            <w:r>
              <w:rPr>
                <w:rFonts w:ascii="华文细黑" w:eastAsia="华文细黑" w:hAnsi="华文细黑" w:hint="eastAsia"/>
                <w:sz w:val="13"/>
                <w:szCs w:val="13"/>
              </w:rPr>
              <w:t>Q4</w:t>
            </w:r>
          </w:p>
        </w:tc>
        <w:tc>
          <w:tcPr>
            <w:tcW w:w="992" w:type="dxa"/>
            <w:vMerge/>
            <w:tcBorders>
              <w:left w:val="single" w:sz="4" w:space="0" w:color="auto"/>
              <w:bottom w:val="single" w:sz="4" w:space="0" w:color="auto"/>
              <w:right w:val="single" w:sz="4" w:space="0" w:color="auto"/>
            </w:tcBorders>
            <w:shd w:val="clear" w:color="auto" w:fill="auto"/>
            <w:noWrap/>
            <w:vAlign w:val="center"/>
            <w:hideMark/>
          </w:tcPr>
          <w:p w14:paraId="3B80A94E" w14:textId="77777777" w:rsidR="001F38E6" w:rsidRPr="00925798" w:rsidRDefault="001F38E6" w:rsidP="007B3231">
            <w:pPr>
              <w:rPr>
                <w:rFonts w:ascii="华文细黑" w:eastAsia="华文细黑" w:hAnsi="华文细黑"/>
                <w:sz w:val="13"/>
                <w:szCs w:val="13"/>
              </w:rPr>
            </w:pPr>
          </w:p>
        </w:tc>
      </w:tr>
      <w:tr w:rsidR="002279C3" w:rsidRPr="00E05368" w14:paraId="0B529CB9" w14:textId="77777777" w:rsidTr="002279C3">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65098E96" w14:textId="77777777" w:rsidR="004E151E" w:rsidRPr="00925798" w:rsidRDefault="004E151E"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1</w:t>
            </w:r>
          </w:p>
        </w:tc>
        <w:tc>
          <w:tcPr>
            <w:tcW w:w="1533" w:type="dxa"/>
            <w:tcBorders>
              <w:top w:val="nil"/>
              <w:left w:val="nil"/>
              <w:bottom w:val="single" w:sz="4" w:space="0" w:color="auto"/>
              <w:right w:val="single" w:sz="4" w:space="0" w:color="auto"/>
            </w:tcBorders>
            <w:shd w:val="clear" w:color="auto" w:fill="auto"/>
            <w:noWrap/>
            <w:vAlign w:val="center"/>
            <w:hideMark/>
          </w:tcPr>
          <w:p w14:paraId="3AAFEAEE" w14:textId="77777777" w:rsidR="004E151E" w:rsidRPr="00925798" w:rsidRDefault="004E151E"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一、总投资来源合计</w:t>
            </w:r>
          </w:p>
        </w:tc>
        <w:tc>
          <w:tcPr>
            <w:tcW w:w="656" w:type="dxa"/>
            <w:tcBorders>
              <w:top w:val="nil"/>
              <w:left w:val="nil"/>
              <w:bottom w:val="single" w:sz="4" w:space="0" w:color="auto"/>
              <w:right w:val="single" w:sz="4" w:space="0" w:color="auto"/>
            </w:tcBorders>
            <w:shd w:val="clear" w:color="auto" w:fill="auto"/>
            <w:noWrap/>
            <w:vAlign w:val="center"/>
          </w:tcPr>
          <w:p w14:paraId="3A9299BD" w14:textId="06E19BDF" w:rsidR="004E151E" w:rsidRPr="00925798" w:rsidRDefault="004E151E"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tcPr>
          <w:p w14:paraId="2520B8E2" w14:textId="6C13795B"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125,970</w:t>
            </w:r>
          </w:p>
        </w:tc>
        <w:tc>
          <w:tcPr>
            <w:tcW w:w="559" w:type="dxa"/>
            <w:tcBorders>
              <w:top w:val="nil"/>
              <w:left w:val="nil"/>
              <w:bottom w:val="single" w:sz="4" w:space="0" w:color="auto"/>
              <w:right w:val="single" w:sz="4" w:space="0" w:color="auto"/>
            </w:tcBorders>
            <w:shd w:val="clear" w:color="auto" w:fill="auto"/>
            <w:noWrap/>
            <w:vAlign w:val="center"/>
          </w:tcPr>
          <w:p w14:paraId="73618C0B" w14:textId="686A4CF8"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141,220</w:t>
            </w:r>
          </w:p>
        </w:tc>
        <w:tc>
          <w:tcPr>
            <w:tcW w:w="559" w:type="dxa"/>
            <w:tcBorders>
              <w:top w:val="nil"/>
              <w:left w:val="nil"/>
              <w:bottom w:val="single" w:sz="4" w:space="0" w:color="auto"/>
              <w:right w:val="single" w:sz="4" w:space="0" w:color="auto"/>
            </w:tcBorders>
            <w:shd w:val="clear" w:color="auto" w:fill="auto"/>
            <w:noWrap/>
            <w:vAlign w:val="center"/>
          </w:tcPr>
          <w:p w14:paraId="004668F4" w14:textId="168415C7"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17,669</w:t>
            </w:r>
          </w:p>
        </w:tc>
        <w:tc>
          <w:tcPr>
            <w:tcW w:w="559" w:type="dxa"/>
            <w:tcBorders>
              <w:top w:val="nil"/>
              <w:left w:val="nil"/>
              <w:bottom w:val="single" w:sz="4" w:space="0" w:color="auto"/>
              <w:right w:val="single" w:sz="4" w:space="0" w:color="auto"/>
            </w:tcBorders>
            <w:shd w:val="clear" w:color="auto" w:fill="auto"/>
            <w:noWrap/>
            <w:vAlign w:val="center"/>
          </w:tcPr>
          <w:p w14:paraId="2834FBC9" w14:textId="2792AE17"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18,930</w:t>
            </w:r>
          </w:p>
        </w:tc>
        <w:tc>
          <w:tcPr>
            <w:tcW w:w="697" w:type="dxa"/>
            <w:tcBorders>
              <w:top w:val="nil"/>
              <w:left w:val="nil"/>
              <w:bottom w:val="single" w:sz="4" w:space="0" w:color="auto"/>
              <w:right w:val="single" w:sz="4" w:space="0" w:color="auto"/>
            </w:tcBorders>
            <w:shd w:val="clear" w:color="auto" w:fill="auto"/>
            <w:noWrap/>
            <w:vAlign w:val="center"/>
          </w:tcPr>
          <w:p w14:paraId="13AC08C5" w14:textId="0886F9BF"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18,228</w:t>
            </w:r>
          </w:p>
        </w:tc>
        <w:tc>
          <w:tcPr>
            <w:tcW w:w="698" w:type="dxa"/>
            <w:tcBorders>
              <w:top w:val="nil"/>
              <w:left w:val="nil"/>
              <w:bottom w:val="single" w:sz="4" w:space="0" w:color="auto"/>
              <w:right w:val="single" w:sz="4" w:space="0" w:color="auto"/>
            </w:tcBorders>
            <w:shd w:val="clear" w:color="auto" w:fill="auto"/>
            <w:noWrap/>
            <w:vAlign w:val="center"/>
          </w:tcPr>
          <w:p w14:paraId="49D918A6" w14:textId="3B534DA3"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20,473</w:t>
            </w:r>
          </w:p>
        </w:tc>
        <w:tc>
          <w:tcPr>
            <w:tcW w:w="559" w:type="dxa"/>
            <w:tcBorders>
              <w:top w:val="nil"/>
              <w:left w:val="nil"/>
              <w:bottom w:val="single" w:sz="4" w:space="0" w:color="auto"/>
              <w:right w:val="single" w:sz="4" w:space="0" w:color="auto"/>
            </w:tcBorders>
            <w:shd w:val="clear" w:color="auto" w:fill="auto"/>
            <w:noWrap/>
            <w:vAlign w:val="center"/>
          </w:tcPr>
          <w:p w14:paraId="28938327" w14:textId="06F40FCE"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20,148</w:t>
            </w:r>
          </w:p>
        </w:tc>
        <w:tc>
          <w:tcPr>
            <w:tcW w:w="698" w:type="dxa"/>
            <w:tcBorders>
              <w:top w:val="nil"/>
              <w:left w:val="nil"/>
              <w:bottom w:val="single" w:sz="4" w:space="0" w:color="auto"/>
              <w:right w:val="single" w:sz="4" w:space="0" w:color="auto"/>
            </w:tcBorders>
            <w:shd w:val="clear" w:color="auto" w:fill="auto"/>
            <w:noWrap/>
            <w:vAlign w:val="center"/>
          </w:tcPr>
          <w:p w14:paraId="3E1B49C2" w14:textId="485133F7"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19,386</w:t>
            </w:r>
          </w:p>
        </w:tc>
        <w:tc>
          <w:tcPr>
            <w:tcW w:w="837" w:type="dxa"/>
            <w:tcBorders>
              <w:top w:val="nil"/>
              <w:left w:val="nil"/>
              <w:bottom w:val="single" w:sz="4" w:space="0" w:color="auto"/>
              <w:right w:val="single" w:sz="4" w:space="0" w:color="auto"/>
            </w:tcBorders>
            <w:shd w:val="clear" w:color="auto" w:fill="auto"/>
            <w:noWrap/>
            <w:vAlign w:val="center"/>
          </w:tcPr>
          <w:p w14:paraId="37E9621B" w14:textId="2BAF589E"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17,848</w:t>
            </w:r>
          </w:p>
        </w:tc>
        <w:tc>
          <w:tcPr>
            <w:tcW w:w="698" w:type="dxa"/>
            <w:tcBorders>
              <w:top w:val="nil"/>
              <w:left w:val="nil"/>
              <w:bottom w:val="single" w:sz="4" w:space="0" w:color="auto"/>
              <w:right w:val="single" w:sz="4" w:space="0" w:color="auto"/>
            </w:tcBorders>
            <w:shd w:val="clear" w:color="auto" w:fill="auto"/>
            <w:noWrap/>
            <w:vAlign w:val="center"/>
          </w:tcPr>
          <w:p w14:paraId="0F657C5B" w14:textId="47E7486C"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14,255</w:t>
            </w:r>
          </w:p>
        </w:tc>
        <w:tc>
          <w:tcPr>
            <w:tcW w:w="698" w:type="dxa"/>
            <w:tcBorders>
              <w:top w:val="single" w:sz="4" w:space="0" w:color="auto"/>
              <w:left w:val="nil"/>
              <w:bottom w:val="single" w:sz="4" w:space="0" w:color="auto"/>
              <w:right w:val="single" w:sz="4" w:space="0" w:color="auto"/>
            </w:tcBorders>
            <w:vAlign w:val="center"/>
          </w:tcPr>
          <w:p w14:paraId="43605AAB" w14:textId="33AE20A3" w:rsidR="004E151E" w:rsidRPr="00EC4902"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13,032</w:t>
            </w:r>
          </w:p>
        </w:tc>
        <w:tc>
          <w:tcPr>
            <w:tcW w:w="447" w:type="dxa"/>
            <w:tcBorders>
              <w:top w:val="nil"/>
              <w:left w:val="single" w:sz="4" w:space="0" w:color="auto"/>
              <w:bottom w:val="single" w:sz="4" w:space="0" w:color="auto"/>
              <w:right w:val="single" w:sz="4" w:space="0" w:color="auto"/>
            </w:tcBorders>
            <w:vAlign w:val="center"/>
          </w:tcPr>
          <w:p w14:paraId="62832105" w14:textId="02A8A82F" w:rsidR="004E151E" w:rsidRPr="00EC4902"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8,862</w:t>
            </w:r>
          </w:p>
        </w:tc>
        <w:tc>
          <w:tcPr>
            <w:tcW w:w="532" w:type="dxa"/>
            <w:tcBorders>
              <w:top w:val="nil"/>
              <w:left w:val="single" w:sz="4" w:space="0" w:color="auto"/>
              <w:bottom w:val="single" w:sz="4" w:space="0" w:color="auto"/>
              <w:right w:val="single" w:sz="4" w:space="0" w:color="auto"/>
            </w:tcBorders>
            <w:vAlign w:val="center"/>
          </w:tcPr>
          <w:p w14:paraId="5B96A0EB" w14:textId="5049942A" w:rsidR="004E151E" w:rsidRPr="00EC4902"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111</w:t>
            </w:r>
          </w:p>
        </w:tc>
        <w:tc>
          <w:tcPr>
            <w:tcW w:w="532" w:type="dxa"/>
            <w:tcBorders>
              <w:top w:val="nil"/>
              <w:left w:val="single" w:sz="4" w:space="0" w:color="auto"/>
              <w:bottom w:val="single" w:sz="4" w:space="0" w:color="auto"/>
              <w:right w:val="single" w:sz="4" w:space="0" w:color="auto"/>
            </w:tcBorders>
            <w:vAlign w:val="center"/>
          </w:tcPr>
          <w:p w14:paraId="3CA84AFC" w14:textId="13F60E71" w:rsidR="004E151E" w:rsidRPr="00EC4902"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67</w:t>
            </w:r>
          </w:p>
        </w:tc>
        <w:tc>
          <w:tcPr>
            <w:tcW w:w="515" w:type="dxa"/>
            <w:tcBorders>
              <w:top w:val="nil"/>
              <w:left w:val="single" w:sz="4" w:space="0" w:color="auto"/>
              <w:bottom w:val="single" w:sz="4" w:space="0" w:color="auto"/>
              <w:right w:val="single" w:sz="4" w:space="0" w:color="auto"/>
            </w:tcBorders>
            <w:vAlign w:val="center"/>
          </w:tcPr>
          <w:p w14:paraId="1F5189CE" w14:textId="23608EBB" w:rsidR="004E151E" w:rsidRPr="00EC4902"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8</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71F62767" w14:textId="5FBE6CFC"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436207</w:t>
            </w:r>
          </w:p>
        </w:tc>
      </w:tr>
      <w:tr w:rsidR="002279C3" w:rsidRPr="00E05368" w14:paraId="271EA2EA" w14:textId="77777777" w:rsidTr="002279C3">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tcPr>
          <w:p w14:paraId="0DC02796" w14:textId="5D5CB0C4" w:rsidR="004E151E" w:rsidRDefault="004E151E" w:rsidP="007B3231">
            <w:pPr>
              <w:jc w:val="center"/>
              <w:rPr>
                <w:rFonts w:ascii="华文细黑" w:eastAsia="华文细黑" w:hAnsi="华文细黑" w:hint="eastAsia"/>
                <w:sz w:val="13"/>
                <w:szCs w:val="13"/>
              </w:rPr>
            </w:pPr>
            <w:r>
              <w:rPr>
                <w:rFonts w:ascii="华文细黑" w:eastAsia="华文细黑" w:hAnsi="华文细黑" w:hint="eastAsia"/>
                <w:sz w:val="13"/>
                <w:szCs w:val="13"/>
              </w:rPr>
              <w:t>2</w:t>
            </w:r>
          </w:p>
        </w:tc>
        <w:tc>
          <w:tcPr>
            <w:tcW w:w="1533" w:type="dxa"/>
            <w:tcBorders>
              <w:top w:val="nil"/>
              <w:left w:val="nil"/>
              <w:bottom w:val="single" w:sz="4" w:space="0" w:color="auto"/>
              <w:right w:val="single" w:sz="4" w:space="0" w:color="auto"/>
            </w:tcBorders>
            <w:shd w:val="clear" w:color="auto" w:fill="auto"/>
            <w:noWrap/>
            <w:vAlign w:val="center"/>
          </w:tcPr>
          <w:p w14:paraId="1FBB5DEA" w14:textId="47F62D2A" w:rsidR="004E151E" w:rsidRPr="00925798" w:rsidRDefault="004E151E" w:rsidP="007B3231">
            <w:pPr>
              <w:jc w:val="center"/>
              <w:rPr>
                <w:rFonts w:ascii="华文细黑" w:eastAsia="华文细黑" w:hAnsi="华文细黑" w:hint="eastAsia"/>
                <w:sz w:val="13"/>
                <w:szCs w:val="13"/>
              </w:rPr>
            </w:pPr>
            <w:r>
              <w:rPr>
                <w:rFonts w:ascii="华文细黑" w:eastAsia="华文细黑" w:hAnsi="华文细黑" w:hint="eastAsia"/>
                <w:sz w:val="13"/>
                <w:szCs w:val="13"/>
              </w:rPr>
              <w:t>自有资金</w:t>
            </w:r>
          </w:p>
        </w:tc>
        <w:tc>
          <w:tcPr>
            <w:tcW w:w="656" w:type="dxa"/>
            <w:tcBorders>
              <w:top w:val="nil"/>
              <w:left w:val="nil"/>
              <w:bottom w:val="single" w:sz="4" w:space="0" w:color="auto"/>
              <w:right w:val="single" w:sz="4" w:space="0" w:color="auto"/>
            </w:tcBorders>
            <w:shd w:val="clear" w:color="auto" w:fill="auto"/>
            <w:noWrap/>
            <w:vAlign w:val="center"/>
          </w:tcPr>
          <w:p w14:paraId="720EAB3A" w14:textId="77777777" w:rsidR="004E151E" w:rsidRPr="00561484" w:rsidRDefault="004E151E"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tcPr>
          <w:p w14:paraId="37CBCC61" w14:textId="64FC6EEA" w:rsidR="004E151E" w:rsidRPr="00561484"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1020</w:t>
            </w:r>
          </w:p>
        </w:tc>
        <w:tc>
          <w:tcPr>
            <w:tcW w:w="559" w:type="dxa"/>
            <w:tcBorders>
              <w:top w:val="nil"/>
              <w:left w:val="nil"/>
              <w:bottom w:val="single" w:sz="4" w:space="0" w:color="auto"/>
              <w:right w:val="single" w:sz="4" w:space="0" w:color="auto"/>
            </w:tcBorders>
            <w:shd w:val="clear" w:color="auto" w:fill="auto"/>
            <w:noWrap/>
            <w:vAlign w:val="center"/>
          </w:tcPr>
          <w:p w14:paraId="206C65E7" w14:textId="77777777"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tcPr>
          <w:p w14:paraId="798E1F63" w14:textId="77777777"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tcPr>
          <w:p w14:paraId="5C571C50" w14:textId="77777777" w:rsidR="004E151E" w:rsidRPr="00925798" w:rsidRDefault="004E151E" w:rsidP="004E151E">
            <w:pPr>
              <w:jc w:val="center"/>
              <w:rPr>
                <w:rFonts w:ascii="华文细黑" w:eastAsia="华文细黑" w:hAnsi="华文细黑"/>
                <w:sz w:val="13"/>
                <w:szCs w:val="13"/>
              </w:rPr>
            </w:pPr>
          </w:p>
        </w:tc>
        <w:tc>
          <w:tcPr>
            <w:tcW w:w="697" w:type="dxa"/>
            <w:tcBorders>
              <w:top w:val="nil"/>
              <w:left w:val="nil"/>
              <w:bottom w:val="single" w:sz="4" w:space="0" w:color="auto"/>
              <w:right w:val="single" w:sz="4" w:space="0" w:color="auto"/>
            </w:tcBorders>
            <w:shd w:val="clear" w:color="auto" w:fill="auto"/>
            <w:noWrap/>
            <w:vAlign w:val="center"/>
          </w:tcPr>
          <w:p w14:paraId="14E612F0" w14:textId="77777777"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tcPr>
          <w:p w14:paraId="59714DEA" w14:textId="77777777"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tcPr>
          <w:p w14:paraId="6AC6E3D8" w14:textId="77777777"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tcPr>
          <w:p w14:paraId="6B1FCD80" w14:textId="77777777" w:rsidR="004E151E" w:rsidRPr="00925798" w:rsidRDefault="004E151E" w:rsidP="004E151E">
            <w:pPr>
              <w:jc w:val="center"/>
              <w:rPr>
                <w:rFonts w:ascii="华文细黑" w:eastAsia="华文细黑" w:hAnsi="华文细黑"/>
                <w:sz w:val="13"/>
                <w:szCs w:val="13"/>
              </w:rPr>
            </w:pPr>
          </w:p>
        </w:tc>
        <w:tc>
          <w:tcPr>
            <w:tcW w:w="837" w:type="dxa"/>
            <w:tcBorders>
              <w:top w:val="nil"/>
              <w:left w:val="nil"/>
              <w:bottom w:val="single" w:sz="4" w:space="0" w:color="auto"/>
              <w:right w:val="single" w:sz="4" w:space="0" w:color="auto"/>
            </w:tcBorders>
            <w:shd w:val="clear" w:color="auto" w:fill="auto"/>
            <w:noWrap/>
            <w:vAlign w:val="center"/>
          </w:tcPr>
          <w:p w14:paraId="3E1BA741" w14:textId="77777777"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tcPr>
          <w:p w14:paraId="45EC36EA" w14:textId="77777777" w:rsidR="004E151E" w:rsidRPr="00925798" w:rsidRDefault="004E151E" w:rsidP="004E151E">
            <w:pPr>
              <w:jc w:val="center"/>
              <w:rPr>
                <w:rFonts w:ascii="华文细黑" w:eastAsia="华文细黑" w:hAnsi="华文细黑"/>
                <w:sz w:val="13"/>
                <w:szCs w:val="13"/>
              </w:rPr>
            </w:pPr>
          </w:p>
        </w:tc>
        <w:tc>
          <w:tcPr>
            <w:tcW w:w="698" w:type="dxa"/>
            <w:tcBorders>
              <w:top w:val="single" w:sz="4" w:space="0" w:color="auto"/>
              <w:left w:val="nil"/>
              <w:bottom w:val="single" w:sz="4" w:space="0" w:color="auto"/>
              <w:right w:val="single" w:sz="4" w:space="0" w:color="auto"/>
            </w:tcBorders>
            <w:vAlign w:val="center"/>
          </w:tcPr>
          <w:p w14:paraId="120381BB" w14:textId="77777777" w:rsidR="004E151E" w:rsidRDefault="004E151E" w:rsidP="004E151E">
            <w:pPr>
              <w:jc w:val="center"/>
              <w:rPr>
                <w:rFonts w:ascii="华文细黑" w:eastAsia="华文细黑" w:hAnsi="华文细黑"/>
                <w:sz w:val="13"/>
                <w:szCs w:val="13"/>
              </w:rPr>
            </w:pPr>
          </w:p>
        </w:tc>
        <w:tc>
          <w:tcPr>
            <w:tcW w:w="447" w:type="dxa"/>
            <w:tcBorders>
              <w:top w:val="nil"/>
              <w:left w:val="single" w:sz="4" w:space="0" w:color="auto"/>
              <w:bottom w:val="single" w:sz="4" w:space="0" w:color="auto"/>
              <w:right w:val="single" w:sz="4" w:space="0" w:color="auto"/>
            </w:tcBorders>
            <w:vAlign w:val="center"/>
          </w:tcPr>
          <w:p w14:paraId="2B94AACB" w14:textId="77777777" w:rsidR="004E151E" w:rsidRDefault="004E151E" w:rsidP="004E151E">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0168E8A5" w14:textId="77777777" w:rsidR="004E151E" w:rsidRDefault="004E151E" w:rsidP="004E151E">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30B1AC94" w14:textId="77777777" w:rsidR="004E151E" w:rsidRDefault="004E151E" w:rsidP="004E151E">
            <w:pPr>
              <w:jc w:val="center"/>
              <w:rPr>
                <w:rFonts w:ascii="华文细黑" w:eastAsia="华文细黑" w:hAnsi="华文细黑"/>
                <w:sz w:val="13"/>
                <w:szCs w:val="13"/>
              </w:rPr>
            </w:pPr>
          </w:p>
        </w:tc>
        <w:tc>
          <w:tcPr>
            <w:tcW w:w="515" w:type="dxa"/>
            <w:tcBorders>
              <w:top w:val="nil"/>
              <w:left w:val="single" w:sz="4" w:space="0" w:color="auto"/>
              <w:bottom w:val="single" w:sz="4" w:space="0" w:color="auto"/>
              <w:right w:val="single" w:sz="4" w:space="0" w:color="auto"/>
            </w:tcBorders>
            <w:vAlign w:val="center"/>
          </w:tcPr>
          <w:p w14:paraId="2B366ACE" w14:textId="77777777" w:rsidR="004E151E" w:rsidRDefault="004E151E" w:rsidP="004E151E">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61AC3949" w14:textId="2767DF88" w:rsidR="004E151E" w:rsidRPr="009A4112"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1020</w:t>
            </w:r>
          </w:p>
        </w:tc>
      </w:tr>
      <w:tr w:rsidR="002279C3" w:rsidRPr="00E05368" w14:paraId="1D911891" w14:textId="77777777" w:rsidTr="002279C3">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7B5313E2" w14:textId="4B3DC511" w:rsidR="004E151E" w:rsidRPr="00925798" w:rsidRDefault="004E151E" w:rsidP="007B3231">
            <w:pPr>
              <w:jc w:val="center"/>
              <w:rPr>
                <w:rFonts w:ascii="华文细黑" w:eastAsia="华文细黑" w:hAnsi="华文细黑"/>
                <w:sz w:val="13"/>
                <w:szCs w:val="13"/>
              </w:rPr>
            </w:pPr>
            <w:r>
              <w:rPr>
                <w:rFonts w:ascii="华文细黑" w:eastAsia="华文细黑" w:hAnsi="华文细黑" w:hint="eastAsia"/>
                <w:sz w:val="13"/>
                <w:szCs w:val="13"/>
              </w:rPr>
              <w:t>3</w:t>
            </w:r>
          </w:p>
        </w:tc>
        <w:tc>
          <w:tcPr>
            <w:tcW w:w="1533" w:type="dxa"/>
            <w:tcBorders>
              <w:top w:val="nil"/>
              <w:left w:val="nil"/>
              <w:bottom w:val="single" w:sz="4" w:space="0" w:color="auto"/>
              <w:right w:val="single" w:sz="4" w:space="0" w:color="auto"/>
            </w:tcBorders>
            <w:shd w:val="clear" w:color="auto" w:fill="auto"/>
            <w:noWrap/>
            <w:vAlign w:val="center"/>
            <w:hideMark/>
          </w:tcPr>
          <w:p w14:paraId="3D2ECB86" w14:textId="20AA1715" w:rsidR="004E151E" w:rsidRPr="00925798" w:rsidRDefault="004E151E" w:rsidP="004E151E">
            <w:pPr>
              <w:jc w:val="center"/>
              <w:rPr>
                <w:rFonts w:ascii="华文细黑" w:eastAsia="华文细黑" w:hAnsi="华文细黑"/>
                <w:sz w:val="13"/>
                <w:szCs w:val="13"/>
              </w:rPr>
            </w:pPr>
            <w:r w:rsidRPr="00925798">
              <w:rPr>
                <w:rFonts w:ascii="华文细黑" w:eastAsia="华文细黑" w:hAnsi="华文细黑" w:hint="eastAsia"/>
                <w:sz w:val="13"/>
                <w:szCs w:val="13"/>
              </w:rPr>
              <w:t>五矿信托权益性出资</w:t>
            </w:r>
          </w:p>
        </w:tc>
        <w:tc>
          <w:tcPr>
            <w:tcW w:w="656" w:type="dxa"/>
            <w:tcBorders>
              <w:top w:val="nil"/>
              <w:left w:val="nil"/>
              <w:bottom w:val="single" w:sz="4" w:space="0" w:color="auto"/>
              <w:right w:val="single" w:sz="4" w:space="0" w:color="auto"/>
            </w:tcBorders>
            <w:shd w:val="clear" w:color="auto" w:fill="auto"/>
            <w:noWrap/>
            <w:vAlign w:val="center"/>
          </w:tcPr>
          <w:p w14:paraId="633E620A" w14:textId="18257C2D" w:rsidR="004E151E" w:rsidRPr="00925798" w:rsidRDefault="004E151E"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hideMark/>
          </w:tcPr>
          <w:p w14:paraId="6B4406F3" w14:textId="4337E44B"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2BCB9901" w14:textId="523DF08E"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980</w:t>
            </w:r>
          </w:p>
        </w:tc>
        <w:tc>
          <w:tcPr>
            <w:tcW w:w="559" w:type="dxa"/>
            <w:tcBorders>
              <w:top w:val="nil"/>
              <w:left w:val="nil"/>
              <w:bottom w:val="single" w:sz="4" w:space="0" w:color="auto"/>
              <w:right w:val="single" w:sz="4" w:space="0" w:color="auto"/>
            </w:tcBorders>
            <w:shd w:val="clear" w:color="auto" w:fill="auto"/>
            <w:noWrap/>
            <w:vAlign w:val="center"/>
            <w:hideMark/>
          </w:tcPr>
          <w:p w14:paraId="3CB99773" w14:textId="77777777"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36F3F9AF" w14:textId="77777777" w:rsidR="004E151E" w:rsidRPr="00925798" w:rsidRDefault="004E151E" w:rsidP="004E151E">
            <w:pPr>
              <w:jc w:val="center"/>
              <w:rPr>
                <w:rFonts w:ascii="华文细黑" w:eastAsia="华文细黑" w:hAnsi="华文细黑"/>
                <w:sz w:val="13"/>
                <w:szCs w:val="13"/>
              </w:rPr>
            </w:pPr>
          </w:p>
        </w:tc>
        <w:tc>
          <w:tcPr>
            <w:tcW w:w="697" w:type="dxa"/>
            <w:tcBorders>
              <w:top w:val="nil"/>
              <w:left w:val="nil"/>
              <w:bottom w:val="single" w:sz="4" w:space="0" w:color="auto"/>
              <w:right w:val="single" w:sz="4" w:space="0" w:color="auto"/>
            </w:tcBorders>
            <w:shd w:val="clear" w:color="auto" w:fill="auto"/>
            <w:noWrap/>
            <w:vAlign w:val="center"/>
            <w:hideMark/>
          </w:tcPr>
          <w:p w14:paraId="48BE7F6C" w14:textId="77777777"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4F2B2BB3" w14:textId="77777777"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46384739" w14:textId="77777777"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78111D56" w14:textId="77777777" w:rsidR="004E151E" w:rsidRPr="00925798" w:rsidRDefault="004E151E" w:rsidP="004E151E">
            <w:pPr>
              <w:jc w:val="center"/>
              <w:rPr>
                <w:rFonts w:ascii="华文细黑" w:eastAsia="华文细黑" w:hAnsi="华文细黑"/>
                <w:sz w:val="13"/>
                <w:szCs w:val="13"/>
              </w:rPr>
            </w:pPr>
          </w:p>
        </w:tc>
        <w:tc>
          <w:tcPr>
            <w:tcW w:w="837" w:type="dxa"/>
            <w:tcBorders>
              <w:top w:val="nil"/>
              <w:left w:val="nil"/>
              <w:bottom w:val="single" w:sz="4" w:space="0" w:color="auto"/>
              <w:right w:val="single" w:sz="4" w:space="0" w:color="auto"/>
            </w:tcBorders>
            <w:shd w:val="clear" w:color="auto" w:fill="auto"/>
            <w:noWrap/>
            <w:vAlign w:val="center"/>
            <w:hideMark/>
          </w:tcPr>
          <w:p w14:paraId="439F5EF5" w14:textId="77777777"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540ABA70" w14:textId="77777777" w:rsidR="004E151E" w:rsidRPr="00925798" w:rsidRDefault="004E151E" w:rsidP="004E151E">
            <w:pPr>
              <w:jc w:val="center"/>
              <w:rPr>
                <w:rFonts w:ascii="华文细黑" w:eastAsia="华文细黑" w:hAnsi="华文细黑"/>
                <w:sz w:val="13"/>
                <w:szCs w:val="13"/>
              </w:rPr>
            </w:pPr>
          </w:p>
        </w:tc>
        <w:tc>
          <w:tcPr>
            <w:tcW w:w="698" w:type="dxa"/>
            <w:tcBorders>
              <w:top w:val="single" w:sz="4" w:space="0" w:color="auto"/>
              <w:left w:val="nil"/>
              <w:bottom w:val="single" w:sz="4" w:space="0" w:color="auto"/>
              <w:right w:val="single" w:sz="4" w:space="0" w:color="auto"/>
            </w:tcBorders>
            <w:vAlign w:val="center"/>
          </w:tcPr>
          <w:p w14:paraId="3A9F47EF" w14:textId="77777777" w:rsidR="004E151E" w:rsidRDefault="004E151E" w:rsidP="004E151E">
            <w:pPr>
              <w:jc w:val="center"/>
              <w:rPr>
                <w:rFonts w:ascii="华文细黑" w:eastAsia="华文细黑" w:hAnsi="华文细黑"/>
                <w:sz w:val="13"/>
                <w:szCs w:val="13"/>
              </w:rPr>
            </w:pPr>
          </w:p>
        </w:tc>
        <w:tc>
          <w:tcPr>
            <w:tcW w:w="447" w:type="dxa"/>
            <w:tcBorders>
              <w:top w:val="nil"/>
              <w:left w:val="single" w:sz="4" w:space="0" w:color="auto"/>
              <w:bottom w:val="single" w:sz="4" w:space="0" w:color="auto"/>
              <w:right w:val="single" w:sz="4" w:space="0" w:color="auto"/>
            </w:tcBorders>
            <w:vAlign w:val="center"/>
          </w:tcPr>
          <w:p w14:paraId="0B976F39" w14:textId="77777777" w:rsidR="004E151E" w:rsidRDefault="004E151E" w:rsidP="004E151E">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4B92978D" w14:textId="77777777" w:rsidR="004E151E" w:rsidRDefault="004E151E" w:rsidP="004E151E">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51CCDEC1" w14:textId="77777777" w:rsidR="004E151E" w:rsidRDefault="004E151E" w:rsidP="004E151E">
            <w:pPr>
              <w:jc w:val="center"/>
              <w:rPr>
                <w:rFonts w:ascii="华文细黑" w:eastAsia="华文细黑" w:hAnsi="华文细黑"/>
                <w:sz w:val="13"/>
                <w:szCs w:val="13"/>
              </w:rPr>
            </w:pPr>
          </w:p>
        </w:tc>
        <w:tc>
          <w:tcPr>
            <w:tcW w:w="515" w:type="dxa"/>
            <w:tcBorders>
              <w:top w:val="nil"/>
              <w:left w:val="single" w:sz="4" w:space="0" w:color="auto"/>
              <w:bottom w:val="single" w:sz="4" w:space="0" w:color="auto"/>
              <w:right w:val="single" w:sz="4" w:space="0" w:color="auto"/>
            </w:tcBorders>
            <w:vAlign w:val="center"/>
          </w:tcPr>
          <w:p w14:paraId="3B8A667C" w14:textId="77777777" w:rsidR="004E151E" w:rsidRDefault="004E151E" w:rsidP="004E151E">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242E4170" w14:textId="64473DA3"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980</w:t>
            </w:r>
          </w:p>
        </w:tc>
      </w:tr>
      <w:tr w:rsidR="002279C3" w:rsidRPr="00E05368" w14:paraId="008C1550" w14:textId="77777777" w:rsidTr="002279C3">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626832F6" w14:textId="29D38087" w:rsidR="004E151E" w:rsidRPr="00925798" w:rsidRDefault="004E151E" w:rsidP="007B3231">
            <w:pPr>
              <w:jc w:val="center"/>
              <w:rPr>
                <w:rFonts w:ascii="华文细黑" w:eastAsia="华文细黑" w:hAnsi="华文细黑"/>
                <w:sz w:val="13"/>
                <w:szCs w:val="13"/>
              </w:rPr>
            </w:pPr>
            <w:r>
              <w:rPr>
                <w:rFonts w:ascii="华文细黑" w:eastAsia="华文细黑" w:hAnsi="华文细黑" w:hint="eastAsia"/>
                <w:sz w:val="13"/>
                <w:szCs w:val="13"/>
              </w:rPr>
              <w:t>4</w:t>
            </w:r>
          </w:p>
        </w:tc>
        <w:tc>
          <w:tcPr>
            <w:tcW w:w="1533" w:type="dxa"/>
            <w:tcBorders>
              <w:top w:val="single" w:sz="4" w:space="0" w:color="auto"/>
              <w:left w:val="nil"/>
              <w:bottom w:val="single" w:sz="4" w:space="0" w:color="auto"/>
              <w:right w:val="single" w:sz="4" w:space="0" w:color="auto"/>
            </w:tcBorders>
            <w:shd w:val="clear" w:color="auto" w:fill="auto"/>
            <w:noWrap/>
            <w:vAlign w:val="center"/>
            <w:hideMark/>
          </w:tcPr>
          <w:p w14:paraId="527801B9" w14:textId="384446B0" w:rsidR="004E151E" w:rsidRPr="00925798" w:rsidRDefault="004E151E"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五矿信托股东借款</w:t>
            </w:r>
          </w:p>
        </w:tc>
        <w:tc>
          <w:tcPr>
            <w:tcW w:w="656" w:type="dxa"/>
            <w:tcBorders>
              <w:top w:val="nil"/>
              <w:left w:val="nil"/>
              <w:bottom w:val="single" w:sz="4" w:space="0" w:color="auto"/>
              <w:right w:val="single" w:sz="4" w:space="0" w:color="auto"/>
            </w:tcBorders>
            <w:shd w:val="clear" w:color="auto" w:fill="auto"/>
            <w:noWrap/>
            <w:vAlign w:val="center"/>
          </w:tcPr>
          <w:p w14:paraId="1A23050A" w14:textId="71198CBB" w:rsidR="004E151E" w:rsidRPr="00925798" w:rsidRDefault="004E151E"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tcPr>
          <w:p w14:paraId="4C8501A3" w14:textId="77777777"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259C9C1D" w14:textId="2D42533A"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174720</w:t>
            </w:r>
          </w:p>
        </w:tc>
        <w:tc>
          <w:tcPr>
            <w:tcW w:w="559" w:type="dxa"/>
            <w:tcBorders>
              <w:top w:val="nil"/>
              <w:left w:val="nil"/>
              <w:bottom w:val="single" w:sz="4" w:space="0" w:color="auto"/>
              <w:right w:val="single" w:sz="4" w:space="0" w:color="auto"/>
            </w:tcBorders>
            <w:shd w:val="clear" w:color="auto" w:fill="auto"/>
            <w:noWrap/>
            <w:vAlign w:val="center"/>
            <w:hideMark/>
          </w:tcPr>
          <w:p w14:paraId="041DCC78" w14:textId="77777777"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0639D976" w14:textId="77777777" w:rsidR="004E151E" w:rsidRPr="00925798" w:rsidRDefault="004E151E" w:rsidP="004E151E">
            <w:pPr>
              <w:jc w:val="center"/>
              <w:rPr>
                <w:rFonts w:ascii="华文细黑" w:eastAsia="华文细黑" w:hAnsi="华文细黑"/>
                <w:sz w:val="13"/>
                <w:szCs w:val="13"/>
              </w:rPr>
            </w:pPr>
          </w:p>
        </w:tc>
        <w:tc>
          <w:tcPr>
            <w:tcW w:w="697" w:type="dxa"/>
            <w:tcBorders>
              <w:top w:val="nil"/>
              <w:left w:val="nil"/>
              <w:bottom w:val="single" w:sz="4" w:space="0" w:color="auto"/>
              <w:right w:val="single" w:sz="4" w:space="0" w:color="auto"/>
            </w:tcBorders>
            <w:shd w:val="clear" w:color="auto" w:fill="auto"/>
            <w:noWrap/>
            <w:vAlign w:val="center"/>
            <w:hideMark/>
          </w:tcPr>
          <w:p w14:paraId="74582A61" w14:textId="77777777"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755EB303" w14:textId="77777777"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4D0669F5" w14:textId="77777777"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0A1BBD31" w14:textId="77777777" w:rsidR="004E151E" w:rsidRPr="00925798" w:rsidRDefault="004E151E" w:rsidP="004E151E">
            <w:pPr>
              <w:jc w:val="center"/>
              <w:rPr>
                <w:rFonts w:ascii="华文细黑" w:eastAsia="华文细黑" w:hAnsi="华文细黑"/>
                <w:sz w:val="13"/>
                <w:szCs w:val="13"/>
              </w:rPr>
            </w:pPr>
          </w:p>
        </w:tc>
        <w:tc>
          <w:tcPr>
            <w:tcW w:w="837" w:type="dxa"/>
            <w:tcBorders>
              <w:top w:val="nil"/>
              <w:left w:val="nil"/>
              <w:bottom w:val="single" w:sz="4" w:space="0" w:color="auto"/>
              <w:right w:val="single" w:sz="4" w:space="0" w:color="auto"/>
            </w:tcBorders>
            <w:shd w:val="clear" w:color="auto" w:fill="auto"/>
            <w:noWrap/>
            <w:vAlign w:val="center"/>
            <w:hideMark/>
          </w:tcPr>
          <w:p w14:paraId="6535A477" w14:textId="77777777"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55F354C0" w14:textId="77777777" w:rsidR="004E151E" w:rsidRPr="00925798" w:rsidRDefault="004E151E" w:rsidP="004E151E">
            <w:pPr>
              <w:jc w:val="center"/>
              <w:rPr>
                <w:rFonts w:ascii="华文细黑" w:eastAsia="华文细黑" w:hAnsi="华文细黑"/>
                <w:sz w:val="13"/>
                <w:szCs w:val="13"/>
              </w:rPr>
            </w:pPr>
          </w:p>
        </w:tc>
        <w:tc>
          <w:tcPr>
            <w:tcW w:w="698" w:type="dxa"/>
            <w:tcBorders>
              <w:top w:val="single" w:sz="4" w:space="0" w:color="auto"/>
              <w:left w:val="nil"/>
              <w:bottom w:val="single" w:sz="4" w:space="0" w:color="auto"/>
              <w:right w:val="single" w:sz="4" w:space="0" w:color="auto"/>
            </w:tcBorders>
            <w:vAlign w:val="center"/>
          </w:tcPr>
          <w:p w14:paraId="73073CB0" w14:textId="77777777" w:rsidR="004E151E" w:rsidRDefault="004E151E" w:rsidP="004E151E">
            <w:pPr>
              <w:jc w:val="center"/>
              <w:rPr>
                <w:rFonts w:ascii="华文细黑" w:eastAsia="华文细黑" w:hAnsi="华文细黑"/>
                <w:sz w:val="13"/>
                <w:szCs w:val="13"/>
              </w:rPr>
            </w:pPr>
          </w:p>
        </w:tc>
        <w:tc>
          <w:tcPr>
            <w:tcW w:w="447" w:type="dxa"/>
            <w:tcBorders>
              <w:top w:val="nil"/>
              <w:left w:val="single" w:sz="4" w:space="0" w:color="auto"/>
              <w:bottom w:val="single" w:sz="4" w:space="0" w:color="auto"/>
              <w:right w:val="single" w:sz="4" w:space="0" w:color="auto"/>
            </w:tcBorders>
            <w:vAlign w:val="center"/>
          </w:tcPr>
          <w:p w14:paraId="77B01E33" w14:textId="77777777" w:rsidR="004E151E" w:rsidRDefault="004E151E" w:rsidP="004E151E">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3A838AE1" w14:textId="77777777" w:rsidR="004E151E" w:rsidRDefault="004E151E" w:rsidP="004E151E">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6373B96B" w14:textId="77777777" w:rsidR="004E151E" w:rsidRDefault="004E151E" w:rsidP="004E151E">
            <w:pPr>
              <w:jc w:val="center"/>
              <w:rPr>
                <w:rFonts w:ascii="华文细黑" w:eastAsia="华文细黑" w:hAnsi="华文细黑"/>
                <w:sz w:val="13"/>
                <w:szCs w:val="13"/>
              </w:rPr>
            </w:pPr>
          </w:p>
        </w:tc>
        <w:tc>
          <w:tcPr>
            <w:tcW w:w="515" w:type="dxa"/>
            <w:tcBorders>
              <w:top w:val="nil"/>
              <w:left w:val="single" w:sz="4" w:space="0" w:color="auto"/>
              <w:bottom w:val="single" w:sz="4" w:space="0" w:color="auto"/>
              <w:right w:val="single" w:sz="4" w:space="0" w:color="auto"/>
            </w:tcBorders>
            <w:vAlign w:val="center"/>
          </w:tcPr>
          <w:p w14:paraId="699D3C59" w14:textId="77777777" w:rsidR="004E151E" w:rsidRDefault="004E151E" w:rsidP="004E151E">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1FF7CD4F" w14:textId="59F899C7"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174720</w:t>
            </w:r>
          </w:p>
        </w:tc>
      </w:tr>
      <w:tr w:rsidR="002279C3" w:rsidRPr="00E05368" w14:paraId="66039AD5" w14:textId="77777777" w:rsidTr="002279C3">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191A47BA" w14:textId="71188EE3" w:rsidR="004E151E" w:rsidRPr="00925798" w:rsidRDefault="004E151E" w:rsidP="007B3231">
            <w:pPr>
              <w:jc w:val="center"/>
              <w:rPr>
                <w:rFonts w:ascii="华文细黑" w:eastAsia="华文细黑" w:hAnsi="华文细黑"/>
                <w:sz w:val="13"/>
                <w:szCs w:val="13"/>
              </w:rPr>
            </w:pPr>
            <w:r>
              <w:rPr>
                <w:rFonts w:ascii="华文细黑" w:eastAsia="华文细黑" w:hAnsi="华文细黑" w:hint="eastAsia"/>
                <w:sz w:val="13"/>
                <w:szCs w:val="13"/>
              </w:rPr>
              <w:t>5</w:t>
            </w:r>
          </w:p>
        </w:tc>
        <w:tc>
          <w:tcPr>
            <w:tcW w:w="1533" w:type="dxa"/>
            <w:tcBorders>
              <w:top w:val="single" w:sz="4" w:space="0" w:color="auto"/>
              <w:left w:val="nil"/>
              <w:bottom w:val="single" w:sz="4" w:space="0" w:color="auto"/>
              <w:right w:val="single" w:sz="4" w:space="0" w:color="auto"/>
            </w:tcBorders>
            <w:shd w:val="clear" w:color="auto" w:fill="auto"/>
            <w:noWrap/>
            <w:vAlign w:val="center"/>
            <w:hideMark/>
          </w:tcPr>
          <w:p w14:paraId="203E5DC0" w14:textId="77777777" w:rsidR="004E151E" w:rsidRPr="00925798" w:rsidRDefault="004E151E"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集团股东借款</w:t>
            </w:r>
          </w:p>
        </w:tc>
        <w:tc>
          <w:tcPr>
            <w:tcW w:w="656" w:type="dxa"/>
            <w:tcBorders>
              <w:top w:val="nil"/>
              <w:left w:val="nil"/>
              <w:bottom w:val="single" w:sz="4" w:space="0" w:color="auto"/>
              <w:right w:val="single" w:sz="4" w:space="0" w:color="auto"/>
            </w:tcBorders>
            <w:shd w:val="clear" w:color="auto" w:fill="auto"/>
            <w:noWrap/>
            <w:vAlign w:val="center"/>
          </w:tcPr>
          <w:p w14:paraId="61CED4E1" w14:textId="7C38DF96" w:rsidR="004E151E" w:rsidRPr="00925798" w:rsidRDefault="004E151E"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hideMark/>
          </w:tcPr>
          <w:p w14:paraId="56C9AF3D" w14:textId="0CF0E1D6"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124950</w:t>
            </w:r>
          </w:p>
        </w:tc>
        <w:tc>
          <w:tcPr>
            <w:tcW w:w="559" w:type="dxa"/>
            <w:tcBorders>
              <w:top w:val="nil"/>
              <w:left w:val="nil"/>
              <w:bottom w:val="single" w:sz="4" w:space="0" w:color="auto"/>
              <w:right w:val="single" w:sz="4" w:space="0" w:color="auto"/>
            </w:tcBorders>
            <w:shd w:val="clear" w:color="auto" w:fill="auto"/>
            <w:noWrap/>
            <w:vAlign w:val="center"/>
            <w:hideMark/>
          </w:tcPr>
          <w:p w14:paraId="1254A42F" w14:textId="28F1B618"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-34480</w:t>
            </w:r>
          </w:p>
        </w:tc>
        <w:tc>
          <w:tcPr>
            <w:tcW w:w="559" w:type="dxa"/>
            <w:tcBorders>
              <w:top w:val="nil"/>
              <w:left w:val="nil"/>
              <w:bottom w:val="single" w:sz="4" w:space="0" w:color="auto"/>
              <w:right w:val="single" w:sz="4" w:space="0" w:color="auto"/>
            </w:tcBorders>
            <w:shd w:val="clear" w:color="auto" w:fill="auto"/>
            <w:noWrap/>
            <w:vAlign w:val="center"/>
            <w:hideMark/>
          </w:tcPr>
          <w:p w14:paraId="542B5D90" w14:textId="7D6FD48A"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17669</w:t>
            </w:r>
          </w:p>
        </w:tc>
        <w:tc>
          <w:tcPr>
            <w:tcW w:w="559" w:type="dxa"/>
            <w:tcBorders>
              <w:top w:val="nil"/>
              <w:left w:val="nil"/>
              <w:bottom w:val="single" w:sz="4" w:space="0" w:color="auto"/>
              <w:right w:val="single" w:sz="4" w:space="0" w:color="auto"/>
            </w:tcBorders>
            <w:shd w:val="clear" w:color="auto" w:fill="auto"/>
            <w:noWrap/>
            <w:vAlign w:val="center"/>
            <w:hideMark/>
          </w:tcPr>
          <w:p w14:paraId="1EB149E3" w14:textId="4639A8AB"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13930</w:t>
            </w:r>
          </w:p>
        </w:tc>
        <w:tc>
          <w:tcPr>
            <w:tcW w:w="697" w:type="dxa"/>
            <w:tcBorders>
              <w:top w:val="nil"/>
              <w:left w:val="nil"/>
              <w:bottom w:val="single" w:sz="4" w:space="0" w:color="auto"/>
              <w:right w:val="single" w:sz="4" w:space="0" w:color="auto"/>
            </w:tcBorders>
            <w:shd w:val="clear" w:color="auto" w:fill="auto"/>
            <w:noWrap/>
            <w:vAlign w:val="center"/>
            <w:hideMark/>
          </w:tcPr>
          <w:p w14:paraId="126C4483" w14:textId="77777777"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5E8D0E29" w14:textId="77777777"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64651A0D" w14:textId="77777777"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15A558CA" w14:textId="77777777" w:rsidR="004E151E" w:rsidRPr="00925798" w:rsidRDefault="004E151E" w:rsidP="004E151E">
            <w:pPr>
              <w:jc w:val="center"/>
              <w:rPr>
                <w:rFonts w:ascii="华文细黑" w:eastAsia="华文细黑" w:hAnsi="华文细黑"/>
                <w:sz w:val="13"/>
                <w:szCs w:val="13"/>
              </w:rPr>
            </w:pPr>
          </w:p>
        </w:tc>
        <w:tc>
          <w:tcPr>
            <w:tcW w:w="837" w:type="dxa"/>
            <w:tcBorders>
              <w:top w:val="nil"/>
              <w:left w:val="nil"/>
              <w:bottom w:val="single" w:sz="4" w:space="0" w:color="auto"/>
              <w:right w:val="single" w:sz="4" w:space="0" w:color="auto"/>
            </w:tcBorders>
            <w:shd w:val="clear" w:color="auto" w:fill="auto"/>
            <w:noWrap/>
            <w:vAlign w:val="center"/>
            <w:hideMark/>
          </w:tcPr>
          <w:p w14:paraId="034BFEB9" w14:textId="77777777"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1577C1AC" w14:textId="77777777" w:rsidR="004E151E" w:rsidRPr="00925798" w:rsidRDefault="004E151E" w:rsidP="004E151E">
            <w:pPr>
              <w:jc w:val="center"/>
              <w:rPr>
                <w:rFonts w:ascii="华文细黑" w:eastAsia="华文细黑" w:hAnsi="华文细黑"/>
                <w:sz w:val="13"/>
                <w:szCs w:val="13"/>
              </w:rPr>
            </w:pPr>
          </w:p>
        </w:tc>
        <w:tc>
          <w:tcPr>
            <w:tcW w:w="698" w:type="dxa"/>
            <w:tcBorders>
              <w:top w:val="single" w:sz="4" w:space="0" w:color="auto"/>
              <w:left w:val="nil"/>
              <w:bottom w:val="single" w:sz="4" w:space="0" w:color="auto"/>
              <w:right w:val="single" w:sz="4" w:space="0" w:color="auto"/>
            </w:tcBorders>
            <w:vAlign w:val="center"/>
          </w:tcPr>
          <w:p w14:paraId="2E4D9B62" w14:textId="2D088F99" w:rsidR="004E151E" w:rsidRPr="00EC4902"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447" w:type="dxa"/>
            <w:tcBorders>
              <w:top w:val="nil"/>
              <w:left w:val="single" w:sz="4" w:space="0" w:color="auto"/>
              <w:bottom w:val="single" w:sz="4" w:space="0" w:color="auto"/>
              <w:right w:val="single" w:sz="4" w:space="0" w:color="auto"/>
            </w:tcBorders>
            <w:vAlign w:val="center"/>
          </w:tcPr>
          <w:p w14:paraId="724EDC69" w14:textId="77777777" w:rsidR="004E151E" w:rsidRPr="00EC4902" w:rsidRDefault="004E151E" w:rsidP="004E151E">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566A91DE" w14:textId="77777777" w:rsidR="004E151E" w:rsidRPr="00EC4902" w:rsidRDefault="004E151E" w:rsidP="004E151E">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516AD6E0" w14:textId="77777777" w:rsidR="004E151E" w:rsidRPr="00EC4902" w:rsidRDefault="004E151E" w:rsidP="004E151E">
            <w:pPr>
              <w:jc w:val="center"/>
              <w:rPr>
                <w:rFonts w:ascii="华文细黑" w:eastAsia="华文细黑" w:hAnsi="华文细黑"/>
                <w:sz w:val="13"/>
                <w:szCs w:val="13"/>
              </w:rPr>
            </w:pPr>
          </w:p>
        </w:tc>
        <w:tc>
          <w:tcPr>
            <w:tcW w:w="515" w:type="dxa"/>
            <w:tcBorders>
              <w:top w:val="nil"/>
              <w:left w:val="single" w:sz="4" w:space="0" w:color="auto"/>
              <w:bottom w:val="single" w:sz="4" w:space="0" w:color="auto"/>
              <w:right w:val="single" w:sz="4" w:space="0" w:color="auto"/>
            </w:tcBorders>
            <w:vAlign w:val="center"/>
          </w:tcPr>
          <w:p w14:paraId="0AC2386E" w14:textId="77777777" w:rsidR="004E151E" w:rsidRPr="00EC4902" w:rsidRDefault="004E151E" w:rsidP="004E151E">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65937BDC" w14:textId="26AC3F95"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122069</w:t>
            </w:r>
          </w:p>
        </w:tc>
      </w:tr>
      <w:tr w:rsidR="002279C3" w:rsidRPr="00E05368" w14:paraId="07912944" w14:textId="77777777" w:rsidTr="002279C3">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tcPr>
          <w:p w14:paraId="2DBD5F1D" w14:textId="562EA049" w:rsidR="004E151E" w:rsidRDefault="004E151E" w:rsidP="007B3231">
            <w:pPr>
              <w:jc w:val="center"/>
              <w:rPr>
                <w:rFonts w:ascii="华文细黑" w:eastAsia="华文细黑" w:hAnsi="华文细黑" w:hint="eastAsia"/>
                <w:sz w:val="13"/>
                <w:szCs w:val="13"/>
              </w:rPr>
            </w:pPr>
            <w:r>
              <w:rPr>
                <w:rFonts w:ascii="华文细黑" w:eastAsia="华文细黑" w:hAnsi="华文细黑" w:hint="eastAsia"/>
                <w:sz w:val="13"/>
                <w:szCs w:val="13"/>
              </w:rPr>
              <w:t>6</w:t>
            </w:r>
          </w:p>
        </w:tc>
        <w:tc>
          <w:tcPr>
            <w:tcW w:w="1533" w:type="dxa"/>
            <w:tcBorders>
              <w:top w:val="single" w:sz="4" w:space="0" w:color="auto"/>
              <w:left w:val="nil"/>
              <w:bottom w:val="single" w:sz="4" w:space="0" w:color="auto"/>
              <w:right w:val="single" w:sz="4" w:space="0" w:color="auto"/>
            </w:tcBorders>
            <w:shd w:val="clear" w:color="auto" w:fill="auto"/>
            <w:noWrap/>
            <w:vAlign w:val="center"/>
          </w:tcPr>
          <w:p w14:paraId="54F6B872" w14:textId="0C74D023" w:rsidR="004E151E" w:rsidRPr="00925798" w:rsidRDefault="004E151E" w:rsidP="007B3231">
            <w:pPr>
              <w:jc w:val="center"/>
              <w:rPr>
                <w:rFonts w:ascii="华文细黑" w:eastAsia="华文细黑" w:hAnsi="华文细黑" w:hint="eastAsia"/>
                <w:sz w:val="13"/>
                <w:szCs w:val="13"/>
              </w:rPr>
            </w:pPr>
            <w:r>
              <w:rPr>
                <w:rFonts w:ascii="华文细黑" w:eastAsia="华文细黑" w:hAnsi="华文细黑" w:hint="eastAsia"/>
                <w:sz w:val="13"/>
                <w:szCs w:val="13"/>
              </w:rPr>
              <w:t>银行开发贷</w:t>
            </w:r>
          </w:p>
        </w:tc>
        <w:tc>
          <w:tcPr>
            <w:tcW w:w="656" w:type="dxa"/>
            <w:tcBorders>
              <w:top w:val="nil"/>
              <w:left w:val="nil"/>
              <w:bottom w:val="single" w:sz="4" w:space="0" w:color="auto"/>
              <w:right w:val="single" w:sz="4" w:space="0" w:color="auto"/>
            </w:tcBorders>
            <w:shd w:val="clear" w:color="auto" w:fill="auto"/>
            <w:noWrap/>
            <w:vAlign w:val="center"/>
          </w:tcPr>
          <w:p w14:paraId="180ED03F" w14:textId="77777777" w:rsidR="004E151E" w:rsidRPr="00561484" w:rsidRDefault="004E151E"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tcPr>
          <w:p w14:paraId="0B57CAC5" w14:textId="77777777" w:rsidR="004E151E" w:rsidRPr="00561484"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tcPr>
          <w:p w14:paraId="420A9ECA" w14:textId="77777777"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tcPr>
          <w:p w14:paraId="2C7A8034" w14:textId="77777777"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tcPr>
          <w:p w14:paraId="7295160A" w14:textId="3C79B481"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5000</w:t>
            </w:r>
          </w:p>
        </w:tc>
        <w:tc>
          <w:tcPr>
            <w:tcW w:w="697" w:type="dxa"/>
            <w:tcBorders>
              <w:top w:val="nil"/>
              <w:left w:val="nil"/>
              <w:bottom w:val="single" w:sz="4" w:space="0" w:color="auto"/>
              <w:right w:val="single" w:sz="4" w:space="0" w:color="auto"/>
            </w:tcBorders>
            <w:shd w:val="clear" w:color="auto" w:fill="auto"/>
            <w:noWrap/>
            <w:vAlign w:val="center"/>
          </w:tcPr>
          <w:p w14:paraId="5C7B84F4" w14:textId="240E7D20"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13000</w:t>
            </w:r>
          </w:p>
        </w:tc>
        <w:tc>
          <w:tcPr>
            <w:tcW w:w="698" w:type="dxa"/>
            <w:tcBorders>
              <w:top w:val="nil"/>
              <w:left w:val="nil"/>
              <w:bottom w:val="single" w:sz="4" w:space="0" w:color="auto"/>
              <w:right w:val="single" w:sz="4" w:space="0" w:color="auto"/>
            </w:tcBorders>
            <w:shd w:val="clear" w:color="auto" w:fill="auto"/>
            <w:noWrap/>
            <w:vAlign w:val="center"/>
          </w:tcPr>
          <w:p w14:paraId="09A86022" w14:textId="77777777"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tcPr>
          <w:p w14:paraId="1B7CA383" w14:textId="77777777"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tcPr>
          <w:p w14:paraId="1799A40C" w14:textId="77777777" w:rsidR="004E151E" w:rsidRPr="00925798" w:rsidRDefault="004E151E" w:rsidP="004E151E">
            <w:pPr>
              <w:jc w:val="center"/>
              <w:rPr>
                <w:rFonts w:ascii="华文细黑" w:eastAsia="华文细黑" w:hAnsi="华文细黑"/>
                <w:sz w:val="13"/>
                <w:szCs w:val="13"/>
              </w:rPr>
            </w:pPr>
          </w:p>
        </w:tc>
        <w:tc>
          <w:tcPr>
            <w:tcW w:w="837" w:type="dxa"/>
            <w:tcBorders>
              <w:top w:val="nil"/>
              <w:left w:val="nil"/>
              <w:bottom w:val="single" w:sz="4" w:space="0" w:color="auto"/>
              <w:right w:val="single" w:sz="4" w:space="0" w:color="auto"/>
            </w:tcBorders>
            <w:shd w:val="clear" w:color="auto" w:fill="auto"/>
            <w:noWrap/>
            <w:vAlign w:val="center"/>
          </w:tcPr>
          <w:p w14:paraId="7C371076" w14:textId="77777777"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tcPr>
          <w:p w14:paraId="677F703B" w14:textId="77777777" w:rsidR="004E151E" w:rsidRPr="00925798" w:rsidRDefault="004E151E" w:rsidP="004E151E">
            <w:pPr>
              <w:jc w:val="center"/>
              <w:rPr>
                <w:rFonts w:ascii="华文细黑" w:eastAsia="华文细黑" w:hAnsi="华文细黑"/>
                <w:sz w:val="13"/>
                <w:szCs w:val="13"/>
              </w:rPr>
            </w:pPr>
          </w:p>
        </w:tc>
        <w:tc>
          <w:tcPr>
            <w:tcW w:w="698" w:type="dxa"/>
            <w:tcBorders>
              <w:top w:val="single" w:sz="4" w:space="0" w:color="auto"/>
              <w:left w:val="nil"/>
              <w:bottom w:val="single" w:sz="4" w:space="0" w:color="auto"/>
              <w:right w:val="single" w:sz="4" w:space="0" w:color="auto"/>
            </w:tcBorders>
            <w:vAlign w:val="center"/>
          </w:tcPr>
          <w:p w14:paraId="1F0180E5" w14:textId="77777777" w:rsidR="004E151E" w:rsidRPr="00EC4902" w:rsidRDefault="004E151E" w:rsidP="004E151E">
            <w:pPr>
              <w:jc w:val="center"/>
              <w:rPr>
                <w:rFonts w:ascii="华文细黑" w:eastAsia="华文细黑" w:hAnsi="华文细黑"/>
                <w:sz w:val="13"/>
                <w:szCs w:val="13"/>
              </w:rPr>
            </w:pPr>
          </w:p>
        </w:tc>
        <w:tc>
          <w:tcPr>
            <w:tcW w:w="447" w:type="dxa"/>
            <w:tcBorders>
              <w:top w:val="nil"/>
              <w:left w:val="single" w:sz="4" w:space="0" w:color="auto"/>
              <w:bottom w:val="single" w:sz="4" w:space="0" w:color="auto"/>
              <w:right w:val="single" w:sz="4" w:space="0" w:color="auto"/>
            </w:tcBorders>
            <w:vAlign w:val="center"/>
          </w:tcPr>
          <w:p w14:paraId="17BA9587" w14:textId="77777777" w:rsidR="004E151E" w:rsidRPr="00EC4902" w:rsidRDefault="004E151E" w:rsidP="004E151E">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6C0728B1" w14:textId="77777777" w:rsidR="004E151E" w:rsidRPr="00EC4902" w:rsidRDefault="004E151E" w:rsidP="004E151E">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69B10788" w14:textId="77777777" w:rsidR="004E151E" w:rsidRPr="00EC4902" w:rsidRDefault="004E151E" w:rsidP="004E151E">
            <w:pPr>
              <w:jc w:val="center"/>
              <w:rPr>
                <w:rFonts w:ascii="华文细黑" w:eastAsia="华文细黑" w:hAnsi="华文细黑"/>
                <w:sz w:val="13"/>
                <w:szCs w:val="13"/>
              </w:rPr>
            </w:pPr>
          </w:p>
        </w:tc>
        <w:tc>
          <w:tcPr>
            <w:tcW w:w="515" w:type="dxa"/>
            <w:tcBorders>
              <w:top w:val="nil"/>
              <w:left w:val="single" w:sz="4" w:space="0" w:color="auto"/>
              <w:bottom w:val="single" w:sz="4" w:space="0" w:color="auto"/>
              <w:right w:val="single" w:sz="4" w:space="0" w:color="auto"/>
            </w:tcBorders>
            <w:vAlign w:val="center"/>
          </w:tcPr>
          <w:p w14:paraId="477AE890" w14:textId="77777777" w:rsidR="004E151E" w:rsidRPr="00EC4902" w:rsidRDefault="004E151E" w:rsidP="004E151E">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5138B554" w14:textId="390FF339" w:rsidR="004E151E" w:rsidRPr="009A4112"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18000</w:t>
            </w:r>
          </w:p>
        </w:tc>
      </w:tr>
      <w:tr w:rsidR="002279C3" w:rsidRPr="00E05368" w14:paraId="01B107E8" w14:textId="77777777" w:rsidTr="002279C3">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3357DD82" w14:textId="2149332B" w:rsidR="004E151E" w:rsidRPr="00925798" w:rsidRDefault="004E151E" w:rsidP="007B3231">
            <w:pPr>
              <w:jc w:val="center"/>
              <w:rPr>
                <w:rFonts w:ascii="华文细黑" w:eastAsia="华文细黑" w:hAnsi="华文细黑"/>
                <w:sz w:val="13"/>
                <w:szCs w:val="13"/>
              </w:rPr>
            </w:pPr>
            <w:r>
              <w:rPr>
                <w:rFonts w:ascii="华文细黑" w:eastAsia="华文细黑" w:hAnsi="华文细黑" w:hint="eastAsia"/>
                <w:sz w:val="13"/>
                <w:szCs w:val="13"/>
              </w:rPr>
              <w:t>7</w:t>
            </w:r>
          </w:p>
        </w:tc>
        <w:tc>
          <w:tcPr>
            <w:tcW w:w="1533" w:type="dxa"/>
            <w:tcBorders>
              <w:top w:val="nil"/>
              <w:left w:val="nil"/>
              <w:bottom w:val="single" w:sz="4" w:space="0" w:color="auto"/>
              <w:right w:val="single" w:sz="4" w:space="0" w:color="auto"/>
            </w:tcBorders>
            <w:shd w:val="clear" w:color="auto" w:fill="auto"/>
            <w:noWrap/>
            <w:vAlign w:val="center"/>
            <w:hideMark/>
          </w:tcPr>
          <w:p w14:paraId="4CD98EEE" w14:textId="77777777" w:rsidR="004E151E" w:rsidRPr="00925798" w:rsidRDefault="004E151E"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销售收入回款</w:t>
            </w:r>
          </w:p>
        </w:tc>
        <w:tc>
          <w:tcPr>
            <w:tcW w:w="656" w:type="dxa"/>
            <w:tcBorders>
              <w:top w:val="nil"/>
              <w:left w:val="nil"/>
              <w:bottom w:val="single" w:sz="4" w:space="0" w:color="auto"/>
              <w:right w:val="single" w:sz="4" w:space="0" w:color="auto"/>
            </w:tcBorders>
            <w:shd w:val="clear" w:color="auto" w:fill="auto"/>
            <w:noWrap/>
            <w:vAlign w:val="center"/>
          </w:tcPr>
          <w:p w14:paraId="1683A74F" w14:textId="77777777" w:rsidR="004E151E" w:rsidRPr="00925798" w:rsidRDefault="004E151E"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tcPr>
          <w:p w14:paraId="53B650F9" w14:textId="77777777"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144D410B" w14:textId="5AE2FA4F"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72C4FBA4" w14:textId="50A97FB1"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09F6A8B6" w14:textId="11947EB9" w:rsidR="004E151E" w:rsidRPr="00925798" w:rsidRDefault="004E151E" w:rsidP="004E151E">
            <w:pPr>
              <w:jc w:val="center"/>
              <w:rPr>
                <w:rFonts w:ascii="华文细黑" w:eastAsia="华文细黑" w:hAnsi="华文细黑"/>
                <w:sz w:val="13"/>
                <w:szCs w:val="13"/>
              </w:rPr>
            </w:pPr>
          </w:p>
        </w:tc>
        <w:tc>
          <w:tcPr>
            <w:tcW w:w="697" w:type="dxa"/>
            <w:tcBorders>
              <w:top w:val="nil"/>
              <w:left w:val="nil"/>
              <w:bottom w:val="single" w:sz="4" w:space="0" w:color="auto"/>
              <w:right w:val="single" w:sz="4" w:space="0" w:color="auto"/>
            </w:tcBorders>
            <w:shd w:val="clear" w:color="auto" w:fill="auto"/>
            <w:noWrap/>
            <w:vAlign w:val="center"/>
            <w:hideMark/>
          </w:tcPr>
          <w:p w14:paraId="56B2F168" w14:textId="69E2B097"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5228</w:t>
            </w:r>
          </w:p>
        </w:tc>
        <w:tc>
          <w:tcPr>
            <w:tcW w:w="698" w:type="dxa"/>
            <w:tcBorders>
              <w:top w:val="nil"/>
              <w:left w:val="nil"/>
              <w:bottom w:val="single" w:sz="4" w:space="0" w:color="auto"/>
              <w:right w:val="single" w:sz="4" w:space="0" w:color="auto"/>
            </w:tcBorders>
            <w:shd w:val="clear" w:color="auto" w:fill="auto"/>
            <w:noWrap/>
            <w:vAlign w:val="center"/>
            <w:hideMark/>
          </w:tcPr>
          <w:p w14:paraId="29E411D4" w14:textId="0AC53852"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20473</w:t>
            </w:r>
          </w:p>
        </w:tc>
        <w:tc>
          <w:tcPr>
            <w:tcW w:w="559" w:type="dxa"/>
            <w:tcBorders>
              <w:top w:val="nil"/>
              <w:left w:val="nil"/>
              <w:bottom w:val="single" w:sz="4" w:space="0" w:color="auto"/>
              <w:right w:val="single" w:sz="4" w:space="0" w:color="auto"/>
            </w:tcBorders>
            <w:shd w:val="clear" w:color="auto" w:fill="auto"/>
            <w:noWrap/>
            <w:vAlign w:val="center"/>
            <w:hideMark/>
          </w:tcPr>
          <w:p w14:paraId="2D8CACD6" w14:textId="01CCCDA7"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20148</w:t>
            </w:r>
          </w:p>
        </w:tc>
        <w:tc>
          <w:tcPr>
            <w:tcW w:w="698" w:type="dxa"/>
            <w:tcBorders>
              <w:top w:val="nil"/>
              <w:left w:val="nil"/>
              <w:bottom w:val="single" w:sz="4" w:space="0" w:color="auto"/>
              <w:right w:val="single" w:sz="4" w:space="0" w:color="auto"/>
            </w:tcBorders>
            <w:shd w:val="clear" w:color="auto" w:fill="auto"/>
            <w:noWrap/>
            <w:vAlign w:val="center"/>
            <w:hideMark/>
          </w:tcPr>
          <w:p w14:paraId="08CF57C6" w14:textId="2132A7FF"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19386</w:t>
            </w:r>
          </w:p>
        </w:tc>
        <w:tc>
          <w:tcPr>
            <w:tcW w:w="837" w:type="dxa"/>
            <w:tcBorders>
              <w:top w:val="nil"/>
              <w:left w:val="nil"/>
              <w:bottom w:val="single" w:sz="4" w:space="0" w:color="auto"/>
              <w:right w:val="single" w:sz="4" w:space="0" w:color="auto"/>
            </w:tcBorders>
            <w:shd w:val="clear" w:color="auto" w:fill="auto"/>
            <w:noWrap/>
            <w:vAlign w:val="center"/>
            <w:hideMark/>
          </w:tcPr>
          <w:p w14:paraId="15670C17" w14:textId="1F05358A"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17848</w:t>
            </w:r>
          </w:p>
        </w:tc>
        <w:tc>
          <w:tcPr>
            <w:tcW w:w="698" w:type="dxa"/>
            <w:tcBorders>
              <w:top w:val="nil"/>
              <w:left w:val="nil"/>
              <w:bottom w:val="single" w:sz="4" w:space="0" w:color="auto"/>
              <w:right w:val="single" w:sz="4" w:space="0" w:color="auto"/>
            </w:tcBorders>
            <w:shd w:val="clear" w:color="auto" w:fill="auto"/>
            <w:noWrap/>
            <w:vAlign w:val="center"/>
            <w:hideMark/>
          </w:tcPr>
          <w:p w14:paraId="2D479AEF" w14:textId="2B3AD151"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14255</w:t>
            </w:r>
          </w:p>
        </w:tc>
        <w:tc>
          <w:tcPr>
            <w:tcW w:w="698" w:type="dxa"/>
            <w:tcBorders>
              <w:top w:val="single" w:sz="4" w:space="0" w:color="auto"/>
              <w:left w:val="nil"/>
              <w:bottom w:val="single" w:sz="4" w:space="0" w:color="auto"/>
              <w:right w:val="single" w:sz="4" w:space="0" w:color="auto"/>
            </w:tcBorders>
            <w:vAlign w:val="center"/>
          </w:tcPr>
          <w:p w14:paraId="2F0F8EBA" w14:textId="728AC306" w:rsidR="004E151E" w:rsidRPr="00EC4902"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13032</w:t>
            </w:r>
          </w:p>
        </w:tc>
        <w:tc>
          <w:tcPr>
            <w:tcW w:w="447" w:type="dxa"/>
            <w:tcBorders>
              <w:top w:val="nil"/>
              <w:left w:val="single" w:sz="4" w:space="0" w:color="auto"/>
              <w:bottom w:val="single" w:sz="4" w:space="0" w:color="auto"/>
              <w:right w:val="single" w:sz="4" w:space="0" w:color="auto"/>
            </w:tcBorders>
            <w:vAlign w:val="center"/>
          </w:tcPr>
          <w:p w14:paraId="02E34F7D" w14:textId="5A08AEDF" w:rsidR="004E151E" w:rsidRPr="00EC4902"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8862</w:t>
            </w:r>
          </w:p>
        </w:tc>
        <w:tc>
          <w:tcPr>
            <w:tcW w:w="532" w:type="dxa"/>
            <w:tcBorders>
              <w:top w:val="nil"/>
              <w:left w:val="single" w:sz="4" w:space="0" w:color="auto"/>
              <w:bottom w:val="single" w:sz="4" w:space="0" w:color="auto"/>
              <w:right w:val="single" w:sz="4" w:space="0" w:color="auto"/>
            </w:tcBorders>
            <w:vAlign w:val="center"/>
          </w:tcPr>
          <w:p w14:paraId="656D20AF" w14:textId="4696D522" w:rsidR="004E151E" w:rsidRPr="00EC4902"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111</w:t>
            </w:r>
          </w:p>
        </w:tc>
        <w:tc>
          <w:tcPr>
            <w:tcW w:w="532" w:type="dxa"/>
            <w:tcBorders>
              <w:top w:val="nil"/>
              <w:left w:val="single" w:sz="4" w:space="0" w:color="auto"/>
              <w:bottom w:val="single" w:sz="4" w:space="0" w:color="auto"/>
              <w:right w:val="single" w:sz="4" w:space="0" w:color="auto"/>
            </w:tcBorders>
            <w:vAlign w:val="center"/>
          </w:tcPr>
          <w:p w14:paraId="268BD536" w14:textId="4AF74A35" w:rsidR="004E151E" w:rsidRPr="00EC4902"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67</w:t>
            </w:r>
          </w:p>
        </w:tc>
        <w:tc>
          <w:tcPr>
            <w:tcW w:w="515" w:type="dxa"/>
            <w:tcBorders>
              <w:top w:val="nil"/>
              <w:left w:val="single" w:sz="4" w:space="0" w:color="auto"/>
              <w:bottom w:val="single" w:sz="4" w:space="0" w:color="auto"/>
              <w:right w:val="single" w:sz="4" w:space="0" w:color="auto"/>
            </w:tcBorders>
            <w:vAlign w:val="center"/>
          </w:tcPr>
          <w:p w14:paraId="5D7F37DB" w14:textId="2DA4CB35" w:rsidR="004E151E" w:rsidRPr="00EC4902"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8</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2152D48E" w14:textId="7DCEC0FF"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119418</w:t>
            </w:r>
          </w:p>
        </w:tc>
      </w:tr>
      <w:tr w:rsidR="002279C3" w:rsidRPr="00E05368" w14:paraId="41BAC164" w14:textId="77777777" w:rsidTr="002279C3">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7F890B38" w14:textId="1380FA6F" w:rsidR="004E151E" w:rsidRPr="00925798" w:rsidRDefault="004E151E" w:rsidP="007B3231">
            <w:pPr>
              <w:jc w:val="center"/>
              <w:rPr>
                <w:rFonts w:ascii="华文细黑" w:eastAsia="华文细黑" w:hAnsi="华文细黑"/>
                <w:sz w:val="13"/>
                <w:szCs w:val="13"/>
              </w:rPr>
            </w:pPr>
            <w:r>
              <w:rPr>
                <w:rFonts w:ascii="华文细黑" w:eastAsia="华文细黑" w:hAnsi="华文细黑" w:hint="eastAsia"/>
                <w:sz w:val="13"/>
                <w:szCs w:val="13"/>
              </w:rPr>
              <w:t>8</w:t>
            </w:r>
          </w:p>
        </w:tc>
        <w:tc>
          <w:tcPr>
            <w:tcW w:w="1533" w:type="dxa"/>
            <w:tcBorders>
              <w:top w:val="nil"/>
              <w:left w:val="nil"/>
              <w:bottom w:val="single" w:sz="4" w:space="0" w:color="auto"/>
              <w:right w:val="single" w:sz="4" w:space="0" w:color="auto"/>
            </w:tcBorders>
            <w:shd w:val="clear" w:color="auto" w:fill="auto"/>
            <w:noWrap/>
            <w:vAlign w:val="center"/>
            <w:hideMark/>
          </w:tcPr>
          <w:p w14:paraId="47806F89" w14:textId="77777777" w:rsidR="004E151E" w:rsidRPr="00925798" w:rsidRDefault="004E151E"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二、总投资支出合计</w:t>
            </w:r>
          </w:p>
        </w:tc>
        <w:tc>
          <w:tcPr>
            <w:tcW w:w="656" w:type="dxa"/>
            <w:tcBorders>
              <w:top w:val="nil"/>
              <w:left w:val="nil"/>
              <w:bottom w:val="single" w:sz="4" w:space="0" w:color="auto"/>
              <w:right w:val="single" w:sz="4" w:space="0" w:color="auto"/>
            </w:tcBorders>
            <w:shd w:val="clear" w:color="auto" w:fill="auto"/>
            <w:noWrap/>
            <w:vAlign w:val="center"/>
          </w:tcPr>
          <w:p w14:paraId="3409B89A" w14:textId="5CDCEA8E" w:rsidR="004E151E" w:rsidRPr="00925798" w:rsidRDefault="004E151E"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hideMark/>
          </w:tcPr>
          <w:p w14:paraId="73FBAA35" w14:textId="76EA267C"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125,970</w:t>
            </w:r>
          </w:p>
        </w:tc>
        <w:tc>
          <w:tcPr>
            <w:tcW w:w="559" w:type="dxa"/>
            <w:tcBorders>
              <w:top w:val="nil"/>
              <w:left w:val="nil"/>
              <w:bottom w:val="single" w:sz="4" w:space="0" w:color="auto"/>
              <w:right w:val="single" w:sz="4" w:space="0" w:color="auto"/>
            </w:tcBorders>
            <w:shd w:val="clear" w:color="auto" w:fill="auto"/>
            <w:noWrap/>
            <w:vAlign w:val="center"/>
            <w:hideMark/>
          </w:tcPr>
          <w:p w14:paraId="18BDB149" w14:textId="3CF7CFF6"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141,220</w:t>
            </w:r>
          </w:p>
        </w:tc>
        <w:tc>
          <w:tcPr>
            <w:tcW w:w="559" w:type="dxa"/>
            <w:tcBorders>
              <w:top w:val="nil"/>
              <w:left w:val="nil"/>
              <w:bottom w:val="single" w:sz="4" w:space="0" w:color="auto"/>
              <w:right w:val="single" w:sz="4" w:space="0" w:color="auto"/>
            </w:tcBorders>
            <w:shd w:val="clear" w:color="auto" w:fill="auto"/>
            <w:noWrap/>
            <w:vAlign w:val="center"/>
            <w:hideMark/>
          </w:tcPr>
          <w:p w14:paraId="404704ED" w14:textId="1FD56EE3"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17,669</w:t>
            </w:r>
          </w:p>
        </w:tc>
        <w:tc>
          <w:tcPr>
            <w:tcW w:w="559" w:type="dxa"/>
            <w:tcBorders>
              <w:top w:val="nil"/>
              <w:left w:val="nil"/>
              <w:bottom w:val="single" w:sz="4" w:space="0" w:color="auto"/>
              <w:right w:val="single" w:sz="4" w:space="0" w:color="auto"/>
            </w:tcBorders>
            <w:shd w:val="clear" w:color="auto" w:fill="auto"/>
            <w:noWrap/>
            <w:vAlign w:val="center"/>
            <w:hideMark/>
          </w:tcPr>
          <w:p w14:paraId="7F94D5E8" w14:textId="0E9B1707"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18,930</w:t>
            </w:r>
          </w:p>
        </w:tc>
        <w:tc>
          <w:tcPr>
            <w:tcW w:w="697" w:type="dxa"/>
            <w:tcBorders>
              <w:top w:val="nil"/>
              <w:left w:val="nil"/>
              <w:bottom w:val="single" w:sz="4" w:space="0" w:color="auto"/>
              <w:right w:val="single" w:sz="4" w:space="0" w:color="auto"/>
            </w:tcBorders>
            <w:shd w:val="clear" w:color="auto" w:fill="auto"/>
            <w:noWrap/>
            <w:vAlign w:val="center"/>
            <w:hideMark/>
          </w:tcPr>
          <w:p w14:paraId="0BDF0F02" w14:textId="18949447"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18,228</w:t>
            </w:r>
          </w:p>
        </w:tc>
        <w:tc>
          <w:tcPr>
            <w:tcW w:w="698" w:type="dxa"/>
            <w:tcBorders>
              <w:top w:val="nil"/>
              <w:left w:val="nil"/>
              <w:bottom w:val="single" w:sz="4" w:space="0" w:color="auto"/>
              <w:right w:val="single" w:sz="4" w:space="0" w:color="auto"/>
            </w:tcBorders>
            <w:shd w:val="clear" w:color="auto" w:fill="auto"/>
            <w:noWrap/>
            <w:vAlign w:val="center"/>
            <w:hideMark/>
          </w:tcPr>
          <w:p w14:paraId="074F7E98" w14:textId="55DA9B8B"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20,473</w:t>
            </w:r>
          </w:p>
        </w:tc>
        <w:tc>
          <w:tcPr>
            <w:tcW w:w="559" w:type="dxa"/>
            <w:tcBorders>
              <w:top w:val="nil"/>
              <w:left w:val="nil"/>
              <w:bottom w:val="single" w:sz="4" w:space="0" w:color="auto"/>
              <w:right w:val="single" w:sz="4" w:space="0" w:color="auto"/>
            </w:tcBorders>
            <w:shd w:val="clear" w:color="auto" w:fill="auto"/>
            <w:noWrap/>
            <w:vAlign w:val="center"/>
            <w:hideMark/>
          </w:tcPr>
          <w:p w14:paraId="0FB84FE9" w14:textId="6B83F826"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20,148</w:t>
            </w:r>
          </w:p>
        </w:tc>
        <w:tc>
          <w:tcPr>
            <w:tcW w:w="698" w:type="dxa"/>
            <w:tcBorders>
              <w:top w:val="nil"/>
              <w:left w:val="nil"/>
              <w:bottom w:val="single" w:sz="4" w:space="0" w:color="auto"/>
              <w:right w:val="single" w:sz="4" w:space="0" w:color="auto"/>
            </w:tcBorders>
            <w:shd w:val="clear" w:color="auto" w:fill="auto"/>
            <w:noWrap/>
            <w:vAlign w:val="center"/>
            <w:hideMark/>
          </w:tcPr>
          <w:p w14:paraId="2CDE4416" w14:textId="15CBD991"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19,386</w:t>
            </w:r>
          </w:p>
        </w:tc>
        <w:tc>
          <w:tcPr>
            <w:tcW w:w="837" w:type="dxa"/>
            <w:tcBorders>
              <w:top w:val="nil"/>
              <w:left w:val="nil"/>
              <w:bottom w:val="single" w:sz="4" w:space="0" w:color="auto"/>
              <w:right w:val="single" w:sz="4" w:space="0" w:color="auto"/>
            </w:tcBorders>
            <w:shd w:val="clear" w:color="auto" w:fill="auto"/>
            <w:noWrap/>
            <w:vAlign w:val="center"/>
            <w:hideMark/>
          </w:tcPr>
          <w:p w14:paraId="65E6BA6F" w14:textId="16396032"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17,848</w:t>
            </w:r>
          </w:p>
        </w:tc>
        <w:tc>
          <w:tcPr>
            <w:tcW w:w="698" w:type="dxa"/>
            <w:tcBorders>
              <w:top w:val="nil"/>
              <w:left w:val="nil"/>
              <w:bottom w:val="single" w:sz="4" w:space="0" w:color="auto"/>
              <w:right w:val="single" w:sz="4" w:space="0" w:color="auto"/>
            </w:tcBorders>
            <w:shd w:val="clear" w:color="auto" w:fill="auto"/>
            <w:noWrap/>
            <w:vAlign w:val="center"/>
            <w:hideMark/>
          </w:tcPr>
          <w:p w14:paraId="5F8B283D" w14:textId="62459460"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14,255</w:t>
            </w:r>
          </w:p>
        </w:tc>
        <w:tc>
          <w:tcPr>
            <w:tcW w:w="698" w:type="dxa"/>
            <w:tcBorders>
              <w:top w:val="single" w:sz="4" w:space="0" w:color="auto"/>
              <w:left w:val="nil"/>
              <w:bottom w:val="single" w:sz="4" w:space="0" w:color="auto"/>
              <w:right w:val="single" w:sz="4" w:space="0" w:color="auto"/>
            </w:tcBorders>
            <w:vAlign w:val="center"/>
          </w:tcPr>
          <w:p w14:paraId="789385EC" w14:textId="72DA12A4" w:rsidR="004E151E" w:rsidRPr="00EC4902"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13,032</w:t>
            </w:r>
          </w:p>
        </w:tc>
        <w:tc>
          <w:tcPr>
            <w:tcW w:w="447" w:type="dxa"/>
            <w:tcBorders>
              <w:top w:val="nil"/>
              <w:left w:val="single" w:sz="4" w:space="0" w:color="auto"/>
              <w:bottom w:val="single" w:sz="4" w:space="0" w:color="auto"/>
              <w:right w:val="single" w:sz="4" w:space="0" w:color="auto"/>
            </w:tcBorders>
            <w:vAlign w:val="center"/>
          </w:tcPr>
          <w:p w14:paraId="4E859FCD" w14:textId="22DB1939" w:rsidR="004E151E" w:rsidRPr="00EC4902"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8,862</w:t>
            </w:r>
          </w:p>
        </w:tc>
        <w:tc>
          <w:tcPr>
            <w:tcW w:w="532" w:type="dxa"/>
            <w:tcBorders>
              <w:top w:val="nil"/>
              <w:left w:val="single" w:sz="4" w:space="0" w:color="auto"/>
              <w:bottom w:val="single" w:sz="4" w:space="0" w:color="auto"/>
              <w:right w:val="single" w:sz="4" w:space="0" w:color="auto"/>
            </w:tcBorders>
            <w:vAlign w:val="center"/>
          </w:tcPr>
          <w:p w14:paraId="7750590E" w14:textId="62244518" w:rsidR="004E151E" w:rsidRPr="00EC4902"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111</w:t>
            </w:r>
          </w:p>
        </w:tc>
        <w:tc>
          <w:tcPr>
            <w:tcW w:w="532" w:type="dxa"/>
            <w:tcBorders>
              <w:top w:val="nil"/>
              <w:left w:val="single" w:sz="4" w:space="0" w:color="auto"/>
              <w:bottom w:val="single" w:sz="4" w:space="0" w:color="auto"/>
              <w:right w:val="single" w:sz="4" w:space="0" w:color="auto"/>
            </w:tcBorders>
            <w:vAlign w:val="center"/>
          </w:tcPr>
          <w:p w14:paraId="60756944" w14:textId="347DD393" w:rsidR="004E151E" w:rsidRPr="00EC4902"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67</w:t>
            </w:r>
          </w:p>
        </w:tc>
        <w:tc>
          <w:tcPr>
            <w:tcW w:w="515" w:type="dxa"/>
            <w:tcBorders>
              <w:top w:val="nil"/>
              <w:left w:val="single" w:sz="4" w:space="0" w:color="auto"/>
              <w:bottom w:val="single" w:sz="4" w:space="0" w:color="auto"/>
              <w:right w:val="single" w:sz="4" w:space="0" w:color="auto"/>
            </w:tcBorders>
            <w:vAlign w:val="center"/>
          </w:tcPr>
          <w:p w14:paraId="13544739" w14:textId="2C046C58" w:rsidR="004E151E" w:rsidRPr="00EC4902"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8</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78A73575" w14:textId="42CCD707"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436207</w:t>
            </w:r>
          </w:p>
        </w:tc>
      </w:tr>
      <w:tr w:rsidR="002279C3" w:rsidRPr="00E05368" w14:paraId="3B8B509A" w14:textId="77777777" w:rsidTr="002279C3">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3499E4C8" w14:textId="6C398E18" w:rsidR="004E151E" w:rsidRPr="00925798" w:rsidRDefault="004E151E" w:rsidP="007B3231">
            <w:pPr>
              <w:jc w:val="center"/>
              <w:rPr>
                <w:rFonts w:ascii="华文细黑" w:eastAsia="华文细黑" w:hAnsi="华文细黑"/>
                <w:sz w:val="13"/>
                <w:szCs w:val="13"/>
              </w:rPr>
            </w:pPr>
            <w:r>
              <w:rPr>
                <w:rFonts w:ascii="华文细黑" w:eastAsia="华文细黑" w:hAnsi="华文细黑" w:hint="eastAsia"/>
                <w:sz w:val="13"/>
                <w:szCs w:val="13"/>
              </w:rPr>
              <w:t>9</w:t>
            </w:r>
          </w:p>
        </w:tc>
        <w:tc>
          <w:tcPr>
            <w:tcW w:w="1533" w:type="dxa"/>
            <w:tcBorders>
              <w:top w:val="nil"/>
              <w:left w:val="nil"/>
              <w:bottom w:val="single" w:sz="4" w:space="0" w:color="auto"/>
              <w:right w:val="single" w:sz="4" w:space="0" w:color="auto"/>
            </w:tcBorders>
            <w:shd w:val="clear" w:color="auto" w:fill="auto"/>
            <w:noWrap/>
            <w:vAlign w:val="center"/>
            <w:hideMark/>
          </w:tcPr>
          <w:p w14:paraId="0EEAA320" w14:textId="77777777" w:rsidR="004E151E" w:rsidRPr="00925798" w:rsidRDefault="004E151E"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w:t>
            </w:r>
            <w:proofErr w:type="gramStart"/>
            <w:r w:rsidRPr="00925798">
              <w:rPr>
                <w:rFonts w:ascii="华文细黑" w:eastAsia="华文细黑" w:hAnsi="华文细黑" w:hint="eastAsia"/>
                <w:sz w:val="13"/>
                <w:szCs w:val="13"/>
              </w:rPr>
              <w:t>一</w:t>
            </w:r>
            <w:proofErr w:type="gramEnd"/>
            <w:r w:rsidRPr="00925798">
              <w:rPr>
                <w:rFonts w:ascii="华文细黑" w:eastAsia="华文细黑" w:hAnsi="华文细黑" w:hint="eastAsia"/>
                <w:sz w:val="13"/>
                <w:szCs w:val="13"/>
              </w:rPr>
              <w:t>)土地费用</w:t>
            </w:r>
          </w:p>
        </w:tc>
        <w:tc>
          <w:tcPr>
            <w:tcW w:w="656" w:type="dxa"/>
            <w:tcBorders>
              <w:top w:val="nil"/>
              <w:left w:val="nil"/>
              <w:bottom w:val="single" w:sz="4" w:space="0" w:color="auto"/>
              <w:right w:val="single" w:sz="4" w:space="0" w:color="auto"/>
            </w:tcBorders>
            <w:shd w:val="clear" w:color="auto" w:fill="auto"/>
            <w:noWrap/>
            <w:vAlign w:val="center"/>
          </w:tcPr>
          <w:p w14:paraId="1A5D6C83" w14:textId="221F31D0" w:rsidR="004E151E" w:rsidRPr="00925798" w:rsidRDefault="004E151E"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tcPr>
          <w:p w14:paraId="0D189AF6" w14:textId="707A76B7"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125500</w:t>
            </w:r>
          </w:p>
        </w:tc>
        <w:tc>
          <w:tcPr>
            <w:tcW w:w="559" w:type="dxa"/>
            <w:tcBorders>
              <w:top w:val="nil"/>
              <w:left w:val="nil"/>
              <w:bottom w:val="single" w:sz="4" w:space="0" w:color="auto"/>
              <w:right w:val="single" w:sz="4" w:space="0" w:color="auto"/>
            </w:tcBorders>
            <w:shd w:val="clear" w:color="auto" w:fill="auto"/>
            <w:noWrap/>
            <w:vAlign w:val="center"/>
          </w:tcPr>
          <w:p w14:paraId="03FD79C8" w14:textId="252935EE"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133156</w:t>
            </w:r>
          </w:p>
        </w:tc>
        <w:tc>
          <w:tcPr>
            <w:tcW w:w="559" w:type="dxa"/>
            <w:tcBorders>
              <w:top w:val="nil"/>
              <w:left w:val="nil"/>
              <w:bottom w:val="single" w:sz="4" w:space="0" w:color="auto"/>
              <w:right w:val="single" w:sz="4" w:space="0" w:color="auto"/>
            </w:tcBorders>
            <w:shd w:val="clear" w:color="auto" w:fill="auto"/>
            <w:noWrap/>
            <w:vAlign w:val="center"/>
          </w:tcPr>
          <w:p w14:paraId="2E3599CA" w14:textId="3906B112"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4162</w:t>
            </w:r>
          </w:p>
        </w:tc>
        <w:tc>
          <w:tcPr>
            <w:tcW w:w="559" w:type="dxa"/>
            <w:tcBorders>
              <w:top w:val="nil"/>
              <w:left w:val="nil"/>
              <w:bottom w:val="single" w:sz="4" w:space="0" w:color="auto"/>
              <w:right w:val="single" w:sz="4" w:space="0" w:color="auto"/>
            </w:tcBorders>
            <w:shd w:val="clear" w:color="auto" w:fill="auto"/>
            <w:noWrap/>
            <w:vAlign w:val="center"/>
          </w:tcPr>
          <w:p w14:paraId="5959B3B2" w14:textId="50C3CF90"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1040</w:t>
            </w:r>
          </w:p>
        </w:tc>
        <w:tc>
          <w:tcPr>
            <w:tcW w:w="697" w:type="dxa"/>
            <w:tcBorders>
              <w:top w:val="nil"/>
              <w:left w:val="nil"/>
              <w:bottom w:val="single" w:sz="4" w:space="0" w:color="auto"/>
              <w:right w:val="single" w:sz="4" w:space="0" w:color="auto"/>
            </w:tcBorders>
            <w:shd w:val="clear" w:color="auto" w:fill="auto"/>
            <w:noWrap/>
            <w:vAlign w:val="center"/>
          </w:tcPr>
          <w:p w14:paraId="614FA148" w14:textId="02FEA0DB"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698" w:type="dxa"/>
            <w:tcBorders>
              <w:top w:val="nil"/>
              <w:left w:val="nil"/>
              <w:bottom w:val="single" w:sz="4" w:space="0" w:color="auto"/>
              <w:right w:val="single" w:sz="4" w:space="0" w:color="auto"/>
            </w:tcBorders>
            <w:shd w:val="clear" w:color="auto" w:fill="auto"/>
            <w:noWrap/>
            <w:vAlign w:val="center"/>
          </w:tcPr>
          <w:p w14:paraId="46EB3D65" w14:textId="7D6DA75B"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559" w:type="dxa"/>
            <w:tcBorders>
              <w:top w:val="nil"/>
              <w:left w:val="nil"/>
              <w:bottom w:val="single" w:sz="4" w:space="0" w:color="auto"/>
              <w:right w:val="single" w:sz="4" w:space="0" w:color="auto"/>
            </w:tcBorders>
            <w:shd w:val="clear" w:color="auto" w:fill="auto"/>
            <w:noWrap/>
            <w:vAlign w:val="center"/>
          </w:tcPr>
          <w:p w14:paraId="499F174B" w14:textId="72BA37EF"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698" w:type="dxa"/>
            <w:tcBorders>
              <w:top w:val="nil"/>
              <w:left w:val="nil"/>
              <w:bottom w:val="single" w:sz="4" w:space="0" w:color="auto"/>
              <w:right w:val="single" w:sz="4" w:space="0" w:color="auto"/>
            </w:tcBorders>
            <w:shd w:val="clear" w:color="auto" w:fill="auto"/>
            <w:noWrap/>
            <w:vAlign w:val="center"/>
          </w:tcPr>
          <w:p w14:paraId="774D7CA6" w14:textId="6D00AF8D"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837" w:type="dxa"/>
            <w:tcBorders>
              <w:top w:val="nil"/>
              <w:left w:val="nil"/>
              <w:bottom w:val="single" w:sz="4" w:space="0" w:color="auto"/>
              <w:right w:val="single" w:sz="4" w:space="0" w:color="auto"/>
            </w:tcBorders>
            <w:shd w:val="clear" w:color="auto" w:fill="auto"/>
            <w:noWrap/>
            <w:vAlign w:val="center"/>
          </w:tcPr>
          <w:p w14:paraId="72B3D56D" w14:textId="4E5BAB6F"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698" w:type="dxa"/>
            <w:tcBorders>
              <w:top w:val="nil"/>
              <w:left w:val="nil"/>
              <w:bottom w:val="single" w:sz="4" w:space="0" w:color="auto"/>
              <w:right w:val="single" w:sz="4" w:space="0" w:color="auto"/>
            </w:tcBorders>
            <w:shd w:val="clear" w:color="auto" w:fill="auto"/>
            <w:noWrap/>
            <w:vAlign w:val="center"/>
          </w:tcPr>
          <w:p w14:paraId="780FB0CD" w14:textId="2DCC9ADD"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698" w:type="dxa"/>
            <w:tcBorders>
              <w:top w:val="single" w:sz="4" w:space="0" w:color="auto"/>
              <w:left w:val="nil"/>
              <w:bottom w:val="single" w:sz="4" w:space="0" w:color="auto"/>
              <w:right w:val="single" w:sz="4" w:space="0" w:color="auto"/>
            </w:tcBorders>
            <w:vAlign w:val="center"/>
          </w:tcPr>
          <w:p w14:paraId="0CFEB292" w14:textId="1D5DEC73" w:rsidR="004E151E" w:rsidRPr="00EC4902"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447" w:type="dxa"/>
            <w:tcBorders>
              <w:top w:val="nil"/>
              <w:left w:val="single" w:sz="4" w:space="0" w:color="auto"/>
              <w:bottom w:val="single" w:sz="4" w:space="0" w:color="auto"/>
              <w:right w:val="single" w:sz="4" w:space="0" w:color="auto"/>
            </w:tcBorders>
            <w:vAlign w:val="center"/>
          </w:tcPr>
          <w:p w14:paraId="22153587" w14:textId="3744BB4A" w:rsidR="004E151E" w:rsidRPr="00EC4902"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532" w:type="dxa"/>
            <w:tcBorders>
              <w:top w:val="nil"/>
              <w:left w:val="single" w:sz="4" w:space="0" w:color="auto"/>
              <w:bottom w:val="single" w:sz="4" w:space="0" w:color="auto"/>
              <w:right w:val="single" w:sz="4" w:space="0" w:color="auto"/>
            </w:tcBorders>
            <w:vAlign w:val="center"/>
          </w:tcPr>
          <w:p w14:paraId="22B32F25" w14:textId="62D1D29C" w:rsidR="004E151E" w:rsidRPr="00EC4902"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532" w:type="dxa"/>
            <w:tcBorders>
              <w:top w:val="nil"/>
              <w:left w:val="single" w:sz="4" w:space="0" w:color="auto"/>
              <w:bottom w:val="single" w:sz="4" w:space="0" w:color="auto"/>
              <w:right w:val="single" w:sz="4" w:space="0" w:color="auto"/>
            </w:tcBorders>
            <w:vAlign w:val="center"/>
          </w:tcPr>
          <w:p w14:paraId="4F2473A2" w14:textId="26898483" w:rsidR="004E151E" w:rsidRPr="00EC4902"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515" w:type="dxa"/>
            <w:tcBorders>
              <w:top w:val="nil"/>
              <w:left w:val="single" w:sz="4" w:space="0" w:color="auto"/>
              <w:bottom w:val="single" w:sz="4" w:space="0" w:color="auto"/>
              <w:right w:val="single" w:sz="4" w:space="0" w:color="auto"/>
            </w:tcBorders>
            <w:vAlign w:val="center"/>
          </w:tcPr>
          <w:p w14:paraId="4474FBD9" w14:textId="04AD6744" w:rsidR="004E151E" w:rsidRPr="00EC4902"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16B86870" w14:textId="153AE585"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263858</w:t>
            </w:r>
          </w:p>
        </w:tc>
      </w:tr>
      <w:tr w:rsidR="002279C3" w:rsidRPr="00E05368" w14:paraId="046BBF7E" w14:textId="77777777" w:rsidTr="002279C3">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6A9FFB76" w14:textId="7DEBC9A9" w:rsidR="004E151E" w:rsidRPr="00925798" w:rsidRDefault="004E151E" w:rsidP="007B3231">
            <w:pPr>
              <w:jc w:val="center"/>
              <w:rPr>
                <w:rFonts w:ascii="华文细黑" w:eastAsia="华文细黑" w:hAnsi="华文细黑"/>
                <w:sz w:val="13"/>
                <w:szCs w:val="13"/>
              </w:rPr>
            </w:pPr>
            <w:r>
              <w:rPr>
                <w:rFonts w:ascii="华文细黑" w:eastAsia="华文细黑" w:hAnsi="华文细黑" w:hint="eastAsia"/>
                <w:sz w:val="13"/>
                <w:szCs w:val="13"/>
              </w:rPr>
              <w:t>10</w:t>
            </w:r>
          </w:p>
        </w:tc>
        <w:tc>
          <w:tcPr>
            <w:tcW w:w="1533" w:type="dxa"/>
            <w:tcBorders>
              <w:top w:val="nil"/>
              <w:left w:val="nil"/>
              <w:bottom w:val="single" w:sz="4" w:space="0" w:color="auto"/>
              <w:right w:val="single" w:sz="4" w:space="0" w:color="auto"/>
            </w:tcBorders>
            <w:shd w:val="clear" w:color="auto" w:fill="auto"/>
            <w:noWrap/>
            <w:vAlign w:val="center"/>
            <w:hideMark/>
          </w:tcPr>
          <w:p w14:paraId="167EBDB4" w14:textId="77777777" w:rsidR="004E151E" w:rsidRPr="00925798" w:rsidRDefault="004E151E"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其中：政府土地收益</w:t>
            </w:r>
          </w:p>
        </w:tc>
        <w:tc>
          <w:tcPr>
            <w:tcW w:w="656" w:type="dxa"/>
            <w:tcBorders>
              <w:top w:val="nil"/>
              <w:left w:val="nil"/>
              <w:bottom w:val="single" w:sz="4" w:space="0" w:color="auto"/>
              <w:right w:val="single" w:sz="4" w:space="0" w:color="auto"/>
            </w:tcBorders>
            <w:shd w:val="clear" w:color="auto" w:fill="auto"/>
            <w:noWrap/>
            <w:vAlign w:val="center"/>
          </w:tcPr>
          <w:p w14:paraId="1BFF823E" w14:textId="21C6C571" w:rsidR="004E151E" w:rsidRPr="00925798" w:rsidRDefault="004E151E"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tcPr>
          <w:p w14:paraId="34344A5C" w14:textId="625C2A28"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125500</w:t>
            </w:r>
          </w:p>
        </w:tc>
        <w:tc>
          <w:tcPr>
            <w:tcW w:w="559" w:type="dxa"/>
            <w:tcBorders>
              <w:top w:val="nil"/>
              <w:left w:val="nil"/>
              <w:bottom w:val="single" w:sz="4" w:space="0" w:color="auto"/>
              <w:right w:val="single" w:sz="4" w:space="0" w:color="auto"/>
            </w:tcBorders>
            <w:shd w:val="clear" w:color="auto" w:fill="auto"/>
            <w:noWrap/>
            <w:vAlign w:val="center"/>
          </w:tcPr>
          <w:p w14:paraId="551569FC" w14:textId="04CA32A7"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125500</w:t>
            </w:r>
          </w:p>
        </w:tc>
        <w:tc>
          <w:tcPr>
            <w:tcW w:w="559" w:type="dxa"/>
            <w:tcBorders>
              <w:top w:val="nil"/>
              <w:left w:val="nil"/>
              <w:bottom w:val="single" w:sz="4" w:space="0" w:color="auto"/>
              <w:right w:val="single" w:sz="4" w:space="0" w:color="auto"/>
            </w:tcBorders>
            <w:shd w:val="clear" w:color="auto" w:fill="auto"/>
            <w:noWrap/>
            <w:vAlign w:val="center"/>
          </w:tcPr>
          <w:p w14:paraId="318FDC16" w14:textId="77777777"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tcPr>
          <w:p w14:paraId="76FB1546" w14:textId="77777777" w:rsidR="004E151E" w:rsidRPr="00925798" w:rsidRDefault="004E151E" w:rsidP="004E151E">
            <w:pPr>
              <w:jc w:val="center"/>
              <w:rPr>
                <w:rFonts w:ascii="华文细黑" w:eastAsia="华文细黑" w:hAnsi="华文细黑"/>
                <w:sz w:val="13"/>
                <w:szCs w:val="13"/>
              </w:rPr>
            </w:pPr>
          </w:p>
        </w:tc>
        <w:tc>
          <w:tcPr>
            <w:tcW w:w="697" w:type="dxa"/>
            <w:tcBorders>
              <w:top w:val="nil"/>
              <w:left w:val="nil"/>
              <w:bottom w:val="single" w:sz="4" w:space="0" w:color="auto"/>
              <w:right w:val="single" w:sz="4" w:space="0" w:color="auto"/>
            </w:tcBorders>
            <w:shd w:val="clear" w:color="auto" w:fill="auto"/>
            <w:noWrap/>
            <w:vAlign w:val="center"/>
          </w:tcPr>
          <w:p w14:paraId="196C241B" w14:textId="77777777"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tcPr>
          <w:p w14:paraId="64B1D515" w14:textId="77777777"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nil"/>
              <w:right w:val="nil"/>
            </w:tcBorders>
            <w:shd w:val="clear" w:color="auto" w:fill="auto"/>
            <w:noWrap/>
            <w:vAlign w:val="center"/>
          </w:tcPr>
          <w:p w14:paraId="15486617" w14:textId="77777777" w:rsidR="004E151E" w:rsidRPr="00925798" w:rsidRDefault="004E151E" w:rsidP="004E151E">
            <w:pPr>
              <w:jc w:val="center"/>
              <w:rPr>
                <w:rFonts w:ascii="华文细黑" w:eastAsia="华文细黑" w:hAnsi="华文细黑"/>
                <w:sz w:val="13"/>
                <w:szCs w:val="13"/>
              </w:rPr>
            </w:pPr>
          </w:p>
        </w:tc>
        <w:tc>
          <w:tcPr>
            <w:tcW w:w="698" w:type="dxa"/>
            <w:tcBorders>
              <w:top w:val="nil"/>
              <w:left w:val="single" w:sz="4" w:space="0" w:color="auto"/>
              <w:bottom w:val="single" w:sz="4" w:space="0" w:color="auto"/>
              <w:right w:val="single" w:sz="4" w:space="0" w:color="auto"/>
            </w:tcBorders>
            <w:shd w:val="clear" w:color="auto" w:fill="auto"/>
            <w:noWrap/>
            <w:vAlign w:val="center"/>
          </w:tcPr>
          <w:p w14:paraId="15814392" w14:textId="77777777" w:rsidR="004E151E" w:rsidRPr="00925798" w:rsidRDefault="004E151E" w:rsidP="004E151E">
            <w:pPr>
              <w:jc w:val="center"/>
              <w:rPr>
                <w:rFonts w:ascii="华文细黑" w:eastAsia="华文细黑" w:hAnsi="华文细黑"/>
                <w:sz w:val="13"/>
                <w:szCs w:val="13"/>
              </w:rPr>
            </w:pPr>
          </w:p>
        </w:tc>
        <w:tc>
          <w:tcPr>
            <w:tcW w:w="837" w:type="dxa"/>
            <w:tcBorders>
              <w:top w:val="nil"/>
              <w:left w:val="nil"/>
              <w:bottom w:val="single" w:sz="4" w:space="0" w:color="auto"/>
              <w:right w:val="single" w:sz="4" w:space="0" w:color="auto"/>
            </w:tcBorders>
            <w:shd w:val="clear" w:color="auto" w:fill="auto"/>
            <w:noWrap/>
            <w:vAlign w:val="center"/>
          </w:tcPr>
          <w:p w14:paraId="1B09E8E5" w14:textId="77777777"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tcPr>
          <w:p w14:paraId="66385D26" w14:textId="77777777" w:rsidR="004E151E" w:rsidRPr="00925798" w:rsidRDefault="004E151E" w:rsidP="004E151E">
            <w:pPr>
              <w:jc w:val="center"/>
              <w:rPr>
                <w:rFonts w:ascii="华文细黑" w:eastAsia="华文细黑" w:hAnsi="华文细黑"/>
                <w:sz w:val="13"/>
                <w:szCs w:val="13"/>
              </w:rPr>
            </w:pPr>
          </w:p>
        </w:tc>
        <w:tc>
          <w:tcPr>
            <w:tcW w:w="698" w:type="dxa"/>
            <w:tcBorders>
              <w:top w:val="single" w:sz="4" w:space="0" w:color="auto"/>
              <w:left w:val="nil"/>
              <w:bottom w:val="single" w:sz="4" w:space="0" w:color="auto"/>
              <w:right w:val="single" w:sz="4" w:space="0" w:color="auto"/>
            </w:tcBorders>
            <w:vAlign w:val="center"/>
          </w:tcPr>
          <w:p w14:paraId="1B5A7158" w14:textId="77777777" w:rsidR="004E151E" w:rsidRPr="00EC4902" w:rsidRDefault="004E151E" w:rsidP="004E151E">
            <w:pPr>
              <w:jc w:val="center"/>
              <w:rPr>
                <w:rFonts w:ascii="华文细黑" w:eastAsia="华文细黑" w:hAnsi="华文细黑"/>
                <w:sz w:val="13"/>
                <w:szCs w:val="13"/>
              </w:rPr>
            </w:pPr>
          </w:p>
        </w:tc>
        <w:tc>
          <w:tcPr>
            <w:tcW w:w="447" w:type="dxa"/>
            <w:tcBorders>
              <w:top w:val="nil"/>
              <w:left w:val="single" w:sz="4" w:space="0" w:color="auto"/>
              <w:bottom w:val="single" w:sz="4" w:space="0" w:color="auto"/>
              <w:right w:val="single" w:sz="4" w:space="0" w:color="auto"/>
            </w:tcBorders>
            <w:vAlign w:val="center"/>
          </w:tcPr>
          <w:p w14:paraId="77BAFE14" w14:textId="77777777" w:rsidR="004E151E" w:rsidRPr="00EC4902" w:rsidRDefault="004E151E" w:rsidP="004E151E">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5BB23F8C" w14:textId="77777777" w:rsidR="004E151E" w:rsidRPr="00EC4902" w:rsidRDefault="004E151E" w:rsidP="004E151E">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603CC87B" w14:textId="77777777" w:rsidR="004E151E" w:rsidRPr="00EC4902" w:rsidRDefault="004E151E" w:rsidP="004E151E">
            <w:pPr>
              <w:jc w:val="center"/>
              <w:rPr>
                <w:rFonts w:ascii="华文细黑" w:eastAsia="华文细黑" w:hAnsi="华文细黑"/>
                <w:sz w:val="13"/>
                <w:szCs w:val="13"/>
              </w:rPr>
            </w:pPr>
          </w:p>
        </w:tc>
        <w:tc>
          <w:tcPr>
            <w:tcW w:w="515" w:type="dxa"/>
            <w:tcBorders>
              <w:top w:val="nil"/>
              <w:left w:val="single" w:sz="4" w:space="0" w:color="auto"/>
              <w:bottom w:val="single" w:sz="4" w:space="0" w:color="auto"/>
              <w:right w:val="single" w:sz="4" w:space="0" w:color="auto"/>
            </w:tcBorders>
            <w:vAlign w:val="center"/>
          </w:tcPr>
          <w:p w14:paraId="16E402BC" w14:textId="77777777" w:rsidR="004E151E" w:rsidRPr="00EC4902" w:rsidRDefault="004E151E" w:rsidP="004E151E">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562FD784" w14:textId="4F404729"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251000</w:t>
            </w:r>
          </w:p>
        </w:tc>
      </w:tr>
      <w:tr w:rsidR="002279C3" w:rsidRPr="00E05368" w14:paraId="244882DC" w14:textId="77777777" w:rsidTr="002279C3">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349E04C3" w14:textId="63AA1124" w:rsidR="004E151E" w:rsidRPr="00925798" w:rsidRDefault="004E151E" w:rsidP="007B3231">
            <w:pPr>
              <w:jc w:val="center"/>
              <w:rPr>
                <w:rFonts w:ascii="华文细黑" w:eastAsia="华文细黑" w:hAnsi="华文细黑"/>
                <w:sz w:val="13"/>
                <w:szCs w:val="13"/>
              </w:rPr>
            </w:pPr>
            <w:r>
              <w:rPr>
                <w:rFonts w:ascii="华文细黑" w:eastAsia="华文细黑" w:hAnsi="华文细黑" w:hint="eastAsia"/>
                <w:sz w:val="13"/>
                <w:szCs w:val="13"/>
              </w:rPr>
              <w:t>11</w:t>
            </w:r>
          </w:p>
        </w:tc>
        <w:tc>
          <w:tcPr>
            <w:tcW w:w="1533" w:type="dxa"/>
            <w:tcBorders>
              <w:top w:val="nil"/>
              <w:left w:val="nil"/>
              <w:bottom w:val="single" w:sz="4" w:space="0" w:color="auto"/>
              <w:right w:val="single" w:sz="4" w:space="0" w:color="auto"/>
            </w:tcBorders>
            <w:shd w:val="clear" w:color="auto" w:fill="auto"/>
            <w:noWrap/>
            <w:vAlign w:val="center"/>
            <w:hideMark/>
          </w:tcPr>
          <w:p w14:paraId="2D298B53" w14:textId="77777777" w:rsidR="004E151E" w:rsidRPr="00925798" w:rsidRDefault="004E151E"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土地开发补偿费</w:t>
            </w:r>
          </w:p>
        </w:tc>
        <w:tc>
          <w:tcPr>
            <w:tcW w:w="656" w:type="dxa"/>
            <w:tcBorders>
              <w:top w:val="nil"/>
              <w:left w:val="nil"/>
              <w:bottom w:val="single" w:sz="4" w:space="0" w:color="auto"/>
              <w:right w:val="single" w:sz="4" w:space="0" w:color="auto"/>
            </w:tcBorders>
            <w:shd w:val="clear" w:color="auto" w:fill="auto"/>
            <w:noWrap/>
            <w:vAlign w:val="center"/>
          </w:tcPr>
          <w:p w14:paraId="0ABD66B7" w14:textId="77777777" w:rsidR="004E151E" w:rsidRPr="00925798" w:rsidRDefault="004E151E"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hideMark/>
          </w:tcPr>
          <w:p w14:paraId="1F1A3993" w14:textId="77777777"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4C1F6DA1" w14:textId="5C05D648"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6CBDA04A" w14:textId="66FA6909"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41BB18D0" w14:textId="2F9C7927" w:rsidR="004E151E" w:rsidRPr="00925798" w:rsidRDefault="004E151E" w:rsidP="004E151E">
            <w:pPr>
              <w:jc w:val="center"/>
              <w:rPr>
                <w:rFonts w:ascii="华文细黑" w:eastAsia="华文细黑" w:hAnsi="华文细黑"/>
                <w:sz w:val="13"/>
                <w:szCs w:val="13"/>
              </w:rPr>
            </w:pPr>
          </w:p>
        </w:tc>
        <w:tc>
          <w:tcPr>
            <w:tcW w:w="697" w:type="dxa"/>
            <w:tcBorders>
              <w:top w:val="nil"/>
              <w:left w:val="nil"/>
              <w:bottom w:val="single" w:sz="4" w:space="0" w:color="auto"/>
              <w:right w:val="single" w:sz="4" w:space="0" w:color="auto"/>
            </w:tcBorders>
            <w:shd w:val="clear" w:color="auto" w:fill="auto"/>
            <w:noWrap/>
            <w:vAlign w:val="center"/>
            <w:hideMark/>
          </w:tcPr>
          <w:p w14:paraId="41B3CCFD" w14:textId="20E0A2D0"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29CBCF31" w14:textId="64D2D0A4" w:rsidR="004E151E" w:rsidRPr="00925798" w:rsidRDefault="004E151E" w:rsidP="004E151E">
            <w:pPr>
              <w:jc w:val="center"/>
              <w:rPr>
                <w:rFonts w:ascii="华文细黑" w:eastAsia="华文细黑" w:hAnsi="华文细黑"/>
                <w:sz w:val="13"/>
                <w:szCs w:val="13"/>
              </w:rPr>
            </w:pPr>
          </w:p>
        </w:tc>
        <w:tc>
          <w:tcPr>
            <w:tcW w:w="559" w:type="dxa"/>
            <w:tcBorders>
              <w:top w:val="single" w:sz="4" w:space="0" w:color="auto"/>
              <w:left w:val="nil"/>
              <w:bottom w:val="single" w:sz="4" w:space="0" w:color="auto"/>
              <w:right w:val="single" w:sz="4" w:space="0" w:color="auto"/>
            </w:tcBorders>
            <w:shd w:val="clear" w:color="auto" w:fill="auto"/>
            <w:noWrap/>
            <w:vAlign w:val="center"/>
            <w:hideMark/>
          </w:tcPr>
          <w:p w14:paraId="0AD85702" w14:textId="069AFD92"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288E90CA" w14:textId="02FE834A" w:rsidR="004E151E" w:rsidRPr="00925798" w:rsidRDefault="004E151E" w:rsidP="004E151E">
            <w:pPr>
              <w:jc w:val="center"/>
              <w:rPr>
                <w:rFonts w:ascii="华文细黑" w:eastAsia="华文细黑" w:hAnsi="华文细黑"/>
                <w:sz w:val="13"/>
                <w:szCs w:val="13"/>
              </w:rPr>
            </w:pPr>
          </w:p>
        </w:tc>
        <w:tc>
          <w:tcPr>
            <w:tcW w:w="837" w:type="dxa"/>
            <w:tcBorders>
              <w:top w:val="nil"/>
              <w:left w:val="nil"/>
              <w:bottom w:val="single" w:sz="4" w:space="0" w:color="auto"/>
              <w:right w:val="single" w:sz="4" w:space="0" w:color="auto"/>
            </w:tcBorders>
            <w:shd w:val="clear" w:color="auto" w:fill="auto"/>
            <w:noWrap/>
            <w:vAlign w:val="center"/>
            <w:hideMark/>
          </w:tcPr>
          <w:p w14:paraId="00555D8B" w14:textId="78FF58AA"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65F24DE6" w14:textId="76F96718" w:rsidR="004E151E" w:rsidRPr="00925798" w:rsidRDefault="004E151E" w:rsidP="004E151E">
            <w:pPr>
              <w:jc w:val="center"/>
              <w:rPr>
                <w:rFonts w:ascii="华文细黑" w:eastAsia="华文细黑" w:hAnsi="华文细黑"/>
                <w:sz w:val="13"/>
                <w:szCs w:val="13"/>
              </w:rPr>
            </w:pPr>
          </w:p>
        </w:tc>
        <w:tc>
          <w:tcPr>
            <w:tcW w:w="698" w:type="dxa"/>
            <w:tcBorders>
              <w:top w:val="single" w:sz="4" w:space="0" w:color="auto"/>
              <w:left w:val="nil"/>
              <w:bottom w:val="single" w:sz="4" w:space="0" w:color="auto"/>
              <w:right w:val="single" w:sz="4" w:space="0" w:color="auto"/>
            </w:tcBorders>
            <w:vAlign w:val="center"/>
          </w:tcPr>
          <w:p w14:paraId="1BA3576F" w14:textId="77777777" w:rsidR="004E151E" w:rsidRPr="00925798" w:rsidRDefault="004E151E" w:rsidP="004E151E">
            <w:pPr>
              <w:jc w:val="center"/>
              <w:rPr>
                <w:rFonts w:ascii="华文细黑" w:eastAsia="华文细黑" w:hAnsi="华文细黑"/>
                <w:sz w:val="13"/>
                <w:szCs w:val="13"/>
              </w:rPr>
            </w:pPr>
          </w:p>
        </w:tc>
        <w:tc>
          <w:tcPr>
            <w:tcW w:w="447" w:type="dxa"/>
            <w:tcBorders>
              <w:top w:val="nil"/>
              <w:left w:val="single" w:sz="4" w:space="0" w:color="auto"/>
              <w:bottom w:val="single" w:sz="4" w:space="0" w:color="auto"/>
              <w:right w:val="single" w:sz="4" w:space="0" w:color="auto"/>
            </w:tcBorders>
            <w:vAlign w:val="center"/>
          </w:tcPr>
          <w:p w14:paraId="645E0E3F" w14:textId="77777777" w:rsidR="004E151E" w:rsidRPr="00925798" w:rsidRDefault="004E151E" w:rsidP="004E151E">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07556753" w14:textId="77777777" w:rsidR="004E151E" w:rsidRPr="00925798" w:rsidRDefault="004E151E" w:rsidP="004E151E">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726985DC" w14:textId="77777777" w:rsidR="004E151E" w:rsidRPr="00925798" w:rsidRDefault="004E151E" w:rsidP="004E151E">
            <w:pPr>
              <w:jc w:val="center"/>
              <w:rPr>
                <w:rFonts w:ascii="华文细黑" w:eastAsia="华文细黑" w:hAnsi="华文细黑"/>
                <w:sz w:val="13"/>
                <w:szCs w:val="13"/>
              </w:rPr>
            </w:pPr>
          </w:p>
        </w:tc>
        <w:tc>
          <w:tcPr>
            <w:tcW w:w="515" w:type="dxa"/>
            <w:tcBorders>
              <w:top w:val="nil"/>
              <w:left w:val="single" w:sz="4" w:space="0" w:color="auto"/>
              <w:bottom w:val="single" w:sz="4" w:space="0" w:color="auto"/>
              <w:right w:val="single" w:sz="4" w:space="0" w:color="auto"/>
            </w:tcBorders>
            <w:vAlign w:val="center"/>
          </w:tcPr>
          <w:p w14:paraId="5541374A" w14:textId="77777777" w:rsidR="004E151E" w:rsidRPr="00925798" w:rsidRDefault="004E151E" w:rsidP="004E151E">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228004E5" w14:textId="685891F8"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r>
      <w:tr w:rsidR="002279C3" w:rsidRPr="00E05368" w14:paraId="5FE833C8" w14:textId="77777777" w:rsidTr="002279C3">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0CD0F835" w14:textId="5EB2B27E" w:rsidR="004E151E" w:rsidRPr="00925798" w:rsidRDefault="004E151E" w:rsidP="007B3231">
            <w:pPr>
              <w:jc w:val="center"/>
              <w:rPr>
                <w:rFonts w:ascii="华文细黑" w:eastAsia="华文细黑" w:hAnsi="华文细黑"/>
                <w:sz w:val="13"/>
                <w:szCs w:val="13"/>
              </w:rPr>
            </w:pPr>
            <w:r>
              <w:rPr>
                <w:rFonts w:ascii="华文细黑" w:eastAsia="华文细黑" w:hAnsi="华文细黑" w:hint="eastAsia"/>
                <w:sz w:val="13"/>
                <w:szCs w:val="13"/>
              </w:rPr>
              <w:t>12</w:t>
            </w:r>
          </w:p>
        </w:tc>
        <w:tc>
          <w:tcPr>
            <w:tcW w:w="1533" w:type="dxa"/>
            <w:tcBorders>
              <w:top w:val="nil"/>
              <w:left w:val="nil"/>
              <w:bottom w:val="single" w:sz="4" w:space="0" w:color="auto"/>
              <w:right w:val="single" w:sz="4" w:space="0" w:color="auto"/>
            </w:tcBorders>
            <w:shd w:val="clear" w:color="auto" w:fill="auto"/>
            <w:noWrap/>
            <w:vAlign w:val="center"/>
            <w:hideMark/>
          </w:tcPr>
          <w:p w14:paraId="47CECB44" w14:textId="77777777" w:rsidR="004E151E" w:rsidRPr="00925798" w:rsidRDefault="004E151E"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购地税费</w:t>
            </w:r>
          </w:p>
        </w:tc>
        <w:tc>
          <w:tcPr>
            <w:tcW w:w="656" w:type="dxa"/>
            <w:tcBorders>
              <w:top w:val="nil"/>
              <w:left w:val="nil"/>
              <w:bottom w:val="single" w:sz="4" w:space="0" w:color="auto"/>
              <w:right w:val="single" w:sz="4" w:space="0" w:color="auto"/>
            </w:tcBorders>
            <w:shd w:val="clear" w:color="auto" w:fill="auto"/>
            <w:noWrap/>
            <w:vAlign w:val="center"/>
          </w:tcPr>
          <w:p w14:paraId="605E097C" w14:textId="77777777" w:rsidR="004E151E" w:rsidRPr="00925798" w:rsidRDefault="004E151E"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hideMark/>
          </w:tcPr>
          <w:p w14:paraId="129ECA98" w14:textId="58F505B8"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70CED5F3" w14:textId="71CAAA6A"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7656</w:t>
            </w:r>
          </w:p>
        </w:tc>
        <w:tc>
          <w:tcPr>
            <w:tcW w:w="559" w:type="dxa"/>
            <w:tcBorders>
              <w:top w:val="nil"/>
              <w:left w:val="nil"/>
              <w:bottom w:val="single" w:sz="4" w:space="0" w:color="auto"/>
              <w:right w:val="single" w:sz="4" w:space="0" w:color="auto"/>
            </w:tcBorders>
            <w:shd w:val="clear" w:color="auto" w:fill="auto"/>
            <w:noWrap/>
            <w:vAlign w:val="center"/>
            <w:hideMark/>
          </w:tcPr>
          <w:p w14:paraId="49F2B5FA" w14:textId="06F89DF8"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7F3C0478" w14:textId="0AD0F782" w:rsidR="004E151E" w:rsidRPr="00925798" w:rsidRDefault="004E151E" w:rsidP="004E151E">
            <w:pPr>
              <w:jc w:val="center"/>
              <w:rPr>
                <w:rFonts w:ascii="华文细黑" w:eastAsia="华文细黑" w:hAnsi="华文细黑"/>
                <w:sz w:val="13"/>
                <w:szCs w:val="13"/>
              </w:rPr>
            </w:pPr>
          </w:p>
        </w:tc>
        <w:tc>
          <w:tcPr>
            <w:tcW w:w="697" w:type="dxa"/>
            <w:tcBorders>
              <w:top w:val="nil"/>
              <w:left w:val="nil"/>
              <w:bottom w:val="single" w:sz="4" w:space="0" w:color="auto"/>
              <w:right w:val="single" w:sz="4" w:space="0" w:color="auto"/>
            </w:tcBorders>
            <w:shd w:val="clear" w:color="auto" w:fill="auto"/>
            <w:noWrap/>
            <w:vAlign w:val="center"/>
            <w:hideMark/>
          </w:tcPr>
          <w:p w14:paraId="3C8468D4" w14:textId="0DB3E37D"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3EB662CF" w14:textId="492ADACC"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75F97836" w14:textId="0C189A48"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7E85A7B9" w14:textId="26E36B4A" w:rsidR="004E151E" w:rsidRPr="00925798" w:rsidRDefault="004E151E" w:rsidP="004E151E">
            <w:pPr>
              <w:jc w:val="center"/>
              <w:rPr>
                <w:rFonts w:ascii="华文细黑" w:eastAsia="华文细黑" w:hAnsi="华文细黑"/>
                <w:sz w:val="13"/>
                <w:szCs w:val="13"/>
              </w:rPr>
            </w:pPr>
          </w:p>
        </w:tc>
        <w:tc>
          <w:tcPr>
            <w:tcW w:w="837" w:type="dxa"/>
            <w:tcBorders>
              <w:top w:val="nil"/>
              <w:left w:val="nil"/>
              <w:bottom w:val="single" w:sz="4" w:space="0" w:color="auto"/>
              <w:right w:val="single" w:sz="4" w:space="0" w:color="auto"/>
            </w:tcBorders>
            <w:shd w:val="clear" w:color="auto" w:fill="auto"/>
            <w:noWrap/>
            <w:vAlign w:val="center"/>
            <w:hideMark/>
          </w:tcPr>
          <w:p w14:paraId="68806B00" w14:textId="7D97B305"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2195D683" w14:textId="3FBBCF69" w:rsidR="004E151E" w:rsidRPr="00925798" w:rsidRDefault="004E151E" w:rsidP="004E151E">
            <w:pPr>
              <w:jc w:val="center"/>
              <w:rPr>
                <w:rFonts w:ascii="华文细黑" w:eastAsia="华文细黑" w:hAnsi="华文细黑"/>
                <w:sz w:val="13"/>
                <w:szCs w:val="13"/>
              </w:rPr>
            </w:pPr>
          </w:p>
        </w:tc>
        <w:tc>
          <w:tcPr>
            <w:tcW w:w="698" w:type="dxa"/>
            <w:tcBorders>
              <w:top w:val="single" w:sz="4" w:space="0" w:color="auto"/>
              <w:left w:val="nil"/>
              <w:bottom w:val="single" w:sz="4" w:space="0" w:color="auto"/>
              <w:right w:val="single" w:sz="4" w:space="0" w:color="auto"/>
            </w:tcBorders>
            <w:vAlign w:val="center"/>
          </w:tcPr>
          <w:p w14:paraId="0C532E91" w14:textId="77777777" w:rsidR="004E151E" w:rsidRPr="00E32F99" w:rsidRDefault="004E151E" w:rsidP="004E151E">
            <w:pPr>
              <w:jc w:val="center"/>
              <w:rPr>
                <w:rFonts w:ascii="华文细黑" w:eastAsia="华文细黑" w:hAnsi="华文细黑"/>
                <w:sz w:val="13"/>
                <w:szCs w:val="13"/>
              </w:rPr>
            </w:pPr>
          </w:p>
        </w:tc>
        <w:tc>
          <w:tcPr>
            <w:tcW w:w="447" w:type="dxa"/>
            <w:tcBorders>
              <w:top w:val="nil"/>
              <w:left w:val="single" w:sz="4" w:space="0" w:color="auto"/>
              <w:bottom w:val="single" w:sz="4" w:space="0" w:color="auto"/>
              <w:right w:val="single" w:sz="4" w:space="0" w:color="auto"/>
            </w:tcBorders>
            <w:vAlign w:val="center"/>
          </w:tcPr>
          <w:p w14:paraId="6E2E3562" w14:textId="77777777" w:rsidR="004E151E" w:rsidRPr="00E32F99" w:rsidRDefault="004E151E" w:rsidP="004E151E">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7DC2E017" w14:textId="77777777" w:rsidR="004E151E" w:rsidRPr="00E32F99" w:rsidRDefault="004E151E" w:rsidP="004E151E">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381BDD59" w14:textId="77777777" w:rsidR="004E151E" w:rsidRPr="00E32F99" w:rsidRDefault="004E151E" w:rsidP="004E151E">
            <w:pPr>
              <w:jc w:val="center"/>
              <w:rPr>
                <w:rFonts w:ascii="华文细黑" w:eastAsia="华文细黑" w:hAnsi="华文细黑"/>
                <w:sz w:val="13"/>
                <w:szCs w:val="13"/>
              </w:rPr>
            </w:pPr>
          </w:p>
        </w:tc>
        <w:tc>
          <w:tcPr>
            <w:tcW w:w="515" w:type="dxa"/>
            <w:tcBorders>
              <w:top w:val="nil"/>
              <w:left w:val="single" w:sz="4" w:space="0" w:color="auto"/>
              <w:bottom w:val="single" w:sz="4" w:space="0" w:color="auto"/>
              <w:right w:val="single" w:sz="4" w:space="0" w:color="auto"/>
            </w:tcBorders>
            <w:vAlign w:val="center"/>
          </w:tcPr>
          <w:p w14:paraId="20077713" w14:textId="77777777" w:rsidR="004E151E" w:rsidRPr="00E32F99" w:rsidRDefault="004E151E" w:rsidP="004E151E">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448977C" w14:textId="6AF9B4C0"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7656</w:t>
            </w:r>
          </w:p>
        </w:tc>
      </w:tr>
      <w:tr w:rsidR="002279C3" w:rsidRPr="00E05368" w14:paraId="03A07235" w14:textId="77777777" w:rsidTr="002279C3">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6A176149" w14:textId="44DB3A07" w:rsidR="004E151E" w:rsidRPr="00925798" w:rsidRDefault="004E151E"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1</w:t>
            </w:r>
            <w:r>
              <w:rPr>
                <w:rFonts w:ascii="华文细黑" w:eastAsia="华文细黑" w:hAnsi="华文细黑" w:hint="eastAsia"/>
                <w:sz w:val="13"/>
                <w:szCs w:val="13"/>
              </w:rPr>
              <w:t>3</w:t>
            </w:r>
          </w:p>
        </w:tc>
        <w:tc>
          <w:tcPr>
            <w:tcW w:w="1533" w:type="dxa"/>
            <w:tcBorders>
              <w:top w:val="nil"/>
              <w:left w:val="nil"/>
              <w:bottom w:val="single" w:sz="4" w:space="0" w:color="auto"/>
              <w:right w:val="single" w:sz="4" w:space="0" w:color="auto"/>
            </w:tcBorders>
            <w:shd w:val="clear" w:color="auto" w:fill="auto"/>
            <w:noWrap/>
            <w:vAlign w:val="center"/>
            <w:hideMark/>
          </w:tcPr>
          <w:p w14:paraId="1DFC215C" w14:textId="77777777" w:rsidR="004E151E" w:rsidRPr="00925798" w:rsidRDefault="004E151E"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补交政府土地收益及契税</w:t>
            </w:r>
          </w:p>
        </w:tc>
        <w:tc>
          <w:tcPr>
            <w:tcW w:w="656" w:type="dxa"/>
            <w:tcBorders>
              <w:top w:val="nil"/>
              <w:left w:val="nil"/>
              <w:bottom w:val="single" w:sz="4" w:space="0" w:color="auto"/>
              <w:right w:val="single" w:sz="4" w:space="0" w:color="auto"/>
            </w:tcBorders>
            <w:shd w:val="clear" w:color="auto" w:fill="auto"/>
            <w:noWrap/>
            <w:vAlign w:val="center"/>
          </w:tcPr>
          <w:p w14:paraId="353AC82B" w14:textId="77777777" w:rsidR="004E151E" w:rsidRPr="00925798" w:rsidRDefault="004E151E"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hideMark/>
          </w:tcPr>
          <w:p w14:paraId="2B1DF6C2" w14:textId="2310CE15"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379041D9" w14:textId="56BEB46C"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343B05B6" w14:textId="6D1C874C"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5756F5D3" w14:textId="7A7F564F" w:rsidR="004E151E" w:rsidRPr="00925798" w:rsidRDefault="004E151E" w:rsidP="004E151E">
            <w:pPr>
              <w:jc w:val="center"/>
              <w:rPr>
                <w:rFonts w:ascii="华文细黑" w:eastAsia="华文细黑" w:hAnsi="华文细黑"/>
                <w:sz w:val="13"/>
                <w:szCs w:val="13"/>
              </w:rPr>
            </w:pPr>
          </w:p>
        </w:tc>
        <w:tc>
          <w:tcPr>
            <w:tcW w:w="697" w:type="dxa"/>
            <w:tcBorders>
              <w:top w:val="nil"/>
              <w:left w:val="nil"/>
              <w:bottom w:val="single" w:sz="4" w:space="0" w:color="auto"/>
              <w:right w:val="single" w:sz="4" w:space="0" w:color="auto"/>
            </w:tcBorders>
            <w:shd w:val="clear" w:color="auto" w:fill="auto"/>
            <w:noWrap/>
            <w:vAlign w:val="center"/>
            <w:hideMark/>
          </w:tcPr>
          <w:p w14:paraId="3E219045" w14:textId="79F0DC03"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698" w:type="dxa"/>
            <w:tcBorders>
              <w:top w:val="nil"/>
              <w:left w:val="nil"/>
              <w:bottom w:val="single" w:sz="4" w:space="0" w:color="auto"/>
              <w:right w:val="single" w:sz="4" w:space="0" w:color="auto"/>
            </w:tcBorders>
            <w:shd w:val="clear" w:color="auto" w:fill="auto"/>
            <w:noWrap/>
            <w:vAlign w:val="center"/>
            <w:hideMark/>
          </w:tcPr>
          <w:p w14:paraId="28A88122" w14:textId="2835533C"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636EB590" w14:textId="20C6DDAB"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293848B4" w14:textId="0832BDCB" w:rsidR="004E151E" w:rsidRPr="00925798" w:rsidRDefault="004E151E" w:rsidP="004E151E">
            <w:pPr>
              <w:jc w:val="center"/>
              <w:rPr>
                <w:rFonts w:ascii="华文细黑" w:eastAsia="华文细黑" w:hAnsi="华文细黑"/>
                <w:sz w:val="13"/>
                <w:szCs w:val="13"/>
              </w:rPr>
            </w:pPr>
          </w:p>
        </w:tc>
        <w:tc>
          <w:tcPr>
            <w:tcW w:w="837" w:type="dxa"/>
            <w:tcBorders>
              <w:top w:val="nil"/>
              <w:left w:val="nil"/>
              <w:bottom w:val="single" w:sz="4" w:space="0" w:color="auto"/>
              <w:right w:val="single" w:sz="4" w:space="0" w:color="auto"/>
            </w:tcBorders>
            <w:shd w:val="clear" w:color="auto" w:fill="auto"/>
            <w:noWrap/>
            <w:vAlign w:val="center"/>
            <w:hideMark/>
          </w:tcPr>
          <w:p w14:paraId="6F49F0BD" w14:textId="1DA7D1F7"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02A56A37" w14:textId="4A2EB391" w:rsidR="004E151E" w:rsidRPr="00925798" w:rsidRDefault="004E151E" w:rsidP="004E151E">
            <w:pPr>
              <w:jc w:val="center"/>
              <w:rPr>
                <w:rFonts w:ascii="华文细黑" w:eastAsia="华文细黑" w:hAnsi="华文细黑"/>
                <w:sz w:val="13"/>
                <w:szCs w:val="13"/>
              </w:rPr>
            </w:pPr>
          </w:p>
        </w:tc>
        <w:tc>
          <w:tcPr>
            <w:tcW w:w="698" w:type="dxa"/>
            <w:tcBorders>
              <w:top w:val="single" w:sz="4" w:space="0" w:color="auto"/>
              <w:left w:val="nil"/>
              <w:bottom w:val="single" w:sz="4" w:space="0" w:color="auto"/>
              <w:right w:val="single" w:sz="4" w:space="0" w:color="auto"/>
            </w:tcBorders>
            <w:vAlign w:val="center"/>
          </w:tcPr>
          <w:p w14:paraId="1EE87482" w14:textId="77777777" w:rsidR="004E151E" w:rsidRPr="00925798" w:rsidRDefault="004E151E" w:rsidP="004E151E">
            <w:pPr>
              <w:jc w:val="center"/>
              <w:rPr>
                <w:rFonts w:ascii="华文细黑" w:eastAsia="华文细黑" w:hAnsi="华文细黑"/>
                <w:sz w:val="13"/>
                <w:szCs w:val="13"/>
              </w:rPr>
            </w:pPr>
          </w:p>
        </w:tc>
        <w:tc>
          <w:tcPr>
            <w:tcW w:w="447" w:type="dxa"/>
            <w:tcBorders>
              <w:top w:val="nil"/>
              <w:left w:val="single" w:sz="4" w:space="0" w:color="auto"/>
              <w:bottom w:val="single" w:sz="4" w:space="0" w:color="auto"/>
              <w:right w:val="single" w:sz="4" w:space="0" w:color="auto"/>
            </w:tcBorders>
            <w:vAlign w:val="center"/>
          </w:tcPr>
          <w:p w14:paraId="56CA5F5E" w14:textId="77777777" w:rsidR="004E151E" w:rsidRPr="00925798" w:rsidRDefault="004E151E" w:rsidP="004E151E">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2CB97636" w14:textId="77777777" w:rsidR="004E151E" w:rsidRPr="00925798" w:rsidRDefault="004E151E" w:rsidP="004E151E">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61F8C005" w14:textId="77777777" w:rsidR="004E151E" w:rsidRPr="00925798" w:rsidRDefault="004E151E" w:rsidP="004E151E">
            <w:pPr>
              <w:jc w:val="center"/>
              <w:rPr>
                <w:rFonts w:ascii="华文细黑" w:eastAsia="华文细黑" w:hAnsi="华文细黑"/>
                <w:sz w:val="13"/>
                <w:szCs w:val="13"/>
              </w:rPr>
            </w:pPr>
          </w:p>
        </w:tc>
        <w:tc>
          <w:tcPr>
            <w:tcW w:w="515" w:type="dxa"/>
            <w:tcBorders>
              <w:top w:val="nil"/>
              <w:left w:val="single" w:sz="4" w:space="0" w:color="auto"/>
              <w:bottom w:val="single" w:sz="4" w:space="0" w:color="auto"/>
              <w:right w:val="single" w:sz="4" w:space="0" w:color="auto"/>
            </w:tcBorders>
            <w:vAlign w:val="center"/>
          </w:tcPr>
          <w:p w14:paraId="1EEB67D2" w14:textId="77777777" w:rsidR="004E151E" w:rsidRPr="00925798" w:rsidRDefault="004E151E" w:rsidP="004E151E">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7423271D" w14:textId="4C6C76FB"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r>
      <w:tr w:rsidR="002279C3" w:rsidRPr="00E05368" w14:paraId="4C550C52" w14:textId="77777777" w:rsidTr="002279C3">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356B96B9" w14:textId="71772BF5" w:rsidR="004E151E" w:rsidRPr="00925798" w:rsidRDefault="004E151E"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1</w:t>
            </w:r>
            <w:r>
              <w:rPr>
                <w:rFonts w:ascii="华文细黑" w:eastAsia="华文细黑" w:hAnsi="华文细黑" w:hint="eastAsia"/>
                <w:sz w:val="13"/>
                <w:szCs w:val="13"/>
              </w:rPr>
              <w:t>4</w:t>
            </w:r>
          </w:p>
        </w:tc>
        <w:tc>
          <w:tcPr>
            <w:tcW w:w="1533" w:type="dxa"/>
            <w:tcBorders>
              <w:top w:val="nil"/>
              <w:left w:val="nil"/>
              <w:bottom w:val="single" w:sz="4" w:space="0" w:color="auto"/>
              <w:right w:val="single" w:sz="4" w:space="0" w:color="auto"/>
            </w:tcBorders>
            <w:shd w:val="clear" w:color="auto" w:fill="auto"/>
            <w:noWrap/>
            <w:vAlign w:val="center"/>
            <w:hideMark/>
          </w:tcPr>
          <w:p w14:paraId="7B8217B6" w14:textId="77777777" w:rsidR="004E151E" w:rsidRPr="00925798" w:rsidRDefault="004E151E"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城市基础设施建设费</w:t>
            </w:r>
          </w:p>
        </w:tc>
        <w:tc>
          <w:tcPr>
            <w:tcW w:w="656" w:type="dxa"/>
            <w:tcBorders>
              <w:top w:val="nil"/>
              <w:left w:val="nil"/>
              <w:bottom w:val="single" w:sz="4" w:space="0" w:color="auto"/>
              <w:right w:val="single" w:sz="4" w:space="0" w:color="auto"/>
            </w:tcBorders>
            <w:shd w:val="clear" w:color="auto" w:fill="auto"/>
            <w:noWrap/>
            <w:vAlign w:val="center"/>
          </w:tcPr>
          <w:p w14:paraId="21B067C8" w14:textId="77777777" w:rsidR="004E151E" w:rsidRPr="00925798" w:rsidRDefault="004E151E"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hideMark/>
          </w:tcPr>
          <w:p w14:paraId="078A1C28" w14:textId="7CAB9C69"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5866DC5B" w14:textId="77777777"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7D20873D" w14:textId="40BD3C71"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3121</w:t>
            </w:r>
          </w:p>
        </w:tc>
        <w:tc>
          <w:tcPr>
            <w:tcW w:w="559" w:type="dxa"/>
            <w:tcBorders>
              <w:top w:val="nil"/>
              <w:left w:val="nil"/>
              <w:bottom w:val="single" w:sz="4" w:space="0" w:color="auto"/>
              <w:right w:val="single" w:sz="4" w:space="0" w:color="auto"/>
            </w:tcBorders>
            <w:shd w:val="clear" w:color="auto" w:fill="auto"/>
            <w:noWrap/>
            <w:vAlign w:val="center"/>
            <w:hideMark/>
          </w:tcPr>
          <w:p w14:paraId="63F13CD9" w14:textId="5C66279C" w:rsidR="004E151E" w:rsidRPr="00925798" w:rsidRDefault="004E151E" w:rsidP="004E151E">
            <w:pPr>
              <w:jc w:val="center"/>
              <w:rPr>
                <w:rFonts w:ascii="华文细黑" w:eastAsia="华文细黑" w:hAnsi="华文细黑"/>
                <w:sz w:val="13"/>
                <w:szCs w:val="13"/>
              </w:rPr>
            </w:pPr>
          </w:p>
        </w:tc>
        <w:tc>
          <w:tcPr>
            <w:tcW w:w="697" w:type="dxa"/>
            <w:tcBorders>
              <w:top w:val="nil"/>
              <w:left w:val="nil"/>
              <w:bottom w:val="single" w:sz="4" w:space="0" w:color="auto"/>
              <w:right w:val="single" w:sz="4" w:space="0" w:color="auto"/>
            </w:tcBorders>
            <w:shd w:val="clear" w:color="auto" w:fill="auto"/>
            <w:noWrap/>
            <w:vAlign w:val="center"/>
            <w:hideMark/>
          </w:tcPr>
          <w:p w14:paraId="38B83D41" w14:textId="560A79E4"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0F12BA16" w14:textId="6AF30115"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5C799ECE" w14:textId="077D79FE"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40CE233F" w14:textId="73BDC662" w:rsidR="004E151E" w:rsidRPr="00925798" w:rsidRDefault="004E151E" w:rsidP="004E151E">
            <w:pPr>
              <w:jc w:val="center"/>
              <w:rPr>
                <w:rFonts w:ascii="华文细黑" w:eastAsia="华文细黑" w:hAnsi="华文细黑"/>
                <w:sz w:val="13"/>
                <w:szCs w:val="13"/>
              </w:rPr>
            </w:pPr>
          </w:p>
        </w:tc>
        <w:tc>
          <w:tcPr>
            <w:tcW w:w="837" w:type="dxa"/>
            <w:tcBorders>
              <w:top w:val="nil"/>
              <w:left w:val="nil"/>
              <w:bottom w:val="single" w:sz="4" w:space="0" w:color="auto"/>
              <w:right w:val="single" w:sz="4" w:space="0" w:color="auto"/>
            </w:tcBorders>
            <w:shd w:val="clear" w:color="auto" w:fill="auto"/>
            <w:noWrap/>
            <w:vAlign w:val="center"/>
            <w:hideMark/>
          </w:tcPr>
          <w:p w14:paraId="3F2AFCA2" w14:textId="527097E2"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6F2A9709" w14:textId="447FA3B9" w:rsidR="004E151E" w:rsidRPr="00925798" w:rsidRDefault="004E151E" w:rsidP="004E151E">
            <w:pPr>
              <w:jc w:val="center"/>
              <w:rPr>
                <w:rFonts w:ascii="华文细黑" w:eastAsia="华文细黑" w:hAnsi="华文细黑"/>
                <w:sz w:val="13"/>
                <w:szCs w:val="13"/>
              </w:rPr>
            </w:pPr>
          </w:p>
        </w:tc>
        <w:tc>
          <w:tcPr>
            <w:tcW w:w="698" w:type="dxa"/>
            <w:tcBorders>
              <w:top w:val="single" w:sz="4" w:space="0" w:color="auto"/>
              <w:left w:val="nil"/>
              <w:bottom w:val="single" w:sz="4" w:space="0" w:color="auto"/>
              <w:right w:val="single" w:sz="4" w:space="0" w:color="auto"/>
            </w:tcBorders>
            <w:vAlign w:val="center"/>
          </w:tcPr>
          <w:p w14:paraId="4FF11959" w14:textId="77777777" w:rsidR="004E151E" w:rsidRDefault="004E151E" w:rsidP="004E151E">
            <w:pPr>
              <w:jc w:val="center"/>
              <w:rPr>
                <w:rFonts w:ascii="华文细黑" w:eastAsia="华文细黑" w:hAnsi="华文细黑"/>
                <w:sz w:val="13"/>
                <w:szCs w:val="13"/>
              </w:rPr>
            </w:pPr>
          </w:p>
        </w:tc>
        <w:tc>
          <w:tcPr>
            <w:tcW w:w="447" w:type="dxa"/>
            <w:tcBorders>
              <w:top w:val="nil"/>
              <w:left w:val="single" w:sz="4" w:space="0" w:color="auto"/>
              <w:bottom w:val="single" w:sz="4" w:space="0" w:color="auto"/>
              <w:right w:val="single" w:sz="4" w:space="0" w:color="auto"/>
            </w:tcBorders>
            <w:vAlign w:val="center"/>
          </w:tcPr>
          <w:p w14:paraId="6F664684" w14:textId="77777777" w:rsidR="004E151E" w:rsidRDefault="004E151E" w:rsidP="004E151E">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41AC3854" w14:textId="77777777" w:rsidR="004E151E" w:rsidRDefault="004E151E" w:rsidP="004E151E">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06F9CA75" w14:textId="77777777" w:rsidR="004E151E" w:rsidRDefault="004E151E" w:rsidP="004E151E">
            <w:pPr>
              <w:jc w:val="center"/>
              <w:rPr>
                <w:rFonts w:ascii="华文细黑" w:eastAsia="华文细黑" w:hAnsi="华文细黑"/>
                <w:sz w:val="13"/>
                <w:szCs w:val="13"/>
              </w:rPr>
            </w:pPr>
          </w:p>
        </w:tc>
        <w:tc>
          <w:tcPr>
            <w:tcW w:w="515" w:type="dxa"/>
            <w:tcBorders>
              <w:top w:val="nil"/>
              <w:left w:val="single" w:sz="4" w:space="0" w:color="auto"/>
              <w:bottom w:val="single" w:sz="4" w:space="0" w:color="auto"/>
              <w:right w:val="single" w:sz="4" w:space="0" w:color="auto"/>
            </w:tcBorders>
            <w:vAlign w:val="center"/>
          </w:tcPr>
          <w:p w14:paraId="37D8991C" w14:textId="77777777" w:rsidR="004E151E" w:rsidRDefault="004E151E" w:rsidP="004E151E">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60EF030E" w14:textId="169BCCA4"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3121</w:t>
            </w:r>
          </w:p>
        </w:tc>
      </w:tr>
      <w:tr w:rsidR="002279C3" w:rsidRPr="00E05368" w14:paraId="45DE15F3" w14:textId="77777777" w:rsidTr="002279C3">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75C696A1" w14:textId="1E1F4CF5" w:rsidR="004E151E" w:rsidRPr="00925798" w:rsidRDefault="004E151E"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1</w:t>
            </w:r>
            <w:r>
              <w:rPr>
                <w:rFonts w:ascii="华文细黑" w:eastAsia="华文细黑" w:hAnsi="华文细黑" w:hint="eastAsia"/>
                <w:sz w:val="13"/>
                <w:szCs w:val="13"/>
              </w:rPr>
              <w:t>5</w:t>
            </w:r>
          </w:p>
        </w:tc>
        <w:tc>
          <w:tcPr>
            <w:tcW w:w="1533" w:type="dxa"/>
            <w:tcBorders>
              <w:top w:val="nil"/>
              <w:left w:val="nil"/>
              <w:bottom w:val="single" w:sz="4" w:space="0" w:color="auto"/>
              <w:right w:val="single" w:sz="4" w:space="0" w:color="auto"/>
            </w:tcBorders>
            <w:shd w:val="clear" w:color="auto" w:fill="auto"/>
            <w:noWrap/>
            <w:vAlign w:val="center"/>
            <w:hideMark/>
          </w:tcPr>
          <w:p w14:paraId="5E8D8D75" w14:textId="77777777" w:rsidR="004E151E" w:rsidRPr="00925798" w:rsidRDefault="004E151E"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红线外市政</w:t>
            </w:r>
          </w:p>
        </w:tc>
        <w:tc>
          <w:tcPr>
            <w:tcW w:w="656" w:type="dxa"/>
            <w:tcBorders>
              <w:top w:val="nil"/>
              <w:left w:val="nil"/>
              <w:bottom w:val="single" w:sz="4" w:space="0" w:color="auto"/>
              <w:right w:val="single" w:sz="4" w:space="0" w:color="auto"/>
            </w:tcBorders>
            <w:shd w:val="clear" w:color="auto" w:fill="auto"/>
            <w:noWrap/>
            <w:vAlign w:val="center"/>
          </w:tcPr>
          <w:p w14:paraId="68FD8FDD" w14:textId="61914176" w:rsidR="004E151E" w:rsidRPr="00925798" w:rsidRDefault="004E151E"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hideMark/>
          </w:tcPr>
          <w:p w14:paraId="6284F84F" w14:textId="6FB8DC40"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2236E58A" w14:textId="21E6809B"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2F1095C2" w14:textId="1BF98EFB"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1041</w:t>
            </w:r>
          </w:p>
        </w:tc>
        <w:tc>
          <w:tcPr>
            <w:tcW w:w="559" w:type="dxa"/>
            <w:tcBorders>
              <w:top w:val="nil"/>
              <w:left w:val="nil"/>
              <w:bottom w:val="single" w:sz="4" w:space="0" w:color="auto"/>
              <w:right w:val="single" w:sz="4" w:space="0" w:color="auto"/>
            </w:tcBorders>
            <w:shd w:val="clear" w:color="auto" w:fill="auto"/>
            <w:noWrap/>
            <w:vAlign w:val="center"/>
            <w:hideMark/>
          </w:tcPr>
          <w:p w14:paraId="2A4DF6EA" w14:textId="1C55A496"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1040</w:t>
            </w:r>
          </w:p>
        </w:tc>
        <w:tc>
          <w:tcPr>
            <w:tcW w:w="697" w:type="dxa"/>
            <w:tcBorders>
              <w:top w:val="nil"/>
              <w:left w:val="nil"/>
              <w:bottom w:val="single" w:sz="4" w:space="0" w:color="auto"/>
              <w:right w:val="single" w:sz="4" w:space="0" w:color="auto"/>
            </w:tcBorders>
            <w:shd w:val="clear" w:color="auto" w:fill="auto"/>
            <w:noWrap/>
            <w:vAlign w:val="center"/>
            <w:hideMark/>
          </w:tcPr>
          <w:p w14:paraId="0C0634C5" w14:textId="1C97C052"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65232129" w14:textId="04B9DB9D"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0FBC198F" w14:textId="692AD6FF"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3E2D397F" w14:textId="2B86E0FC" w:rsidR="004E151E" w:rsidRPr="00925798" w:rsidRDefault="004E151E" w:rsidP="004E151E">
            <w:pPr>
              <w:jc w:val="center"/>
              <w:rPr>
                <w:rFonts w:ascii="华文细黑" w:eastAsia="华文细黑" w:hAnsi="华文细黑"/>
                <w:sz w:val="13"/>
                <w:szCs w:val="13"/>
              </w:rPr>
            </w:pPr>
          </w:p>
        </w:tc>
        <w:tc>
          <w:tcPr>
            <w:tcW w:w="837" w:type="dxa"/>
            <w:tcBorders>
              <w:top w:val="nil"/>
              <w:left w:val="nil"/>
              <w:bottom w:val="single" w:sz="4" w:space="0" w:color="auto"/>
              <w:right w:val="single" w:sz="4" w:space="0" w:color="auto"/>
            </w:tcBorders>
            <w:shd w:val="clear" w:color="auto" w:fill="auto"/>
            <w:noWrap/>
            <w:vAlign w:val="center"/>
            <w:hideMark/>
          </w:tcPr>
          <w:p w14:paraId="68039FF7" w14:textId="7071F00C"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6E1CB6F8" w14:textId="5E12E7A8" w:rsidR="004E151E" w:rsidRPr="00925798" w:rsidRDefault="004E151E" w:rsidP="004E151E">
            <w:pPr>
              <w:jc w:val="center"/>
              <w:rPr>
                <w:rFonts w:ascii="华文细黑" w:eastAsia="华文细黑" w:hAnsi="华文细黑"/>
                <w:sz w:val="13"/>
                <w:szCs w:val="13"/>
              </w:rPr>
            </w:pPr>
          </w:p>
        </w:tc>
        <w:tc>
          <w:tcPr>
            <w:tcW w:w="698" w:type="dxa"/>
            <w:tcBorders>
              <w:top w:val="single" w:sz="4" w:space="0" w:color="auto"/>
              <w:left w:val="nil"/>
              <w:bottom w:val="single" w:sz="4" w:space="0" w:color="auto"/>
              <w:right w:val="single" w:sz="4" w:space="0" w:color="auto"/>
            </w:tcBorders>
            <w:vAlign w:val="center"/>
          </w:tcPr>
          <w:p w14:paraId="5EA44C0A" w14:textId="77777777" w:rsidR="004E151E" w:rsidRPr="00925798" w:rsidRDefault="004E151E" w:rsidP="004E151E">
            <w:pPr>
              <w:jc w:val="center"/>
              <w:rPr>
                <w:rFonts w:ascii="华文细黑" w:eastAsia="华文细黑" w:hAnsi="华文细黑"/>
                <w:sz w:val="13"/>
                <w:szCs w:val="13"/>
              </w:rPr>
            </w:pPr>
          </w:p>
        </w:tc>
        <w:tc>
          <w:tcPr>
            <w:tcW w:w="447" w:type="dxa"/>
            <w:tcBorders>
              <w:top w:val="nil"/>
              <w:left w:val="single" w:sz="4" w:space="0" w:color="auto"/>
              <w:bottom w:val="single" w:sz="4" w:space="0" w:color="auto"/>
              <w:right w:val="single" w:sz="4" w:space="0" w:color="auto"/>
            </w:tcBorders>
            <w:vAlign w:val="center"/>
          </w:tcPr>
          <w:p w14:paraId="600616E3" w14:textId="77777777" w:rsidR="004E151E" w:rsidRPr="00925798" w:rsidRDefault="004E151E" w:rsidP="004E151E">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64A8FAF3" w14:textId="77777777" w:rsidR="004E151E" w:rsidRPr="00925798" w:rsidRDefault="004E151E" w:rsidP="004E151E">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41B0191D" w14:textId="77777777" w:rsidR="004E151E" w:rsidRPr="00925798" w:rsidRDefault="004E151E" w:rsidP="004E151E">
            <w:pPr>
              <w:jc w:val="center"/>
              <w:rPr>
                <w:rFonts w:ascii="华文细黑" w:eastAsia="华文细黑" w:hAnsi="华文细黑"/>
                <w:sz w:val="13"/>
                <w:szCs w:val="13"/>
              </w:rPr>
            </w:pPr>
          </w:p>
        </w:tc>
        <w:tc>
          <w:tcPr>
            <w:tcW w:w="515" w:type="dxa"/>
            <w:tcBorders>
              <w:top w:val="nil"/>
              <w:left w:val="single" w:sz="4" w:space="0" w:color="auto"/>
              <w:bottom w:val="single" w:sz="4" w:space="0" w:color="auto"/>
              <w:right w:val="single" w:sz="4" w:space="0" w:color="auto"/>
            </w:tcBorders>
            <w:vAlign w:val="center"/>
          </w:tcPr>
          <w:p w14:paraId="1BC04966" w14:textId="77777777" w:rsidR="004E151E" w:rsidRPr="00925798" w:rsidRDefault="004E151E" w:rsidP="004E151E">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568BA24C" w14:textId="7C858590"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2081</w:t>
            </w:r>
          </w:p>
        </w:tc>
      </w:tr>
      <w:tr w:rsidR="002279C3" w:rsidRPr="00E05368" w14:paraId="34AE2E32" w14:textId="77777777" w:rsidTr="002279C3">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73FCEB08" w14:textId="3BCF4C71" w:rsidR="004E151E" w:rsidRPr="00925798" w:rsidRDefault="004E151E"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1</w:t>
            </w:r>
            <w:r>
              <w:rPr>
                <w:rFonts w:ascii="华文细黑" w:eastAsia="华文细黑" w:hAnsi="华文细黑" w:hint="eastAsia"/>
                <w:sz w:val="13"/>
                <w:szCs w:val="13"/>
              </w:rPr>
              <w:t>6</w:t>
            </w:r>
          </w:p>
        </w:tc>
        <w:tc>
          <w:tcPr>
            <w:tcW w:w="1533" w:type="dxa"/>
            <w:tcBorders>
              <w:top w:val="nil"/>
              <w:left w:val="nil"/>
              <w:bottom w:val="single" w:sz="4" w:space="0" w:color="auto"/>
              <w:right w:val="single" w:sz="4" w:space="0" w:color="auto"/>
            </w:tcBorders>
            <w:shd w:val="clear" w:color="auto" w:fill="auto"/>
            <w:noWrap/>
            <w:vAlign w:val="center"/>
            <w:hideMark/>
          </w:tcPr>
          <w:p w14:paraId="48D1975A" w14:textId="77777777" w:rsidR="004E151E" w:rsidRPr="00925798" w:rsidRDefault="004E151E"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(二)前期工程费</w:t>
            </w:r>
          </w:p>
        </w:tc>
        <w:tc>
          <w:tcPr>
            <w:tcW w:w="656" w:type="dxa"/>
            <w:tcBorders>
              <w:top w:val="nil"/>
              <w:left w:val="nil"/>
              <w:bottom w:val="single" w:sz="4" w:space="0" w:color="auto"/>
              <w:right w:val="single" w:sz="4" w:space="0" w:color="auto"/>
            </w:tcBorders>
            <w:shd w:val="clear" w:color="auto" w:fill="auto"/>
            <w:noWrap/>
            <w:vAlign w:val="center"/>
          </w:tcPr>
          <w:p w14:paraId="7166C513" w14:textId="1C893BAA" w:rsidR="004E151E" w:rsidRPr="00925798" w:rsidRDefault="004E151E"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tcPr>
          <w:p w14:paraId="0EA34E3C" w14:textId="47E5C271"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559" w:type="dxa"/>
            <w:tcBorders>
              <w:top w:val="nil"/>
              <w:left w:val="nil"/>
              <w:bottom w:val="single" w:sz="4" w:space="0" w:color="auto"/>
              <w:right w:val="single" w:sz="4" w:space="0" w:color="auto"/>
            </w:tcBorders>
            <w:shd w:val="clear" w:color="auto" w:fill="auto"/>
            <w:noWrap/>
            <w:vAlign w:val="center"/>
          </w:tcPr>
          <w:p w14:paraId="29FD0FAB" w14:textId="546141D7"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2175</w:t>
            </w:r>
          </w:p>
        </w:tc>
        <w:tc>
          <w:tcPr>
            <w:tcW w:w="559" w:type="dxa"/>
            <w:tcBorders>
              <w:top w:val="nil"/>
              <w:left w:val="nil"/>
              <w:bottom w:val="single" w:sz="4" w:space="0" w:color="auto"/>
              <w:right w:val="single" w:sz="4" w:space="0" w:color="auto"/>
            </w:tcBorders>
            <w:shd w:val="clear" w:color="auto" w:fill="auto"/>
            <w:noWrap/>
            <w:vAlign w:val="center"/>
          </w:tcPr>
          <w:p w14:paraId="6C4ECB9D" w14:textId="3227B850"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2173</w:t>
            </w:r>
          </w:p>
        </w:tc>
        <w:tc>
          <w:tcPr>
            <w:tcW w:w="559" w:type="dxa"/>
            <w:tcBorders>
              <w:top w:val="nil"/>
              <w:left w:val="nil"/>
              <w:bottom w:val="single" w:sz="4" w:space="0" w:color="auto"/>
              <w:right w:val="single" w:sz="4" w:space="0" w:color="auto"/>
            </w:tcBorders>
            <w:shd w:val="clear" w:color="auto" w:fill="auto"/>
            <w:noWrap/>
            <w:vAlign w:val="center"/>
          </w:tcPr>
          <w:p w14:paraId="25E64497" w14:textId="38D69B6C"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697" w:type="dxa"/>
            <w:tcBorders>
              <w:top w:val="nil"/>
              <w:left w:val="nil"/>
              <w:bottom w:val="single" w:sz="4" w:space="0" w:color="auto"/>
              <w:right w:val="single" w:sz="4" w:space="0" w:color="auto"/>
            </w:tcBorders>
            <w:shd w:val="clear" w:color="auto" w:fill="auto"/>
            <w:noWrap/>
            <w:vAlign w:val="center"/>
          </w:tcPr>
          <w:p w14:paraId="0DE226C1" w14:textId="1C154738"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698" w:type="dxa"/>
            <w:tcBorders>
              <w:top w:val="nil"/>
              <w:left w:val="nil"/>
              <w:bottom w:val="single" w:sz="4" w:space="0" w:color="auto"/>
              <w:right w:val="single" w:sz="4" w:space="0" w:color="auto"/>
            </w:tcBorders>
            <w:shd w:val="clear" w:color="auto" w:fill="auto"/>
            <w:noWrap/>
            <w:vAlign w:val="center"/>
          </w:tcPr>
          <w:p w14:paraId="37F5820C" w14:textId="7759DFAB"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559" w:type="dxa"/>
            <w:tcBorders>
              <w:top w:val="nil"/>
              <w:left w:val="nil"/>
              <w:bottom w:val="single" w:sz="4" w:space="0" w:color="auto"/>
              <w:right w:val="single" w:sz="4" w:space="0" w:color="auto"/>
            </w:tcBorders>
            <w:shd w:val="clear" w:color="auto" w:fill="auto"/>
            <w:noWrap/>
            <w:vAlign w:val="center"/>
          </w:tcPr>
          <w:p w14:paraId="608AC838" w14:textId="4DE6A964"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698" w:type="dxa"/>
            <w:tcBorders>
              <w:top w:val="nil"/>
              <w:left w:val="nil"/>
              <w:bottom w:val="single" w:sz="4" w:space="0" w:color="auto"/>
              <w:right w:val="single" w:sz="4" w:space="0" w:color="auto"/>
            </w:tcBorders>
            <w:shd w:val="clear" w:color="auto" w:fill="auto"/>
            <w:noWrap/>
            <w:vAlign w:val="center"/>
          </w:tcPr>
          <w:p w14:paraId="472FFF95" w14:textId="24FD4E5A"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837" w:type="dxa"/>
            <w:tcBorders>
              <w:top w:val="nil"/>
              <w:left w:val="nil"/>
              <w:bottom w:val="single" w:sz="4" w:space="0" w:color="auto"/>
              <w:right w:val="single" w:sz="4" w:space="0" w:color="auto"/>
            </w:tcBorders>
            <w:shd w:val="clear" w:color="auto" w:fill="auto"/>
            <w:noWrap/>
            <w:vAlign w:val="center"/>
          </w:tcPr>
          <w:p w14:paraId="176CDEE8" w14:textId="24B39130"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698" w:type="dxa"/>
            <w:tcBorders>
              <w:top w:val="nil"/>
              <w:left w:val="nil"/>
              <w:bottom w:val="single" w:sz="4" w:space="0" w:color="auto"/>
              <w:right w:val="single" w:sz="4" w:space="0" w:color="auto"/>
            </w:tcBorders>
            <w:shd w:val="clear" w:color="auto" w:fill="auto"/>
            <w:noWrap/>
            <w:vAlign w:val="center"/>
          </w:tcPr>
          <w:p w14:paraId="46B033B6" w14:textId="17D5A4A6"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698" w:type="dxa"/>
            <w:tcBorders>
              <w:top w:val="single" w:sz="4" w:space="0" w:color="auto"/>
              <w:left w:val="nil"/>
              <w:bottom w:val="single" w:sz="4" w:space="0" w:color="auto"/>
              <w:right w:val="single" w:sz="4" w:space="0" w:color="auto"/>
            </w:tcBorders>
            <w:vAlign w:val="center"/>
          </w:tcPr>
          <w:p w14:paraId="70BCA741" w14:textId="7A1A2F58" w:rsidR="004E151E" w:rsidRPr="00EC4902"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447" w:type="dxa"/>
            <w:tcBorders>
              <w:top w:val="nil"/>
              <w:left w:val="single" w:sz="4" w:space="0" w:color="auto"/>
              <w:bottom w:val="single" w:sz="4" w:space="0" w:color="auto"/>
              <w:right w:val="single" w:sz="4" w:space="0" w:color="auto"/>
            </w:tcBorders>
            <w:vAlign w:val="center"/>
          </w:tcPr>
          <w:p w14:paraId="10695629" w14:textId="59974844" w:rsidR="004E151E" w:rsidRPr="00EC4902"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532" w:type="dxa"/>
            <w:tcBorders>
              <w:top w:val="nil"/>
              <w:left w:val="single" w:sz="4" w:space="0" w:color="auto"/>
              <w:bottom w:val="single" w:sz="4" w:space="0" w:color="auto"/>
              <w:right w:val="single" w:sz="4" w:space="0" w:color="auto"/>
            </w:tcBorders>
            <w:vAlign w:val="center"/>
          </w:tcPr>
          <w:p w14:paraId="341B2BCD" w14:textId="1BBC37F1" w:rsidR="004E151E" w:rsidRPr="00EC4902"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532" w:type="dxa"/>
            <w:tcBorders>
              <w:top w:val="nil"/>
              <w:left w:val="single" w:sz="4" w:space="0" w:color="auto"/>
              <w:bottom w:val="single" w:sz="4" w:space="0" w:color="auto"/>
              <w:right w:val="single" w:sz="4" w:space="0" w:color="auto"/>
            </w:tcBorders>
            <w:vAlign w:val="center"/>
          </w:tcPr>
          <w:p w14:paraId="116C2733" w14:textId="1EBAC6DC" w:rsidR="004E151E" w:rsidRPr="00EC4902"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515" w:type="dxa"/>
            <w:tcBorders>
              <w:top w:val="nil"/>
              <w:left w:val="single" w:sz="4" w:space="0" w:color="auto"/>
              <w:bottom w:val="single" w:sz="4" w:space="0" w:color="auto"/>
              <w:right w:val="single" w:sz="4" w:space="0" w:color="auto"/>
            </w:tcBorders>
            <w:vAlign w:val="center"/>
          </w:tcPr>
          <w:p w14:paraId="7D288D31" w14:textId="7E6BA323" w:rsidR="004E151E" w:rsidRPr="00EC4902"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5B8266CA" w14:textId="29366727"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4348</w:t>
            </w:r>
          </w:p>
        </w:tc>
      </w:tr>
      <w:tr w:rsidR="002279C3" w:rsidRPr="00E05368" w14:paraId="6F689D3D" w14:textId="77777777" w:rsidTr="002279C3">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192F13B3" w14:textId="74D270D0" w:rsidR="004E151E" w:rsidRPr="00925798" w:rsidRDefault="004E151E"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1</w:t>
            </w:r>
            <w:r>
              <w:rPr>
                <w:rFonts w:ascii="华文细黑" w:eastAsia="华文细黑" w:hAnsi="华文细黑" w:hint="eastAsia"/>
                <w:sz w:val="13"/>
                <w:szCs w:val="13"/>
              </w:rPr>
              <w:t>7</w:t>
            </w:r>
          </w:p>
        </w:tc>
        <w:tc>
          <w:tcPr>
            <w:tcW w:w="1533" w:type="dxa"/>
            <w:tcBorders>
              <w:top w:val="nil"/>
              <w:left w:val="nil"/>
              <w:bottom w:val="single" w:sz="4" w:space="0" w:color="auto"/>
              <w:right w:val="single" w:sz="4" w:space="0" w:color="auto"/>
            </w:tcBorders>
            <w:shd w:val="clear" w:color="auto" w:fill="auto"/>
            <w:noWrap/>
            <w:vAlign w:val="center"/>
            <w:hideMark/>
          </w:tcPr>
          <w:p w14:paraId="3E138435" w14:textId="77777777" w:rsidR="004E151E" w:rsidRPr="00925798" w:rsidRDefault="004E151E"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其中：规划勘察设计招标费</w:t>
            </w:r>
          </w:p>
        </w:tc>
        <w:tc>
          <w:tcPr>
            <w:tcW w:w="656" w:type="dxa"/>
            <w:tcBorders>
              <w:top w:val="nil"/>
              <w:left w:val="nil"/>
              <w:bottom w:val="single" w:sz="4" w:space="0" w:color="auto"/>
              <w:right w:val="single" w:sz="4" w:space="0" w:color="auto"/>
            </w:tcBorders>
            <w:shd w:val="clear" w:color="auto" w:fill="auto"/>
            <w:noWrap/>
            <w:vAlign w:val="center"/>
          </w:tcPr>
          <w:p w14:paraId="28841908" w14:textId="57C29C88" w:rsidR="004E151E" w:rsidRPr="00925798" w:rsidRDefault="004E151E"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tcPr>
          <w:p w14:paraId="6EC1148E" w14:textId="025E5EEB"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tcPr>
          <w:p w14:paraId="003E84D3" w14:textId="796C11BE"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1363</w:t>
            </w:r>
          </w:p>
        </w:tc>
        <w:tc>
          <w:tcPr>
            <w:tcW w:w="559" w:type="dxa"/>
            <w:tcBorders>
              <w:top w:val="nil"/>
              <w:left w:val="nil"/>
              <w:bottom w:val="single" w:sz="4" w:space="0" w:color="auto"/>
              <w:right w:val="single" w:sz="4" w:space="0" w:color="auto"/>
            </w:tcBorders>
            <w:shd w:val="clear" w:color="auto" w:fill="auto"/>
            <w:noWrap/>
            <w:vAlign w:val="center"/>
          </w:tcPr>
          <w:p w14:paraId="797A4214" w14:textId="41F1A4F4"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1362</w:t>
            </w:r>
          </w:p>
        </w:tc>
        <w:tc>
          <w:tcPr>
            <w:tcW w:w="559" w:type="dxa"/>
            <w:tcBorders>
              <w:top w:val="nil"/>
              <w:left w:val="nil"/>
              <w:bottom w:val="single" w:sz="4" w:space="0" w:color="auto"/>
              <w:right w:val="single" w:sz="4" w:space="0" w:color="auto"/>
            </w:tcBorders>
            <w:shd w:val="clear" w:color="auto" w:fill="auto"/>
            <w:noWrap/>
            <w:vAlign w:val="center"/>
          </w:tcPr>
          <w:p w14:paraId="6245F8A5" w14:textId="77777777" w:rsidR="004E151E" w:rsidRPr="00925798" w:rsidRDefault="004E151E" w:rsidP="004E151E">
            <w:pPr>
              <w:jc w:val="center"/>
              <w:rPr>
                <w:rFonts w:ascii="华文细黑" w:eastAsia="华文细黑" w:hAnsi="华文细黑"/>
                <w:sz w:val="13"/>
                <w:szCs w:val="13"/>
              </w:rPr>
            </w:pPr>
          </w:p>
        </w:tc>
        <w:tc>
          <w:tcPr>
            <w:tcW w:w="697" w:type="dxa"/>
            <w:tcBorders>
              <w:top w:val="nil"/>
              <w:left w:val="nil"/>
              <w:bottom w:val="single" w:sz="4" w:space="0" w:color="auto"/>
              <w:right w:val="single" w:sz="4" w:space="0" w:color="auto"/>
            </w:tcBorders>
            <w:shd w:val="clear" w:color="auto" w:fill="auto"/>
            <w:noWrap/>
            <w:vAlign w:val="center"/>
          </w:tcPr>
          <w:p w14:paraId="3160B213" w14:textId="77777777"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tcPr>
          <w:p w14:paraId="659C5E76" w14:textId="77777777"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tcPr>
          <w:p w14:paraId="3AE0D3B9" w14:textId="77777777"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tcPr>
          <w:p w14:paraId="5E27278A" w14:textId="77777777" w:rsidR="004E151E" w:rsidRPr="00925798" w:rsidRDefault="004E151E" w:rsidP="004E151E">
            <w:pPr>
              <w:jc w:val="center"/>
              <w:rPr>
                <w:rFonts w:ascii="华文细黑" w:eastAsia="华文细黑" w:hAnsi="华文细黑"/>
                <w:sz w:val="13"/>
                <w:szCs w:val="13"/>
              </w:rPr>
            </w:pPr>
          </w:p>
        </w:tc>
        <w:tc>
          <w:tcPr>
            <w:tcW w:w="837" w:type="dxa"/>
            <w:tcBorders>
              <w:top w:val="nil"/>
              <w:left w:val="nil"/>
              <w:bottom w:val="single" w:sz="4" w:space="0" w:color="auto"/>
              <w:right w:val="single" w:sz="4" w:space="0" w:color="auto"/>
            </w:tcBorders>
            <w:shd w:val="clear" w:color="auto" w:fill="auto"/>
            <w:noWrap/>
            <w:vAlign w:val="center"/>
          </w:tcPr>
          <w:p w14:paraId="1F24AFFA" w14:textId="77777777"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tcPr>
          <w:p w14:paraId="5D7FD14D" w14:textId="77777777" w:rsidR="004E151E" w:rsidRPr="00925798" w:rsidRDefault="004E151E" w:rsidP="004E151E">
            <w:pPr>
              <w:jc w:val="center"/>
              <w:rPr>
                <w:rFonts w:ascii="华文细黑" w:eastAsia="华文细黑" w:hAnsi="华文细黑"/>
                <w:sz w:val="13"/>
                <w:szCs w:val="13"/>
              </w:rPr>
            </w:pPr>
          </w:p>
        </w:tc>
        <w:tc>
          <w:tcPr>
            <w:tcW w:w="698" w:type="dxa"/>
            <w:tcBorders>
              <w:top w:val="single" w:sz="4" w:space="0" w:color="auto"/>
              <w:left w:val="nil"/>
              <w:bottom w:val="single" w:sz="4" w:space="0" w:color="auto"/>
              <w:right w:val="single" w:sz="4" w:space="0" w:color="auto"/>
            </w:tcBorders>
            <w:vAlign w:val="center"/>
          </w:tcPr>
          <w:p w14:paraId="0B8D5BC1" w14:textId="77777777" w:rsidR="004E151E" w:rsidRPr="00EC4902" w:rsidRDefault="004E151E" w:rsidP="004E151E">
            <w:pPr>
              <w:jc w:val="center"/>
              <w:rPr>
                <w:rFonts w:ascii="华文细黑" w:eastAsia="华文细黑" w:hAnsi="华文细黑"/>
                <w:sz w:val="13"/>
                <w:szCs w:val="13"/>
              </w:rPr>
            </w:pPr>
          </w:p>
        </w:tc>
        <w:tc>
          <w:tcPr>
            <w:tcW w:w="447" w:type="dxa"/>
            <w:tcBorders>
              <w:top w:val="nil"/>
              <w:left w:val="single" w:sz="4" w:space="0" w:color="auto"/>
              <w:bottom w:val="single" w:sz="4" w:space="0" w:color="auto"/>
              <w:right w:val="single" w:sz="4" w:space="0" w:color="auto"/>
            </w:tcBorders>
            <w:vAlign w:val="center"/>
          </w:tcPr>
          <w:p w14:paraId="4905BA5A" w14:textId="77777777" w:rsidR="004E151E" w:rsidRPr="00EC4902" w:rsidRDefault="004E151E" w:rsidP="004E151E">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7BCAF438" w14:textId="77777777" w:rsidR="004E151E" w:rsidRPr="00EC4902" w:rsidRDefault="004E151E" w:rsidP="004E151E">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34080D45" w14:textId="77777777" w:rsidR="004E151E" w:rsidRPr="00EC4902" w:rsidRDefault="004E151E" w:rsidP="004E151E">
            <w:pPr>
              <w:jc w:val="center"/>
              <w:rPr>
                <w:rFonts w:ascii="华文细黑" w:eastAsia="华文细黑" w:hAnsi="华文细黑"/>
                <w:sz w:val="13"/>
                <w:szCs w:val="13"/>
              </w:rPr>
            </w:pPr>
          </w:p>
        </w:tc>
        <w:tc>
          <w:tcPr>
            <w:tcW w:w="515" w:type="dxa"/>
            <w:tcBorders>
              <w:top w:val="nil"/>
              <w:left w:val="single" w:sz="4" w:space="0" w:color="auto"/>
              <w:bottom w:val="single" w:sz="4" w:space="0" w:color="auto"/>
              <w:right w:val="single" w:sz="4" w:space="0" w:color="auto"/>
            </w:tcBorders>
            <w:vAlign w:val="center"/>
          </w:tcPr>
          <w:p w14:paraId="33F1CC62" w14:textId="77777777" w:rsidR="004E151E" w:rsidRPr="00EC4902" w:rsidRDefault="004E151E" w:rsidP="004E151E">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0C2E831D" w14:textId="14E35477"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2725</w:t>
            </w:r>
          </w:p>
        </w:tc>
      </w:tr>
      <w:tr w:rsidR="002279C3" w:rsidRPr="00E05368" w14:paraId="6DC6FE48" w14:textId="77777777" w:rsidTr="002279C3">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1B6525B9" w14:textId="46469DF0" w:rsidR="004E151E" w:rsidRPr="00925798" w:rsidRDefault="004E151E" w:rsidP="004E151E">
            <w:pPr>
              <w:jc w:val="center"/>
              <w:rPr>
                <w:rFonts w:ascii="华文细黑" w:eastAsia="华文细黑" w:hAnsi="华文细黑"/>
                <w:sz w:val="13"/>
                <w:szCs w:val="13"/>
              </w:rPr>
            </w:pPr>
            <w:r>
              <w:rPr>
                <w:rFonts w:ascii="华文细黑" w:eastAsia="华文细黑" w:hAnsi="华文细黑" w:hint="eastAsia"/>
                <w:sz w:val="13"/>
                <w:szCs w:val="13"/>
              </w:rPr>
              <w:t>18</w:t>
            </w:r>
          </w:p>
        </w:tc>
        <w:tc>
          <w:tcPr>
            <w:tcW w:w="1533" w:type="dxa"/>
            <w:tcBorders>
              <w:top w:val="nil"/>
              <w:left w:val="nil"/>
              <w:bottom w:val="single" w:sz="4" w:space="0" w:color="auto"/>
              <w:right w:val="single" w:sz="4" w:space="0" w:color="auto"/>
            </w:tcBorders>
            <w:shd w:val="clear" w:color="auto" w:fill="auto"/>
            <w:noWrap/>
            <w:vAlign w:val="center"/>
            <w:hideMark/>
          </w:tcPr>
          <w:p w14:paraId="1264E7BA" w14:textId="0AFA9425" w:rsidR="004E151E" w:rsidRPr="00925798" w:rsidRDefault="004E151E" w:rsidP="004E151E">
            <w:pPr>
              <w:jc w:val="center"/>
              <w:rPr>
                <w:rFonts w:ascii="华文细黑" w:eastAsia="华文细黑" w:hAnsi="华文细黑"/>
                <w:sz w:val="13"/>
                <w:szCs w:val="13"/>
              </w:rPr>
            </w:pPr>
            <w:r w:rsidRPr="00925798">
              <w:rPr>
                <w:rFonts w:ascii="华文细黑" w:eastAsia="华文细黑" w:hAnsi="华文细黑" w:hint="eastAsia"/>
                <w:sz w:val="13"/>
                <w:szCs w:val="13"/>
              </w:rPr>
              <w:t>报批报建费</w:t>
            </w:r>
          </w:p>
        </w:tc>
        <w:tc>
          <w:tcPr>
            <w:tcW w:w="656" w:type="dxa"/>
            <w:tcBorders>
              <w:top w:val="nil"/>
              <w:left w:val="nil"/>
              <w:bottom w:val="single" w:sz="4" w:space="0" w:color="auto"/>
              <w:right w:val="single" w:sz="4" w:space="0" w:color="auto"/>
            </w:tcBorders>
            <w:shd w:val="clear" w:color="auto" w:fill="auto"/>
            <w:noWrap/>
            <w:vAlign w:val="center"/>
          </w:tcPr>
          <w:p w14:paraId="481D3BA0" w14:textId="5FFBFAF3" w:rsidR="004E151E" w:rsidRPr="00925798" w:rsidRDefault="004E151E"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tcPr>
          <w:p w14:paraId="24854331" w14:textId="6E5209DE"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tcPr>
          <w:p w14:paraId="276F6F04" w14:textId="5C5172B2"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552</w:t>
            </w:r>
          </w:p>
        </w:tc>
        <w:tc>
          <w:tcPr>
            <w:tcW w:w="559" w:type="dxa"/>
            <w:tcBorders>
              <w:top w:val="nil"/>
              <w:left w:val="nil"/>
              <w:bottom w:val="single" w:sz="4" w:space="0" w:color="auto"/>
              <w:right w:val="single" w:sz="4" w:space="0" w:color="auto"/>
            </w:tcBorders>
            <w:shd w:val="clear" w:color="auto" w:fill="auto"/>
            <w:noWrap/>
            <w:vAlign w:val="center"/>
          </w:tcPr>
          <w:p w14:paraId="7902B97A" w14:textId="3BAA09D4"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551</w:t>
            </w:r>
          </w:p>
        </w:tc>
        <w:tc>
          <w:tcPr>
            <w:tcW w:w="559" w:type="dxa"/>
            <w:tcBorders>
              <w:top w:val="nil"/>
              <w:left w:val="nil"/>
              <w:bottom w:val="single" w:sz="4" w:space="0" w:color="auto"/>
              <w:right w:val="single" w:sz="4" w:space="0" w:color="auto"/>
            </w:tcBorders>
            <w:shd w:val="clear" w:color="auto" w:fill="auto"/>
            <w:noWrap/>
            <w:vAlign w:val="center"/>
          </w:tcPr>
          <w:p w14:paraId="78927308" w14:textId="77777777" w:rsidR="004E151E" w:rsidRPr="00925798" w:rsidRDefault="004E151E" w:rsidP="004E151E">
            <w:pPr>
              <w:jc w:val="center"/>
              <w:rPr>
                <w:rFonts w:ascii="华文细黑" w:eastAsia="华文细黑" w:hAnsi="华文细黑"/>
                <w:sz w:val="13"/>
                <w:szCs w:val="13"/>
              </w:rPr>
            </w:pPr>
          </w:p>
        </w:tc>
        <w:tc>
          <w:tcPr>
            <w:tcW w:w="697" w:type="dxa"/>
            <w:tcBorders>
              <w:top w:val="nil"/>
              <w:left w:val="nil"/>
              <w:bottom w:val="single" w:sz="4" w:space="0" w:color="auto"/>
              <w:right w:val="single" w:sz="4" w:space="0" w:color="auto"/>
            </w:tcBorders>
            <w:shd w:val="clear" w:color="auto" w:fill="auto"/>
            <w:noWrap/>
            <w:vAlign w:val="center"/>
          </w:tcPr>
          <w:p w14:paraId="2553E189" w14:textId="77777777"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tcPr>
          <w:p w14:paraId="1E000057" w14:textId="77777777"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tcPr>
          <w:p w14:paraId="0119CC98" w14:textId="77777777"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tcPr>
          <w:p w14:paraId="55CAA587" w14:textId="77777777" w:rsidR="004E151E" w:rsidRPr="00925798" w:rsidRDefault="004E151E" w:rsidP="004E151E">
            <w:pPr>
              <w:jc w:val="center"/>
              <w:rPr>
                <w:rFonts w:ascii="华文细黑" w:eastAsia="华文细黑" w:hAnsi="华文细黑"/>
                <w:sz w:val="13"/>
                <w:szCs w:val="13"/>
              </w:rPr>
            </w:pPr>
          </w:p>
        </w:tc>
        <w:tc>
          <w:tcPr>
            <w:tcW w:w="837" w:type="dxa"/>
            <w:tcBorders>
              <w:top w:val="nil"/>
              <w:left w:val="nil"/>
              <w:bottom w:val="single" w:sz="4" w:space="0" w:color="auto"/>
              <w:right w:val="single" w:sz="4" w:space="0" w:color="auto"/>
            </w:tcBorders>
            <w:shd w:val="clear" w:color="auto" w:fill="auto"/>
            <w:noWrap/>
            <w:vAlign w:val="center"/>
          </w:tcPr>
          <w:p w14:paraId="5A3D22BB" w14:textId="77777777"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tcPr>
          <w:p w14:paraId="766A3A72" w14:textId="77777777" w:rsidR="004E151E" w:rsidRPr="00925798" w:rsidRDefault="004E151E" w:rsidP="004E151E">
            <w:pPr>
              <w:jc w:val="center"/>
              <w:rPr>
                <w:rFonts w:ascii="华文细黑" w:eastAsia="华文细黑" w:hAnsi="华文细黑"/>
                <w:sz w:val="13"/>
                <w:szCs w:val="13"/>
              </w:rPr>
            </w:pPr>
          </w:p>
        </w:tc>
        <w:tc>
          <w:tcPr>
            <w:tcW w:w="698" w:type="dxa"/>
            <w:tcBorders>
              <w:top w:val="single" w:sz="4" w:space="0" w:color="auto"/>
              <w:left w:val="nil"/>
              <w:bottom w:val="single" w:sz="4" w:space="0" w:color="auto"/>
              <w:right w:val="single" w:sz="4" w:space="0" w:color="auto"/>
            </w:tcBorders>
            <w:vAlign w:val="center"/>
          </w:tcPr>
          <w:p w14:paraId="64511170" w14:textId="77777777" w:rsidR="004E151E" w:rsidRPr="00EC4902" w:rsidRDefault="004E151E" w:rsidP="004E151E">
            <w:pPr>
              <w:jc w:val="center"/>
              <w:rPr>
                <w:rFonts w:ascii="华文细黑" w:eastAsia="华文细黑" w:hAnsi="华文细黑"/>
                <w:sz w:val="13"/>
                <w:szCs w:val="13"/>
              </w:rPr>
            </w:pPr>
          </w:p>
        </w:tc>
        <w:tc>
          <w:tcPr>
            <w:tcW w:w="447" w:type="dxa"/>
            <w:tcBorders>
              <w:top w:val="nil"/>
              <w:left w:val="single" w:sz="4" w:space="0" w:color="auto"/>
              <w:bottom w:val="single" w:sz="4" w:space="0" w:color="auto"/>
              <w:right w:val="single" w:sz="4" w:space="0" w:color="auto"/>
            </w:tcBorders>
            <w:vAlign w:val="center"/>
          </w:tcPr>
          <w:p w14:paraId="1516D06E" w14:textId="77777777" w:rsidR="004E151E" w:rsidRPr="00EC4902" w:rsidRDefault="004E151E" w:rsidP="004E151E">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2746BE2A" w14:textId="77777777" w:rsidR="004E151E" w:rsidRPr="00EC4902" w:rsidRDefault="004E151E" w:rsidP="004E151E">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5FFA1F8E" w14:textId="77777777" w:rsidR="004E151E" w:rsidRPr="00EC4902" w:rsidRDefault="004E151E" w:rsidP="004E151E">
            <w:pPr>
              <w:jc w:val="center"/>
              <w:rPr>
                <w:rFonts w:ascii="华文细黑" w:eastAsia="华文细黑" w:hAnsi="华文细黑"/>
                <w:sz w:val="13"/>
                <w:szCs w:val="13"/>
              </w:rPr>
            </w:pPr>
          </w:p>
        </w:tc>
        <w:tc>
          <w:tcPr>
            <w:tcW w:w="515" w:type="dxa"/>
            <w:tcBorders>
              <w:top w:val="nil"/>
              <w:left w:val="single" w:sz="4" w:space="0" w:color="auto"/>
              <w:bottom w:val="single" w:sz="4" w:space="0" w:color="auto"/>
              <w:right w:val="single" w:sz="4" w:space="0" w:color="auto"/>
            </w:tcBorders>
            <w:vAlign w:val="center"/>
          </w:tcPr>
          <w:p w14:paraId="199983AC" w14:textId="77777777" w:rsidR="004E151E" w:rsidRPr="00EC4902" w:rsidRDefault="004E151E" w:rsidP="004E151E">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5D6E5BDC" w14:textId="6401B828"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1103</w:t>
            </w:r>
          </w:p>
        </w:tc>
      </w:tr>
      <w:tr w:rsidR="002279C3" w:rsidRPr="00E05368" w14:paraId="1E50DB53" w14:textId="77777777" w:rsidTr="002279C3">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0615F790" w14:textId="6E485302" w:rsidR="004E151E" w:rsidRPr="00925798" w:rsidRDefault="004E151E" w:rsidP="007B3231">
            <w:pPr>
              <w:jc w:val="center"/>
              <w:rPr>
                <w:rFonts w:ascii="华文细黑" w:eastAsia="华文细黑" w:hAnsi="华文细黑"/>
                <w:sz w:val="13"/>
                <w:szCs w:val="13"/>
              </w:rPr>
            </w:pPr>
            <w:r>
              <w:rPr>
                <w:rFonts w:ascii="华文细黑" w:eastAsia="华文细黑" w:hAnsi="华文细黑" w:hint="eastAsia"/>
                <w:sz w:val="13"/>
                <w:szCs w:val="13"/>
              </w:rPr>
              <w:t>19</w:t>
            </w:r>
          </w:p>
        </w:tc>
        <w:tc>
          <w:tcPr>
            <w:tcW w:w="1533" w:type="dxa"/>
            <w:tcBorders>
              <w:top w:val="nil"/>
              <w:left w:val="nil"/>
              <w:bottom w:val="single" w:sz="4" w:space="0" w:color="auto"/>
              <w:right w:val="single" w:sz="4" w:space="0" w:color="auto"/>
            </w:tcBorders>
            <w:shd w:val="clear" w:color="auto" w:fill="auto"/>
            <w:noWrap/>
            <w:vAlign w:val="center"/>
            <w:hideMark/>
          </w:tcPr>
          <w:p w14:paraId="13C6F5E7" w14:textId="77777777" w:rsidR="004E151E" w:rsidRPr="00925798" w:rsidRDefault="004E151E"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三通一平费</w:t>
            </w:r>
          </w:p>
        </w:tc>
        <w:tc>
          <w:tcPr>
            <w:tcW w:w="656" w:type="dxa"/>
            <w:tcBorders>
              <w:top w:val="nil"/>
              <w:left w:val="nil"/>
              <w:bottom w:val="single" w:sz="4" w:space="0" w:color="auto"/>
              <w:right w:val="single" w:sz="4" w:space="0" w:color="auto"/>
            </w:tcBorders>
            <w:shd w:val="clear" w:color="auto" w:fill="auto"/>
            <w:noWrap/>
            <w:vAlign w:val="center"/>
          </w:tcPr>
          <w:p w14:paraId="398BBA48" w14:textId="60D72B8B" w:rsidR="004E151E" w:rsidRPr="00925798" w:rsidRDefault="004E151E"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hideMark/>
          </w:tcPr>
          <w:p w14:paraId="407636AC" w14:textId="0547EAD4"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121C2826" w14:textId="33086E34"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156</w:t>
            </w:r>
          </w:p>
        </w:tc>
        <w:tc>
          <w:tcPr>
            <w:tcW w:w="559" w:type="dxa"/>
            <w:tcBorders>
              <w:top w:val="nil"/>
              <w:left w:val="nil"/>
              <w:bottom w:val="single" w:sz="4" w:space="0" w:color="auto"/>
              <w:right w:val="single" w:sz="4" w:space="0" w:color="auto"/>
            </w:tcBorders>
            <w:shd w:val="clear" w:color="auto" w:fill="auto"/>
            <w:noWrap/>
            <w:vAlign w:val="center"/>
            <w:hideMark/>
          </w:tcPr>
          <w:p w14:paraId="5D3CEE1A" w14:textId="5ED1E9BC"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156</w:t>
            </w:r>
          </w:p>
        </w:tc>
        <w:tc>
          <w:tcPr>
            <w:tcW w:w="559" w:type="dxa"/>
            <w:tcBorders>
              <w:top w:val="nil"/>
              <w:left w:val="nil"/>
              <w:bottom w:val="single" w:sz="4" w:space="0" w:color="auto"/>
              <w:right w:val="single" w:sz="4" w:space="0" w:color="auto"/>
            </w:tcBorders>
            <w:shd w:val="clear" w:color="auto" w:fill="auto"/>
            <w:noWrap/>
            <w:vAlign w:val="center"/>
            <w:hideMark/>
          </w:tcPr>
          <w:p w14:paraId="05875369" w14:textId="3600AECF" w:rsidR="004E151E" w:rsidRPr="00925798" w:rsidRDefault="004E151E" w:rsidP="004E151E">
            <w:pPr>
              <w:jc w:val="center"/>
              <w:rPr>
                <w:rFonts w:ascii="华文细黑" w:eastAsia="华文细黑" w:hAnsi="华文细黑"/>
                <w:sz w:val="13"/>
                <w:szCs w:val="13"/>
              </w:rPr>
            </w:pPr>
          </w:p>
        </w:tc>
        <w:tc>
          <w:tcPr>
            <w:tcW w:w="697" w:type="dxa"/>
            <w:tcBorders>
              <w:top w:val="nil"/>
              <w:left w:val="nil"/>
              <w:bottom w:val="single" w:sz="4" w:space="0" w:color="auto"/>
              <w:right w:val="single" w:sz="4" w:space="0" w:color="auto"/>
            </w:tcBorders>
            <w:shd w:val="clear" w:color="auto" w:fill="auto"/>
            <w:noWrap/>
            <w:vAlign w:val="center"/>
            <w:hideMark/>
          </w:tcPr>
          <w:p w14:paraId="33978F34" w14:textId="533F090D"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585D903C" w14:textId="344B06FF"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18733F8A" w14:textId="3D584538"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185960A2" w14:textId="7E645459" w:rsidR="004E151E" w:rsidRPr="00925798" w:rsidRDefault="004E151E" w:rsidP="004E151E">
            <w:pPr>
              <w:jc w:val="center"/>
              <w:rPr>
                <w:rFonts w:ascii="华文细黑" w:eastAsia="华文细黑" w:hAnsi="华文细黑"/>
                <w:sz w:val="13"/>
                <w:szCs w:val="13"/>
              </w:rPr>
            </w:pPr>
          </w:p>
        </w:tc>
        <w:tc>
          <w:tcPr>
            <w:tcW w:w="837" w:type="dxa"/>
            <w:tcBorders>
              <w:top w:val="nil"/>
              <w:left w:val="nil"/>
              <w:bottom w:val="single" w:sz="4" w:space="0" w:color="auto"/>
              <w:right w:val="single" w:sz="4" w:space="0" w:color="auto"/>
            </w:tcBorders>
            <w:shd w:val="clear" w:color="auto" w:fill="auto"/>
            <w:noWrap/>
            <w:vAlign w:val="center"/>
            <w:hideMark/>
          </w:tcPr>
          <w:p w14:paraId="37DCF5FA" w14:textId="6A04E6D2"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32D54A78" w14:textId="5917F64E" w:rsidR="004E151E" w:rsidRPr="00925798" w:rsidRDefault="004E151E" w:rsidP="004E151E">
            <w:pPr>
              <w:jc w:val="center"/>
              <w:rPr>
                <w:rFonts w:ascii="华文细黑" w:eastAsia="华文细黑" w:hAnsi="华文细黑"/>
                <w:sz w:val="13"/>
                <w:szCs w:val="13"/>
              </w:rPr>
            </w:pPr>
          </w:p>
        </w:tc>
        <w:tc>
          <w:tcPr>
            <w:tcW w:w="698" w:type="dxa"/>
            <w:tcBorders>
              <w:top w:val="single" w:sz="4" w:space="0" w:color="auto"/>
              <w:left w:val="nil"/>
              <w:bottom w:val="single" w:sz="4" w:space="0" w:color="auto"/>
              <w:right w:val="single" w:sz="4" w:space="0" w:color="auto"/>
            </w:tcBorders>
            <w:vAlign w:val="center"/>
          </w:tcPr>
          <w:p w14:paraId="3B969E7B" w14:textId="77777777" w:rsidR="004E151E" w:rsidRDefault="004E151E" w:rsidP="004E151E">
            <w:pPr>
              <w:jc w:val="center"/>
              <w:rPr>
                <w:rFonts w:ascii="华文细黑" w:eastAsia="华文细黑" w:hAnsi="华文细黑"/>
                <w:sz w:val="13"/>
                <w:szCs w:val="13"/>
              </w:rPr>
            </w:pPr>
          </w:p>
        </w:tc>
        <w:tc>
          <w:tcPr>
            <w:tcW w:w="447" w:type="dxa"/>
            <w:tcBorders>
              <w:top w:val="nil"/>
              <w:left w:val="single" w:sz="4" w:space="0" w:color="auto"/>
              <w:bottom w:val="single" w:sz="4" w:space="0" w:color="auto"/>
              <w:right w:val="single" w:sz="4" w:space="0" w:color="auto"/>
            </w:tcBorders>
            <w:vAlign w:val="center"/>
          </w:tcPr>
          <w:p w14:paraId="1C4ABA10" w14:textId="77777777" w:rsidR="004E151E" w:rsidRDefault="004E151E" w:rsidP="004E151E">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79D0C86F" w14:textId="77777777" w:rsidR="004E151E" w:rsidRDefault="004E151E" w:rsidP="004E151E">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59A6353F" w14:textId="77777777" w:rsidR="004E151E" w:rsidRDefault="004E151E" w:rsidP="004E151E">
            <w:pPr>
              <w:jc w:val="center"/>
              <w:rPr>
                <w:rFonts w:ascii="华文细黑" w:eastAsia="华文细黑" w:hAnsi="华文细黑"/>
                <w:sz w:val="13"/>
                <w:szCs w:val="13"/>
              </w:rPr>
            </w:pPr>
          </w:p>
        </w:tc>
        <w:tc>
          <w:tcPr>
            <w:tcW w:w="515" w:type="dxa"/>
            <w:tcBorders>
              <w:top w:val="nil"/>
              <w:left w:val="single" w:sz="4" w:space="0" w:color="auto"/>
              <w:bottom w:val="single" w:sz="4" w:space="0" w:color="auto"/>
              <w:right w:val="single" w:sz="4" w:space="0" w:color="auto"/>
            </w:tcBorders>
            <w:vAlign w:val="center"/>
          </w:tcPr>
          <w:p w14:paraId="58559384" w14:textId="77777777" w:rsidR="004E151E" w:rsidRDefault="004E151E" w:rsidP="004E151E">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0788988C" w14:textId="546AC22D"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312</w:t>
            </w:r>
          </w:p>
        </w:tc>
      </w:tr>
      <w:tr w:rsidR="002279C3" w:rsidRPr="00E05368" w14:paraId="77ADD26A" w14:textId="77777777" w:rsidTr="002279C3">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1EFAB5ED" w14:textId="78B5431F" w:rsidR="004E151E" w:rsidRPr="00925798" w:rsidRDefault="004E151E" w:rsidP="007B3231">
            <w:pPr>
              <w:jc w:val="center"/>
              <w:rPr>
                <w:rFonts w:ascii="华文细黑" w:eastAsia="华文细黑" w:hAnsi="华文细黑"/>
                <w:sz w:val="13"/>
                <w:szCs w:val="13"/>
              </w:rPr>
            </w:pPr>
            <w:r>
              <w:rPr>
                <w:rFonts w:ascii="华文细黑" w:eastAsia="华文细黑" w:hAnsi="华文细黑" w:hint="eastAsia"/>
                <w:sz w:val="13"/>
                <w:szCs w:val="13"/>
              </w:rPr>
              <w:lastRenderedPageBreak/>
              <w:t>20</w:t>
            </w:r>
          </w:p>
        </w:tc>
        <w:tc>
          <w:tcPr>
            <w:tcW w:w="1533" w:type="dxa"/>
            <w:tcBorders>
              <w:top w:val="nil"/>
              <w:left w:val="nil"/>
              <w:bottom w:val="single" w:sz="4" w:space="0" w:color="auto"/>
              <w:right w:val="single" w:sz="4" w:space="0" w:color="auto"/>
            </w:tcBorders>
            <w:shd w:val="clear" w:color="auto" w:fill="auto"/>
            <w:noWrap/>
            <w:vAlign w:val="center"/>
            <w:hideMark/>
          </w:tcPr>
          <w:p w14:paraId="13221679" w14:textId="77777777" w:rsidR="004E151E" w:rsidRPr="00925798" w:rsidRDefault="004E151E" w:rsidP="007B3231">
            <w:pPr>
              <w:jc w:val="center"/>
              <w:rPr>
                <w:rFonts w:ascii="华文细黑" w:eastAsia="华文细黑" w:hAnsi="华文细黑"/>
                <w:sz w:val="13"/>
                <w:szCs w:val="13"/>
              </w:rPr>
            </w:pPr>
            <w:r>
              <w:rPr>
                <w:rFonts w:ascii="华文细黑" w:eastAsia="华文细黑" w:hAnsi="华文细黑" w:hint="eastAsia"/>
                <w:sz w:val="13"/>
                <w:szCs w:val="13"/>
              </w:rPr>
              <w:t xml:space="preserve">  </w:t>
            </w:r>
            <w:r w:rsidRPr="00925798">
              <w:rPr>
                <w:rFonts w:ascii="华文细黑" w:eastAsia="华文细黑" w:hAnsi="华文细黑" w:hint="eastAsia"/>
                <w:sz w:val="13"/>
                <w:szCs w:val="13"/>
              </w:rPr>
              <w:t>临时设施费</w:t>
            </w:r>
          </w:p>
        </w:tc>
        <w:tc>
          <w:tcPr>
            <w:tcW w:w="656" w:type="dxa"/>
            <w:tcBorders>
              <w:top w:val="nil"/>
              <w:left w:val="nil"/>
              <w:bottom w:val="single" w:sz="4" w:space="0" w:color="auto"/>
              <w:right w:val="single" w:sz="4" w:space="0" w:color="auto"/>
            </w:tcBorders>
            <w:shd w:val="clear" w:color="auto" w:fill="auto"/>
            <w:noWrap/>
            <w:vAlign w:val="center"/>
          </w:tcPr>
          <w:p w14:paraId="247149AB" w14:textId="39AE6995" w:rsidR="004E151E" w:rsidRPr="00925798" w:rsidRDefault="004E151E"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hideMark/>
          </w:tcPr>
          <w:p w14:paraId="2923EF60" w14:textId="0750FD62"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62A30FF0" w14:textId="522E2043"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104</w:t>
            </w:r>
          </w:p>
        </w:tc>
        <w:tc>
          <w:tcPr>
            <w:tcW w:w="559" w:type="dxa"/>
            <w:tcBorders>
              <w:top w:val="nil"/>
              <w:left w:val="nil"/>
              <w:bottom w:val="single" w:sz="4" w:space="0" w:color="auto"/>
              <w:right w:val="single" w:sz="4" w:space="0" w:color="auto"/>
            </w:tcBorders>
            <w:shd w:val="clear" w:color="auto" w:fill="auto"/>
            <w:noWrap/>
            <w:vAlign w:val="center"/>
            <w:hideMark/>
          </w:tcPr>
          <w:p w14:paraId="24A750C4" w14:textId="4EBA0BDC"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104</w:t>
            </w:r>
          </w:p>
        </w:tc>
        <w:tc>
          <w:tcPr>
            <w:tcW w:w="559" w:type="dxa"/>
            <w:tcBorders>
              <w:top w:val="nil"/>
              <w:left w:val="nil"/>
              <w:bottom w:val="single" w:sz="4" w:space="0" w:color="auto"/>
              <w:right w:val="single" w:sz="4" w:space="0" w:color="auto"/>
            </w:tcBorders>
            <w:shd w:val="clear" w:color="auto" w:fill="auto"/>
            <w:noWrap/>
            <w:vAlign w:val="center"/>
            <w:hideMark/>
          </w:tcPr>
          <w:p w14:paraId="41D23C3B" w14:textId="5265E930" w:rsidR="004E151E" w:rsidRPr="00925798" w:rsidRDefault="004E151E" w:rsidP="004E151E">
            <w:pPr>
              <w:jc w:val="center"/>
              <w:rPr>
                <w:rFonts w:ascii="华文细黑" w:eastAsia="华文细黑" w:hAnsi="华文细黑"/>
                <w:sz w:val="13"/>
                <w:szCs w:val="13"/>
              </w:rPr>
            </w:pPr>
          </w:p>
        </w:tc>
        <w:tc>
          <w:tcPr>
            <w:tcW w:w="697" w:type="dxa"/>
            <w:tcBorders>
              <w:top w:val="nil"/>
              <w:left w:val="nil"/>
              <w:bottom w:val="single" w:sz="4" w:space="0" w:color="auto"/>
              <w:right w:val="single" w:sz="4" w:space="0" w:color="auto"/>
            </w:tcBorders>
            <w:shd w:val="clear" w:color="auto" w:fill="auto"/>
            <w:noWrap/>
            <w:vAlign w:val="center"/>
            <w:hideMark/>
          </w:tcPr>
          <w:p w14:paraId="395D72C9" w14:textId="2AAFB05A"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51094A35" w14:textId="310D4556"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6C70AE24" w14:textId="6529C982"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39D58195" w14:textId="0F247531" w:rsidR="004E151E" w:rsidRPr="00925798" w:rsidRDefault="004E151E" w:rsidP="004E151E">
            <w:pPr>
              <w:jc w:val="center"/>
              <w:rPr>
                <w:rFonts w:ascii="华文细黑" w:eastAsia="华文细黑" w:hAnsi="华文细黑"/>
                <w:sz w:val="13"/>
                <w:szCs w:val="13"/>
              </w:rPr>
            </w:pPr>
          </w:p>
        </w:tc>
        <w:tc>
          <w:tcPr>
            <w:tcW w:w="837" w:type="dxa"/>
            <w:tcBorders>
              <w:top w:val="nil"/>
              <w:left w:val="nil"/>
              <w:bottom w:val="single" w:sz="4" w:space="0" w:color="auto"/>
              <w:right w:val="single" w:sz="4" w:space="0" w:color="auto"/>
            </w:tcBorders>
            <w:shd w:val="clear" w:color="auto" w:fill="auto"/>
            <w:noWrap/>
            <w:vAlign w:val="center"/>
            <w:hideMark/>
          </w:tcPr>
          <w:p w14:paraId="4ED8F730" w14:textId="04B0A109"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748FBFE8" w14:textId="071E8DA5" w:rsidR="004E151E" w:rsidRPr="00925798" w:rsidRDefault="004E151E" w:rsidP="004E151E">
            <w:pPr>
              <w:jc w:val="center"/>
              <w:rPr>
                <w:rFonts w:ascii="华文细黑" w:eastAsia="华文细黑" w:hAnsi="华文细黑"/>
                <w:sz w:val="13"/>
                <w:szCs w:val="13"/>
              </w:rPr>
            </w:pPr>
          </w:p>
        </w:tc>
        <w:tc>
          <w:tcPr>
            <w:tcW w:w="698" w:type="dxa"/>
            <w:tcBorders>
              <w:top w:val="single" w:sz="4" w:space="0" w:color="auto"/>
              <w:left w:val="nil"/>
              <w:bottom w:val="single" w:sz="4" w:space="0" w:color="auto"/>
              <w:right w:val="single" w:sz="4" w:space="0" w:color="auto"/>
            </w:tcBorders>
            <w:vAlign w:val="center"/>
          </w:tcPr>
          <w:p w14:paraId="49C20E75" w14:textId="77777777" w:rsidR="004E151E" w:rsidRPr="00E32F99" w:rsidRDefault="004E151E" w:rsidP="004E151E">
            <w:pPr>
              <w:jc w:val="center"/>
              <w:rPr>
                <w:rFonts w:ascii="华文细黑" w:eastAsia="华文细黑" w:hAnsi="华文细黑"/>
                <w:sz w:val="13"/>
                <w:szCs w:val="13"/>
              </w:rPr>
            </w:pPr>
          </w:p>
        </w:tc>
        <w:tc>
          <w:tcPr>
            <w:tcW w:w="447" w:type="dxa"/>
            <w:tcBorders>
              <w:top w:val="nil"/>
              <w:left w:val="single" w:sz="4" w:space="0" w:color="auto"/>
              <w:bottom w:val="single" w:sz="4" w:space="0" w:color="auto"/>
              <w:right w:val="single" w:sz="4" w:space="0" w:color="auto"/>
            </w:tcBorders>
            <w:vAlign w:val="center"/>
          </w:tcPr>
          <w:p w14:paraId="34B17CFD" w14:textId="77777777" w:rsidR="004E151E" w:rsidRPr="00E32F99" w:rsidRDefault="004E151E" w:rsidP="004E151E">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1814D1A0" w14:textId="77777777" w:rsidR="004E151E" w:rsidRPr="00E32F99" w:rsidRDefault="004E151E" w:rsidP="004E151E">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71BAA730" w14:textId="77777777" w:rsidR="004E151E" w:rsidRPr="00E32F99" w:rsidRDefault="004E151E" w:rsidP="004E151E">
            <w:pPr>
              <w:jc w:val="center"/>
              <w:rPr>
                <w:rFonts w:ascii="华文细黑" w:eastAsia="华文细黑" w:hAnsi="华文细黑"/>
                <w:sz w:val="13"/>
                <w:szCs w:val="13"/>
              </w:rPr>
            </w:pPr>
          </w:p>
        </w:tc>
        <w:tc>
          <w:tcPr>
            <w:tcW w:w="515" w:type="dxa"/>
            <w:tcBorders>
              <w:top w:val="nil"/>
              <w:left w:val="single" w:sz="4" w:space="0" w:color="auto"/>
              <w:bottom w:val="single" w:sz="4" w:space="0" w:color="auto"/>
              <w:right w:val="single" w:sz="4" w:space="0" w:color="auto"/>
            </w:tcBorders>
            <w:vAlign w:val="center"/>
          </w:tcPr>
          <w:p w14:paraId="20ACC1E5" w14:textId="77777777" w:rsidR="004E151E" w:rsidRPr="00E32F99" w:rsidRDefault="004E151E" w:rsidP="004E151E">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269D32AD" w14:textId="31A3438A"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208</w:t>
            </w:r>
          </w:p>
        </w:tc>
      </w:tr>
      <w:tr w:rsidR="002279C3" w:rsidRPr="00E05368" w14:paraId="590B5ED2" w14:textId="77777777" w:rsidTr="002279C3">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626E15DB" w14:textId="5CF86E08" w:rsidR="002279C3" w:rsidRPr="00925798" w:rsidRDefault="002279C3"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2</w:t>
            </w:r>
            <w:r>
              <w:rPr>
                <w:rFonts w:ascii="华文细黑" w:eastAsia="华文细黑" w:hAnsi="华文细黑" w:hint="eastAsia"/>
                <w:sz w:val="13"/>
                <w:szCs w:val="13"/>
              </w:rPr>
              <w:t>1</w:t>
            </w:r>
          </w:p>
        </w:tc>
        <w:tc>
          <w:tcPr>
            <w:tcW w:w="1533" w:type="dxa"/>
            <w:tcBorders>
              <w:top w:val="nil"/>
              <w:left w:val="nil"/>
              <w:bottom w:val="single" w:sz="4" w:space="0" w:color="auto"/>
              <w:right w:val="single" w:sz="4" w:space="0" w:color="auto"/>
            </w:tcBorders>
            <w:shd w:val="clear" w:color="auto" w:fill="auto"/>
            <w:noWrap/>
            <w:vAlign w:val="center"/>
            <w:hideMark/>
          </w:tcPr>
          <w:p w14:paraId="34495B3C" w14:textId="77777777" w:rsidR="002279C3" w:rsidRPr="00925798" w:rsidRDefault="002279C3"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(三)房屋开发费</w:t>
            </w:r>
          </w:p>
        </w:tc>
        <w:tc>
          <w:tcPr>
            <w:tcW w:w="656" w:type="dxa"/>
            <w:tcBorders>
              <w:top w:val="nil"/>
              <w:left w:val="nil"/>
              <w:bottom w:val="single" w:sz="4" w:space="0" w:color="auto"/>
              <w:right w:val="single" w:sz="4" w:space="0" w:color="auto"/>
            </w:tcBorders>
            <w:shd w:val="clear" w:color="auto" w:fill="auto"/>
            <w:noWrap/>
            <w:vAlign w:val="center"/>
          </w:tcPr>
          <w:p w14:paraId="4958BD50" w14:textId="77777777" w:rsidR="002279C3" w:rsidRPr="00925798" w:rsidRDefault="002279C3"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tcPr>
          <w:p w14:paraId="6C6371D0" w14:textId="6F19A75B" w:rsidR="002279C3" w:rsidRPr="00925798" w:rsidRDefault="002279C3" w:rsidP="002279C3">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tcPr>
          <w:p w14:paraId="3E122AE7" w14:textId="00EBBF61" w:rsidR="002279C3" w:rsidRPr="00925798" w:rsidRDefault="002279C3" w:rsidP="002279C3">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5A04C0CD" w14:textId="213FBB8A"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5047</w:t>
            </w:r>
          </w:p>
        </w:tc>
        <w:tc>
          <w:tcPr>
            <w:tcW w:w="559" w:type="dxa"/>
            <w:tcBorders>
              <w:top w:val="nil"/>
              <w:left w:val="nil"/>
              <w:bottom w:val="single" w:sz="4" w:space="0" w:color="auto"/>
              <w:right w:val="single" w:sz="4" w:space="0" w:color="auto"/>
            </w:tcBorders>
            <w:shd w:val="clear" w:color="auto" w:fill="auto"/>
            <w:noWrap/>
            <w:vAlign w:val="center"/>
            <w:hideMark/>
          </w:tcPr>
          <w:p w14:paraId="03654CFF" w14:textId="1AA3213D"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11030</w:t>
            </w:r>
          </w:p>
        </w:tc>
        <w:tc>
          <w:tcPr>
            <w:tcW w:w="697" w:type="dxa"/>
            <w:tcBorders>
              <w:top w:val="nil"/>
              <w:left w:val="nil"/>
              <w:bottom w:val="single" w:sz="4" w:space="0" w:color="auto"/>
              <w:right w:val="single" w:sz="4" w:space="0" w:color="auto"/>
            </w:tcBorders>
            <w:shd w:val="clear" w:color="auto" w:fill="auto"/>
            <w:noWrap/>
            <w:vAlign w:val="center"/>
            <w:hideMark/>
          </w:tcPr>
          <w:p w14:paraId="604781EA" w14:textId="2B3EE28F"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11030</w:t>
            </w:r>
          </w:p>
        </w:tc>
        <w:tc>
          <w:tcPr>
            <w:tcW w:w="698" w:type="dxa"/>
            <w:tcBorders>
              <w:top w:val="nil"/>
              <w:left w:val="nil"/>
              <w:bottom w:val="single" w:sz="4" w:space="0" w:color="auto"/>
              <w:right w:val="single" w:sz="4" w:space="0" w:color="auto"/>
            </w:tcBorders>
            <w:shd w:val="clear" w:color="auto" w:fill="auto"/>
            <w:noWrap/>
            <w:vAlign w:val="center"/>
            <w:hideMark/>
          </w:tcPr>
          <w:p w14:paraId="324FDF73" w14:textId="07660D7B"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13049</w:t>
            </w:r>
          </w:p>
        </w:tc>
        <w:tc>
          <w:tcPr>
            <w:tcW w:w="559" w:type="dxa"/>
            <w:tcBorders>
              <w:top w:val="nil"/>
              <w:left w:val="nil"/>
              <w:bottom w:val="single" w:sz="4" w:space="0" w:color="auto"/>
              <w:right w:val="single" w:sz="4" w:space="0" w:color="auto"/>
            </w:tcBorders>
            <w:shd w:val="clear" w:color="auto" w:fill="auto"/>
            <w:noWrap/>
            <w:vAlign w:val="center"/>
            <w:hideMark/>
          </w:tcPr>
          <w:p w14:paraId="3D3C18C4" w14:textId="6C55DA84"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13517</w:t>
            </w:r>
          </w:p>
        </w:tc>
        <w:tc>
          <w:tcPr>
            <w:tcW w:w="698" w:type="dxa"/>
            <w:tcBorders>
              <w:top w:val="nil"/>
              <w:left w:val="nil"/>
              <w:bottom w:val="single" w:sz="4" w:space="0" w:color="auto"/>
              <w:right w:val="single" w:sz="4" w:space="0" w:color="auto"/>
            </w:tcBorders>
            <w:shd w:val="clear" w:color="auto" w:fill="auto"/>
            <w:noWrap/>
            <w:vAlign w:val="center"/>
            <w:hideMark/>
          </w:tcPr>
          <w:p w14:paraId="458EF6D0" w14:textId="6784CAA0"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13517</w:t>
            </w:r>
          </w:p>
        </w:tc>
        <w:tc>
          <w:tcPr>
            <w:tcW w:w="837" w:type="dxa"/>
            <w:tcBorders>
              <w:top w:val="nil"/>
              <w:left w:val="nil"/>
              <w:bottom w:val="single" w:sz="4" w:space="0" w:color="auto"/>
              <w:right w:val="single" w:sz="4" w:space="0" w:color="auto"/>
            </w:tcBorders>
            <w:shd w:val="clear" w:color="auto" w:fill="auto"/>
            <w:noWrap/>
            <w:vAlign w:val="center"/>
            <w:hideMark/>
          </w:tcPr>
          <w:p w14:paraId="189F5AB6" w14:textId="793A0901"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13049</w:t>
            </w:r>
          </w:p>
        </w:tc>
        <w:tc>
          <w:tcPr>
            <w:tcW w:w="698" w:type="dxa"/>
            <w:tcBorders>
              <w:top w:val="nil"/>
              <w:left w:val="nil"/>
              <w:bottom w:val="single" w:sz="4" w:space="0" w:color="auto"/>
              <w:right w:val="single" w:sz="4" w:space="0" w:color="auto"/>
            </w:tcBorders>
            <w:shd w:val="clear" w:color="auto" w:fill="auto"/>
            <w:noWrap/>
            <w:vAlign w:val="center"/>
            <w:hideMark/>
          </w:tcPr>
          <w:p w14:paraId="3467C718" w14:textId="2267188B"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11030</w:t>
            </w:r>
          </w:p>
        </w:tc>
        <w:tc>
          <w:tcPr>
            <w:tcW w:w="698" w:type="dxa"/>
            <w:tcBorders>
              <w:top w:val="single" w:sz="4" w:space="0" w:color="auto"/>
              <w:left w:val="nil"/>
              <w:bottom w:val="single" w:sz="4" w:space="0" w:color="auto"/>
              <w:right w:val="single" w:sz="4" w:space="0" w:color="auto"/>
            </w:tcBorders>
            <w:vAlign w:val="center"/>
          </w:tcPr>
          <w:p w14:paraId="0C4DA86E" w14:textId="7ADFC4EC"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11030</w:t>
            </w:r>
          </w:p>
        </w:tc>
        <w:tc>
          <w:tcPr>
            <w:tcW w:w="447" w:type="dxa"/>
            <w:tcBorders>
              <w:top w:val="nil"/>
              <w:left w:val="single" w:sz="4" w:space="0" w:color="auto"/>
              <w:bottom w:val="single" w:sz="4" w:space="0" w:color="auto"/>
              <w:right w:val="single" w:sz="4" w:space="0" w:color="auto"/>
            </w:tcBorders>
            <w:vAlign w:val="center"/>
          </w:tcPr>
          <w:p w14:paraId="1A434D18" w14:textId="145705F5"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8006</w:t>
            </w:r>
          </w:p>
        </w:tc>
        <w:tc>
          <w:tcPr>
            <w:tcW w:w="532" w:type="dxa"/>
            <w:tcBorders>
              <w:top w:val="nil"/>
              <w:left w:val="single" w:sz="4" w:space="0" w:color="auto"/>
              <w:bottom w:val="single" w:sz="4" w:space="0" w:color="auto"/>
              <w:right w:val="single" w:sz="4" w:space="0" w:color="auto"/>
            </w:tcBorders>
            <w:vAlign w:val="center"/>
          </w:tcPr>
          <w:p w14:paraId="22F14FFC" w14:textId="0C3D13E6" w:rsidR="002279C3" w:rsidRPr="00EC4902" w:rsidRDefault="002279C3" w:rsidP="002279C3">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1E964E37" w14:textId="539C1C85" w:rsidR="002279C3" w:rsidRPr="00EC4902" w:rsidRDefault="002279C3" w:rsidP="002279C3">
            <w:pPr>
              <w:jc w:val="center"/>
              <w:rPr>
                <w:rFonts w:ascii="华文细黑" w:eastAsia="华文细黑" w:hAnsi="华文细黑"/>
                <w:sz w:val="13"/>
                <w:szCs w:val="13"/>
              </w:rPr>
            </w:pPr>
          </w:p>
        </w:tc>
        <w:tc>
          <w:tcPr>
            <w:tcW w:w="515" w:type="dxa"/>
            <w:tcBorders>
              <w:top w:val="nil"/>
              <w:left w:val="single" w:sz="4" w:space="0" w:color="auto"/>
              <w:bottom w:val="single" w:sz="4" w:space="0" w:color="auto"/>
              <w:right w:val="single" w:sz="4" w:space="0" w:color="auto"/>
            </w:tcBorders>
            <w:vAlign w:val="center"/>
          </w:tcPr>
          <w:p w14:paraId="07435B64" w14:textId="1BE76277" w:rsidR="002279C3" w:rsidRPr="00EC4902" w:rsidRDefault="002279C3" w:rsidP="002279C3">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63DE0FA7" w14:textId="5FCD8E61"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110305</w:t>
            </w:r>
          </w:p>
        </w:tc>
      </w:tr>
      <w:tr w:rsidR="002279C3" w:rsidRPr="00E05368" w14:paraId="0FE51FF7" w14:textId="77777777" w:rsidTr="002279C3">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2441805F" w14:textId="7FCEA55D" w:rsidR="002279C3" w:rsidRPr="00925798" w:rsidRDefault="002279C3"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2</w:t>
            </w:r>
            <w:r>
              <w:rPr>
                <w:rFonts w:ascii="华文细黑" w:eastAsia="华文细黑" w:hAnsi="华文细黑" w:hint="eastAsia"/>
                <w:sz w:val="13"/>
                <w:szCs w:val="13"/>
              </w:rPr>
              <w:t>2</w:t>
            </w:r>
          </w:p>
        </w:tc>
        <w:tc>
          <w:tcPr>
            <w:tcW w:w="1533" w:type="dxa"/>
            <w:tcBorders>
              <w:top w:val="nil"/>
              <w:left w:val="nil"/>
              <w:bottom w:val="single" w:sz="4" w:space="0" w:color="auto"/>
              <w:right w:val="single" w:sz="4" w:space="0" w:color="auto"/>
            </w:tcBorders>
            <w:shd w:val="clear" w:color="auto" w:fill="auto"/>
            <w:noWrap/>
            <w:vAlign w:val="center"/>
            <w:hideMark/>
          </w:tcPr>
          <w:p w14:paraId="7FE68D6E" w14:textId="77777777" w:rsidR="002279C3" w:rsidRPr="00925798" w:rsidRDefault="002279C3"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其中：建安工程费</w:t>
            </w:r>
          </w:p>
        </w:tc>
        <w:tc>
          <w:tcPr>
            <w:tcW w:w="656" w:type="dxa"/>
            <w:tcBorders>
              <w:top w:val="nil"/>
              <w:left w:val="nil"/>
              <w:bottom w:val="single" w:sz="4" w:space="0" w:color="auto"/>
              <w:right w:val="single" w:sz="4" w:space="0" w:color="auto"/>
            </w:tcBorders>
            <w:shd w:val="clear" w:color="auto" w:fill="auto"/>
            <w:noWrap/>
            <w:vAlign w:val="center"/>
          </w:tcPr>
          <w:p w14:paraId="2B4BD2A0" w14:textId="77777777" w:rsidR="002279C3" w:rsidRPr="00925798" w:rsidRDefault="002279C3"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tcPr>
          <w:p w14:paraId="16DC131A" w14:textId="28744AF2" w:rsidR="002279C3" w:rsidRPr="00925798" w:rsidRDefault="002279C3" w:rsidP="002279C3">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tcPr>
          <w:p w14:paraId="13D59128" w14:textId="463633F6" w:rsidR="002279C3" w:rsidRPr="00925798" w:rsidRDefault="002279C3" w:rsidP="002279C3">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032E74AA" w14:textId="10141ECB"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5047</w:t>
            </w:r>
          </w:p>
        </w:tc>
        <w:tc>
          <w:tcPr>
            <w:tcW w:w="559" w:type="dxa"/>
            <w:tcBorders>
              <w:top w:val="nil"/>
              <w:left w:val="nil"/>
              <w:bottom w:val="single" w:sz="4" w:space="0" w:color="auto"/>
              <w:right w:val="single" w:sz="4" w:space="0" w:color="auto"/>
            </w:tcBorders>
            <w:shd w:val="clear" w:color="auto" w:fill="auto"/>
            <w:noWrap/>
            <w:vAlign w:val="center"/>
            <w:hideMark/>
          </w:tcPr>
          <w:p w14:paraId="283E5C06" w14:textId="3B42B947"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10094</w:t>
            </w:r>
          </w:p>
        </w:tc>
        <w:tc>
          <w:tcPr>
            <w:tcW w:w="697" w:type="dxa"/>
            <w:tcBorders>
              <w:top w:val="nil"/>
              <w:left w:val="nil"/>
              <w:bottom w:val="single" w:sz="4" w:space="0" w:color="auto"/>
              <w:right w:val="single" w:sz="4" w:space="0" w:color="auto"/>
            </w:tcBorders>
            <w:shd w:val="clear" w:color="auto" w:fill="auto"/>
            <w:noWrap/>
            <w:vAlign w:val="center"/>
            <w:hideMark/>
          </w:tcPr>
          <w:p w14:paraId="7B5D29D8" w14:textId="3F760B0F"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10094</w:t>
            </w:r>
          </w:p>
        </w:tc>
        <w:tc>
          <w:tcPr>
            <w:tcW w:w="698" w:type="dxa"/>
            <w:tcBorders>
              <w:top w:val="nil"/>
              <w:left w:val="nil"/>
              <w:bottom w:val="single" w:sz="4" w:space="0" w:color="auto"/>
              <w:right w:val="single" w:sz="4" w:space="0" w:color="auto"/>
            </w:tcBorders>
            <w:shd w:val="clear" w:color="auto" w:fill="auto"/>
            <w:noWrap/>
            <w:vAlign w:val="center"/>
            <w:hideMark/>
          </w:tcPr>
          <w:p w14:paraId="401B483E" w14:textId="5C8A9B61"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12113</w:t>
            </w:r>
          </w:p>
        </w:tc>
        <w:tc>
          <w:tcPr>
            <w:tcW w:w="559" w:type="dxa"/>
            <w:tcBorders>
              <w:top w:val="nil"/>
              <w:left w:val="nil"/>
              <w:bottom w:val="single" w:sz="4" w:space="0" w:color="auto"/>
              <w:right w:val="single" w:sz="4" w:space="0" w:color="auto"/>
            </w:tcBorders>
            <w:shd w:val="clear" w:color="auto" w:fill="auto"/>
            <w:noWrap/>
            <w:vAlign w:val="center"/>
            <w:hideMark/>
          </w:tcPr>
          <w:p w14:paraId="71AF4744" w14:textId="2AF10D28"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12113</w:t>
            </w:r>
          </w:p>
        </w:tc>
        <w:tc>
          <w:tcPr>
            <w:tcW w:w="698" w:type="dxa"/>
            <w:tcBorders>
              <w:top w:val="nil"/>
              <w:left w:val="nil"/>
              <w:bottom w:val="single" w:sz="4" w:space="0" w:color="auto"/>
              <w:right w:val="single" w:sz="4" w:space="0" w:color="auto"/>
            </w:tcBorders>
            <w:shd w:val="clear" w:color="auto" w:fill="auto"/>
            <w:noWrap/>
            <w:vAlign w:val="center"/>
            <w:hideMark/>
          </w:tcPr>
          <w:p w14:paraId="6C4DE640" w14:textId="1DA63DC6"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12113</w:t>
            </w:r>
          </w:p>
        </w:tc>
        <w:tc>
          <w:tcPr>
            <w:tcW w:w="837" w:type="dxa"/>
            <w:tcBorders>
              <w:top w:val="nil"/>
              <w:left w:val="nil"/>
              <w:bottom w:val="single" w:sz="4" w:space="0" w:color="auto"/>
              <w:right w:val="single" w:sz="4" w:space="0" w:color="auto"/>
            </w:tcBorders>
            <w:shd w:val="clear" w:color="auto" w:fill="auto"/>
            <w:noWrap/>
            <w:vAlign w:val="center"/>
            <w:hideMark/>
          </w:tcPr>
          <w:p w14:paraId="03870A55" w14:textId="49F30666"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12113</w:t>
            </w:r>
          </w:p>
        </w:tc>
        <w:tc>
          <w:tcPr>
            <w:tcW w:w="698" w:type="dxa"/>
            <w:tcBorders>
              <w:top w:val="nil"/>
              <w:left w:val="nil"/>
              <w:bottom w:val="single" w:sz="4" w:space="0" w:color="auto"/>
              <w:right w:val="single" w:sz="4" w:space="0" w:color="auto"/>
            </w:tcBorders>
            <w:shd w:val="clear" w:color="auto" w:fill="auto"/>
            <w:noWrap/>
            <w:vAlign w:val="center"/>
            <w:hideMark/>
          </w:tcPr>
          <w:p w14:paraId="6EA413B3" w14:textId="196313D4"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10094</w:t>
            </w:r>
          </w:p>
        </w:tc>
        <w:tc>
          <w:tcPr>
            <w:tcW w:w="698" w:type="dxa"/>
            <w:tcBorders>
              <w:top w:val="single" w:sz="4" w:space="0" w:color="auto"/>
              <w:left w:val="nil"/>
              <w:bottom w:val="single" w:sz="4" w:space="0" w:color="auto"/>
              <w:right w:val="single" w:sz="4" w:space="0" w:color="auto"/>
            </w:tcBorders>
            <w:vAlign w:val="center"/>
          </w:tcPr>
          <w:p w14:paraId="2794BC68" w14:textId="5618E8BC"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10094</w:t>
            </w:r>
          </w:p>
        </w:tc>
        <w:tc>
          <w:tcPr>
            <w:tcW w:w="447" w:type="dxa"/>
            <w:tcBorders>
              <w:top w:val="nil"/>
              <w:left w:val="single" w:sz="4" w:space="0" w:color="auto"/>
              <w:bottom w:val="single" w:sz="4" w:space="0" w:color="auto"/>
              <w:right w:val="single" w:sz="4" w:space="0" w:color="auto"/>
            </w:tcBorders>
            <w:vAlign w:val="center"/>
          </w:tcPr>
          <w:p w14:paraId="100C975C" w14:textId="2828BE8E"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7066</w:t>
            </w:r>
          </w:p>
        </w:tc>
        <w:tc>
          <w:tcPr>
            <w:tcW w:w="532" w:type="dxa"/>
            <w:tcBorders>
              <w:top w:val="nil"/>
              <w:left w:val="single" w:sz="4" w:space="0" w:color="auto"/>
              <w:bottom w:val="single" w:sz="4" w:space="0" w:color="auto"/>
              <w:right w:val="single" w:sz="4" w:space="0" w:color="auto"/>
            </w:tcBorders>
            <w:vAlign w:val="center"/>
          </w:tcPr>
          <w:p w14:paraId="4E175307" w14:textId="2BD43226" w:rsidR="002279C3" w:rsidRPr="00EC4902" w:rsidRDefault="002279C3" w:rsidP="002279C3">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6FD90CA1" w14:textId="5965A768" w:rsidR="002279C3" w:rsidRPr="00EC4902" w:rsidRDefault="002279C3" w:rsidP="002279C3">
            <w:pPr>
              <w:jc w:val="center"/>
              <w:rPr>
                <w:rFonts w:ascii="华文细黑" w:eastAsia="华文细黑" w:hAnsi="华文细黑"/>
                <w:sz w:val="13"/>
                <w:szCs w:val="13"/>
              </w:rPr>
            </w:pPr>
          </w:p>
        </w:tc>
        <w:tc>
          <w:tcPr>
            <w:tcW w:w="515" w:type="dxa"/>
            <w:tcBorders>
              <w:top w:val="nil"/>
              <w:left w:val="single" w:sz="4" w:space="0" w:color="auto"/>
              <w:bottom w:val="single" w:sz="4" w:space="0" w:color="auto"/>
              <w:right w:val="single" w:sz="4" w:space="0" w:color="auto"/>
            </w:tcBorders>
            <w:vAlign w:val="center"/>
          </w:tcPr>
          <w:p w14:paraId="74C67B90" w14:textId="1E3103A6" w:rsidR="002279C3" w:rsidRPr="00EC4902" w:rsidRDefault="002279C3" w:rsidP="002279C3">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16A9EC90" w14:textId="74957BE7"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100941</w:t>
            </w:r>
          </w:p>
        </w:tc>
      </w:tr>
      <w:tr w:rsidR="002279C3" w:rsidRPr="00E05368" w14:paraId="03E4C804" w14:textId="77777777" w:rsidTr="002279C3">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6407FD6D" w14:textId="79074A53" w:rsidR="002279C3" w:rsidRPr="00925798" w:rsidRDefault="002279C3"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2</w:t>
            </w:r>
            <w:r>
              <w:rPr>
                <w:rFonts w:ascii="华文细黑" w:eastAsia="华文细黑" w:hAnsi="华文细黑" w:hint="eastAsia"/>
                <w:sz w:val="13"/>
                <w:szCs w:val="13"/>
              </w:rPr>
              <w:t>3</w:t>
            </w:r>
          </w:p>
        </w:tc>
        <w:tc>
          <w:tcPr>
            <w:tcW w:w="1533" w:type="dxa"/>
            <w:tcBorders>
              <w:top w:val="nil"/>
              <w:left w:val="nil"/>
              <w:bottom w:val="single" w:sz="4" w:space="0" w:color="auto"/>
              <w:right w:val="single" w:sz="4" w:space="0" w:color="auto"/>
            </w:tcBorders>
            <w:shd w:val="clear" w:color="auto" w:fill="auto"/>
            <w:noWrap/>
            <w:vAlign w:val="center"/>
            <w:hideMark/>
          </w:tcPr>
          <w:p w14:paraId="21922F5E" w14:textId="77777777" w:rsidR="002279C3" w:rsidRPr="00925798" w:rsidRDefault="002279C3"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附属工程费</w:t>
            </w:r>
          </w:p>
        </w:tc>
        <w:tc>
          <w:tcPr>
            <w:tcW w:w="656" w:type="dxa"/>
            <w:tcBorders>
              <w:top w:val="nil"/>
              <w:left w:val="nil"/>
              <w:bottom w:val="single" w:sz="4" w:space="0" w:color="auto"/>
              <w:right w:val="single" w:sz="4" w:space="0" w:color="auto"/>
            </w:tcBorders>
            <w:shd w:val="clear" w:color="auto" w:fill="auto"/>
            <w:noWrap/>
            <w:vAlign w:val="center"/>
          </w:tcPr>
          <w:p w14:paraId="494EFF5B" w14:textId="77777777" w:rsidR="002279C3" w:rsidRPr="00925798" w:rsidRDefault="002279C3"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tcPr>
          <w:p w14:paraId="76A713D5" w14:textId="1853D6E7" w:rsidR="002279C3" w:rsidRPr="00925798" w:rsidRDefault="002279C3" w:rsidP="002279C3">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tcPr>
          <w:p w14:paraId="02B0CF70" w14:textId="106BF2F2" w:rsidR="002279C3" w:rsidRPr="00925798" w:rsidRDefault="002279C3" w:rsidP="002279C3">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tcPr>
          <w:p w14:paraId="5412B54E" w14:textId="355FC9EF" w:rsidR="002279C3" w:rsidRPr="00925798" w:rsidRDefault="002279C3" w:rsidP="002279C3">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6CC26553" w14:textId="35F3A63F"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416</w:t>
            </w:r>
          </w:p>
        </w:tc>
        <w:tc>
          <w:tcPr>
            <w:tcW w:w="697" w:type="dxa"/>
            <w:tcBorders>
              <w:top w:val="nil"/>
              <w:left w:val="nil"/>
              <w:bottom w:val="single" w:sz="4" w:space="0" w:color="auto"/>
              <w:right w:val="single" w:sz="4" w:space="0" w:color="auto"/>
            </w:tcBorders>
            <w:shd w:val="clear" w:color="auto" w:fill="auto"/>
            <w:noWrap/>
            <w:vAlign w:val="center"/>
            <w:hideMark/>
          </w:tcPr>
          <w:p w14:paraId="78B618E2" w14:textId="57BA3905"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416</w:t>
            </w:r>
          </w:p>
        </w:tc>
        <w:tc>
          <w:tcPr>
            <w:tcW w:w="698" w:type="dxa"/>
            <w:tcBorders>
              <w:top w:val="nil"/>
              <w:left w:val="nil"/>
              <w:bottom w:val="single" w:sz="4" w:space="0" w:color="auto"/>
              <w:right w:val="single" w:sz="4" w:space="0" w:color="auto"/>
            </w:tcBorders>
            <w:shd w:val="clear" w:color="auto" w:fill="auto"/>
            <w:noWrap/>
            <w:vAlign w:val="center"/>
            <w:hideMark/>
          </w:tcPr>
          <w:p w14:paraId="7CE5A057" w14:textId="58A24E7F"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416</w:t>
            </w:r>
          </w:p>
        </w:tc>
        <w:tc>
          <w:tcPr>
            <w:tcW w:w="559" w:type="dxa"/>
            <w:tcBorders>
              <w:top w:val="nil"/>
              <w:left w:val="nil"/>
              <w:bottom w:val="single" w:sz="4" w:space="0" w:color="auto"/>
              <w:right w:val="single" w:sz="4" w:space="0" w:color="auto"/>
            </w:tcBorders>
            <w:shd w:val="clear" w:color="auto" w:fill="auto"/>
            <w:noWrap/>
            <w:vAlign w:val="center"/>
            <w:hideMark/>
          </w:tcPr>
          <w:p w14:paraId="10452EC2" w14:textId="4D3B0E9D"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624</w:t>
            </w:r>
          </w:p>
        </w:tc>
        <w:tc>
          <w:tcPr>
            <w:tcW w:w="698" w:type="dxa"/>
            <w:tcBorders>
              <w:top w:val="nil"/>
              <w:left w:val="nil"/>
              <w:bottom w:val="single" w:sz="4" w:space="0" w:color="auto"/>
              <w:right w:val="single" w:sz="4" w:space="0" w:color="auto"/>
            </w:tcBorders>
            <w:shd w:val="clear" w:color="auto" w:fill="auto"/>
            <w:noWrap/>
            <w:vAlign w:val="center"/>
            <w:hideMark/>
          </w:tcPr>
          <w:p w14:paraId="491F7369" w14:textId="0DA6B20C"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624</w:t>
            </w:r>
          </w:p>
        </w:tc>
        <w:tc>
          <w:tcPr>
            <w:tcW w:w="837" w:type="dxa"/>
            <w:tcBorders>
              <w:top w:val="nil"/>
              <w:left w:val="nil"/>
              <w:bottom w:val="single" w:sz="4" w:space="0" w:color="auto"/>
              <w:right w:val="single" w:sz="4" w:space="0" w:color="auto"/>
            </w:tcBorders>
            <w:shd w:val="clear" w:color="auto" w:fill="auto"/>
            <w:noWrap/>
            <w:vAlign w:val="center"/>
            <w:hideMark/>
          </w:tcPr>
          <w:p w14:paraId="569B600E" w14:textId="309EE57F"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416</w:t>
            </w:r>
          </w:p>
        </w:tc>
        <w:tc>
          <w:tcPr>
            <w:tcW w:w="698" w:type="dxa"/>
            <w:tcBorders>
              <w:top w:val="nil"/>
              <w:left w:val="nil"/>
              <w:bottom w:val="single" w:sz="4" w:space="0" w:color="auto"/>
              <w:right w:val="single" w:sz="4" w:space="0" w:color="auto"/>
            </w:tcBorders>
            <w:shd w:val="clear" w:color="auto" w:fill="auto"/>
            <w:noWrap/>
            <w:vAlign w:val="center"/>
            <w:hideMark/>
          </w:tcPr>
          <w:p w14:paraId="21C0DBEB" w14:textId="07E8D388"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416</w:t>
            </w:r>
          </w:p>
        </w:tc>
        <w:tc>
          <w:tcPr>
            <w:tcW w:w="698" w:type="dxa"/>
            <w:tcBorders>
              <w:top w:val="single" w:sz="4" w:space="0" w:color="auto"/>
              <w:left w:val="nil"/>
              <w:bottom w:val="single" w:sz="4" w:space="0" w:color="auto"/>
              <w:right w:val="single" w:sz="4" w:space="0" w:color="auto"/>
            </w:tcBorders>
            <w:vAlign w:val="center"/>
          </w:tcPr>
          <w:p w14:paraId="7EC1903F" w14:textId="64DF68DC"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416</w:t>
            </w:r>
          </w:p>
        </w:tc>
        <w:tc>
          <w:tcPr>
            <w:tcW w:w="447" w:type="dxa"/>
            <w:tcBorders>
              <w:top w:val="nil"/>
              <w:left w:val="single" w:sz="4" w:space="0" w:color="auto"/>
              <w:bottom w:val="single" w:sz="4" w:space="0" w:color="auto"/>
              <w:right w:val="single" w:sz="4" w:space="0" w:color="auto"/>
            </w:tcBorders>
            <w:vAlign w:val="center"/>
          </w:tcPr>
          <w:p w14:paraId="62C7C4D5" w14:textId="05220734"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418</w:t>
            </w:r>
          </w:p>
        </w:tc>
        <w:tc>
          <w:tcPr>
            <w:tcW w:w="532" w:type="dxa"/>
            <w:tcBorders>
              <w:top w:val="nil"/>
              <w:left w:val="single" w:sz="4" w:space="0" w:color="auto"/>
              <w:bottom w:val="single" w:sz="4" w:space="0" w:color="auto"/>
              <w:right w:val="single" w:sz="4" w:space="0" w:color="auto"/>
            </w:tcBorders>
            <w:vAlign w:val="center"/>
          </w:tcPr>
          <w:p w14:paraId="24D71AA3" w14:textId="56C55860" w:rsidR="002279C3" w:rsidRPr="00EC4902" w:rsidRDefault="002279C3" w:rsidP="002279C3">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6B25B155" w14:textId="1103B863" w:rsidR="002279C3" w:rsidRPr="00EC4902" w:rsidRDefault="002279C3" w:rsidP="002279C3">
            <w:pPr>
              <w:jc w:val="center"/>
              <w:rPr>
                <w:rFonts w:ascii="华文细黑" w:eastAsia="华文细黑" w:hAnsi="华文细黑"/>
                <w:sz w:val="13"/>
                <w:szCs w:val="13"/>
              </w:rPr>
            </w:pPr>
          </w:p>
        </w:tc>
        <w:tc>
          <w:tcPr>
            <w:tcW w:w="515" w:type="dxa"/>
            <w:tcBorders>
              <w:top w:val="nil"/>
              <w:left w:val="single" w:sz="4" w:space="0" w:color="auto"/>
              <w:bottom w:val="single" w:sz="4" w:space="0" w:color="auto"/>
              <w:right w:val="single" w:sz="4" w:space="0" w:color="auto"/>
            </w:tcBorders>
            <w:vAlign w:val="center"/>
          </w:tcPr>
          <w:p w14:paraId="20110D15" w14:textId="0694AED4" w:rsidR="002279C3" w:rsidRPr="00EC4902" w:rsidRDefault="002279C3" w:rsidP="002279C3">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415563DC" w14:textId="37716AD6"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4162</w:t>
            </w:r>
          </w:p>
        </w:tc>
      </w:tr>
      <w:tr w:rsidR="002279C3" w:rsidRPr="00E05368" w14:paraId="6BA182E8" w14:textId="77777777" w:rsidTr="002279C3">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7AD9F3CD" w14:textId="5708AD9A" w:rsidR="002279C3" w:rsidRPr="00925798" w:rsidRDefault="002279C3"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2</w:t>
            </w:r>
            <w:r>
              <w:rPr>
                <w:rFonts w:ascii="华文细黑" w:eastAsia="华文细黑" w:hAnsi="华文细黑" w:hint="eastAsia"/>
                <w:sz w:val="13"/>
                <w:szCs w:val="13"/>
              </w:rPr>
              <w:t>4</w:t>
            </w:r>
          </w:p>
        </w:tc>
        <w:tc>
          <w:tcPr>
            <w:tcW w:w="1533" w:type="dxa"/>
            <w:tcBorders>
              <w:top w:val="nil"/>
              <w:left w:val="nil"/>
              <w:bottom w:val="single" w:sz="4" w:space="0" w:color="auto"/>
              <w:right w:val="single" w:sz="4" w:space="0" w:color="auto"/>
            </w:tcBorders>
            <w:shd w:val="clear" w:color="auto" w:fill="auto"/>
            <w:noWrap/>
            <w:vAlign w:val="center"/>
            <w:hideMark/>
          </w:tcPr>
          <w:p w14:paraId="166B0213" w14:textId="77777777" w:rsidR="002279C3" w:rsidRPr="00925798" w:rsidRDefault="002279C3"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室外工程费</w:t>
            </w:r>
          </w:p>
        </w:tc>
        <w:tc>
          <w:tcPr>
            <w:tcW w:w="656" w:type="dxa"/>
            <w:tcBorders>
              <w:top w:val="nil"/>
              <w:left w:val="nil"/>
              <w:bottom w:val="single" w:sz="4" w:space="0" w:color="auto"/>
              <w:right w:val="single" w:sz="4" w:space="0" w:color="auto"/>
            </w:tcBorders>
            <w:shd w:val="clear" w:color="auto" w:fill="auto"/>
            <w:noWrap/>
            <w:vAlign w:val="center"/>
          </w:tcPr>
          <w:p w14:paraId="5A7D2114" w14:textId="77777777" w:rsidR="002279C3" w:rsidRPr="00925798" w:rsidRDefault="002279C3"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tcPr>
          <w:p w14:paraId="0D6AD25D" w14:textId="2C316FB3" w:rsidR="002279C3" w:rsidRPr="00925798" w:rsidRDefault="002279C3" w:rsidP="002279C3">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tcPr>
          <w:p w14:paraId="5614E1F2" w14:textId="63681D1B" w:rsidR="002279C3" w:rsidRPr="00925798" w:rsidRDefault="002279C3" w:rsidP="002279C3">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tcPr>
          <w:p w14:paraId="7A2CE889" w14:textId="36D29B95" w:rsidR="002279C3" w:rsidRPr="00925798" w:rsidRDefault="002279C3" w:rsidP="002279C3">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27E1D7FE" w14:textId="128014FE"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520</w:t>
            </w:r>
          </w:p>
        </w:tc>
        <w:tc>
          <w:tcPr>
            <w:tcW w:w="697" w:type="dxa"/>
            <w:tcBorders>
              <w:top w:val="nil"/>
              <w:left w:val="nil"/>
              <w:bottom w:val="single" w:sz="4" w:space="0" w:color="auto"/>
              <w:right w:val="single" w:sz="4" w:space="0" w:color="auto"/>
            </w:tcBorders>
            <w:shd w:val="clear" w:color="auto" w:fill="auto"/>
            <w:noWrap/>
            <w:vAlign w:val="center"/>
            <w:hideMark/>
          </w:tcPr>
          <w:p w14:paraId="1E27E74B" w14:textId="0789BACC"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520</w:t>
            </w:r>
          </w:p>
        </w:tc>
        <w:tc>
          <w:tcPr>
            <w:tcW w:w="698" w:type="dxa"/>
            <w:tcBorders>
              <w:top w:val="nil"/>
              <w:left w:val="nil"/>
              <w:bottom w:val="single" w:sz="4" w:space="0" w:color="auto"/>
              <w:right w:val="single" w:sz="4" w:space="0" w:color="auto"/>
            </w:tcBorders>
            <w:shd w:val="clear" w:color="auto" w:fill="auto"/>
            <w:noWrap/>
            <w:vAlign w:val="center"/>
            <w:hideMark/>
          </w:tcPr>
          <w:p w14:paraId="7BE0EEAD" w14:textId="438BDE50"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520</w:t>
            </w:r>
          </w:p>
        </w:tc>
        <w:tc>
          <w:tcPr>
            <w:tcW w:w="559" w:type="dxa"/>
            <w:tcBorders>
              <w:top w:val="nil"/>
              <w:left w:val="nil"/>
              <w:bottom w:val="single" w:sz="4" w:space="0" w:color="auto"/>
              <w:right w:val="single" w:sz="4" w:space="0" w:color="auto"/>
            </w:tcBorders>
            <w:shd w:val="clear" w:color="auto" w:fill="auto"/>
            <w:noWrap/>
            <w:vAlign w:val="center"/>
            <w:hideMark/>
          </w:tcPr>
          <w:p w14:paraId="7F315928" w14:textId="11EF8D3D"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780</w:t>
            </w:r>
          </w:p>
        </w:tc>
        <w:tc>
          <w:tcPr>
            <w:tcW w:w="698" w:type="dxa"/>
            <w:tcBorders>
              <w:top w:val="nil"/>
              <w:left w:val="nil"/>
              <w:bottom w:val="single" w:sz="4" w:space="0" w:color="auto"/>
              <w:right w:val="single" w:sz="4" w:space="0" w:color="auto"/>
            </w:tcBorders>
            <w:shd w:val="clear" w:color="auto" w:fill="auto"/>
            <w:noWrap/>
            <w:vAlign w:val="center"/>
            <w:hideMark/>
          </w:tcPr>
          <w:p w14:paraId="23364C8B" w14:textId="538BEA9E"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780</w:t>
            </w:r>
          </w:p>
        </w:tc>
        <w:tc>
          <w:tcPr>
            <w:tcW w:w="837" w:type="dxa"/>
            <w:tcBorders>
              <w:top w:val="nil"/>
              <w:left w:val="nil"/>
              <w:bottom w:val="single" w:sz="4" w:space="0" w:color="auto"/>
              <w:right w:val="single" w:sz="4" w:space="0" w:color="auto"/>
            </w:tcBorders>
            <w:shd w:val="clear" w:color="auto" w:fill="auto"/>
            <w:noWrap/>
            <w:vAlign w:val="center"/>
            <w:hideMark/>
          </w:tcPr>
          <w:p w14:paraId="75233175" w14:textId="608E3D79"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520</w:t>
            </w:r>
          </w:p>
        </w:tc>
        <w:tc>
          <w:tcPr>
            <w:tcW w:w="698" w:type="dxa"/>
            <w:tcBorders>
              <w:top w:val="nil"/>
              <w:left w:val="nil"/>
              <w:bottom w:val="single" w:sz="4" w:space="0" w:color="auto"/>
              <w:right w:val="single" w:sz="4" w:space="0" w:color="auto"/>
            </w:tcBorders>
            <w:shd w:val="clear" w:color="auto" w:fill="auto"/>
            <w:noWrap/>
            <w:vAlign w:val="center"/>
            <w:hideMark/>
          </w:tcPr>
          <w:p w14:paraId="622D41D9" w14:textId="67DDAFD1"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520</w:t>
            </w:r>
          </w:p>
        </w:tc>
        <w:tc>
          <w:tcPr>
            <w:tcW w:w="698" w:type="dxa"/>
            <w:tcBorders>
              <w:top w:val="single" w:sz="4" w:space="0" w:color="auto"/>
              <w:left w:val="nil"/>
              <w:bottom w:val="single" w:sz="4" w:space="0" w:color="auto"/>
              <w:right w:val="single" w:sz="4" w:space="0" w:color="auto"/>
            </w:tcBorders>
            <w:vAlign w:val="center"/>
          </w:tcPr>
          <w:p w14:paraId="7D4414B2" w14:textId="556B223D"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520</w:t>
            </w:r>
          </w:p>
        </w:tc>
        <w:tc>
          <w:tcPr>
            <w:tcW w:w="447" w:type="dxa"/>
            <w:tcBorders>
              <w:top w:val="nil"/>
              <w:left w:val="single" w:sz="4" w:space="0" w:color="auto"/>
              <w:bottom w:val="single" w:sz="4" w:space="0" w:color="auto"/>
              <w:right w:val="single" w:sz="4" w:space="0" w:color="auto"/>
            </w:tcBorders>
            <w:vAlign w:val="center"/>
          </w:tcPr>
          <w:p w14:paraId="37DADBF6" w14:textId="3E7F97F4"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522</w:t>
            </w:r>
          </w:p>
        </w:tc>
        <w:tc>
          <w:tcPr>
            <w:tcW w:w="532" w:type="dxa"/>
            <w:tcBorders>
              <w:top w:val="nil"/>
              <w:left w:val="single" w:sz="4" w:space="0" w:color="auto"/>
              <w:bottom w:val="single" w:sz="4" w:space="0" w:color="auto"/>
              <w:right w:val="single" w:sz="4" w:space="0" w:color="auto"/>
            </w:tcBorders>
            <w:vAlign w:val="center"/>
          </w:tcPr>
          <w:p w14:paraId="62354A67" w14:textId="49398246" w:rsidR="002279C3" w:rsidRPr="00EC4902" w:rsidRDefault="002279C3" w:rsidP="002279C3">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317429AF" w14:textId="78C56ED3" w:rsidR="002279C3" w:rsidRPr="00EC4902" w:rsidRDefault="002279C3" w:rsidP="002279C3">
            <w:pPr>
              <w:jc w:val="center"/>
              <w:rPr>
                <w:rFonts w:ascii="华文细黑" w:eastAsia="华文细黑" w:hAnsi="华文细黑"/>
                <w:sz w:val="13"/>
                <w:szCs w:val="13"/>
              </w:rPr>
            </w:pPr>
          </w:p>
        </w:tc>
        <w:tc>
          <w:tcPr>
            <w:tcW w:w="515" w:type="dxa"/>
            <w:tcBorders>
              <w:top w:val="nil"/>
              <w:left w:val="single" w:sz="4" w:space="0" w:color="auto"/>
              <w:bottom w:val="single" w:sz="4" w:space="0" w:color="auto"/>
              <w:right w:val="single" w:sz="4" w:space="0" w:color="auto"/>
            </w:tcBorders>
            <w:vAlign w:val="center"/>
          </w:tcPr>
          <w:p w14:paraId="506FF75D" w14:textId="6BDC2D5E" w:rsidR="002279C3" w:rsidRPr="00EC4902" w:rsidRDefault="002279C3" w:rsidP="002279C3">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09610FA3" w14:textId="7DE9E734"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5202</w:t>
            </w:r>
          </w:p>
        </w:tc>
      </w:tr>
      <w:tr w:rsidR="002279C3" w:rsidRPr="00E05368" w14:paraId="437DB53D" w14:textId="77777777" w:rsidTr="002279C3">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2E27DBF1" w14:textId="1EE5E810" w:rsidR="002279C3" w:rsidRPr="00925798" w:rsidRDefault="002279C3"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2</w:t>
            </w:r>
            <w:r>
              <w:rPr>
                <w:rFonts w:ascii="华文细黑" w:eastAsia="华文细黑" w:hAnsi="华文细黑" w:hint="eastAsia"/>
                <w:sz w:val="13"/>
                <w:szCs w:val="13"/>
              </w:rPr>
              <w:t>5</w:t>
            </w:r>
          </w:p>
        </w:tc>
        <w:tc>
          <w:tcPr>
            <w:tcW w:w="1533" w:type="dxa"/>
            <w:tcBorders>
              <w:top w:val="nil"/>
              <w:left w:val="nil"/>
              <w:bottom w:val="single" w:sz="4" w:space="0" w:color="auto"/>
              <w:right w:val="single" w:sz="4" w:space="0" w:color="auto"/>
            </w:tcBorders>
            <w:shd w:val="clear" w:color="auto" w:fill="auto"/>
            <w:noWrap/>
            <w:vAlign w:val="center"/>
            <w:hideMark/>
          </w:tcPr>
          <w:p w14:paraId="4A2D8856" w14:textId="77777777" w:rsidR="002279C3" w:rsidRPr="00925798" w:rsidRDefault="002279C3"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（四）开发间接费用</w:t>
            </w:r>
          </w:p>
        </w:tc>
        <w:tc>
          <w:tcPr>
            <w:tcW w:w="656" w:type="dxa"/>
            <w:tcBorders>
              <w:top w:val="nil"/>
              <w:left w:val="nil"/>
              <w:bottom w:val="single" w:sz="4" w:space="0" w:color="auto"/>
              <w:right w:val="single" w:sz="4" w:space="0" w:color="auto"/>
            </w:tcBorders>
            <w:shd w:val="clear" w:color="auto" w:fill="auto"/>
            <w:noWrap/>
            <w:vAlign w:val="center"/>
          </w:tcPr>
          <w:p w14:paraId="1B8DA68D" w14:textId="77777777" w:rsidR="002279C3" w:rsidRPr="00925798" w:rsidRDefault="002279C3"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tcPr>
          <w:p w14:paraId="243B20D4" w14:textId="5B08C5AD" w:rsidR="002279C3" w:rsidRPr="00925798" w:rsidRDefault="002279C3" w:rsidP="002279C3">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tcPr>
          <w:p w14:paraId="0B6721F0" w14:textId="7F96E62A" w:rsidR="002279C3" w:rsidRPr="00925798" w:rsidRDefault="002279C3" w:rsidP="002279C3">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0E8D9B27" w14:textId="6019DF23"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76</w:t>
            </w:r>
          </w:p>
        </w:tc>
        <w:tc>
          <w:tcPr>
            <w:tcW w:w="559" w:type="dxa"/>
            <w:tcBorders>
              <w:top w:val="nil"/>
              <w:left w:val="nil"/>
              <w:bottom w:val="single" w:sz="4" w:space="0" w:color="auto"/>
              <w:right w:val="single" w:sz="4" w:space="0" w:color="auto"/>
            </w:tcBorders>
            <w:shd w:val="clear" w:color="auto" w:fill="auto"/>
            <w:noWrap/>
            <w:vAlign w:val="center"/>
            <w:hideMark/>
          </w:tcPr>
          <w:p w14:paraId="6985EC06" w14:textId="13373A39"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166</w:t>
            </w:r>
          </w:p>
        </w:tc>
        <w:tc>
          <w:tcPr>
            <w:tcW w:w="697" w:type="dxa"/>
            <w:tcBorders>
              <w:top w:val="nil"/>
              <w:left w:val="nil"/>
              <w:bottom w:val="single" w:sz="4" w:space="0" w:color="auto"/>
              <w:right w:val="single" w:sz="4" w:space="0" w:color="auto"/>
            </w:tcBorders>
            <w:shd w:val="clear" w:color="auto" w:fill="auto"/>
            <w:noWrap/>
            <w:vAlign w:val="center"/>
            <w:hideMark/>
          </w:tcPr>
          <w:p w14:paraId="51BC9F9C" w14:textId="39B83D8F"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166</w:t>
            </w:r>
          </w:p>
        </w:tc>
        <w:tc>
          <w:tcPr>
            <w:tcW w:w="698" w:type="dxa"/>
            <w:tcBorders>
              <w:top w:val="nil"/>
              <w:left w:val="nil"/>
              <w:bottom w:val="single" w:sz="4" w:space="0" w:color="auto"/>
              <w:right w:val="single" w:sz="4" w:space="0" w:color="auto"/>
            </w:tcBorders>
            <w:shd w:val="clear" w:color="auto" w:fill="auto"/>
            <w:noWrap/>
            <w:vAlign w:val="center"/>
            <w:hideMark/>
          </w:tcPr>
          <w:p w14:paraId="4C44000F" w14:textId="6694CA28"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195</w:t>
            </w:r>
          </w:p>
        </w:tc>
        <w:tc>
          <w:tcPr>
            <w:tcW w:w="559" w:type="dxa"/>
            <w:tcBorders>
              <w:top w:val="nil"/>
              <w:left w:val="nil"/>
              <w:bottom w:val="single" w:sz="4" w:space="0" w:color="auto"/>
              <w:right w:val="single" w:sz="4" w:space="0" w:color="auto"/>
            </w:tcBorders>
            <w:shd w:val="clear" w:color="auto" w:fill="auto"/>
            <w:noWrap/>
            <w:vAlign w:val="center"/>
            <w:hideMark/>
          </w:tcPr>
          <w:p w14:paraId="67C317DD" w14:textId="5A39BAAE"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204</w:t>
            </w:r>
          </w:p>
        </w:tc>
        <w:tc>
          <w:tcPr>
            <w:tcW w:w="698" w:type="dxa"/>
            <w:tcBorders>
              <w:top w:val="nil"/>
              <w:left w:val="nil"/>
              <w:bottom w:val="single" w:sz="4" w:space="0" w:color="auto"/>
              <w:right w:val="single" w:sz="4" w:space="0" w:color="auto"/>
            </w:tcBorders>
            <w:shd w:val="clear" w:color="auto" w:fill="auto"/>
            <w:noWrap/>
            <w:vAlign w:val="center"/>
            <w:hideMark/>
          </w:tcPr>
          <w:p w14:paraId="42776003" w14:textId="7A147241"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204</w:t>
            </w:r>
          </w:p>
        </w:tc>
        <w:tc>
          <w:tcPr>
            <w:tcW w:w="837" w:type="dxa"/>
            <w:tcBorders>
              <w:top w:val="nil"/>
              <w:left w:val="nil"/>
              <w:bottom w:val="single" w:sz="4" w:space="0" w:color="auto"/>
              <w:right w:val="single" w:sz="4" w:space="0" w:color="auto"/>
            </w:tcBorders>
            <w:shd w:val="clear" w:color="auto" w:fill="auto"/>
            <w:noWrap/>
            <w:vAlign w:val="center"/>
            <w:hideMark/>
          </w:tcPr>
          <w:p w14:paraId="78AB2E0D" w14:textId="52C58DE5"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195</w:t>
            </w:r>
          </w:p>
        </w:tc>
        <w:tc>
          <w:tcPr>
            <w:tcW w:w="698" w:type="dxa"/>
            <w:tcBorders>
              <w:top w:val="nil"/>
              <w:left w:val="nil"/>
              <w:bottom w:val="single" w:sz="4" w:space="0" w:color="auto"/>
              <w:right w:val="single" w:sz="4" w:space="0" w:color="auto"/>
            </w:tcBorders>
            <w:shd w:val="clear" w:color="auto" w:fill="auto"/>
            <w:noWrap/>
            <w:vAlign w:val="center"/>
            <w:hideMark/>
          </w:tcPr>
          <w:p w14:paraId="5A129631" w14:textId="07CF75AA"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166</w:t>
            </w:r>
          </w:p>
        </w:tc>
        <w:tc>
          <w:tcPr>
            <w:tcW w:w="698" w:type="dxa"/>
            <w:tcBorders>
              <w:top w:val="single" w:sz="4" w:space="0" w:color="auto"/>
              <w:left w:val="nil"/>
              <w:bottom w:val="single" w:sz="4" w:space="0" w:color="auto"/>
              <w:right w:val="single" w:sz="4" w:space="0" w:color="auto"/>
            </w:tcBorders>
            <w:vAlign w:val="center"/>
          </w:tcPr>
          <w:p w14:paraId="1618BE2E" w14:textId="38CF0681"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166</w:t>
            </w:r>
          </w:p>
        </w:tc>
        <w:tc>
          <w:tcPr>
            <w:tcW w:w="447" w:type="dxa"/>
            <w:tcBorders>
              <w:top w:val="nil"/>
              <w:left w:val="single" w:sz="4" w:space="0" w:color="auto"/>
              <w:bottom w:val="single" w:sz="4" w:space="0" w:color="auto"/>
              <w:right w:val="single" w:sz="4" w:space="0" w:color="auto"/>
            </w:tcBorders>
            <w:vAlign w:val="center"/>
          </w:tcPr>
          <w:p w14:paraId="4E449F29" w14:textId="27C60127"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117</w:t>
            </w:r>
          </w:p>
        </w:tc>
        <w:tc>
          <w:tcPr>
            <w:tcW w:w="532" w:type="dxa"/>
            <w:tcBorders>
              <w:top w:val="nil"/>
              <w:left w:val="single" w:sz="4" w:space="0" w:color="auto"/>
              <w:bottom w:val="single" w:sz="4" w:space="0" w:color="auto"/>
              <w:right w:val="single" w:sz="4" w:space="0" w:color="auto"/>
            </w:tcBorders>
            <w:vAlign w:val="center"/>
          </w:tcPr>
          <w:p w14:paraId="399AC76E" w14:textId="7171F37B" w:rsidR="002279C3" w:rsidRPr="00EC4902" w:rsidRDefault="002279C3" w:rsidP="002279C3">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01E19125" w14:textId="592166CF" w:rsidR="002279C3" w:rsidRPr="00EC4902" w:rsidRDefault="002279C3" w:rsidP="002279C3">
            <w:pPr>
              <w:jc w:val="center"/>
              <w:rPr>
                <w:rFonts w:ascii="华文细黑" w:eastAsia="华文细黑" w:hAnsi="华文细黑"/>
                <w:sz w:val="13"/>
                <w:szCs w:val="13"/>
              </w:rPr>
            </w:pPr>
          </w:p>
        </w:tc>
        <w:tc>
          <w:tcPr>
            <w:tcW w:w="515" w:type="dxa"/>
            <w:tcBorders>
              <w:top w:val="nil"/>
              <w:left w:val="single" w:sz="4" w:space="0" w:color="auto"/>
              <w:bottom w:val="single" w:sz="4" w:space="0" w:color="auto"/>
              <w:right w:val="single" w:sz="4" w:space="0" w:color="auto"/>
            </w:tcBorders>
            <w:vAlign w:val="center"/>
          </w:tcPr>
          <w:p w14:paraId="4589E52C" w14:textId="3E478761" w:rsidR="002279C3" w:rsidRPr="00EC4902" w:rsidRDefault="002279C3" w:rsidP="002279C3">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18DF243B" w14:textId="6CC66A54"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1655</w:t>
            </w:r>
          </w:p>
        </w:tc>
      </w:tr>
      <w:tr w:rsidR="002279C3" w:rsidRPr="00E05368" w14:paraId="485F51D4" w14:textId="77777777" w:rsidTr="002279C3">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489EBBC7" w14:textId="452C1003" w:rsidR="002279C3" w:rsidRPr="00925798" w:rsidRDefault="002279C3"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2</w:t>
            </w:r>
            <w:r>
              <w:rPr>
                <w:rFonts w:ascii="华文细黑" w:eastAsia="华文细黑" w:hAnsi="华文细黑" w:hint="eastAsia"/>
                <w:sz w:val="13"/>
                <w:szCs w:val="13"/>
              </w:rPr>
              <w:t>6</w:t>
            </w:r>
          </w:p>
        </w:tc>
        <w:tc>
          <w:tcPr>
            <w:tcW w:w="1533" w:type="dxa"/>
            <w:tcBorders>
              <w:top w:val="nil"/>
              <w:left w:val="nil"/>
              <w:bottom w:val="single" w:sz="4" w:space="0" w:color="auto"/>
              <w:right w:val="single" w:sz="4" w:space="0" w:color="auto"/>
            </w:tcBorders>
            <w:shd w:val="clear" w:color="auto" w:fill="auto"/>
            <w:noWrap/>
            <w:vAlign w:val="center"/>
            <w:hideMark/>
          </w:tcPr>
          <w:p w14:paraId="0C969A3C" w14:textId="77777777" w:rsidR="002279C3" w:rsidRPr="00925798" w:rsidRDefault="002279C3"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（五）销售费用</w:t>
            </w:r>
          </w:p>
        </w:tc>
        <w:tc>
          <w:tcPr>
            <w:tcW w:w="656" w:type="dxa"/>
            <w:tcBorders>
              <w:top w:val="nil"/>
              <w:left w:val="nil"/>
              <w:bottom w:val="single" w:sz="4" w:space="0" w:color="auto"/>
              <w:right w:val="single" w:sz="4" w:space="0" w:color="auto"/>
            </w:tcBorders>
            <w:shd w:val="clear" w:color="auto" w:fill="auto"/>
            <w:noWrap/>
            <w:vAlign w:val="center"/>
          </w:tcPr>
          <w:p w14:paraId="25AD7DE2" w14:textId="77777777" w:rsidR="002279C3" w:rsidRPr="00925798" w:rsidRDefault="002279C3"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tcPr>
          <w:p w14:paraId="0BC310D6" w14:textId="2CC31542" w:rsidR="002279C3" w:rsidRPr="00925798" w:rsidRDefault="002279C3" w:rsidP="002279C3">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tcPr>
          <w:p w14:paraId="55698B07" w14:textId="7A9477C1" w:rsidR="002279C3" w:rsidRPr="00925798" w:rsidRDefault="002279C3" w:rsidP="002279C3">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tcPr>
          <w:p w14:paraId="4D07689A" w14:textId="5D1020A7" w:rsidR="002279C3" w:rsidRPr="00925798" w:rsidRDefault="002279C3" w:rsidP="002279C3">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tcPr>
          <w:p w14:paraId="3044CCB7" w14:textId="48A78117" w:rsidR="002279C3" w:rsidRPr="00925798" w:rsidRDefault="002279C3" w:rsidP="002279C3">
            <w:pPr>
              <w:jc w:val="center"/>
              <w:rPr>
                <w:rFonts w:ascii="华文细黑" w:eastAsia="华文细黑" w:hAnsi="华文细黑"/>
                <w:sz w:val="13"/>
                <w:szCs w:val="13"/>
              </w:rPr>
            </w:pPr>
          </w:p>
        </w:tc>
        <w:tc>
          <w:tcPr>
            <w:tcW w:w="697" w:type="dxa"/>
            <w:tcBorders>
              <w:top w:val="nil"/>
              <w:left w:val="nil"/>
              <w:bottom w:val="single" w:sz="4" w:space="0" w:color="auto"/>
              <w:right w:val="single" w:sz="4" w:space="0" w:color="auto"/>
            </w:tcBorders>
            <w:shd w:val="clear" w:color="auto" w:fill="auto"/>
            <w:noWrap/>
            <w:vAlign w:val="center"/>
            <w:hideMark/>
          </w:tcPr>
          <w:p w14:paraId="5A6E4A1E" w14:textId="32128FC9"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302</w:t>
            </w:r>
          </w:p>
        </w:tc>
        <w:tc>
          <w:tcPr>
            <w:tcW w:w="698" w:type="dxa"/>
            <w:tcBorders>
              <w:top w:val="nil"/>
              <w:left w:val="nil"/>
              <w:bottom w:val="single" w:sz="4" w:space="0" w:color="auto"/>
              <w:right w:val="single" w:sz="4" w:space="0" w:color="auto"/>
            </w:tcBorders>
            <w:shd w:val="clear" w:color="auto" w:fill="auto"/>
            <w:noWrap/>
            <w:vAlign w:val="center"/>
            <w:hideMark/>
          </w:tcPr>
          <w:p w14:paraId="541E3F3B" w14:textId="0C2D11B9"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604</w:t>
            </w:r>
          </w:p>
        </w:tc>
        <w:tc>
          <w:tcPr>
            <w:tcW w:w="559" w:type="dxa"/>
            <w:tcBorders>
              <w:top w:val="nil"/>
              <w:left w:val="nil"/>
              <w:bottom w:val="single" w:sz="4" w:space="0" w:color="auto"/>
              <w:right w:val="single" w:sz="4" w:space="0" w:color="auto"/>
            </w:tcBorders>
            <w:shd w:val="clear" w:color="auto" w:fill="auto"/>
            <w:noWrap/>
            <w:vAlign w:val="center"/>
            <w:hideMark/>
          </w:tcPr>
          <w:p w14:paraId="276CAE93" w14:textId="7DA8166A"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604</w:t>
            </w:r>
          </w:p>
        </w:tc>
        <w:tc>
          <w:tcPr>
            <w:tcW w:w="698" w:type="dxa"/>
            <w:tcBorders>
              <w:top w:val="nil"/>
              <w:left w:val="nil"/>
              <w:bottom w:val="single" w:sz="4" w:space="0" w:color="auto"/>
              <w:right w:val="single" w:sz="4" w:space="0" w:color="auto"/>
            </w:tcBorders>
            <w:shd w:val="clear" w:color="auto" w:fill="auto"/>
            <w:noWrap/>
            <w:vAlign w:val="center"/>
            <w:hideMark/>
          </w:tcPr>
          <w:p w14:paraId="0F7205B6" w14:textId="6866C380"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656</w:t>
            </w:r>
          </w:p>
        </w:tc>
        <w:tc>
          <w:tcPr>
            <w:tcW w:w="837" w:type="dxa"/>
            <w:tcBorders>
              <w:top w:val="nil"/>
              <w:left w:val="nil"/>
              <w:bottom w:val="single" w:sz="4" w:space="0" w:color="auto"/>
              <w:right w:val="single" w:sz="4" w:space="0" w:color="auto"/>
            </w:tcBorders>
            <w:shd w:val="clear" w:color="auto" w:fill="auto"/>
            <w:noWrap/>
            <w:vAlign w:val="center"/>
            <w:hideMark/>
          </w:tcPr>
          <w:p w14:paraId="2451D576" w14:textId="0F6406CD"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707</w:t>
            </w:r>
          </w:p>
        </w:tc>
        <w:tc>
          <w:tcPr>
            <w:tcW w:w="698" w:type="dxa"/>
            <w:tcBorders>
              <w:top w:val="nil"/>
              <w:left w:val="nil"/>
              <w:bottom w:val="single" w:sz="4" w:space="0" w:color="auto"/>
              <w:right w:val="single" w:sz="4" w:space="0" w:color="auto"/>
            </w:tcBorders>
            <w:shd w:val="clear" w:color="auto" w:fill="auto"/>
            <w:noWrap/>
            <w:vAlign w:val="center"/>
            <w:hideMark/>
          </w:tcPr>
          <w:p w14:paraId="7276C823" w14:textId="5342F749"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736</w:t>
            </w:r>
          </w:p>
        </w:tc>
        <w:tc>
          <w:tcPr>
            <w:tcW w:w="698" w:type="dxa"/>
            <w:tcBorders>
              <w:top w:val="single" w:sz="4" w:space="0" w:color="auto"/>
              <w:left w:val="nil"/>
              <w:bottom w:val="single" w:sz="4" w:space="0" w:color="auto"/>
              <w:right w:val="single" w:sz="4" w:space="0" w:color="auto"/>
            </w:tcBorders>
            <w:vAlign w:val="center"/>
          </w:tcPr>
          <w:p w14:paraId="51E8D05D" w14:textId="151CBB6A"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635</w:t>
            </w:r>
          </w:p>
        </w:tc>
        <w:tc>
          <w:tcPr>
            <w:tcW w:w="447" w:type="dxa"/>
            <w:tcBorders>
              <w:top w:val="nil"/>
              <w:left w:val="single" w:sz="4" w:space="0" w:color="auto"/>
              <w:bottom w:val="single" w:sz="4" w:space="0" w:color="auto"/>
              <w:right w:val="single" w:sz="4" w:space="0" w:color="auto"/>
            </w:tcBorders>
            <w:vAlign w:val="center"/>
          </w:tcPr>
          <w:p w14:paraId="6B8E5DF8" w14:textId="0211208F"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281</w:t>
            </w:r>
          </w:p>
        </w:tc>
        <w:tc>
          <w:tcPr>
            <w:tcW w:w="532" w:type="dxa"/>
            <w:tcBorders>
              <w:top w:val="nil"/>
              <w:left w:val="single" w:sz="4" w:space="0" w:color="auto"/>
              <w:bottom w:val="single" w:sz="4" w:space="0" w:color="auto"/>
              <w:right w:val="single" w:sz="4" w:space="0" w:color="auto"/>
            </w:tcBorders>
            <w:vAlign w:val="center"/>
          </w:tcPr>
          <w:p w14:paraId="4FB7D94C" w14:textId="2A47B21D"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28</w:t>
            </w:r>
          </w:p>
        </w:tc>
        <w:tc>
          <w:tcPr>
            <w:tcW w:w="532" w:type="dxa"/>
            <w:tcBorders>
              <w:top w:val="nil"/>
              <w:left w:val="single" w:sz="4" w:space="0" w:color="auto"/>
              <w:bottom w:val="single" w:sz="4" w:space="0" w:color="auto"/>
              <w:right w:val="single" w:sz="4" w:space="0" w:color="auto"/>
            </w:tcBorders>
            <w:vAlign w:val="center"/>
          </w:tcPr>
          <w:p w14:paraId="5B180928" w14:textId="67341D54"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29</w:t>
            </w:r>
          </w:p>
        </w:tc>
        <w:tc>
          <w:tcPr>
            <w:tcW w:w="515" w:type="dxa"/>
            <w:tcBorders>
              <w:top w:val="nil"/>
              <w:left w:val="single" w:sz="4" w:space="0" w:color="auto"/>
              <w:bottom w:val="single" w:sz="4" w:space="0" w:color="auto"/>
              <w:right w:val="single" w:sz="4" w:space="0" w:color="auto"/>
            </w:tcBorders>
            <w:vAlign w:val="center"/>
          </w:tcPr>
          <w:p w14:paraId="4424277C" w14:textId="1C75C39A" w:rsidR="002279C3" w:rsidRPr="00EC4902" w:rsidRDefault="002279C3" w:rsidP="002279C3">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6BE196B3" w14:textId="3775D707"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4582</w:t>
            </w:r>
          </w:p>
        </w:tc>
      </w:tr>
      <w:tr w:rsidR="002279C3" w:rsidRPr="00E05368" w14:paraId="6C7B36FA" w14:textId="77777777" w:rsidTr="002279C3">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0BD31526" w14:textId="319E5226" w:rsidR="002279C3" w:rsidRPr="00925798" w:rsidRDefault="002279C3" w:rsidP="007B3231">
            <w:pPr>
              <w:jc w:val="center"/>
              <w:rPr>
                <w:rFonts w:ascii="华文细黑" w:eastAsia="华文细黑" w:hAnsi="华文细黑"/>
                <w:sz w:val="13"/>
                <w:szCs w:val="13"/>
              </w:rPr>
            </w:pPr>
            <w:r>
              <w:rPr>
                <w:rFonts w:ascii="华文细黑" w:eastAsia="华文细黑" w:hAnsi="华文细黑" w:hint="eastAsia"/>
                <w:sz w:val="13"/>
                <w:szCs w:val="13"/>
              </w:rPr>
              <w:t>27</w:t>
            </w:r>
          </w:p>
        </w:tc>
        <w:tc>
          <w:tcPr>
            <w:tcW w:w="1533" w:type="dxa"/>
            <w:tcBorders>
              <w:top w:val="nil"/>
              <w:left w:val="nil"/>
              <w:bottom w:val="single" w:sz="4" w:space="0" w:color="auto"/>
              <w:right w:val="single" w:sz="4" w:space="0" w:color="auto"/>
            </w:tcBorders>
            <w:shd w:val="clear" w:color="auto" w:fill="auto"/>
            <w:noWrap/>
            <w:vAlign w:val="center"/>
            <w:hideMark/>
          </w:tcPr>
          <w:p w14:paraId="3BDF1232" w14:textId="77777777" w:rsidR="002279C3" w:rsidRPr="00925798" w:rsidRDefault="002279C3"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（六）管理费用</w:t>
            </w:r>
          </w:p>
        </w:tc>
        <w:tc>
          <w:tcPr>
            <w:tcW w:w="656" w:type="dxa"/>
            <w:tcBorders>
              <w:top w:val="nil"/>
              <w:left w:val="nil"/>
              <w:bottom w:val="single" w:sz="4" w:space="0" w:color="auto"/>
              <w:right w:val="single" w:sz="4" w:space="0" w:color="auto"/>
            </w:tcBorders>
            <w:shd w:val="clear" w:color="auto" w:fill="auto"/>
            <w:noWrap/>
            <w:vAlign w:val="center"/>
            <w:hideMark/>
          </w:tcPr>
          <w:p w14:paraId="15076806" w14:textId="1C076EEF" w:rsidR="002279C3" w:rsidRPr="00925798" w:rsidRDefault="002279C3"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hideMark/>
          </w:tcPr>
          <w:p w14:paraId="582E6B3F" w14:textId="4EC18394" w:rsidR="002279C3" w:rsidRPr="00925798" w:rsidRDefault="002279C3" w:rsidP="002279C3">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07D52B27" w14:textId="1964676D"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33</w:t>
            </w:r>
          </w:p>
        </w:tc>
        <w:tc>
          <w:tcPr>
            <w:tcW w:w="559" w:type="dxa"/>
            <w:tcBorders>
              <w:top w:val="nil"/>
              <w:left w:val="nil"/>
              <w:bottom w:val="single" w:sz="4" w:space="0" w:color="auto"/>
              <w:right w:val="single" w:sz="4" w:space="0" w:color="auto"/>
            </w:tcBorders>
            <w:shd w:val="clear" w:color="auto" w:fill="auto"/>
            <w:noWrap/>
            <w:vAlign w:val="center"/>
            <w:hideMark/>
          </w:tcPr>
          <w:p w14:paraId="17E533CA" w14:textId="2D61881C"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109</w:t>
            </w:r>
          </w:p>
        </w:tc>
        <w:tc>
          <w:tcPr>
            <w:tcW w:w="559" w:type="dxa"/>
            <w:tcBorders>
              <w:top w:val="nil"/>
              <w:left w:val="nil"/>
              <w:bottom w:val="single" w:sz="4" w:space="0" w:color="auto"/>
              <w:right w:val="single" w:sz="4" w:space="0" w:color="auto"/>
            </w:tcBorders>
            <w:shd w:val="clear" w:color="auto" w:fill="auto"/>
            <w:noWrap/>
            <w:vAlign w:val="center"/>
            <w:hideMark/>
          </w:tcPr>
          <w:p w14:paraId="4F007DD6" w14:textId="10CF021D"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168</w:t>
            </w:r>
          </w:p>
        </w:tc>
        <w:tc>
          <w:tcPr>
            <w:tcW w:w="697" w:type="dxa"/>
            <w:tcBorders>
              <w:top w:val="nil"/>
              <w:left w:val="nil"/>
              <w:bottom w:val="single" w:sz="4" w:space="0" w:color="auto"/>
              <w:right w:val="single" w:sz="4" w:space="0" w:color="auto"/>
            </w:tcBorders>
            <w:shd w:val="clear" w:color="auto" w:fill="auto"/>
            <w:noWrap/>
            <w:vAlign w:val="center"/>
            <w:hideMark/>
          </w:tcPr>
          <w:p w14:paraId="60E85015" w14:textId="7D486FEA"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168</w:t>
            </w:r>
          </w:p>
        </w:tc>
        <w:tc>
          <w:tcPr>
            <w:tcW w:w="698" w:type="dxa"/>
            <w:tcBorders>
              <w:top w:val="nil"/>
              <w:left w:val="nil"/>
              <w:bottom w:val="single" w:sz="4" w:space="0" w:color="auto"/>
              <w:right w:val="single" w:sz="4" w:space="0" w:color="auto"/>
            </w:tcBorders>
            <w:shd w:val="clear" w:color="auto" w:fill="auto"/>
            <w:noWrap/>
            <w:vAlign w:val="center"/>
            <w:hideMark/>
          </w:tcPr>
          <w:p w14:paraId="4B55318F" w14:textId="44BB5632"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199</w:t>
            </w:r>
          </w:p>
        </w:tc>
        <w:tc>
          <w:tcPr>
            <w:tcW w:w="559" w:type="dxa"/>
            <w:tcBorders>
              <w:top w:val="nil"/>
              <w:left w:val="nil"/>
              <w:bottom w:val="single" w:sz="4" w:space="0" w:color="auto"/>
              <w:right w:val="single" w:sz="4" w:space="0" w:color="auto"/>
            </w:tcBorders>
            <w:shd w:val="clear" w:color="auto" w:fill="auto"/>
            <w:noWrap/>
            <w:vAlign w:val="center"/>
            <w:hideMark/>
          </w:tcPr>
          <w:p w14:paraId="1E5B256D" w14:textId="64E7A39D"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206</w:t>
            </w:r>
          </w:p>
        </w:tc>
        <w:tc>
          <w:tcPr>
            <w:tcW w:w="698" w:type="dxa"/>
            <w:tcBorders>
              <w:top w:val="nil"/>
              <w:left w:val="nil"/>
              <w:bottom w:val="single" w:sz="4" w:space="0" w:color="auto"/>
              <w:right w:val="single" w:sz="4" w:space="0" w:color="auto"/>
            </w:tcBorders>
            <w:shd w:val="clear" w:color="auto" w:fill="auto"/>
            <w:noWrap/>
            <w:vAlign w:val="center"/>
            <w:hideMark/>
          </w:tcPr>
          <w:p w14:paraId="29B77E59" w14:textId="39650C54"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206</w:t>
            </w:r>
          </w:p>
        </w:tc>
        <w:tc>
          <w:tcPr>
            <w:tcW w:w="837" w:type="dxa"/>
            <w:tcBorders>
              <w:top w:val="nil"/>
              <w:left w:val="nil"/>
              <w:bottom w:val="single" w:sz="4" w:space="0" w:color="auto"/>
              <w:right w:val="single" w:sz="4" w:space="0" w:color="auto"/>
            </w:tcBorders>
            <w:shd w:val="clear" w:color="auto" w:fill="auto"/>
            <w:noWrap/>
            <w:vAlign w:val="center"/>
            <w:hideMark/>
          </w:tcPr>
          <w:p w14:paraId="7F76D533" w14:textId="59BA1EC1"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199</w:t>
            </w:r>
          </w:p>
        </w:tc>
        <w:tc>
          <w:tcPr>
            <w:tcW w:w="698" w:type="dxa"/>
            <w:tcBorders>
              <w:top w:val="nil"/>
              <w:left w:val="nil"/>
              <w:bottom w:val="single" w:sz="4" w:space="0" w:color="auto"/>
              <w:right w:val="single" w:sz="4" w:space="0" w:color="auto"/>
            </w:tcBorders>
            <w:shd w:val="clear" w:color="auto" w:fill="auto"/>
            <w:noWrap/>
            <w:vAlign w:val="center"/>
            <w:hideMark/>
          </w:tcPr>
          <w:p w14:paraId="0CDE0090" w14:textId="6A39BD6E"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168</w:t>
            </w:r>
          </w:p>
        </w:tc>
        <w:tc>
          <w:tcPr>
            <w:tcW w:w="698" w:type="dxa"/>
            <w:tcBorders>
              <w:top w:val="single" w:sz="4" w:space="0" w:color="auto"/>
              <w:left w:val="nil"/>
              <w:bottom w:val="single" w:sz="4" w:space="0" w:color="auto"/>
              <w:right w:val="single" w:sz="4" w:space="0" w:color="auto"/>
            </w:tcBorders>
            <w:vAlign w:val="center"/>
          </w:tcPr>
          <w:p w14:paraId="3BC85188" w14:textId="5EB69D72"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168</w:t>
            </w:r>
          </w:p>
        </w:tc>
        <w:tc>
          <w:tcPr>
            <w:tcW w:w="447" w:type="dxa"/>
            <w:tcBorders>
              <w:top w:val="nil"/>
              <w:left w:val="single" w:sz="4" w:space="0" w:color="auto"/>
              <w:bottom w:val="single" w:sz="4" w:space="0" w:color="auto"/>
              <w:right w:val="single" w:sz="4" w:space="0" w:color="auto"/>
            </w:tcBorders>
            <w:vAlign w:val="center"/>
          </w:tcPr>
          <w:p w14:paraId="0EEC913F" w14:textId="3DC82D17"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121</w:t>
            </w:r>
          </w:p>
        </w:tc>
        <w:tc>
          <w:tcPr>
            <w:tcW w:w="532" w:type="dxa"/>
            <w:tcBorders>
              <w:top w:val="nil"/>
              <w:left w:val="single" w:sz="4" w:space="0" w:color="auto"/>
              <w:bottom w:val="single" w:sz="4" w:space="0" w:color="auto"/>
              <w:right w:val="single" w:sz="4" w:space="0" w:color="auto"/>
            </w:tcBorders>
            <w:vAlign w:val="center"/>
          </w:tcPr>
          <w:p w14:paraId="248CD243" w14:textId="286A98D4" w:rsidR="002279C3" w:rsidRPr="00EC4902" w:rsidRDefault="002279C3" w:rsidP="002279C3">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496B2CE8" w14:textId="64FE3398" w:rsidR="002279C3" w:rsidRPr="00EC4902" w:rsidRDefault="002279C3" w:rsidP="002279C3">
            <w:pPr>
              <w:jc w:val="center"/>
              <w:rPr>
                <w:rFonts w:ascii="华文细黑" w:eastAsia="华文细黑" w:hAnsi="华文细黑"/>
                <w:sz w:val="13"/>
                <w:szCs w:val="13"/>
              </w:rPr>
            </w:pPr>
          </w:p>
        </w:tc>
        <w:tc>
          <w:tcPr>
            <w:tcW w:w="515" w:type="dxa"/>
            <w:tcBorders>
              <w:top w:val="nil"/>
              <w:left w:val="single" w:sz="4" w:space="0" w:color="auto"/>
              <w:bottom w:val="single" w:sz="4" w:space="0" w:color="auto"/>
              <w:right w:val="single" w:sz="4" w:space="0" w:color="auto"/>
            </w:tcBorders>
            <w:vAlign w:val="center"/>
          </w:tcPr>
          <w:p w14:paraId="2FA68E95" w14:textId="3B969F2F" w:rsidR="002279C3" w:rsidRPr="00EC4902" w:rsidRDefault="002279C3" w:rsidP="002279C3">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0131BF0E" w14:textId="739B3DA0"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1745</w:t>
            </w:r>
          </w:p>
        </w:tc>
      </w:tr>
      <w:tr w:rsidR="002279C3" w:rsidRPr="00E05368" w14:paraId="176B2FF6" w14:textId="77777777" w:rsidTr="002279C3">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4DF90C2F" w14:textId="35C9FEB8" w:rsidR="002279C3" w:rsidRPr="00925798" w:rsidRDefault="002279C3" w:rsidP="007B3231">
            <w:pPr>
              <w:jc w:val="center"/>
              <w:rPr>
                <w:rFonts w:ascii="华文细黑" w:eastAsia="华文细黑" w:hAnsi="华文细黑"/>
                <w:sz w:val="13"/>
                <w:szCs w:val="13"/>
              </w:rPr>
            </w:pPr>
            <w:r>
              <w:rPr>
                <w:rFonts w:ascii="华文细黑" w:eastAsia="华文细黑" w:hAnsi="华文细黑" w:hint="eastAsia"/>
                <w:sz w:val="13"/>
                <w:szCs w:val="13"/>
              </w:rPr>
              <w:t>28</w:t>
            </w:r>
          </w:p>
        </w:tc>
        <w:tc>
          <w:tcPr>
            <w:tcW w:w="1533" w:type="dxa"/>
            <w:tcBorders>
              <w:top w:val="nil"/>
              <w:left w:val="nil"/>
              <w:bottom w:val="single" w:sz="4" w:space="0" w:color="auto"/>
              <w:right w:val="single" w:sz="4" w:space="0" w:color="auto"/>
            </w:tcBorders>
            <w:shd w:val="clear" w:color="auto" w:fill="auto"/>
            <w:noWrap/>
            <w:vAlign w:val="center"/>
            <w:hideMark/>
          </w:tcPr>
          <w:p w14:paraId="66553393" w14:textId="77777777" w:rsidR="002279C3" w:rsidRPr="00925798" w:rsidRDefault="002279C3"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（七）财务费用</w:t>
            </w:r>
          </w:p>
        </w:tc>
        <w:tc>
          <w:tcPr>
            <w:tcW w:w="656" w:type="dxa"/>
            <w:tcBorders>
              <w:top w:val="nil"/>
              <w:left w:val="nil"/>
              <w:bottom w:val="single" w:sz="4" w:space="0" w:color="auto"/>
              <w:right w:val="single" w:sz="4" w:space="0" w:color="auto"/>
            </w:tcBorders>
            <w:shd w:val="clear" w:color="auto" w:fill="auto"/>
            <w:noWrap/>
            <w:vAlign w:val="center"/>
          </w:tcPr>
          <w:p w14:paraId="7351A60F" w14:textId="77173A8C" w:rsidR="002279C3" w:rsidRPr="00925798" w:rsidRDefault="002279C3"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hideMark/>
          </w:tcPr>
          <w:p w14:paraId="1E5C8C28" w14:textId="4904AE53"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470</w:t>
            </w:r>
          </w:p>
        </w:tc>
        <w:tc>
          <w:tcPr>
            <w:tcW w:w="559" w:type="dxa"/>
            <w:tcBorders>
              <w:top w:val="nil"/>
              <w:left w:val="nil"/>
              <w:bottom w:val="single" w:sz="4" w:space="0" w:color="auto"/>
              <w:right w:val="single" w:sz="4" w:space="0" w:color="auto"/>
            </w:tcBorders>
            <w:shd w:val="clear" w:color="auto" w:fill="auto"/>
            <w:noWrap/>
            <w:vAlign w:val="center"/>
            <w:hideMark/>
          </w:tcPr>
          <w:p w14:paraId="5F799400" w14:textId="521B4542"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5834</w:t>
            </w:r>
          </w:p>
        </w:tc>
        <w:tc>
          <w:tcPr>
            <w:tcW w:w="559" w:type="dxa"/>
            <w:tcBorders>
              <w:top w:val="nil"/>
              <w:left w:val="nil"/>
              <w:bottom w:val="single" w:sz="4" w:space="0" w:color="auto"/>
              <w:right w:val="single" w:sz="4" w:space="0" w:color="auto"/>
            </w:tcBorders>
            <w:shd w:val="clear" w:color="auto" w:fill="auto"/>
            <w:noWrap/>
            <w:vAlign w:val="center"/>
          </w:tcPr>
          <w:p w14:paraId="562FAA0D" w14:textId="6AB0ED3D"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6029</w:t>
            </w:r>
          </w:p>
        </w:tc>
        <w:tc>
          <w:tcPr>
            <w:tcW w:w="559" w:type="dxa"/>
            <w:tcBorders>
              <w:top w:val="nil"/>
              <w:left w:val="nil"/>
              <w:bottom w:val="single" w:sz="4" w:space="0" w:color="auto"/>
              <w:right w:val="single" w:sz="4" w:space="0" w:color="auto"/>
            </w:tcBorders>
            <w:shd w:val="clear" w:color="auto" w:fill="auto"/>
            <w:noWrap/>
            <w:vAlign w:val="center"/>
          </w:tcPr>
          <w:p w14:paraId="7D9B9DB2" w14:textId="6D75E319"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6414</w:t>
            </w:r>
          </w:p>
        </w:tc>
        <w:tc>
          <w:tcPr>
            <w:tcW w:w="697" w:type="dxa"/>
            <w:tcBorders>
              <w:top w:val="nil"/>
              <w:left w:val="nil"/>
              <w:bottom w:val="single" w:sz="4" w:space="0" w:color="auto"/>
              <w:right w:val="single" w:sz="4" w:space="0" w:color="auto"/>
            </w:tcBorders>
            <w:shd w:val="clear" w:color="auto" w:fill="auto"/>
            <w:noWrap/>
            <w:vAlign w:val="center"/>
          </w:tcPr>
          <w:p w14:paraId="55FDA1DC" w14:textId="43E6DDAE"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6450</w:t>
            </w:r>
          </w:p>
        </w:tc>
        <w:tc>
          <w:tcPr>
            <w:tcW w:w="698" w:type="dxa"/>
            <w:tcBorders>
              <w:top w:val="nil"/>
              <w:left w:val="nil"/>
              <w:bottom w:val="single" w:sz="4" w:space="0" w:color="auto"/>
              <w:right w:val="single" w:sz="4" w:space="0" w:color="auto"/>
            </w:tcBorders>
            <w:shd w:val="clear" w:color="auto" w:fill="auto"/>
            <w:noWrap/>
            <w:vAlign w:val="center"/>
          </w:tcPr>
          <w:p w14:paraId="7E3759D9" w14:textId="0AD336E1"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6294</w:t>
            </w:r>
          </w:p>
        </w:tc>
        <w:tc>
          <w:tcPr>
            <w:tcW w:w="559" w:type="dxa"/>
            <w:tcBorders>
              <w:top w:val="nil"/>
              <w:left w:val="nil"/>
              <w:bottom w:val="single" w:sz="4" w:space="0" w:color="auto"/>
              <w:right w:val="single" w:sz="4" w:space="0" w:color="auto"/>
            </w:tcBorders>
            <w:shd w:val="clear" w:color="auto" w:fill="auto"/>
            <w:noWrap/>
            <w:vAlign w:val="center"/>
          </w:tcPr>
          <w:p w14:paraId="2C7ECD5F" w14:textId="63ED00F8"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5480</w:t>
            </w:r>
          </w:p>
        </w:tc>
        <w:tc>
          <w:tcPr>
            <w:tcW w:w="698" w:type="dxa"/>
            <w:tcBorders>
              <w:top w:val="nil"/>
              <w:left w:val="nil"/>
              <w:bottom w:val="single" w:sz="4" w:space="0" w:color="auto"/>
              <w:right w:val="single" w:sz="4" w:space="0" w:color="auto"/>
            </w:tcBorders>
            <w:shd w:val="clear" w:color="auto" w:fill="auto"/>
            <w:noWrap/>
            <w:vAlign w:val="center"/>
          </w:tcPr>
          <w:p w14:paraId="179992CD" w14:textId="164B22E2"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4666</w:t>
            </w:r>
          </w:p>
        </w:tc>
        <w:tc>
          <w:tcPr>
            <w:tcW w:w="837" w:type="dxa"/>
            <w:tcBorders>
              <w:top w:val="nil"/>
              <w:left w:val="nil"/>
              <w:bottom w:val="single" w:sz="4" w:space="0" w:color="auto"/>
              <w:right w:val="single" w:sz="4" w:space="0" w:color="auto"/>
            </w:tcBorders>
            <w:shd w:val="clear" w:color="auto" w:fill="auto"/>
            <w:noWrap/>
            <w:vAlign w:val="center"/>
          </w:tcPr>
          <w:p w14:paraId="79A17B6A" w14:textId="5B85E415"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3566</w:t>
            </w:r>
          </w:p>
        </w:tc>
        <w:tc>
          <w:tcPr>
            <w:tcW w:w="698" w:type="dxa"/>
            <w:tcBorders>
              <w:top w:val="nil"/>
              <w:left w:val="nil"/>
              <w:bottom w:val="single" w:sz="4" w:space="0" w:color="auto"/>
              <w:right w:val="single" w:sz="4" w:space="0" w:color="auto"/>
            </w:tcBorders>
            <w:shd w:val="clear" w:color="auto" w:fill="auto"/>
            <w:noWrap/>
            <w:vAlign w:val="center"/>
          </w:tcPr>
          <w:p w14:paraId="43089382" w14:textId="3A8BEB5F"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2043</w:t>
            </w:r>
          </w:p>
        </w:tc>
        <w:tc>
          <w:tcPr>
            <w:tcW w:w="698" w:type="dxa"/>
            <w:tcBorders>
              <w:top w:val="single" w:sz="4" w:space="0" w:color="auto"/>
              <w:left w:val="nil"/>
              <w:bottom w:val="single" w:sz="4" w:space="0" w:color="auto"/>
              <w:right w:val="single" w:sz="4" w:space="0" w:color="auto"/>
            </w:tcBorders>
            <w:vAlign w:val="center"/>
          </w:tcPr>
          <w:p w14:paraId="3B0FC1C3" w14:textId="24D16B03"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921</w:t>
            </w:r>
          </w:p>
        </w:tc>
        <w:tc>
          <w:tcPr>
            <w:tcW w:w="447" w:type="dxa"/>
            <w:tcBorders>
              <w:top w:val="nil"/>
              <w:left w:val="single" w:sz="4" w:space="0" w:color="auto"/>
              <w:bottom w:val="single" w:sz="4" w:space="0" w:color="auto"/>
              <w:right w:val="single" w:sz="4" w:space="0" w:color="auto"/>
            </w:tcBorders>
            <w:vAlign w:val="center"/>
          </w:tcPr>
          <w:p w14:paraId="66892004" w14:textId="11032138"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255</w:t>
            </w:r>
          </w:p>
        </w:tc>
        <w:tc>
          <w:tcPr>
            <w:tcW w:w="532" w:type="dxa"/>
            <w:tcBorders>
              <w:top w:val="nil"/>
              <w:left w:val="single" w:sz="4" w:space="0" w:color="auto"/>
              <w:bottom w:val="single" w:sz="4" w:space="0" w:color="auto"/>
              <w:right w:val="single" w:sz="4" w:space="0" w:color="auto"/>
            </w:tcBorders>
            <w:vAlign w:val="center"/>
          </w:tcPr>
          <w:p w14:paraId="359E32EA" w14:textId="401E0DA0"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83</w:t>
            </w:r>
          </w:p>
        </w:tc>
        <w:tc>
          <w:tcPr>
            <w:tcW w:w="532" w:type="dxa"/>
            <w:tcBorders>
              <w:top w:val="nil"/>
              <w:left w:val="single" w:sz="4" w:space="0" w:color="auto"/>
              <w:bottom w:val="single" w:sz="4" w:space="0" w:color="auto"/>
              <w:right w:val="single" w:sz="4" w:space="0" w:color="auto"/>
            </w:tcBorders>
            <w:vAlign w:val="center"/>
          </w:tcPr>
          <w:p w14:paraId="1113FF58" w14:textId="5BFD9A60"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38</w:t>
            </w:r>
          </w:p>
        </w:tc>
        <w:tc>
          <w:tcPr>
            <w:tcW w:w="515" w:type="dxa"/>
            <w:tcBorders>
              <w:top w:val="nil"/>
              <w:left w:val="single" w:sz="4" w:space="0" w:color="auto"/>
              <w:bottom w:val="single" w:sz="4" w:space="0" w:color="auto"/>
              <w:right w:val="single" w:sz="4" w:space="0" w:color="auto"/>
            </w:tcBorders>
            <w:vAlign w:val="center"/>
          </w:tcPr>
          <w:p w14:paraId="47379F9F" w14:textId="2B183A41"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8</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042841A6" w14:textId="55686387"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48551</w:t>
            </w:r>
          </w:p>
        </w:tc>
      </w:tr>
      <w:tr w:rsidR="002279C3" w:rsidRPr="00E05368" w14:paraId="42D5EDDF" w14:textId="77777777" w:rsidTr="002279C3">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061B9BC1" w14:textId="5724F36F" w:rsidR="002279C3" w:rsidRPr="00925798" w:rsidRDefault="002279C3" w:rsidP="007B3231">
            <w:pPr>
              <w:jc w:val="center"/>
              <w:rPr>
                <w:rFonts w:ascii="华文细黑" w:eastAsia="华文细黑" w:hAnsi="华文细黑"/>
                <w:sz w:val="13"/>
                <w:szCs w:val="13"/>
              </w:rPr>
            </w:pPr>
            <w:r>
              <w:rPr>
                <w:rFonts w:ascii="华文细黑" w:eastAsia="华文细黑" w:hAnsi="华文细黑" w:hint="eastAsia"/>
                <w:sz w:val="13"/>
                <w:szCs w:val="13"/>
              </w:rPr>
              <w:t>29</w:t>
            </w:r>
          </w:p>
        </w:tc>
        <w:tc>
          <w:tcPr>
            <w:tcW w:w="1533" w:type="dxa"/>
            <w:tcBorders>
              <w:top w:val="nil"/>
              <w:left w:val="nil"/>
              <w:bottom w:val="single" w:sz="4" w:space="0" w:color="auto"/>
              <w:right w:val="single" w:sz="4" w:space="0" w:color="auto"/>
            </w:tcBorders>
            <w:shd w:val="clear" w:color="auto" w:fill="auto"/>
            <w:noWrap/>
            <w:vAlign w:val="center"/>
            <w:hideMark/>
          </w:tcPr>
          <w:p w14:paraId="6C32F51B" w14:textId="77777777" w:rsidR="002279C3" w:rsidRPr="00925798" w:rsidRDefault="002279C3"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（八）不可预见费用</w:t>
            </w:r>
          </w:p>
        </w:tc>
        <w:tc>
          <w:tcPr>
            <w:tcW w:w="656" w:type="dxa"/>
            <w:tcBorders>
              <w:top w:val="nil"/>
              <w:left w:val="nil"/>
              <w:bottom w:val="single" w:sz="4" w:space="0" w:color="auto"/>
              <w:right w:val="single" w:sz="4" w:space="0" w:color="auto"/>
            </w:tcBorders>
            <w:shd w:val="clear" w:color="auto" w:fill="auto"/>
            <w:noWrap/>
            <w:vAlign w:val="center"/>
          </w:tcPr>
          <w:p w14:paraId="538E58FF" w14:textId="512DFF20" w:rsidR="002279C3" w:rsidRPr="00925798" w:rsidRDefault="002279C3"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hideMark/>
          </w:tcPr>
          <w:p w14:paraId="16F8FE23" w14:textId="70E1A798" w:rsidR="002279C3" w:rsidRPr="00925798" w:rsidRDefault="002279C3" w:rsidP="002279C3">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693A53D6" w14:textId="60FFA1EC"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22</w:t>
            </w:r>
          </w:p>
        </w:tc>
        <w:tc>
          <w:tcPr>
            <w:tcW w:w="559" w:type="dxa"/>
            <w:tcBorders>
              <w:top w:val="nil"/>
              <w:left w:val="nil"/>
              <w:bottom w:val="single" w:sz="4" w:space="0" w:color="auto"/>
              <w:right w:val="single" w:sz="4" w:space="0" w:color="auto"/>
            </w:tcBorders>
            <w:shd w:val="clear" w:color="auto" w:fill="auto"/>
            <w:noWrap/>
            <w:vAlign w:val="center"/>
            <w:hideMark/>
          </w:tcPr>
          <w:p w14:paraId="7DAF31BF" w14:textId="2AB2DFE8"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73</w:t>
            </w:r>
          </w:p>
        </w:tc>
        <w:tc>
          <w:tcPr>
            <w:tcW w:w="559" w:type="dxa"/>
            <w:tcBorders>
              <w:top w:val="nil"/>
              <w:left w:val="nil"/>
              <w:bottom w:val="single" w:sz="4" w:space="0" w:color="auto"/>
              <w:right w:val="single" w:sz="4" w:space="0" w:color="auto"/>
            </w:tcBorders>
            <w:shd w:val="clear" w:color="auto" w:fill="auto"/>
            <w:noWrap/>
            <w:vAlign w:val="center"/>
            <w:hideMark/>
          </w:tcPr>
          <w:p w14:paraId="45147A00" w14:textId="7E2BCA60"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112</w:t>
            </w:r>
          </w:p>
        </w:tc>
        <w:tc>
          <w:tcPr>
            <w:tcW w:w="697" w:type="dxa"/>
            <w:tcBorders>
              <w:top w:val="nil"/>
              <w:left w:val="nil"/>
              <w:bottom w:val="single" w:sz="4" w:space="0" w:color="auto"/>
              <w:right w:val="single" w:sz="4" w:space="0" w:color="auto"/>
            </w:tcBorders>
            <w:shd w:val="clear" w:color="auto" w:fill="auto"/>
            <w:noWrap/>
            <w:vAlign w:val="center"/>
            <w:hideMark/>
          </w:tcPr>
          <w:p w14:paraId="3D993761" w14:textId="2071B3D8"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112</w:t>
            </w:r>
          </w:p>
        </w:tc>
        <w:tc>
          <w:tcPr>
            <w:tcW w:w="698" w:type="dxa"/>
            <w:tcBorders>
              <w:top w:val="nil"/>
              <w:left w:val="nil"/>
              <w:bottom w:val="single" w:sz="4" w:space="0" w:color="auto"/>
              <w:right w:val="single" w:sz="4" w:space="0" w:color="auto"/>
            </w:tcBorders>
            <w:shd w:val="clear" w:color="auto" w:fill="auto"/>
            <w:noWrap/>
            <w:vAlign w:val="center"/>
            <w:hideMark/>
          </w:tcPr>
          <w:p w14:paraId="39EE54DD" w14:textId="2420BAF7"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132</w:t>
            </w:r>
          </w:p>
        </w:tc>
        <w:tc>
          <w:tcPr>
            <w:tcW w:w="559" w:type="dxa"/>
            <w:tcBorders>
              <w:top w:val="nil"/>
              <w:left w:val="nil"/>
              <w:bottom w:val="single" w:sz="4" w:space="0" w:color="auto"/>
              <w:right w:val="single" w:sz="4" w:space="0" w:color="auto"/>
            </w:tcBorders>
            <w:shd w:val="clear" w:color="auto" w:fill="auto"/>
            <w:noWrap/>
            <w:vAlign w:val="center"/>
            <w:hideMark/>
          </w:tcPr>
          <w:p w14:paraId="073A66D9" w14:textId="2D4EE587"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137</w:t>
            </w:r>
          </w:p>
        </w:tc>
        <w:tc>
          <w:tcPr>
            <w:tcW w:w="698" w:type="dxa"/>
            <w:tcBorders>
              <w:top w:val="nil"/>
              <w:left w:val="nil"/>
              <w:bottom w:val="single" w:sz="4" w:space="0" w:color="auto"/>
              <w:right w:val="single" w:sz="4" w:space="0" w:color="auto"/>
            </w:tcBorders>
            <w:shd w:val="clear" w:color="auto" w:fill="auto"/>
            <w:noWrap/>
            <w:vAlign w:val="center"/>
            <w:hideMark/>
          </w:tcPr>
          <w:p w14:paraId="66884E06" w14:textId="08CF6793"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137</w:t>
            </w:r>
          </w:p>
        </w:tc>
        <w:tc>
          <w:tcPr>
            <w:tcW w:w="837" w:type="dxa"/>
            <w:tcBorders>
              <w:top w:val="nil"/>
              <w:left w:val="nil"/>
              <w:bottom w:val="single" w:sz="4" w:space="0" w:color="auto"/>
              <w:right w:val="single" w:sz="4" w:space="0" w:color="auto"/>
            </w:tcBorders>
            <w:shd w:val="clear" w:color="auto" w:fill="auto"/>
            <w:noWrap/>
            <w:vAlign w:val="center"/>
            <w:hideMark/>
          </w:tcPr>
          <w:p w14:paraId="1626290E" w14:textId="02872C30"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132</w:t>
            </w:r>
          </w:p>
        </w:tc>
        <w:tc>
          <w:tcPr>
            <w:tcW w:w="698" w:type="dxa"/>
            <w:tcBorders>
              <w:top w:val="nil"/>
              <w:left w:val="nil"/>
              <w:bottom w:val="single" w:sz="4" w:space="0" w:color="auto"/>
              <w:right w:val="single" w:sz="4" w:space="0" w:color="auto"/>
            </w:tcBorders>
            <w:shd w:val="clear" w:color="auto" w:fill="auto"/>
            <w:noWrap/>
            <w:vAlign w:val="center"/>
            <w:hideMark/>
          </w:tcPr>
          <w:p w14:paraId="5101AEA4" w14:textId="01DC374E"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112</w:t>
            </w:r>
          </w:p>
        </w:tc>
        <w:tc>
          <w:tcPr>
            <w:tcW w:w="698" w:type="dxa"/>
            <w:tcBorders>
              <w:top w:val="single" w:sz="4" w:space="0" w:color="auto"/>
              <w:left w:val="nil"/>
              <w:bottom w:val="single" w:sz="4" w:space="0" w:color="auto"/>
              <w:right w:val="single" w:sz="4" w:space="0" w:color="auto"/>
            </w:tcBorders>
            <w:vAlign w:val="center"/>
          </w:tcPr>
          <w:p w14:paraId="48959807" w14:textId="26027A51"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112</w:t>
            </w:r>
          </w:p>
        </w:tc>
        <w:tc>
          <w:tcPr>
            <w:tcW w:w="447" w:type="dxa"/>
            <w:tcBorders>
              <w:top w:val="nil"/>
              <w:left w:val="single" w:sz="4" w:space="0" w:color="auto"/>
              <w:bottom w:val="single" w:sz="4" w:space="0" w:color="auto"/>
              <w:right w:val="single" w:sz="4" w:space="0" w:color="auto"/>
            </w:tcBorders>
            <w:vAlign w:val="center"/>
          </w:tcPr>
          <w:p w14:paraId="2DF62534" w14:textId="55FFABF3"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82</w:t>
            </w:r>
          </w:p>
        </w:tc>
        <w:tc>
          <w:tcPr>
            <w:tcW w:w="532" w:type="dxa"/>
            <w:tcBorders>
              <w:top w:val="nil"/>
              <w:left w:val="single" w:sz="4" w:space="0" w:color="auto"/>
              <w:bottom w:val="single" w:sz="4" w:space="0" w:color="auto"/>
              <w:right w:val="single" w:sz="4" w:space="0" w:color="auto"/>
            </w:tcBorders>
            <w:vAlign w:val="center"/>
          </w:tcPr>
          <w:p w14:paraId="56FDFB81" w14:textId="32AEA901" w:rsidR="002279C3" w:rsidRPr="00EC4902" w:rsidRDefault="002279C3" w:rsidP="002279C3">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68A665DE" w14:textId="6F629EA8" w:rsidR="002279C3" w:rsidRPr="00EC4902" w:rsidRDefault="002279C3" w:rsidP="002279C3">
            <w:pPr>
              <w:jc w:val="center"/>
              <w:rPr>
                <w:rFonts w:ascii="华文细黑" w:eastAsia="华文细黑" w:hAnsi="华文细黑"/>
                <w:sz w:val="13"/>
                <w:szCs w:val="13"/>
              </w:rPr>
            </w:pPr>
          </w:p>
        </w:tc>
        <w:tc>
          <w:tcPr>
            <w:tcW w:w="515" w:type="dxa"/>
            <w:tcBorders>
              <w:top w:val="nil"/>
              <w:left w:val="single" w:sz="4" w:space="0" w:color="auto"/>
              <w:bottom w:val="single" w:sz="4" w:space="0" w:color="auto"/>
              <w:right w:val="single" w:sz="4" w:space="0" w:color="auto"/>
            </w:tcBorders>
            <w:vAlign w:val="center"/>
          </w:tcPr>
          <w:p w14:paraId="529EE5F7" w14:textId="6CDDA277" w:rsidR="002279C3" w:rsidRPr="00EC4902" w:rsidRDefault="002279C3" w:rsidP="002279C3">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6D7BD637" w14:textId="5D378343"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1163</w:t>
            </w:r>
          </w:p>
        </w:tc>
      </w:tr>
      <w:tr w:rsidR="002279C3" w:rsidRPr="00E05368" w14:paraId="6B4B9355" w14:textId="77777777" w:rsidTr="002279C3">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24136173" w14:textId="5863D3DB" w:rsidR="002279C3" w:rsidRPr="00925798" w:rsidRDefault="002279C3" w:rsidP="007B3231">
            <w:pPr>
              <w:jc w:val="center"/>
              <w:rPr>
                <w:rFonts w:ascii="华文细黑" w:eastAsia="华文细黑" w:hAnsi="华文细黑"/>
                <w:sz w:val="13"/>
                <w:szCs w:val="13"/>
              </w:rPr>
            </w:pPr>
            <w:r>
              <w:rPr>
                <w:rFonts w:ascii="华文细黑" w:eastAsia="华文细黑" w:hAnsi="华文细黑" w:hint="eastAsia"/>
                <w:sz w:val="13"/>
                <w:szCs w:val="13"/>
              </w:rPr>
              <w:t>30</w:t>
            </w:r>
          </w:p>
        </w:tc>
        <w:tc>
          <w:tcPr>
            <w:tcW w:w="1533" w:type="dxa"/>
            <w:tcBorders>
              <w:top w:val="nil"/>
              <w:left w:val="nil"/>
              <w:bottom w:val="single" w:sz="4" w:space="0" w:color="auto"/>
              <w:right w:val="single" w:sz="4" w:space="0" w:color="auto"/>
            </w:tcBorders>
            <w:shd w:val="clear" w:color="auto" w:fill="auto"/>
            <w:noWrap/>
            <w:vAlign w:val="center"/>
            <w:hideMark/>
          </w:tcPr>
          <w:p w14:paraId="168E3FAA" w14:textId="77777777" w:rsidR="002279C3" w:rsidRPr="00925798" w:rsidRDefault="002279C3"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项目开发成本</w:t>
            </w:r>
          </w:p>
        </w:tc>
        <w:tc>
          <w:tcPr>
            <w:tcW w:w="656" w:type="dxa"/>
            <w:tcBorders>
              <w:top w:val="nil"/>
              <w:left w:val="nil"/>
              <w:bottom w:val="single" w:sz="4" w:space="0" w:color="auto"/>
              <w:right w:val="single" w:sz="4" w:space="0" w:color="auto"/>
            </w:tcBorders>
            <w:shd w:val="clear" w:color="auto" w:fill="auto"/>
            <w:noWrap/>
            <w:vAlign w:val="center"/>
          </w:tcPr>
          <w:p w14:paraId="5CDD6A97" w14:textId="6CA1489D" w:rsidR="002279C3" w:rsidRPr="00925798" w:rsidRDefault="002279C3"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hideMark/>
          </w:tcPr>
          <w:p w14:paraId="354F0563" w14:textId="3DC4E38A"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125500</w:t>
            </w:r>
          </w:p>
        </w:tc>
        <w:tc>
          <w:tcPr>
            <w:tcW w:w="559" w:type="dxa"/>
            <w:tcBorders>
              <w:top w:val="nil"/>
              <w:left w:val="nil"/>
              <w:bottom w:val="single" w:sz="4" w:space="0" w:color="auto"/>
              <w:right w:val="single" w:sz="4" w:space="0" w:color="auto"/>
            </w:tcBorders>
            <w:shd w:val="clear" w:color="auto" w:fill="auto"/>
            <w:noWrap/>
            <w:vAlign w:val="center"/>
            <w:hideMark/>
          </w:tcPr>
          <w:p w14:paraId="338E7B56" w14:textId="2943E05F"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135353</w:t>
            </w:r>
          </w:p>
        </w:tc>
        <w:tc>
          <w:tcPr>
            <w:tcW w:w="559" w:type="dxa"/>
            <w:tcBorders>
              <w:top w:val="nil"/>
              <w:left w:val="nil"/>
              <w:bottom w:val="single" w:sz="4" w:space="0" w:color="auto"/>
              <w:right w:val="single" w:sz="4" w:space="0" w:color="auto"/>
            </w:tcBorders>
            <w:shd w:val="clear" w:color="auto" w:fill="auto"/>
            <w:noWrap/>
            <w:vAlign w:val="center"/>
            <w:hideMark/>
          </w:tcPr>
          <w:p w14:paraId="7C1E59F2" w14:textId="193F8AA2"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11531</w:t>
            </w:r>
          </w:p>
        </w:tc>
        <w:tc>
          <w:tcPr>
            <w:tcW w:w="559" w:type="dxa"/>
            <w:tcBorders>
              <w:top w:val="nil"/>
              <w:left w:val="nil"/>
              <w:bottom w:val="single" w:sz="4" w:space="0" w:color="auto"/>
              <w:right w:val="single" w:sz="4" w:space="0" w:color="auto"/>
            </w:tcBorders>
            <w:shd w:val="clear" w:color="auto" w:fill="auto"/>
            <w:noWrap/>
            <w:vAlign w:val="center"/>
            <w:hideMark/>
          </w:tcPr>
          <w:p w14:paraId="336D9299" w14:textId="27218BEA"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12348</w:t>
            </w:r>
          </w:p>
        </w:tc>
        <w:tc>
          <w:tcPr>
            <w:tcW w:w="697" w:type="dxa"/>
            <w:tcBorders>
              <w:top w:val="nil"/>
              <w:left w:val="nil"/>
              <w:bottom w:val="single" w:sz="4" w:space="0" w:color="auto"/>
              <w:right w:val="single" w:sz="4" w:space="0" w:color="auto"/>
            </w:tcBorders>
            <w:shd w:val="clear" w:color="auto" w:fill="auto"/>
            <w:noWrap/>
            <w:vAlign w:val="center"/>
            <w:hideMark/>
          </w:tcPr>
          <w:p w14:paraId="0D9DD0D3" w14:textId="452D7638"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11308</w:t>
            </w:r>
          </w:p>
        </w:tc>
        <w:tc>
          <w:tcPr>
            <w:tcW w:w="698" w:type="dxa"/>
            <w:tcBorders>
              <w:top w:val="nil"/>
              <w:left w:val="nil"/>
              <w:bottom w:val="single" w:sz="4" w:space="0" w:color="auto"/>
              <w:right w:val="single" w:sz="4" w:space="0" w:color="auto"/>
            </w:tcBorders>
            <w:shd w:val="clear" w:color="auto" w:fill="auto"/>
            <w:noWrap/>
            <w:vAlign w:val="center"/>
            <w:hideMark/>
          </w:tcPr>
          <w:p w14:paraId="7A60EEF0" w14:textId="026A98C9"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13376</w:t>
            </w:r>
          </w:p>
        </w:tc>
        <w:tc>
          <w:tcPr>
            <w:tcW w:w="559" w:type="dxa"/>
            <w:tcBorders>
              <w:top w:val="nil"/>
              <w:left w:val="nil"/>
              <w:bottom w:val="single" w:sz="4" w:space="0" w:color="auto"/>
              <w:right w:val="single" w:sz="4" w:space="0" w:color="auto"/>
            </w:tcBorders>
            <w:shd w:val="clear" w:color="auto" w:fill="auto"/>
            <w:noWrap/>
            <w:vAlign w:val="center"/>
            <w:hideMark/>
          </w:tcPr>
          <w:p w14:paraId="73BB678B" w14:textId="5689A760"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13858</w:t>
            </w:r>
          </w:p>
        </w:tc>
        <w:tc>
          <w:tcPr>
            <w:tcW w:w="698" w:type="dxa"/>
            <w:tcBorders>
              <w:top w:val="nil"/>
              <w:left w:val="nil"/>
              <w:bottom w:val="single" w:sz="4" w:space="0" w:color="auto"/>
              <w:right w:val="single" w:sz="4" w:space="0" w:color="auto"/>
            </w:tcBorders>
            <w:shd w:val="clear" w:color="auto" w:fill="auto"/>
            <w:noWrap/>
            <w:vAlign w:val="center"/>
            <w:hideMark/>
          </w:tcPr>
          <w:p w14:paraId="77803129" w14:textId="2DDDA06B"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13858</w:t>
            </w:r>
          </w:p>
        </w:tc>
        <w:tc>
          <w:tcPr>
            <w:tcW w:w="837" w:type="dxa"/>
            <w:tcBorders>
              <w:top w:val="nil"/>
              <w:left w:val="nil"/>
              <w:bottom w:val="single" w:sz="4" w:space="0" w:color="auto"/>
              <w:right w:val="single" w:sz="4" w:space="0" w:color="auto"/>
            </w:tcBorders>
            <w:shd w:val="clear" w:color="auto" w:fill="auto"/>
            <w:noWrap/>
            <w:vAlign w:val="center"/>
            <w:hideMark/>
          </w:tcPr>
          <w:p w14:paraId="0BEAE0DE" w14:textId="3B7549EB"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13376</w:t>
            </w:r>
          </w:p>
        </w:tc>
        <w:tc>
          <w:tcPr>
            <w:tcW w:w="698" w:type="dxa"/>
            <w:tcBorders>
              <w:top w:val="nil"/>
              <w:left w:val="nil"/>
              <w:bottom w:val="single" w:sz="4" w:space="0" w:color="auto"/>
              <w:right w:val="single" w:sz="4" w:space="0" w:color="auto"/>
            </w:tcBorders>
            <w:shd w:val="clear" w:color="auto" w:fill="auto"/>
            <w:noWrap/>
            <w:vAlign w:val="center"/>
            <w:hideMark/>
          </w:tcPr>
          <w:p w14:paraId="4CC15893" w14:textId="58CD8127"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11308</w:t>
            </w:r>
          </w:p>
        </w:tc>
        <w:tc>
          <w:tcPr>
            <w:tcW w:w="698" w:type="dxa"/>
            <w:tcBorders>
              <w:top w:val="single" w:sz="4" w:space="0" w:color="auto"/>
              <w:left w:val="nil"/>
              <w:bottom w:val="single" w:sz="4" w:space="0" w:color="auto"/>
              <w:right w:val="single" w:sz="4" w:space="0" w:color="auto"/>
            </w:tcBorders>
            <w:vAlign w:val="center"/>
          </w:tcPr>
          <w:p w14:paraId="306FD486" w14:textId="6A92B219"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11308</w:t>
            </w:r>
          </w:p>
        </w:tc>
        <w:tc>
          <w:tcPr>
            <w:tcW w:w="447" w:type="dxa"/>
            <w:tcBorders>
              <w:top w:val="nil"/>
              <w:left w:val="single" w:sz="4" w:space="0" w:color="auto"/>
              <w:bottom w:val="single" w:sz="4" w:space="0" w:color="auto"/>
              <w:right w:val="single" w:sz="4" w:space="0" w:color="auto"/>
            </w:tcBorders>
            <w:vAlign w:val="center"/>
          </w:tcPr>
          <w:p w14:paraId="4D38D958" w14:textId="351367B6"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8205</w:t>
            </w:r>
          </w:p>
        </w:tc>
        <w:tc>
          <w:tcPr>
            <w:tcW w:w="532" w:type="dxa"/>
            <w:tcBorders>
              <w:top w:val="nil"/>
              <w:left w:val="single" w:sz="4" w:space="0" w:color="auto"/>
              <w:bottom w:val="single" w:sz="4" w:space="0" w:color="auto"/>
              <w:right w:val="single" w:sz="4" w:space="0" w:color="auto"/>
            </w:tcBorders>
            <w:vAlign w:val="center"/>
          </w:tcPr>
          <w:p w14:paraId="18F6D572" w14:textId="7F8CFB61" w:rsidR="002279C3" w:rsidRPr="00EC4902" w:rsidRDefault="002279C3" w:rsidP="002279C3">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50672D09" w14:textId="34644F34" w:rsidR="002279C3" w:rsidRPr="00EC4902" w:rsidRDefault="002279C3" w:rsidP="002279C3">
            <w:pPr>
              <w:jc w:val="center"/>
              <w:rPr>
                <w:rFonts w:ascii="华文细黑" w:eastAsia="华文细黑" w:hAnsi="华文细黑"/>
                <w:sz w:val="13"/>
                <w:szCs w:val="13"/>
              </w:rPr>
            </w:pPr>
          </w:p>
        </w:tc>
        <w:tc>
          <w:tcPr>
            <w:tcW w:w="515" w:type="dxa"/>
            <w:tcBorders>
              <w:top w:val="nil"/>
              <w:left w:val="single" w:sz="4" w:space="0" w:color="auto"/>
              <w:bottom w:val="single" w:sz="4" w:space="0" w:color="auto"/>
              <w:right w:val="single" w:sz="4" w:space="0" w:color="auto"/>
            </w:tcBorders>
            <w:vAlign w:val="center"/>
          </w:tcPr>
          <w:p w14:paraId="21379C12" w14:textId="55B81298" w:rsidR="002279C3" w:rsidRPr="00EC4902" w:rsidRDefault="002279C3" w:rsidP="002279C3">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425C5592" w14:textId="4EDA1A43"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381329</w:t>
            </w:r>
          </w:p>
        </w:tc>
      </w:tr>
      <w:tr w:rsidR="002279C3" w:rsidRPr="00E05368" w14:paraId="16195AD3" w14:textId="77777777" w:rsidTr="002279C3">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4D602727" w14:textId="4A3C8DB5" w:rsidR="002279C3" w:rsidRPr="00925798" w:rsidRDefault="002279C3" w:rsidP="007B3231">
            <w:pPr>
              <w:jc w:val="center"/>
              <w:rPr>
                <w:rFonts w:ascii="华文细黑" w:eastAsia="华文细黑" w:hAnsi="华文细黑"/>
                <w:sz w:val="13"/>
                <w:szCs w:val="13"/>
              </w:rPr>
            </w:pPr>
            <w:r>
              <w:rPr>
                <w:rFonts w:ascii="华文细黑" w:eastAsia="华文细黑" w:hAnsi="华文细黑" w:hint="eastAsia"/>
                <w:sz w:val="13"/>
                <w:szCs w:val="13"/>
              </w:rPr>
              <w:t>31</w:t>
            </w:r>
          </w:p>
        </w:tc>
        <w:tc>
          <w:tcPr>
            <w:tcW w:w="1533" w:type="dxa"/>
            <w:tcBorders>
              <w:top w:val="nil"/>
              <w:left w:val="nil"/>
              <w:bottom w:val="single" w:sz="4" w:space="0" w:color="auto"/>
              <w:right w:val="single" w:sz="4" w:space="0" w:color="auto"/>
            </w:tcBorders>
            <w:shd w:val="clear" w:color="auto" w:fill="auto"/>
            <w:noWrap/>
            <w:vAlign w:val="center"/>
            <w:hideMark/>
          </w:tcPr>
          <w:p w14:paraId="7CCAE5FF" w14:textId="77777777" w:rsidR="002279C3" w:rsidRPr="00925798" w:rsidRDefault="002279C3"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期间费用</w:t>
            </w:r>
          </w:p>
        </w:tc>
        <w:tc>
          <w:tcPr>
            <w:tcW w:w="656" w:type="dxa"/>
            <w:tcBorders>
              <w:top w:val="nil"/>
              <w:left w:val="nil"/>
              <w:bottom w:val="single" w:sz="4" w:space="0" w:color="auto"/>
              <w:right w:val="single" w:sz="4" w:space="0" w:color="auto"/>
            </w:tcBorders>
            <w:shd w:val="clear" w:color="auto" w:fill="auto"/>
            <w:noWrap/>
            <w:vAlign w:val="center"/>
          </w:tcPr>
          <w:p w14:paraId="35C63053" w14:textId="026B8EA6" w:rsidR="002279C3" w:rsidRPr="00925798" w:rsidRDefault="002279C3"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hideMark/>
          </w:tcPr>
          <w:p w14:paraId="0F38B4F9" w14:textId="5436FC24"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470</w:t>
            </w:r>
          </w:p>
        </w:tc>
        <w:tc>
          <w:tcPr>
            <w:tcW w:w="559" w:type="dxa"/>
            <w:tcBorders>
              <w:top w:val="nil"/>
              <w:left w:val="nil"/>
              <w:bottom w:val="single" w:sz="4" w:space="0" w:color="auto"/>
              <w:right w:val="single" w:sz="4" w:space="0" w:color="auto"/>
            </w:tcBorders>
            <w:shd w:val="clear" w:color="auto" w:fill="auto"/>
            <w:noWrap/>
            <w:vAlign w:val="center"/>
            <w:hideMark/>
          </w:tcPr>
          <w:p w14:paraId="0D837F9D" w14:textId="64E860C0"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5867</w:t>
            </w:r>
          </w:p>
        </w:tc>
        <w:tc>
          <w:tcPr>
            <w:tcW w:w="559" w:type="dxa"/>
            <w:tcBorders>
              <w:top w:val="nil"/>
              <w:left w:val="nil"/>
              <w:bottom w:val="single" w:sz="4" w:space="0" w:color="auto"/>
              <w:right w:val="single" w:sz="4" w:space="0" w:color="auto"/>
            </w:tcBorders>
            <w:shd w:val="clear" w:color="auto" w:fill="auto"/>
            <w:noWrap/>
            <w:vAlign w:val="center"/>
            <w:hideMark/>
          </w:tcPr>
          <w:p w14:paraId="08C364A2" w14:textId="15233C7F"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6138</w:t>
            </w:r>
          </w:p>
        </w:tc>
        <w:tc>
          <w:tcPr>
            <w:tcW w:w="559" w:type="dxa"/>
            <w:tcBorders>
              <w:top w:val="nil"/>
              <w:left w:val="nil"/>
              <w:bottom w:val="single" w:sz="4" w:space="0" w:color="auto"/>
              <w:right w:val="single" w:sz="4" w:space="0" w:color="auto"/>
            </w:tcBorders>
            <w:shd w:val="clear" w:color="auto" w:fill="auto"/>
            <w:noWrap/>
            <w:vAlign w:val="center"/>
            <w:hideMark/>
          </w:tcPr>
          <w:p w14:paraId="4AF84FFA" w14:textId="0EECDAF9"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6582</w:t>
            </w:r>
          </w:p>
        </w:tc>
        <w:tc>
          <w:tcPr>
            <w:tcW w:w="697" w:type="dxa"/>
            <w:tcBorders>
              <w:top w:val="nil"/>
              <w:left w:val="nil"/>
              <w:bottom w:val="single" w:sz="4" w:space="0" w:color="auto"/>
              <w:right w:val="single" w:sz="4" w:space="0" w:color="auto"/>
            </w:tcBorders>
            <w:shd w:val="clear" w:color="auto" w:fill="auto"/>
            <w:noWrap/>
            <w:vAlign w:val="center"/>
            <w:hideMark/>
          </w:tcPr>
          <w:p w14:paraId="3320FB58" w14:textId="2494398A"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6920</w:t>
            </w:r>
          </w:p>
        </w:tc>
        <w:tc>
          <w:tcPr>
            <w:tcW w:w="698" w:type="dxa"/>
            <w:tcBorders>
              <w:top w:val="nil"/>
              <w:left w:val="nil"/>
              <w:bottom w:val="single" w:sz="4" w:space="0" w:color="auto"/>
              <w:right w:val="single" w:sz="4" w:space="0" w:color="auto"/>
            </w:tcBorders>
            <w:shd w:val="clear" w:color="auto" w:fill="auto"/>
            <w:noWrap/>
            <w:vAlign w:val="center"/>
            <w:hideMark/>
          </w:tcPr>
          <w:p w14:paraId="13572A6D" w14:textId="1C3F20E2"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7097</w:t>
            </w:r>
          </w:p>
        </w:tc>
        <w:tc>
          <w:tcPr>
            <w:tcW w:w="559" w:type="dxa"/>
            <w:tcBorders>
              <w:top w:val="nil"/>
              <w:left w:val="nil"/>
              <w:bottom w:val="single" w:sz="4" w:space="0" w:color="auto"/>
              <w:right w:val="single" w:sz="4" w:space="0" w:color="auto"/>
            </w:tcBorders>
            <w:shd w:val="clear" w:color="auto" w:fill="auto"/>
            <w:noWrap/>
            <w:vAlign w:val="center"/>
            <w:hideMark/>
          </w:tcPr>
          <w:p w14:paraId="120347B4" w14:textId="10028711"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6290</w:t>
            </w:r>
          </w:p>
        </w:tc>
        <w:tc>
          <w:tcPr>
            <w:tcW w:w="698" w:type="dxa"/>
            <w:tcBorders>
              <w:top w:val="nil"/>
              <w:left w:val="nil"/>
              <w:bottom w:val="single" w:sz="4" w:space="0" w:color="auto"/>
              <w:right w:val="single" w:sz="4" w:space="0" w:color="auto"/>
            </w:tcBorders>
            <w:shd w:val="clear" w:color="auto" w:fill="auto"/>
            <w:noWrap/>
            <w:vAlign w:val="center"/>
            <w:hideMark/>
          </w:tcPr>
          <w:p w14:paraId="22E28F65" w14:textId="5B5D5E17"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5528</w:t>
            </w:r>
          </w:p>
        </w:tc>
        <w:tc>
          <w:tcPr>
            <w:tcW w:w="837" w:type="dxa"/>
            <w:tcBorders>
              <w:top w:val="nil"/>
              <w:left w:val="nil"/>
              <w:bottom w:val="single" w:sz="4" w:space="0" w:color="auto"/>
              <w:right w:val="single" w:sz="4" w:space="0" w:color="auto"/>
            </w:tcBorders>
            <w:shd w:val="clear" w:color="auto" w:fill="auto"/>
            <w:noWrap/>
            <w:vAlign w:val="center"/>
            <w:hideMark/>
          </w:tcPr>
          <w:p w14:paraId="68A3E8B6" w14:textId="289512FC"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4472</w:t>
            </w:r>
          </w:p>
        </w:tc>
        <w:tc>
          <w:tcPr>
            <w:tcW w:w="698" w:type="dxa"/>
            <w:tcBorders>
              <w:top w:val="nil"/>
              <w:left w:val="nil"/>
              <w:bottom w:val="single" w:sz="4" w:space="0" w:color="auto"/>
              <w:right w:val="single" w:sz="4" w:space="0" w:color="auto"/>
            </w:tcBorders>
            <w:shd w:val="clear" w:color="auto" w:fill="auto"/>
            <w:noWrap/>
            <w:vAlign w:val="center"/>
            <w:hideMark/>
          </w:tcPr>
          <w:p w14:paraId="732371D8" w14:textId="55142153"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2947</w:t>
            </w:r>
          </w:p>
        </w:tc>
        <w:tc>
          <w:tcPr>
            <w:tcW w:w="698" w:type="dxa"/>
            <w:tcBorders>
              <w:top w:val="single" w:sz="4" w:space="0" w:color="auto"/>
              <w:left w:val="nil"/>
              <w:bottom w:val="single" w:sz="4" w:space="0" w:color="auto"/>
              <w:right w:val="single" w:sz="4" w:space="0" w:color="auto"/>
            </w:tcBorders>
            <w:vAlign w:val="center"/>
          </w:tcPr>
          <w:p w14:paraId="31D3629B" w14:textId="7B101F34"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1724</w:t>
            </w:r>
          </w:p>
        </w:tc>
        <w:tc>
          <w:tcPr>
            <w:tcW w:w="447" w:type="dxa"/>
            <w:tcBorders>
              <w:top w:val="nil"/>
              <w:left w:val="single" w:sz="4" w:space="0" w:color="auto"/>
              <w:bottom w:val="single" w:sz="4" w:space="0" w:color="auto"/>
              <w:right w:val="single" w:sz="4" w:space="0" w:color="auto"/>
            </w:tcBorders>
            <w:vAlign w:val="center"/>
          </w:tcPr>
          <w:p w14:paraId="157AA6CF" w14:textId="2D5D24F3"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657</w:t>
            </w:r>
          </w:p>
        </w:tc>
        <w:tc>
          <w:tcPr>
            <w:tcW w:w="532" w:type="dxa"/>
            <w:tcBorders>
              <w:top w:val="nil"/>
              <w:left w:val="single" w:sz="4" w:space="0" w:color="auto"/>
              <w:bottom w:val="single" w:sz="4" w:space="0" w:color="auto"/>
              <w:right w:val="single" w:sz="4" w:space="0" w:color="auto"/>
            </w:tcBorders>
            <w:vAlign w:val="center"/>
          </w:tcPr>
          <w:p w14:paraId="1D5E0627" w14:textId="04ED6050"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111</w:t>
            </w:r>
          </w:p>
        </w:tc>
        <w:tc>
          <w:tcPr>
            <w:tcW w:w="532" w:type="dxa"/>
            <w:tcBorders>
              <w:top w:val="nil"/>
              <w:left w:val="single" w:sz="4" w:space="0" w:color="auto"/>
              <w:bottom w:val="single" w:sz="4" w:space="0" w:color="auto"/>
              <w:right w:val="single" w:sz="4" w:space="0" w:color="auto"/>
            </w:tcBorders>
            <w:vAlign w:val="center"/>
          </w:tcPr>
          <w:p w14:paraId="3B1ECD6D" w14:textId="5D205CCB"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67</w:t>
            </w:r>
          </w:p>
        </w:tc>
        <w:tc>
          <w:tcPr>
            <w:tcW w:w="515" w:type="dxa"/>
            <w:tcBorders>
              <w:top w:val="nil"/>
              <w:left w:val="single" w:sz="4" w:space="0" w:color="auto"/>
              <w:bottom w:val="single" w:sz="4" w:space="0" w:color="auto"/>
              <w:right w:val="single" w:sz="4" w:space="0" w:color="auto"/>
            </w:tcBorders>
            <w:vAlign w:val="center"/>
          </w:tcPr>
          <w:p w14:paraId="27BB9E79" w14:textId="0D8FEC1B"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8</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2481795B" w14:textId="2F3C56E6"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54878</w:t>
            </w:r>
          </w:p>
        </w:tc>
      </w:tr>
      <w:tr w:rsidR="002279C3" w:rsidRPr="00E05368" w14:paraId="108BA981" w14:textId="77777777" w:rsidTr="002279C3">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65BDFE0F" w14:textId="65448FB3" w:rsidR="002279C3" w:rsidRPr="00925798" w:rsidRDefault="002279C3" w:rsidP="007B3231">
            <w:pPr>
              <w:jc w:val="center"/>
              <w:rPr>
                <w:rFonts w:ascii="华文细黑" w:eastAsia="华文细黑" w:hAnsi="华文细黑"/>
                <w:sz w:val="13"/>
                <w:szCs w:val="13"/>
              </w:rPr>
            </w:pPr>
            <w:r>
              <w:rPr>
                <w:rFonts w:ascii="华文细黑" w:eastAsia="华文细黑" w:hAnsi="华文细黑" w:hint="eastAsia"/>
                <w:sz w:val="13"/>
                <w:szCs w:val="13"/>
              </w:rPr>
              <w:t>32</w:t>
            </w:r>
          </w:p>
        </w:tc>
        <w:tc>
          <w:tcPr>
            <w:tcW w:w="1533" w:type="dxa"/>
            <w:tcBorders>
              <w:top w:val="nil"/>
              <w:left w:val="nil"/>
              <w:bottom w:val="single" w:sz="4" w:space="0" w:color="auto"/>
              <w:right w:val="single" w:sz="4" w:space="0" w:color="auto"/>
            </w:tcBorders>
            <w:shd w:val="clear" w:color="auto" w:fill="auto"/>
            <w:noWrap/>
            <w:vAlign w:val="center"/>
            <w:hideMark/>
          </w:tcPr>
          <w:p w14:paraId="44C86223" w14:textId="77777777" w:rsidR="002279C3" w:rsidRPr="00925798" w:rsidRDefault="002279C3"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项目经营成本</w:t>
            </w:r>
          </w:p>
        </w:tc>
        <w:tc>
          <w:tcPr>
            <w:tcW w:w="656" w:type="dxa"/>
            <w:tcBorders>
              <w:top w:val="nil"/>
              <w:left w:val="nil"/>
              <w:bottom w:val="single" w:sz="4" w:space="0" w:color="auto"/>
              <w:right w:val="single" w:sz="4" w:space="0" w:color="auto"/>
            </w:tcBorders>
            <w:shd w:val="clear" w:color="auto" w:fill="auto"/>
            <w:noWrap/>
            <w:vAlign w:val="center"/>
          </w:tcPr>
          <w:p w14:paraId="2E2AB7D2" w14:textId="734C2116" w:rsidR="002279C3" w:rsidRPr="00925798" w:rsidRDefault="002279C3"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hideMark/>
          </w:tcPr>
          <w:p w14:paraId="37DACFC0" w14:textId="688F8802"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125500</w:t>
            </w:r>
          </w:p>
        </w:tc>
        <w:tc>
          <w:tcPr>
            <w:tcW w:w="559" w:type="dxa"/>
            <w:tcBorders>
              <w:top w:val="nil"/>
              <w:left w:val="nil"/>
              <w:bottom w:val="single" w:sz="4" w:space="0" w:color="auto"/>
              <w:right w:val="single" w:sz="4" w:space="0" w:color="auto"/>
            </w:tcBorders>
            <w:shd w:val="clear" w:color="auto" w:fill="auto"/>
            <w:noWrap/>
            <w:vAlign w:val="center"/>
            <w:hideMark/>
          </w:tcPr>
          <w:p w14:paraId="6060D822" w14:textId="6CBAEA6C"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135386</w:t>
            </w:r>
          </w:p>
        </w:tc>
        <w:tc>
          <w:tcPr>
            <w:tcW w:w="559" w:type="dxa"/>
            <w:tcBorders>
              <w:top w:val="nil"/>
              <w:left w:val="nil"/>
              <w:bottom w:val="single" w:sz="4" w:space="0" w:color="auto"/>
              <w:right w:val="single" w:sz="4" w:space="0" w:color="auto"/>
            </w:tcBorders>
            <w:shd w:val="clear" w:color="auto" w:fill="auto"/>
            <w:noWrap/>
            <w:vAlign w:val="center"/>
            <w:hideMark/>
          </w:tcPr>
          <w:p w14:paraId="7E5072F4" w14:textId="381F41F2"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11640</w:t>
            </w:r>
          </w:p>
        </w:tc>
        <w:tc>
          <w:tcPr>
            <w:tcW w:w="559" w:type="dxa"/>
            <w:tcBorders>
              <w:top w:val="nil"/>
              <w:left w:val="nil"/>
              <w:bottom w:val="single" w:sz="4" w:space="0" w:color="auto"/>
              <w:right w:val="single" w:sz="4" w:space="0" w:color="auto"/>
            </w:tcBorders>
            <w:shd w:val="clear" w:color="auto" w:fill="auto"/>
            <w:noWrap/>
            <w:vAlign w:val="center"/>
            <w:hideMark/>
          </w:tcPr>
          <w:p w14:paraId="6F56FC57" w14:textId="66D3C6EF"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12516</w:t>
            </w:r>
          </w:p>
        </w:tc>
        <w:tc>
          <w:tcPr>
            <w:tcW w:w="697" w:type="dxa"/>
            <w:tcBorders>
              <w:top w:val="nil"/>
              <w:left w:val="nil"/>
              <w:bottom w:val="single" w:sz="4" w:space="0" w:color="auto"/>
              <w:right w:val="single" w:sz="4" w:space="0" w:color="auto"/>
            </w:tcBorders>
            <w:shd w:val="clear" w:color="auto" w:fill="auto"/>
            <w:noWrap/>
            <w:vAlign w:val="center"/>
            <w:hideMark/>
          </w:tcPr>
          <w:p w14:paraId="771B7FA0" w14:textId="05C39514"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11778</w:t>
            </w:r>
          </w:p>
        </w:tc>
        <w:tc>
          <w:tcPr>
            <w:tcW w:w="698" w:type="dxa"/>
            <w:tcBorders>
              <w:top w:val="nil"/>
              <w:left w:val="nil"/>
              <w:bottom w:val="single" w:sz="4" w:space="0" w:color="auto"/>
              <w:right w:val="single" w:sz="4" w:space="0" w:color="auto"/>
            </w:tcBorders>
            <w:shd w:val="clear" w:color="auto" w:fill="auto"/>
            <w:noWrap/>
            <w:vAlign w:val="center"/>
            <w:hideMark/>
          </w:tcPr>
          <w:p w14:paraId="74FC1E39" w14:textId="5B38CD6D"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14179</w:t>
            </w:r>
          </w:p>
        </w:tc>
        <w:tc>
          <w:tcPr>
            <w:tcW w:w="559" w:type="dxa"/>
            <w:tcBorders>
              <w:top w:val="nil"/>
              <w:left w:val="nil"/>
              <w:bottom w:val="single" w:sz="4" w:space="0" w:color="auto"/>
              <w:right w:val="single" w:sz="4" w:space="0" w:color="auto"/>
            </w:tcBorders>
            <w:shd w:val="clear" w:color="auto" w:fill="auto"/>
            <w:noWrap/>
            <w:vAlign w:val="center"/>
            <w:hideMark/>
          </w:tcPr>
          <w:p w14:paraId="07206FB7" w14:textId="4E302500"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14668</w:t>
            </w:r>
          </w:p>
        </w:tc>
        <w:tc>
          <w:tcPr>
            <w:tcW w:w="698" w:type="dxa"/>
            <w:tcBorders>
              <w:top w:val="nil"/>
              <w:left w:val="nil"/>
              <w:bottom w:val="single" w:sz="4" w:space="0" w:color="auto"/>
              <w:right w:val="single" w:sz="4" w:space="0" w:color="auto"/>
            </w:tcBorders>
            <w:shd w:val="clear" w:color="auto" w:fill="auto"/>
            <w:noWrap/>
            <w:vAlign w:val="center"/>
            <w:hideMark/>
          </w:tcPr>
          <w:p w14:paraId="026A6E77" w14:textId="64A423D0"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14720</w:t>
            </w:r>
          </w:p>
        </w:tc>
        <w:tc>
          <w:tcPr>
            <w:tcW w:w="837" w:type="dxa"/>
            <w:tcBorders>
              <w:top w:val="nil"/>
              <w:left w:val="nil"/>
              <w:bottom w:val="single" w:sz="4" w:space="0" w:color="auto"/>
              <w:right w:val="single" w:sz="4" w:space="0" w:color="auto"/>
            </w:tcBorders>
            <w:shd w:val="clear" w:color="auto" w:fill="auto"/>
            <w:noWrap/>
            <w:vAlign w:val="center"/>
            <w:hideMark/>
          </w:tcPr>
          <w:p w14:paraId="481C7A6F" w14:textId="57207874"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14282</w:t>
            </w:r>
          </w:p>
        </w:tc>
        <w:tc>
          <w:tcPr>
            <w:tcW w:w="698" w:type="dxa"/>
            <w:tcBorders>
              <w:top w:val="nil"/>
              <w:left w:val="nil"/>
              <w:bottom w:val="single" w:sz="4" w:space="0" w:color="auto"/>
              <w:right w:val="single" w:sz="4" w:space="0" w:color="auto"/>
            </w:tcBorders>
            <w:shd w:val="clear" w:color="auto" w:fill="auto"/>
            <w:noWrap/>
            <w:vAlign w:val="center"/>
            <w:hideMark/>
          </w:tcPr>
          <w:p w14:paraId="0791DECE" w14:textId="5C8FE423"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12212</w:t>
            </w:r>
          </w:p>
        </w:tc>
        <w:tc>
          <w:tcPr>
            <w:tcW w:w="698" w:type="dxa"/>
            <w:tcBorders>
              <w:top w:val="single" w:sz="4" w:space="0" w:color="auto"/>
              <w:left w:val="nil"/>
              <w:bottom w:val="single" w:sz="4" w:space="0" w:color="auto"/>
              <w:right w:val="single" w:sz="4" w:space="0" w:color="auto"/>
            </w:tcBorders>
            <w:vAlign w:val="center"/>
          </w:tcPr>
          <w:p w14:paraId="021D2D3A" w14:textId="26226349"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12111</w:t>
            </w:r>
          </w:p>
        </w:tc>
        <w:tc>
          <w:tcPr>
            <w:tcW w:w="447" w:type="dxa"/>
            <w:tcBorders>
              <w:top w:val="nil"/>
              <w:left w:val="single" w:sz="4" w:space="0" w:color="auto"/>
              <w:bottom w:val="single" w:sz="4" w:space="0" w:color="auto"/>
              <w:right w:val="single" w:sz="4" w:space="0" w:color="auto"/>
            </w:tcBorders>
            <w:vAlign w:val="center"/>
          </w:tcPr>
          <w:p w14:paraId="345CB9E0" w14:textId="2665568F"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8607</w:t>
            </w:r>
          </w:p>
        </w:tc>
        <w:tc>
          <w:tcPr>
            <w:tcW w:w="532" w:type="dxa"/>
            <w:tcBorders>
              <w:top w:val="nil"/>
              <w:left w:val="single" w:sz="4" w:space="0" w:color="auto"/>
              <w:bottom w:val="single" w:sz="4" w:space="0" w:color="auto"/>
              <w:right w:val="single" w:sz="4" w:space="0" w:color="auto"/>
            </w:tcBorders>
            <w:vAlign w:val="center"/>
          </w:tcPr>
          <w:p w14:paraId="64539BDE" w14:textId="2C7C9076"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28</w:t>
            </w:r>
          </w:p>
        </w:tc>
        <w:tc>
          <w:tcPr>
            <w:tcW w:w="532" w:type="dxa"/>
            <w:tcBorders>
              <w:top w:val="nil"/>
              <w:left w:val="single" w:sz="4" w:space="0" w:color="auto"/>
              <w:bottom w:val="single" w:sz="4" w:space="0" w:color="auto"/>
              <w:right w:val="single" w:sz="4" w:space="0" w:color="auto"/>
            </w:tcBorders>
            <w:vAlign w:val="center"/>
          </w:tcPr>
          <w:p w14:paraId="768F8E27" w14:textId="51614B5D"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29</w:t>
            </w:r>
          </w:p>
        </w:tc>
        <w:tc>
          <w:tcPr>
            <w:tcW w:w="515" w:type="dxa"/>
            <w:tcBorders>
              <w:top w:val="nil"/>
              <w:left w:val="single" w:sz="4" w:space="0" w:color="auto"/>
              <w:bottom w:val="single" w:sz="4" w:space="0" w:color="auto"/>
              <w:right w:val="single" w:sz="4" w:space="0" w:color="auto"/>
            </w:tcBorders>
            <w:vAlign w:val="center"/>
          </w:tcPr>
          <w:p w14:paraId="7C4D6DB1" w14:textId="5E94BFB5" w:rsidR="002279C3" w:rsidRPr="00EC4902" w:rsidRDefault="002279C3" w:rsidP="002279C3">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6C839F85" w14:textId="4A4A48BB"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387656</w:t>
            </w:r>
          </w:p>
        </w:tc>
      </w:tr>
    </w:tbl>
    <w:p w14:paraId="58F27AD3" w14:textId="77777777" w:rsidR="0053025C" w:rsidRPr="00E05368" w:rsidRDefault="0053025C" w:rsidP="0053025C">
      <w:pPr>
        <w:adjustRightInd w:val="0"/>
        <w:snapToGrid w:val="0"/>
        <w:spacing w:line="480" w:lineRule="auto"/>
        <w:ind w:firstLineChars="150" w:firstLine="360"/>
        <w:rPr>
          <w:rFonts w:ascii="Arial" w:hAnsi="Arial" w:cs="Arial"/>
          <w:bCs/>
          <w:color w:val="000000"/>
          <w:szCs w:val="21"/>
        </w:rPr>
      </w:pPr>
    </w:p>
    <w:p w14:paraId="695EDCFF" w14:textId="77777777" w:rsidR="0053025C" w:rsidRPr="00E05368" w:rsidRDefault="0053025C" w:rsidP="0053025C">
      <w:pPr>
        <w:adjustRightInd w:val="0"/>
        <w:snapToGrid w:val="0"/>
        <w:spacing w:line="480" w:lineRule="auto"/>
        <w:ind w:firstLineChars="150" w:firstLine="360"/>
        <w:rPr>
          <w:rFonts w:ascii="Arial" w:hAnsi="Arial" w:cs="Arial"/>
          <w:bCs/>
          <w:color w:val="000000"/>
          <w:szCs w:val="21"/>
        </w:rPr>
      </w:pPr>
    </w:p>
    <w:p w14:paraId="77511580" w14:textId="77777777" w:rsidR="0053025C" w:rsidRPr="00E05368" w:rsidRDefault="0053025C" w:rsidP="0053025C">
      <w:pPr>
        <w:adjustRightInd w:val="0"/>
        <w:snapToGrid w:val="0"/>
        <w:spacing w:line="480" w:lineRule="auto"/>
        <w:ind w:firstLineChars="150" w:firstLine="360"/>
        <w:rPr>
          <w:rFonts w:ascii="Arial" w:hAnsi="Arial" w:cs="Arial"/>
          <w:bCs/>
          <w:color w:val="000000"/>
          <w:szCs w:val="21"/>
        </w:rPr>
      </w:pPr>
    </w:p>
    <w:p w14:paraId="7CB2BACB" w14:textId="77777777" w:rsidR="0053025C" w:rsidRPr="00E05368" w:rsidRDefault="0053025C" w:rsidP="0053025C">
      <w:pPr>
        <w:adjustRightInd w:val="0"/>
        <w:snapToGrid w:val="0"/>
        <w:spacing w:line="480" w:lineRule="auto"/>
        <w:ind w:firstLineChars="150" w:firstLine="360"/>
        <w:rPr>
          <w:rFonts w:ascii="Arial" w:hAnsi="Arial" w:cs="Arial"/>
          <w:bCs/>
          <w:color w:val="000000"/>
          <w:szCs w:val="21"/>
        </w:rPr>
      </w:pPr>
    </w:p>
    <w:p w14:paraId="6FB50224" w14:textId="77777777" w:rsidR="0053025C" w:rsidRPr="00E05368" w:rsidRDefault="0053025C" w:rsidP="0053025C">
      <w:pPr>
        <w:adjustRightInd w:val="0"/>
        <w:snapToGrid w:val="0"/>
        <w:spacing w:line="480" w:lineRule="auto"/>
        <w:ind w:firstLineChars="150" w:firstLine="360"/>
        <w:rPr>
          <w:rFonts w:ascii="Arial" w:hAnsi="Arial" w:cs="Arial"/>
          <w:bCs/>
          <w:color w:val="000000"/>
          <w:szCs w:val="21"/>
        </w:rPr>
      </w:pPr>
    </w:p>
    <w:p w14:paraId="0E201DC9" w14:textId="77777777" w:rsidR="0053025C" w:rsidRPr="00E05368" w:rsidRDefault="0053025C" w:rsidP="0053025C">
      <w:pPr>
        <w:adjustRightInd w:val="0"/>
        <w:snapToGrid w:val="0"/>
        <w:spacing w:line="480" w:lineRule="auto"/>
        <w:ind w:firstLineChars="150" w:firstLine="360"/>
        <w:rPr>
          <w:rFonts w:ascii="Arial" w:hAnsi="Arial" w:cs="Arial"/>
          <w:bCs/>
          <w:color w:val="000000"/>
          <w:szCs w:val="21"/>
        </w:rPr>
      </w:pPr>
    </w:p>
    <w:p w14:paraId="455FDE76" w14:textId="77777777" w:rsidR="0053025C" w:rsidRPr="00E05368" w:rsidRDefault="0053025C" w:rsidP="0053025C">
      <w:pPr>
        <w:spacing w:line="360" w:lineRule="auto"/>
        <w:ind w:firstLineChars="200" w:firstLine="420"/>
        <w:rPr>
          <w:rFonts w:ascii="Arial" w:hAnsi="Arial" w:cs="Arial"/>
          <w:bCs/>
          <w:color w:val="000000"/>
          <w:sz w:val="21"/>
          <w:szCs w:val="21"/>
        </w:rPr>
      </w:pPr>
      <w:r w:rsidRPr="00E05368">
        <w:rPr>
          <w:rFonts w:ascii="Arial" w:hAnsi="Arial" w:cs="Arial" w:hint="eastAsia"/>
          <w:bCs/>
          <w:color w:val="000000"/>
          <w:sz w:val="21"/>
          <w:szCs w:val="21"/>
        </w:rPr>
        <w:lastRenderedPageBreak/>
        <w:t>（</w:t>
      </w:r>
      <w:r w:rsidRPr="00E05368">
        <w:rPr>
          <w:rFonts w:ascii="Arial" w:hAnsi="Arial" w:cs="Arial" w:hint="eastAsia"/>
          <w:bCs/>
          <w:color w:val="000000"/>
          <w:sz w:val="21"/>
          <w:szCs w:val="21"/>
        </w:rPr>
        <w:t>2</w:t>
      </w:r>
      <w:r w:rsidRPr="00E05368">
        <w:rPr>
          <w:rFonts w:ascii="Arial" w:hAnsi="Arial" w:cs="Arial" w:hint="eastAsia"/>
          <w:bCs/>
          <w:color w:val="000000"/>
          <w:sz w:val="21"/>
          <w:szCs w:val="21"/>
        </w:rPr>
        <w:t>）</w:t>
      </w:r>
      <w:r w:rsidRPr="00E05368">
        <w:rPr>
          <w:rFonts w:ascii="Arial" w:hAnsi="Arial" w:cs="Arial"/>
          <w:bCs/>
          <w:color w:val="000000"/>
          <w:sz w:val="21"/>
          <w:szCs w:val="21"/>
        </w:rPr>
        <w:t>项目财务现金流量表（主表</w:t>
      </w:r>
      <w:r w:rsidRPr="00E05368">
        <w:rPr>
          <w:rFonts w:ascii="Arial" w:hAnsi="Arial" w:cs="Arial"/>
          <w:bCs/>
          <w:color w:val="000000"/>
          <w:sz w:val="21"/>
          <w:szCs w:val="21"/>
        </w:rPr>
        <w:t>2</w:t>
      </w:r>
      <w:r w:rsidRPr="00E05368">
        <w:rPr>
          <w:rFonts w:ascii="Arial" w:hAnsi="Arial" w:cs="Arial"/>
          <w:bCs/>
          <w:color w:val="000000"/>
          <w:sz w:val="21"/>
          <w:szCs w:val="21"/>
        </w:rPr>
        <w:t>）</w:t>
      </w:r>
    </w:p>
    <w:tbl>
      <w:tblPr>
        <w:tblW w:w="145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553"/>
        <w:gridCol w:w="2360"/>
        <w:gridCol w:w="690"/>
        <w:gridCol w:w="853"/>
        <w:gridCol w:w="853"/>
        <w:gridCol w:w="854"/>
        <w:gridCol w:w="720"/>
        <w:gridCol w:w="691"/>
        <w:gridCol w:w="691"/>
        <w:gridCol w:w="630"/>
        <w:gridCol w:w="624"/>
        <w:gridCol w:w="624"/>
        <w:gridCol w:w="624"/>
        <w:gridCol w:w="630"/>
        <w:gridCol w:w="624"/>
        <w:gridCol w:w="624"/>
        <w:gridCol w:w="624"/>
        <w:gridCol w:w="630"/>
        <w:gridCol w:w="673"/>
      </w:tblGrid>
      <w:tr w:rsidR="00436482" w:rsidRPr="00E05368" w14:paraId="29208D10" w14:textId="77777777" w:rsidTr="00436482">
        <w:trPr>
          <w:trHeight w:val="340"/>
          <w:jc w:val="center"/>
        </w:trPr>
        <w:tc>
          <w:tcPr>
            <w:tcW w:w="190" w:type="pct"/>
            <w:vMerge w:val="restart"/>
            <w:shd w:val="clear" w:color="000000" w:fill="FFFFFF"/>
            <w:noWrap/>
            <w:vAlign w:val="center"/>
            <w:hideMark/>
          </w:tcPr>
          <w:p w14:paraId="09E63DD9" w14:textId="5D260DF6"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序号</w:t>
            </w:r>
          </w:p>
        </w:tc>
        <w:tc>
          <w:tcPr>
            <w:tcW w:w="810" w:type="pct"/>
            <w:vMerge w:val="restart"/>
            <w:shd w:val="clear" w:color="000000" w:fill="FFFFFF"/>
            <w:noWrap/>
            <w:vAlign w:val="center"/>
            <w:hideMark/>
          </w:tcPr>
          <w:p w14:paraId="735D341D" w14:textId="26754762"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项目</w:t>
            </w:r>
          </w:p>
        </w:tc>
        <w:tc>
          <w:tcPr>
            <w:tcW w:w="1116" w:type="pct"/>
            <w:gridSpan w:val="4"/>
            <w:shd w:val="clear" w:color="000000" w:fill="FFFFFF"/>
            <w:noWrap/>
            <w:vAlign w:val="center"/>
            <w:hideMark/>
          </w:tcPr>
          <w:p w14:paraId="59A51F5D"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2021年</w:t>
            </w:r>
          </w:p>
        </w:tc>
        <w:tc>
          <w:tcPr>
            <w:tcW w:w="937" w:type="pct"/>
            <w:gridSpan w:val="4"/>
            <w:shd w:val="clear" w:color="000000" w:fill="FFFFFF"/>
            <w:noWrap/>
            <w:vAlign w:val="center"/>
            <w:hideMark/>
          </w:tcPr>
          <w:p w14:paraId="2EB1231B"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2022年</w:t>
            </w:r>
          </w:p>
        </w:tc>
        <w:tc>
          <w:tcPr>
            <w:tcW w:w="858" w:type="pct"/>
            <w:gridSpan w:val="4"/>
            <w:shd w:val="clear" w:color="000000" w:fill="FFFFFF"/>
            <w:noWrap/>
            <w:vAlign w:val="center"/>
            <w:hideMark/>
          </w:tcPr>
          <w:p w14:paraId="5C9C80FF"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2023年</w:t>
            </w:r>
          </w:p>
        </w:tc>
        <w:tc>
          <w:tcPr>
            <w:tcW w:w="858" w:type="pct"/>
            <w:gridSpan w:val="4"/>
            <w:shd w:val="clear" w:color="000000" w:fill="FFFFFF"/>
            <w:vAlign w:val="center"/>
          </w:tcPr>
          <w:p w14:paraId="7B0DADB2" w14:textId="77777777" w:rsidR="00436482" w:rsidRPr="00035628" w:rsidRDefault="00436482" w:rsidP="00436482">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2024</w:t>
            </w:r>
            <w:r w:rsidRPr="00035628">
              <w:rPr>
                <w:rFonts w:ascii="华文细黑" w:eastAsia="华文细黑" w:hAnsi="华文细黑" w:hint="eastAsia"/>
                <w:color w:val="000000"/>
                <w:sz w:val="13"/>
                <w:szCs w:val="13"/>
              </w:rPr>
              <w:t>年</w:t>
            </w:r>
          </w:p>
        </w:tc>
        <w:tc>
          <w:tcPr>
            <w:tcW w:w="232" w:type="pct"/>
            <w:vMerge w:val="restart"/>
            <w:shd w:val="clear" w:color="000000" w:fill="FFFFFF"/>
            <w:noWrap/>
            <w:vAlign w:val="center"/>
            <w:hideMark/>
          </w:tcPr>
          <w:p w14:paraId="23706006" w14:textId="17F28F8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合计</w:t>
            </w:r>
          </w:p>
        </w:tc>
      </w:tr>
      <w:tr w:rsidR="00436482" w:rsidRPr="00E05368" w14:paraId="1BC8F49B" w14:textId="77777777" w:rsidTr="00436482">
        <w:trPr>
          <w:trHeight w:val="340"/>
          <w:jc w:val="center"/>
        </w:trPr>
        <w:tc>
          <w:tcPr>
            <w:tcW w:w="190" w:type="pct"/>
            <w:vMerge/>
            <w:shd w:val="clear" w:color="000000" w:fill="FFFFFF"/>
            <w:noWrap/>
            <w:vAlign w:val="center"/>
            <w:hideMark/>
          </w:tcPr>
          <w:p w14:paraId="60D07235" w14:textId="77777777" w:rsidR="00436482" w:rsidRPr="00035628" w:rsidRDefault="00436482" w:rsidP="00436482">
            <w:pPr>
              <w:jc w:val="center"/>
              <w:rPr>
                <w:rFonts w:ascii="华文细黑" w:eastAsia="华文细黑" w:hAnsi="华文细黑"/>
                <w:color w:val="000000"/>
                <w:sz w:val="13"/>
                <w:szCs w:val="13"/>
              </w:rPr>
            </w:pPr>
          </w:p>
        </w:tc>
        <w:tc>
          <w:tcPr>
            <w:tcW w:w="810" w:type="pct"/>
            <w:vMerge/>
            <w:shd w:val="clear" w:color="000000" w:fill="FFFFFF"/>
            <w:noWrap/>
            <w:vAlign w:val="center"/>
            <w:hideMark/>
          </w:tcPr>
          <w:p w14:paraId="7E880065" w14:textId="6EB533CF" w:rsidR="00436482" w:rsidRPr="00035628" w:rsidRDefault="00436482" w:rsidP="00436482">
            <w:pPr>
              <w:jc w:val="center"/>
              <w:rPr>
                <w:rFonts w:ascii="华文细黑" w:eastAsia="华文细黑" w:hAnsi="华文细黑"/>
                <w:color w:val="000000"/>
                <w:sz w:val="13"/>
                <w:szCs w:val="13"/>
              </w:rPr>
            </w:pPr>
          </w:p>
        </w:tc>
        <w:tc>
          <w:tcPr>
            <w:tcW w:w="237" w:type="pct"/>
            <w:shd w:val="clear" w:color="000000" w:fill="FFFFFF"/>
            <w:noWrap/>
            <w:vAlign w:val="center"/>
            <w:hideMark/>
          </w:tcPr>
          <w:p w14:paraId="42841D6D"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Q1</w:t>
            </w:r>
          </w:p>
        </w:tc>
        <w:tc>
          <w:tcPr>
            <w:tcW w:w="293" w:type="pct"/>
            <w:shd w:val="clear" w:color="000000" w:fill="FFFFFF"/>
            <w:noWrap/>
            <w:vAlign w:val="center"/>
            <w:hideMark/>
          </w:tcPr>
          <w:p w14:paraId="6169A64D"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Q2</w:t>
            </w:r>
          </w:p>
        </w:tc>
        <w:tc>
          <w:tcPr>
            <w:tcW w:w="293" w:type="pct"/>
            <w:shd w:val="clear" w:color="000000" w:fill="FFFFFF"/>
            <w:noWrap/>
            <w:vAlign w:val="center"/>
            <w:hideMark/>
          </w:tcPr>
          <w:p w14:paraId="2D1DD1A8"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Q3</w:t>
            </w:r>
          </w:p>
        </w:tc>
        <w:tc>
          <w:tcPr>
            <w:tcW w:w="293" w:type="pct"/>
            <w:shd w:val="clear" w:color="000000" w:fill="FFFFFF"/>
            <w:noWrap/>
            <w:vAlign w:val="center"/>
            <w:hideMark/>
          </w:tcPr>
          <w:p w14:paraId="6C00F345"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Q4</w:t>
            </w:r>
          </w:p>
        </w:tc>
        <w:tc>
          <w:tcPr>
            <w:tcW w:w="247" w:type="pct"/>
            <w:shd w:val="clear" w:color="000000" w:fill="FFFFFF"/>
            <w:noWrap/>
            <w:vAlign w:val="center"/>
            <w:hideMark/>
          </w:tcPr>
          <w:p w14:paraId="7B8184B7"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Q1</w:t>
            </w:r>
          </w:p>
        </w:tc>
        <w:tc>
          <w:tcPr>
            <w:tcW w:w="237" w:type="pct"/>
            <w:shd w:val="clear" w:color="000000" w:fill="FFFFFF"/>
            <w:noWrap/>
            <w:vAlign w:val="center"/>
            <w:hideMark/>
          </w:tcPr>
          <w:p w14:paraId="32CD5AD7"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Q2</w:t>
            </w:r>
          </w:p>
        </w:tc>
        <w:tc>
          <w:tcPr>
            <w:tcW w:w="237" w:type="pct"/>
            <w:shd w:val="clear" w:color="000000" w:fill="FFFFFF"/>
            <w:noWrap/>
            <w:vAlign w:val="center"/>
            <w:hideMark/>
          </w:tcPr>
          <w:p w14:paraId="0B22B569"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Q3</w:t>
            </w:r>
          </w:p>
        </w:tc>
        <w:tc>
          <w:tcPr>
            <w:tcW w:w="216" w:type="pct"/>
            <w:shd w:val="clear" w:color="000000" w:fill="FFFFFF"/>
            <w:noWrap/>
            <w:vAlign w:val="center"/>
            <w:hideMark/>
          </w:tcPr>
          <w:p w14:paraId="4D9645AD"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Q4</w:t>
            </w:r>
          </w:p>
        </w:tc>
        <w:tc>
          <w:tcPr>
            <w:tcW w:w="214" w:type="pct"/>
            <w:shd w:val="clear" w:color="000000" w:fill="FFFFFF"/>
            <w:noWrap/>
            <w:vAlign w:val="center"/>
            <w:hideMark/>
          </w:tcPr>
          <w:p w14:paraId="18FBD118"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Q1</w:t>
            </w:r>
          </w:p>
        </w:tc>
        <w:tc>
          <w:tcPr>
            <w:tcW w:w="214" w:type="pct"/>
            <w:shd w:val="clear" w:color="000000" w:fill="FFFFFF"/>
            <w:noWrap/>
            <w:vAlign w:val="center"/>
            <w:hideMark/>
          </w:tcPr>
          <w:p w14:paraId="0F9157FE"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Q2</w:t>
            </w:r>
          </w:p>
        </w:tc>
        <w:tc>
          <w:tcPr>
            <w:tcW w:w="214" w:type="pct"/>
            <w:shd w:val="clear" w:color="000000" w:fill="FFFFFF"/>
            <w:noWrap/>
            <w:vAlign w:val="center"/>
            <w:hideMark/>
          </w:tcPr>
          <w:p w14:paraId="55E96FAF"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Q3</w:t>
            </w:r>
          </w:p>
        </w:tc>
        <w:tc>
          <w:tcPr>
            <w:tcW w:w="216" w:type="pct"/>
            <w:shd w:val="clear" w:color="000000" w:fill="FFFFFF"/>
            <w:noWrap/>
            <w:vAlign w:val="center"/>
            <w:hideMark/>
          </w:tcPr>
          <w:p w14:paraId="776E6031"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Q4</w:t>
            </w:r>
          </w:p>
        </w:tc>
        <w:tc>
          <w:tcPr>
            <w:tcW w:w="214" w:type="pct"/>
            <w:shd w:val="clear" w:color="000000" w:fill="FFFFFF"/>
            <w:vAlign w:val="center"/>
          </w:tcPr>
          <w:p w14:paraId="606D2CE9"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Q1</w:t>
            </w:r>
          </w:p>
        </w:tc>
        <w:tc>
          <w:tcPr>
            <w:tcW w:w="214" w:type="pct"/>
            <w:shd w:val="clear" w:color="000000" w:fill="FFFFFF"/>
            <w:vAlign w:val="center"/>
          </w:tcPr>
          <w:p w14:paraId="5760E340"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Q2</w:t>
            </w:r>
          </w:p>
        </w:tc>
        <w:tc>
          <w:tcPr>
            <w:tcW w:w="214" w:type="pct"/>
            <w:shd w:val="clear" w:color="000000" w:fill="FFFFFF"/>
            <w:vAlign w:val="center"/>
          </w:tcPr>
          <w:p w14:paraId="3AFAEAB6"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Q3</w:t>
            </w:r>
          </w:p>
        </w:tc>
        <w:tc>
          <w:tcPr>
            <w:tcW w:w="216" w:type="pct"/>
            <w:shd w:val="clear" w:color="000000" w:fill="FFFFFF"/>
            <w:vAlign w:val="center"/>
          </w:tcPr>
          <w:p w14:paraId="470B2780"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Q4</w:t>
            </w:r>
          </w:p>
        </w:tc>
        <w:tc>
          <w:tcPr>
            <w:tcW w:w="232" w:type="pct"/>
            <w:vMerge/>
            <w:shd w:val="clear" w:color="000000" w:fill="FFFFFF"/>
            <w:noWrap/>
            <w:vAlign w:val="center"/>
            <w:hideMark/>
          </w:tcPr>
          <w:p w14:paraId="06AFA7E7" w14:textId="77777777" w:rsidR="00436482" w:rsidRPr="00035628" w:rsidRDefault="00436482" w:rsidP="00436482">
            <w:pPr>
              <w:jc w:val="center"/>
              <w:rPr>
                <w:rFonts w:ascii="华文细黑" w:eastAsia="华文细黑" w:hAnsi="华文细黑"/>
                <w:color w:val="000000"/>
                <w:sz w:val="13"/>
                <w:szCs w:val="13"/>
              </w:rPr>
            </w:pPr>
          </w:p>
        </w:tc>
      </w:tr>
      <w:tr w:rsidR="00436482" w:rsidRPr="00E05368" w14:paraId="00BC6F27" w14:textId="77777777" w:rsidTr="00436482">
        <w:trPr>
          <w:trHeight w:val="340"/>
          <w:jc w:val="center"/>
        </w:trPr>
        <w:tc>
          <w:tcPr>
            <w:tcW w:w="190" w:type="pct"/>
            <w:shd w:val="clear" w:color="000000" w:fill="FFFFFF"/>
            <w:noWrap/>
            <w:vAlign w:val="center"/>
            <w:hideMark/>
          </w:tcPr>
          <w:p w14:paraId="075C8DD1"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1</w:t>
            </w:r>
          </w:p>
        </w:tc>
        <w:tc>
          <w:tcPr>
            <w:tcW w:w="810" w:type="pct"/>
            <w:shd w:val="clear" w:color="000000" w:fill="FFFFFF"/>
            <w:noWrap/>
            <w:vAlign w:val="center"/>
            <w:hideMark/>
          </w:tcPr>
          <w:p w14:paraId="52877C7C" w14:textId="176A5C39"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现金流入</w:t>
            </w:r>
          </w:p>
        </w:tc>
        <w:tc>
          <w:tcPr>
            <w:tcW w:w="237" w:type="pct"/>
            <w:shd w:val="clear" w:color="000000" w:fill="FFFFFF"/>
            <w:noWrap/>
            <w:vAlign w:val="center"/>
          </w:tcPr>
          <w:p w14:paraId="32BF81C8" w14:textId="77777777" w:rsidR="00436482" w:rsidRPr="00035628" w:rsidRDefault="00436482" w:rsidP="00436482">
            <w:pPr>
              <w:jc w:val="center"/>
              <w:rPr>
                <w:rFonts w:ascii="华文细黑" w:eastAsia="华文细黑" w:hAnsi="华文细黑"/>
                <w:color w:val="000000"/>
                <w:sz w:val="13"/>
                <w:szCs w:val="13"/>
              </w:rPr>
            </w:pPr>
          </w:p>
        </w:tc>
        <w:tc>
          <w:tcPr>
            <w:tcW w:w="293" w:type="pct"/>
            <w:shd w:val="clear" w:color="000000" w:fill="FFFFFF"/>
            <w:noWrap/>
            <w:vAlign w:val="center"/>
          </w:tcPr>
          <w:p w14:paraId="77E29C3C" w14:textId="77777777" w:rsidR="00436482" w:rsidRPr="00035628" w:rsidRDefault="00436482" w:rsidP="00436482">
            <w:pPr>
              <w:jc w:val="center"/>
              <w:rPr>
                <w:rFonts w:ascii="华文细黑" w:eastAsia="华文细黑" w:hAnsi="华文细黑"/>
                <w:color w:val="000000"/>
                <w:sz w:val="13"/>
                <w:szCs w:val="13"/>
              </w:rPr>
            </w:pPr>
          </w:p>
        </w:tc>
        <w:tc>
          <w:tcPr>
            <w:tcW w:w="293" w:type="pct"/>
            <w:shd w:val="clear" w:color="000000" w:fill="FFFFFF"/>
            <w:noWrap/>
            <w:vAlign w:val="center"/>
          </w:tcPr>
          <w:p w14:paraId="4B90AE0C" w14:textId="1718394D" w:rsidR="00436482" w:rsidRPr="00035628" w:rsidRDefault="00436482" w:rsidP="00436482">
            <w:pPr>
              <w:jc w:val="center"/>
              <w:rPr>
                <w:rFonts w:ascii="华文细黑" w:eastAsia="华文细黑" w:hAnsi="华文细黑"/>
                <w:color w:val="000000"/>
                <w:sz w:val="13"/>
                <w:szCs w:val="13"/>
              </w:rPr>
            </w:pPr>
          </w:p>
        </w:tc>
        <w:tc>
          <w:tcPr>
            <w:tcW w:w="293" w:type="pct"/>
            <w:shd w:val="clear" w:color="000000" w:fill="FFFFFF"/>
            <w:noWrap/>
            <w:vAlign w:val="center"/>
          </w:tcPr>
          <w:p w14:paraId="0871CCC4" w14:textId="380E4921" w:rsidR="00436482" w:rsidRPr="00035628" w:rsidRDefault="00436482" w:rsidP="00436482">
            <w:pPr>
              <w:jc w:val="center"/>
              <w:rPr>
                <w:rFonts w:ascii="华文细黑" w:eastAsia="华文细黑" w:hAnsi="华文细黑"/>
                <w:color w:val="000000"/>
                <w:sz w:val="13"/>
                <w:szCs w:val="13"/>
              </w:rPr>
            </w:pPr>
          </w:p>
        </w:tc>
        <w:tc>
          <w:tcPr>
            <w:tcW w:w="247" w:type="pct"/>
            <w:shd w:val="clear" w:color="000000" w:fill="FFFFFF"/>
            <w:noWrap/>
            <w:vAlign w:val="center"/>
          </w:tcPr>
          <w:p w14:paraId="10C93CD8" w14:textId="24E67474" w:rsidR="00436482" w:rsidRPr="00035628" w:rsidRDefault="00436482" w:rsidP="00436482">
            <w:pPr>
              <w:jc w:val="center"/>
              <w:rPr>
                <w:rFonts w:ascii="华文细黑" w:eastAsia="华文细黑" w:hAnsi="华文细黑"/>
                <w:color w:val="000000"/>
                <w:sz w:val="13"/>
                <w:szCs w:val="13"/>
              </w:rPr>
            </w:pPr>
          </w:p>
        </w:tc>
        <w:tc>
          <w:tcPr>
            <w:tcW w:w="237" w:type="pct"/>
            <w:shd w:val="clear" w:color="000000" w:fill="FFFFFF"/>
            <w:noWrap/>
            <w:vAlign w:val="center"/>
            <w:hideMark/>
          </w:tcPr>
          <w:p w14:paraId="132FE271" w14:textId="16D52739"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30207</w:t>
            </w:r>
          </w:p>
        </w:tc>
        <w:tc>
          <w:tcPr>
            <w:tcW w:w="237" w:type="pct"/>
            <w:shd w:val="clear" w:color="000000" w:fill="FFFFFF"/>
            <w:noWrap/>
            <w:vAlign w:val="center"/>
            <w:hideMark/>
          </w:tcPr>
          <w:p w14:paraId="2F0ED6D4" w14:textId="0A4E60B8"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60414</w:t>
            </w:r>
          </w:p>
        </w:tc>
        <w:tc>
          <w:tcPr>
            <w:tcW w:w="216" w:type="pct"/>
            <w:shd w:val="clear" w:color="000000" w:fill="FFFFFF"/>
            <w:noWrap/>
            <w:vAlign w:val="center"/>
            <w:hideMark/>
          </w:tcPr>
          <w:p w14:paraId="67544B52" w14:textId="7BE1305B"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60414</w:t>
            </w:r>
          </w:p>
        </w:tc>
        <w:tc>
          <w:tcPr>
            <w:tcW w:w="214" w:type="pct"/>
            <w:shd w:val="clear" w:color="000000" w:fill="FFFFFF"/>
            <w:noWrap/>
            <w:vAlign w:val="center"/>
            <w:hideMark/>
          </w:tcPr>
          <w:p w14:paraId="27DA6D7F" w14:textId="09091823"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65571</w:t>
            </w:r>
          </w:p>
        </w:tc>
        <w:tc>
          <w:tcPr>
            <w:tcW w:w="214" w:type="pct"/>
            <w:shd w:val="clear" w:color="000000" w:fill="FFFFFF"/>
            <w:noWrap/>
            <w:vAlign w:val="center"/>
            <w:hideMark/>
          </w:tcPr>
          <w:p w14:paraId="01A75969" w14:textId="3CEF9A9B"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70727</w:t>
            </w:r>
          </w:p>
        </w:tc>
        <w:tc>
          <w:tcPr>
            <w:tcW w:w="214" w:type="pct"/>
            <w:shd w:val="clear" w:color="000000" w:fill="FFFFFF"/>
            <w:noWrap/>
            <w:vAlign w:val="center"/>
            <w:hideMark/>
          </w:tcPr>
          <w:p w14:paraId="0C1DD46F" w14:textId="4F0B065F"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73562</w:t>
            </w:r>
          </w:p>
        </w:tc>
        <w:tc>
          <w:tcPr>
            <w:tcW w:w="216" w:type="pct"/>
            <w:shd w:val="clear" w:color="000000" w:fill="FFFFFF"/>
            <w:noWrap/>
            <w:vAlign w:val="center"/>
          </w:tcPr>
          <w:p w14:paraId="6F6B5E25" w14:textId="75005116"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63493</w:t>
            </w:r>
          </w:p>
        </w:tc>
        <w:tc>
          <w:tcPr>
            <w:tcW w:w="214" w:type="pct"/>
            <w:shd w:val="clear" w:color="000000" w:fill="FFFFFF"/>
            <w:vAlign w:val="center"/>
          </w:tcPr>
          <w:p w14:paraId="0507A326" w14:textId="2833AC62" w:rsidR="00436482" w:rsidRPr="00611C9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28129</w:t>
            </w:r>
          </w:p>
        </w:tc>
        <w:tc>
          <w:tcPr>
            <w:tcW w:w="214" w:type="pct"/>
            <w:shd w:val="clear" w:color="000000" w:fill="FFFFFF"/>
            <w:vAlign w:val="center"/>
          </w:tcPr>
          <w:p w14:paraId="110AA1AE" w14:textId="6168FAF3" w:rsidR="00436482" w:rsidRPr="00611C9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2835</w:t>
            </w:r>
          </w:p>
        </w:tc>
        <w:tc>
          <w:tcPr>
            <w:tcW w:w="214" w:type="pct"/>
            <w:shd w:val="clear" w:color="000000" w:fill="FFFFFF"/>
            <w:vAlign w:val="center"/>
          </w:tcPr>
          <w:p w14:paraId="5FE93E84" w14:textId="137023D5" w:rsidR="00436482" w:rsidRPr="00611C9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2835</w:t>
            </w:r>
          </w:p>
        </w:tc>
        <w:tc>
          <w:tcPr>
            <w:tcW w:w="216" w:type="pct"/>
            <w:shd w:val="clear" w:color="000000" w:fill="FFFFFF"/>
            <w:vAlign w:val="center"/>
          </w:tcPr>
          <w:p w14:paraId="12103189" w14:textId="7B4E09AE" w:rsidR="00436482" w:rsidRPr="00611C98" w:rsidRDefault="00436482" w:rsidP="00436482">
            <w:pPr>
              <w:jc w:val="center"/>
              <w:rPr>
                <w:rFonts w:ascii="华文细黑" w:eastAsia="华文细黑" w:hAnsi="华文细黑"/>
                <w:color w:val="000000"/>
                <w:sz w:val="13"/>
                <w:szCs w:val="13"/>
              </w:rPr>
            </w:pPr>
          </w:p>
        </w:tc>
        <w:tc>
          <w:tcPr>
            <w:tcW w:w="232" w:type="pct"/>
            <w:shd w:val="clear" w:color="000000" w:fill="FFFFFF"/>
            <w:noWrap/>
            <w:vAlign w:val="center"/>
            <w:hideMark/>
          </w:tcPr>
          <w:p w14:paraId="4E71D9C6" w14:textId="6C5594C0"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458187</w:t>
            </w:r>
          </w:p>
        </w:tc>
      </w:tr>
      <w:tr w:rsidR="00436482" w:rsidRPr="00E05368" w14:paraId="4C44769C" w14:textId="77777777" w:rsidTr="00436482">
        <w:trPr>
          <w:trHeight w:val="340"/>
          <w:jc w:val="center"/>
        </w:trPr>
        <w:tc>
          <w:tcPr>
            <w:tcW w:w="190" w:type="pct"/>
            <w:shd w:val="clear" w:color="000000" w:fill="FFFFFF"/>
            <w:noWrap/>
            <w:vAlign w:val="center"/>
            <w:hideMark/>
          </w:tcPr>
          <w:p w14:paraId="5800E60F"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2</w:t>
            </w:r>
          </w:p>
        </w:tc>
        <w:tc>
          <w:tcPr>
            <w:tcW w:w="810" w:type="pct"/>
            <w:shd w:val="clear" w:color="000000" w:fill="FFFFFF"/>
            <w:noWrap/>
            <w:vAlign w:val="center"/>
            <w:hideMark/>
          </w:tcPr>
          <w:p w14:paraId="0E392C11" w14:textId="1E6EF70B"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销售收入</w:t>
            </w:r>
          </w:p>
        </w:tc>
        <w:tc>
          <w:tcPr>
            <w:tcW w:w="237" w:type="pct"/>
            <w:shd w:val="clear" w:color="000000" w:fill="FFFFFF"/>
            <w:noWrap/>
            <w:vAlign w:val="center"/>
          </w:tcPr>
          <w:p w14:paraId="425C4D1C" w14:textId="77777777" w:rsidR="00436482" w:rsidRPr="00035628" w:rsidRDefault="00436482" w:rsidP="00436482">
            <w:pPr>
              <w:jc w:val="center"/>
              <w:rPr>
                <w:rFonts w:ascii="华文细黑" w:eastAsia="华文细黑" w:hAnsi="华文细黑"/>
                <w:color w:val="000000"/>
                <w:sz w:val="13"/>
                <w:szCs w:val="13"/>
              </w:rPr>
            </w:pPr>
          </w:p>
        </w:tc>
        <w:tc>
          <w:tcPr>
            <w:tcW w:w="293" w:type="pct"/>
            <w:shd w:val="clear" w:color="000000" w:fill="FFFFFF"/>
            <w:noWrap/>
            <w:vAlign w:val="center"/>
          </w:tcPr>
          <w:p w14:paraId="6A070934" w14:textId="77777777" w:rsidR="00436482" w:rsidRPr="00035628" w:rsidRDefault="00436482" w:rsidP="00436482">
            <w:pPr>
              <w:jc w:val="center"/>
              <w:rPr>
                <w:rFonts w:ascii="华文细黑" w:eastAsia="华文细黑" w:hAnsi="华文细黑"/>
                <w:color w:val="000000"/>
                <w:sz w:val="13"/>
                <w:szCs w:val="13"/>
              </w:rPr>
            </w:pPr>
          </w:p>
        </w:tc>
        <w:tc>
          <w:tcPr>
            <w:tcW w:w="293" w:type="pct"/>
            <w:shd w:val="clear" w:color="000000" w:fill="FFFFFF"/>
            <w:noWrap/>
            <w:vAlign w:val="center"/>
          </w:tcPr>
          <w:p w14:paraId="2AF90E85" w14:textId="4BEE1012" w:rsidR="00436482" w:rsidRPr="00035628" w:rsidRDefault="00436482" w:rsidP="00436482">
            <w:pPr>
              <w:jc w:val="center"/>
              <w:rPr>
                <w:rFonts w:ascii="华文细黑" w:eastAsia="华文细黑" w:hAnsi="华文细黑"/>
                <w:color w:val="000000"/>
                <w:sz w:val="13"/>
                <w:szCs w:val="13"/>
              </w:rPr>
            </w:pPr>
          </w:p>
        </w:tc>
        <w:tc>
          <w:tcPr>
            <w:tcW w:w="293" w:type="pct"/>
            <w:shd w:val="clear" w:color="000000" w:fill="FFFFFF"/>
            <w:noWrap/>
            <w:vAlign w:val="center"/>
          </w:tcPr>
          <w:p w14:paraId="2FAEDD1C" w14:textId="1B66A5A9" w:rsidR="00436482" w:rsidRPr="00035628" w:rsidRDefault="00436482" w:rsidP="00436482">
            <w:pPr>
              <w:jc w:val="center"/>
              <w:rPr>
                <w:rFonts w:ascii="华文细黑" w:eastAsia="华文细黑" w:hAnsi="华文细黑"/>
                <w:color w:val="000000"/>
                <w:sz w:val="13"/>
                <w:szCs w:val="13"/>
              </w:rPr>
            </w:pPr>
          </w:p>
        </w:tc>
        <w:tc>
          <w:tcPr>
            <w:tcW w:w="247" w:type="pct"/>
            <w:shd w:val="clear" w:color="000000" w:fill="FFFFFF"/>
            <w:noWrap/>
            <w:vAlign w:val="center"/>
          </w:tcPr>
          <w:p w14:paraId="62653803" w14:textId="175B0F4C" w:rsidR="00436482" w:rsidRPr="00035628" w:rsidRDefault="00436482" w:rsidP="00436482">
            <w:pPr>
              <w:jc w:val="center"/>
              <w:rPr>
                <w:rFonts w:ascii="华文细黑" w:eastAsia="华文细黑" w:hAnsi="华文细黑"/>
                <w:color w:val="000000"/>
                <w:sz w:val="13"/>
                <w:szCs w:val="13"/>
              </w:rPr>
            </w:pPr>
          </w:p>
        </w:tc>
        <w:tc>
          <w:tcPr>
            <w:tcW w:w="237" w:type="pct"/>
            <w:shd w:val="clear" w:color="000000" w:fill="FFFFFF"/>
            <w:noWrap/>
            <w:vAlign w:val="center"/>
            <w:hideMark/>
          </w:tcPr>
          <w:p w14:paraId="6022B7CF" w14:textId="43E1C26C"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30207</w:t>
            </w:r>
          </w:p>
        </w:tc>
        <w:tc>
          <w:tcPr>
            <w:tcW w:w="237" w:type="pct"/>
            <w:shd w:val="clear" w:color="000000" w:fill="FFFFFF"/>
            <w:noWrap/>
            <w:vAlign w:val="center"/>
            <w:hideMark/>
          </w:tcPr>
          <w:p w14:paraId="2EF26F8B" w14:textId="46EC6F4B"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60414</w:t>
            </w:r>
          </w:p>
        </w:tc>
        <w:tc>
          <w:tcPr>
            <w:tcW w:w="216" w:type="pct"/>
            <w:shd w:val="clear" w:color="000000" w:fill="FFFFFF"/>
            <w:noWrap/>
            <w:vAlign w:val="center"/>
            <w:hideMark/>
          </w:tcPr>
          <w:p w14:paraId="25ADFE31" w14:textId="777663B7"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60414</w:t>
            </w:r>
          </w:p>
        </w:tc>
        <w:tc>
          <w:tcPr>
            <w:tcW w:w="214" w:type="pct"/>
            <w:shd w:val="clear" w:color="000000" w:fill="FFFFFF"/>
            <w:noWrap/>
            <w:vAlign w:val="center"/>
            <w:hideMark/>
          </w:tcPr>
          <w:p w14:paraId="1EFD5759" w14:textId="13DC4AA9"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65571</w:t>
            </w:r>
          </w:p>
        </w:tc>
        <w:tc>
          <w:tcPr>
            <w:tcW w:w="214" w:type="pct"/>
            <w:shd w:val="clear" w:color="000000" w:fill="FFFFFF"/>
            <w:noWrap/>
            <w:vAlign w:val="center"/>
            <w:hideMark/>
          </w:tcPr>
          <w:p w14:paraId="780CB7FC" w14:textId="0528ED85"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70727</w:t>
            </w:r>
          </w:p>
        </w:tc>
        <w:tc>
          <w:tcPr>
            <w:tcW w:w="214" w:type="pct"/>
            <w:shd w:val="clear" w:color="000000" w:fill="FFFFFF"/>
            <w:noWrap/>
            <w:vAlign w:val="center"/>
            <w:hideMark/>
          </w:tcPr>
          <w:p w14:paraId="1AFB49C4" w14:textId="0E2CBCAB"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73562</w:t>
            </w:r>
          </w:p>
        </w:tc>
        <w:tc>
          <w:tcPr>
            <w:tcW w:w="216" w:type="pct"/>
            <w:shd w:val="clear" w:color="000000" w:fill="FFFFFF"/>
            <w:noWrap/>
            <w:vAlign w:val="center"/>
          </w:tcPr>
          <w:p w14:paraId="3549AA69" w14:textId="654EAC2F"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63493</w:t>
            </w:r>
          </w:p>
        </w:tc>
        <w:tc>
          <w:tcPr>
            <w:tcW w:w="214" w:type="pct"/>
            <w:shd w:val="clear" w:color="000000" w:fill="FFFFFF"/>
            <w:vAlign w:val="center"/>
          </w:tcPr>
          <w:p w14:paraId="661B5F8D" w14:textId="16306C88" w:rsidR="00436482" w:rsidRPr="00611C9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28129</w:t>
            </w:r>
          </w:p>
        </w:tc>
        <w:tc>
          <w:tcPr>
            <w:tcW w:w="214" w:type="pct"/>
            <w:shd w:val="clear" w:color="000000" w:fill="FFFFFF"/>
            <w:vAlign w:val="center"/>
          </w:tcPr>
          <w:p w14:paraId="432D8328" w14:textId="5AC04EA2" w:rsidR="00436482" w:rsidRPr="00611C9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2835</w:t>
            </w:r>
          </w:p>
        </w:tc>
        <w:tc>
          <w:tcPr>
            <w:tcW w:w="214" w:type="pct"/>
            <w:shd w:val="clear" w:color="000000" w:fill="FFFFFF"/>
            <w:vAlign w:val="center"/>
          </w:tcPr>
          <w:p w14:paraId="440D74B1" w14:textId="1E9583A8" w:rsidR="00436482" w:rsidRPr="00611C9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2835</w:t>
            </w:r>
          </w:p>
        </w:tc>
        <w:tc>
          <w:tcPr>
            <w:tcW w:w="216" w:type="pct"/>
            <w:shd w:val="clear" w:color="000000" w:fill="FFFFFF"/>
            <w:vAlign w:val="center"/>
          </w:tcPr>
          <w:p w14:paraId="53427800" w14:textId="7BD64A53" w:rsidR="00436482" w:rsidRPr="00611C98" w:rsidRDefault="00436482" w:rsidP="00436482">
            <w:pPr>
              <w:jc w:val="center"/>
              <w:rPr>
                <w:rFonts w:ascii="华文细黑" w:eastAsia="华文细黑" w:hAnsi="华文细黑"/>
                <w:color w:val="000000"/>
                <w:sz w:val="13"/>
                <w:szCs w:val="13"/>
              </w:rPr>
            </w:pPr>
          </w:p>
        </w:tc>
        <w:tc>
          <w:tcPr>
            <w:tcW w:w="232" w:type="pct"/>
            <w:shd w:val="clear" w:color="000000" w:fill="FFFFFF"/>
            <w:noWrap/>
            <w:vAlign w:val="center"/>
            <w:hideMark/>
          </w:tcPr>
          <w:p w14:paraId="6EBC6390" w14:textId="2A387CD7"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458187</w:t>
            </w:r>
          </w:p>
        </w:tc>
      </w:tr>
      <w:tr w:rsidR="00436482" w:rsidRPr="00E05368" w14:paraId="3865A708" w14:textId="77777777" w:rsidTr="00436482">
        <w:trPr>
          <w:trHeight w:val="340"/>
          <w:jc w:val="center"/>
        </w:trPr>
        <w:tc>
          <w:tcPr>
            <w:tcW w:w="190" w:type="pct"/>
            <w:shd w:val="clear" w:color="000000" w:fill="FFFFFF"/>
            <w:noWrap/>
            <w:vAlign w:val="center"/>
            <w:hideMark/>
          </w:tcPr>
          <w:p w14:paraId="79871CB4" w14:textId="77777777" w:rsidR="00436482" w:rsidRPr="00035628" w:rsidRDefault="00436482" w:rsidP="00436482">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3</w:t>
            </w:r>
          </w:p>
        </w:tc>
        <w:tc>
          <w:tcPr>
            <w:tcW w:w="810" w:type="pct"/>
            <w:shd w:val="clear" w:color="000000" w:fill="FFFFFF"/>
            <w:noWrap/>
            <w:vAlign w:val="center"/>
            <w:hideMark/>
          </w:tcPr>
          <w:p w14:paraId="7623AC9A" w14:textId="13561B2C"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现金流出</w:t>
            </w:r>
          </w:p>
        </w:tc>
        <w:tc>
          <w:tcPr>
            <w:tcW w:w="237" w:type="pct"/>
            <w:shd w:val="clear" w:color="000000" w:fill="FFFFFF"/>
            <w:noWrap/>
            <w:vAlign w:val="center"/>
          </w:tcPr>
          <w:p w14:paraId="51A19983" w14:textId="0DE45C6F" w:rsidR="00436482" w:rsidRPr="00035628" w:rsidRDefault="00436482" w:rsidP="00436482">
            <w:pPr>
              <w:jc w:val="center"/>
              <w:rPr>
                <w:rFonts w:ascii="华文细黑" w:eastAsia="华文细黑" w:hAnsi="华文细黑"/>
                <w:color w:val="000000"/>
                <w:sz w:val="13"/>
                <w:szCs w:val="13"/>
              </w:rPr>
            </w:pPr>
          </w:p>
        </w:tc>
        <w:tc>
          <w:tcPr>
            <w:tcW w:w="293" w:type="pct"/>
            <w:shd w:val="clear" w:color="000000" w:fill="FFFFFF"/>
            <w:noWrap/>
            <w:vAlign w:val="center"/>
            <w:hideMark/>
          </w:tcPr>
          <w:p w14:paraId="3F8B2350" w14:textId="28B9B709"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125500</w:t>
            </w:r>
          </w:p>
        </w:tc>
        <w:tc>
          <w:tcPr>
            <w:tcW w:w="293" w:type="pct"/>
            <w:shd w:val="clear" w:color="000000" w:fill="FFFFFF"/>
            <w:noWrap/>
            <w:vAlign w:val="center"/>
            <w:hideMark/>
          </w:tcPr>
          <w:p w14:paraId="57D67D0B" w14:textId="77AF9408"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135386</w:t>
            </w:r>
          </w:p>
        </w:tc>
        <w:tc>
          <w:tcPr>
            <w:tcW w:w="293" w:type="pct"/>
            <w:shd w:val="clear" w:color="000000" w:fill="FFFFFF"/>
            <w:noWrap/>
            <w:vAlign w:val="center"/>
            <w:hideMark/>
          </w:tcPr>
          <w:p w14:paraId="5A87E5B0" w14:textId="25CEE6DA"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11640</w:t>
            </w:r>
          </w:p>
        </w:tc>
        <w:tc>
          <w:tcPr>
            <w:tcW w:w="247" w:type="pct"/>
            <w:shd w:val="clear" w:color="000000" w:fill="FFFFFF"/>
            <w:noWrap/>
            <w:vAlign w:val="center"/>
            <w:hideMark/>
          </w:tcPr>
          <w:p w14:paraId="2A8370D9" w14:textId="0D7AFAE9"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12516</w:t>
            </w:r>
          </w:p>
        </w:tc>
        <w:tc>
          <w:tcPr>
            <w:tcW w:w="237" w:type="pct"/>
            <w:shd w:val="clear" w:color="000000" w:fill="FFFFFF"/>
            <w:noWrap/>
            <w:vAlign w:val="center"/>
            <w:hideMark/>
          </w:tcPr>
          <w:p w14:paraId="0F8CFB7E" w14:textId="41F87B96"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13313</w:t>
            </w:r>
          </w:p>
        </w:tc>
        <w:tc>
          <w:tcPr>
            <w:tcW w:w="237" w:type="pct"/>
            <w:shd w:val="clear" w:color="000000" w:fill="FFFFFF"/>
            <w:noWrap/>
            <w:vAlign w:val="center"/>
            <w:hideMark/>
          </w:tcPr>
          <w:p w14:paraId="2E98CF44" w14:textId="74A9F325"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17249</w:t>
            </w:r>
          </w:p>
        </w:tc>
        <w:tc>
          <w:tcPr>
            <w:tcW w:w="216" w:type="pct"/>
            <w:shd w:val="clear" w:color="000000" w:fill="FFFFFF"/>
            <w:noWrap/>
            <w:vAlign w:val="center"/>
            <w:hideMark/>
          </w:tcPr>
          <w:p w14:paraId="375429E9" w14:textId="36E1C17C"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17738</w:t>
            </w:r>
          </w:p>
        </w:tc>
        <w:tc>
          <w:tcPr>
            <w:tcW w:w="214" w:type="pct"/>
            <w:shd w:val="clear" w:color="000000" w:fill="FFFFFF"/>
            <w:noWrap/>
            <w:vAlign w:val="center"/>
            <w:hideMark/>
          </w:tcPr>
          <w:p w14:paraId="32D8B10D" w14:textId="0DC8933B"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18156</w:t>
            </w:r>
          </w:p>
        </w:tc>
        <w:tc>
          <w:tcPr>
            <w:tcW w:w="214" w:type="pct"/>
            <w:shd w:val="clear" w:color="000000" w:fill="FFFFFF"/>
            <w:noWrap/>
            <w:vAlign w:val="center"/>
            <w:hideMark/>
          </w:tcPr>
          <w:p w14:paraId="3E0D1EA8" w14:textId="62C50876"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18083</w:t>
            </w:r>
          </w:p>
        </w:tc>
        <w:tc>
          <w:tcPr>
            <w:tcW w:w="214" w:type="pct"/>
            <w:shd w:val="clear" w:color="000000" w:fill="FFFFFF"/>
            <w:noWrap/>
            <w:vAlign w:val="center"/>
            <w:hideMark/>
          </w:tcPr>
          <w:p w14:paraId="185DF231" w14:textId="3BE28264"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16215</w:t>
            </w:r>
          </w:p>
        </w:tc>
        <w:tc>
          <w:tcPr>
            <w:tcW w:w="216" w:type="pct"/>
            <w:shd w:val="clear" w:color="000000" w:fill="FFFFFF"/>
            <w:noWrap/>
            <w:vAlign w:val="center"/>
            <w:hideMark/>
          </w:tcPr>
          <w:p w14:paraId="67210F80" w14:textId="7BB102E7"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15601</w:t>
            </w:r>
          </w:p>
        </w:tc>
        <w:tc>
          <w:tcPr>
            <w:tcW w:w="214" w:type="pct"/>
            <w:shd w:val="clear" w:color="000000" w:fill="FFFFFF"/>
            <w:vAlign w:val="center"/>
          </w:tcPr>
          <w:p w14:paraId="7A5C8933" w14:textId="50C94A2F" w:rsidR="00436482" w:rsidRPr="00611C9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10195</w:t>
            </w:r>
          </w:p>
        </w:tc>
        <w:tc>
          <w:tcPr>
            <w:tcW w:w="214" w:type="pct"/>
            <w:shd w:val="clear" w:color="000000" w:fill="FFFFFF"/>
            <w:vAlign w:val="center"/>
          </w:tcPr>
          <w:p w14:paraId="4B08525A" w14:textId="552FC710" w:rsidR="00436482" w:rsidRPr="00611C9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228</w:t>
            </w:r>
          </w:p>
        </w:tc>
        <w:tc>
          <w:tcPr>
            <w:tcW w:w="214" w:type="pct"/>
            <w:shd w:val="clear" w:color="000000" w:fill="FFFFFF"/>
            <w:vAlign w:val="center"/>
          </w:tcPr>
          <w:p w14:paraId="194C2508" w14:textId="24F4906C" w:rsidR="00436482" w:rsidRPr="00611C9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229</w:t>
            </w:r>
          </w:p>
        </w:tc>
        <w:tc>
          <w:tcPr>
            <w:tcW w:w="216" w:type="pct"/>
            <w:shd w:val="clear" w:color="000000" w:fill="FFFFFF"/>
            <w:vAlign w:val="center"/>
          </w:tcPr>
          <w:p w14:paraId="193571AF" w14:textId="55555061" w:rsidR="00436482" w:rsidRPr="00611C9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-8306</w:t>
            </w:r>
          </w:p>
        </w:tc>
        <w:tc>
          <w:tcPr>
            <w:tcW w:w="232" w:type="pct"/>
            <w:shd w:val="clear" w:color="000000" w:fill="FFFFFF"/>
            <w:noWrap/>
            <w:vAlign w:val="center"/>
            <w:hideMark/>
          </w:tcPr>
          <w:p w14:paraId="6ABB8EE4" w14:textId="44F98E93"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403743</w:t>
            </w:r>
          </w:p>
        </w:tc>
      </w:tr>
      <w:tr w:rsidR="00436482" w:rsidRPr="00E05368" w14:paraId="3606E531" w14:textId="77777777" w:rsidTr="00436482">
        <w:trPr>
          <w:trHeight w:val="340"/>
          <w:jc w:val="center"/>
        </w:trPr>
        <w:tc>
          <w:tcPr>
            <w:tcW w:w="190" w:type="pct"/>
            <w:shd w:val="clear" w:color="000000" w:fill="FFFFFF"/>
            <w:noWrap/>
            <w:vAlign w:val="center"/>
            <w:hideMark/>
          </w:tcPr>
          <w:p w14:paraId="2EC5AE75" w14:textId="77777777" w:rsidR="00436482" w:rsidRPr="00035628" w:rsidRDefault="00436482" w:rsidP="00436482">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4</w:t>
            </w:r>
          </w:p>
        </w:tc>
        <w:tc>
          <w:tcPr>
            <w:tcW w:w="810" w:type="pct"/>
            <w:shd w:val="clear" w:color="000000" w:fill="FFFFFF"/>
            <w:noWrap/>
            <w:vAlign w:val="center"/>
            <w:hideMark/>
          </w:tcPr>
          <w:p w14:paraId="701F8A65" w14:textId="216E9D5A"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建设经营成本</w:t>
            </w:r>
          </w:p>
        </w:tc>
        <w:tc>
          <w:tcPr>
            <w:tcW w:w="237" w:type="pct"/>
            <w:shd w:val="clear" w:color="000000" w:fill="FFFFFF"/>
            <w:noWrap/>
            <w:vAlign w:val="center"/>
          </w:tcPr>
          <w:p w14:paraId="050D3144" w14:textId="0CBAC3AD" w:rsidR="00436482" w:rsidRPr="00035628" w:rsidRDefault="00436482" w:rsidP="00436482">
            <w:pPr>
              <w:jc w:val="center"/>
              <w:rPr>
                <w:rFonts w:ascii="华文细黑" w:eastAsia="华文细黑" w:hAnsi="华文细黑"/>
                <w:color w:val="000000"/>
                <w:sz w:val="13"/>
                <w:szCs w:val="13"/>
              </w:rPr>
            </w:pPr>
          </w:p>
        </w:tc>
        <w:tc>
          <w:tcPr>
            <w:tcW w:w="293" w:type="pct"/>
            <w:shd w:val="clear" w:color="000000" w:fill="FFFFFF"/>
            <w:noWrap/>
            <w:vAlign w:val="center"/>
            <w:hideMark/>
          </w:tcPr>
          <w:p w14:paraId="6627B8D2" w14:textId="34DF887A"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125500</w:t>
            </w:r>
          </w:p>
        </w:tc>
        <w:tc>
          <w:tcPr>
            <w:tcW w:w="293" w:type="pct"/>
            <w:shd w:val="clear" w:color="000000" w:fill="FFFFFF"/>
            <w:noWrap/>
            <w:vAlign w:val="center"/>
            <w:hideMark/>
          </w:tcPr>
          <w:p w14:paraId="1CEA3632" w14:textId="7E837972"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135386</w:t>
            </w:r>
          </w:p>
        </w:tc>
        <w:tc>
          <w:tcPr>
            <w:tcW w:w="293" w:type="pct"/>
            <w:shd w:val="clear" w:color="000000" w:fill="FFFFFF"/>
            <w:noWrap/>
            <w:vAlign w:val="center"/>
            <w:hideMark/>
          </w:tcPr>
          <w:p w14:paraId="602DD0D6" w14:textId="14D71569"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11640</w:t>
            </w:r>
          </w:p>
        </w:tc>
        <w:tc>
          <w:tcPr>
            <w:tcW w:w="247" w:type="pct"/>
            <w:shd w:val="clear" w:color="000000" w:fill="FFFFFF"/>
            <w:noWrap/>
            <w:vAlign w:val="center"/>
            <w:hideMark/>
          </w:tcPr>
          <w:p w14:paraId="58B1962E" w14:textId="1A5D0E86"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12516</w:t>
            </w:r>
          </w:p>
        </w:tc>
        <w:tc>
          <w:tcPr>
            <w:tcW w:w="237" w:type="pct"/>
            <w:shd w:val="clear" w:color="000000" w:fill="FFFFFF"/>
            <w:noWrap/>
            <w:vAlign w:val="center"/>
            <w:hideMark/>
          </w:tcPr>
          <w:p w14:paraId="2FDB46E4" w14:textId="7F02F90D"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11778</w:t>
            </w:r>
          </w:p>
        </w:tc>
        <w:tc>
          <w:tcPr>
            <w:tcW w:w="237" w:type="pct"/>
            <w:shd w:val="clear" w:color="000000" w:fill="FFFFFF"/>
            <w:noWrap/>
            <w:vAlign w:val="center"/>
            <w:hideMark/>
          </w:tcPr>
          <w:p w14:paraId="0A3B6D0D" w14:textId="301967C7"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14179</w:t>
            </w:r>
          </w:p>
        </w:tc>
        <w:tc>
          <w:tcPr>
            <w:tcW w:w="216" w:type="pct"/>
            <w:shd w:val="clear" w:color="000000" w:fill="FFFFFF"/>
            <w:noWrap/>
            <w:vAlign w:val="center"/>
            <w:hideMark/>
          </w:tcPr>
          <w:p w14:paraId="24D3457F" w14:textId="59AF011A"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14668</w:t>
            </w:r>
          </w:p>
        </w:tc>
        <w:tc>
          <w:tcPr>
            <w:tcW w:w="214" w:type="pct"/>
            <w:shd w:val="clear" w:color="000000" w:fill="FFFFFF"/>
            <w:noWrap/>
            <w:vAlign w:val="center"/>
            <w:hideMark/>
          </w:tcPr>
          <w:p w14:paraId="581DCE56" w14:textId="29CA2B0C"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14720</w:t>
            </w:r>
          </w:p>
        </w:tc>
        <w:tc>
          <w:tcPr>
            <w:tcW w:w="214" w:type="pct"/>
            <w:shd w:val="clear" w:color="000000" w:fill="FFFFFF"/>
            <w:noWrap/>
            <w:vAlign w:val="center"/>
            <w:hideMark/>
          </w:tcPr>
          <w:p w14:paraId="0A8191BC" w14:textId="4BE234B7"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14282</w:t>
            </w:r>
          </w:p>
        </w:tc>
        <w:tc>
          <w:tcPr>
            <w:tcW w:w="214" w:type="pct"/>
            <w:shd w:val="clear" w:color="000000" w:fill="FFFFFF"/>
            <w:noWrap/>
            <w:vAlign w:val="center"/>
            <w:hideMark/>
          </w:tcPr>
          <w:p w14:paraId="27C0A0A1" w14:textId="400D23A7"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12212</w:t>
            </w:r>
          </w:p>
        </w:tc>
        <w:tc>
          <w:tcPr>
            <w:tcW w:w="216" w:type="pct"/>
            <w:shd w:val="clear" w:color="000000" w:fill="FFFFFF"/>
            <w:noWrap/>
            <w:vAlign w:val="center"/>
          </w:tcPr>
          <w:p w14:paraId="23DF1755" w14:textId="531D88F8"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12111</w:t>
            </w:r>
          </w:p>
        </w:tc>
        <w:tc>
          <w:tcPr>
            <w:tcW w:w="214" w:type="pct"/>
            <w:shd w:val="clear" w:color="000000" w:fill="FFFFFF"/>
            <w:vAlign w:val="center"/>
          </w:tcPr>
          <w:p w14:paraId="408EDF5C" w14:textId="2F1C80FD" w:rsidR="00436482" w:rsidRPr="00611C9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8607</w:t>
            </w:r>
          </w:p>
        </w:tc>
        <w:tc>
          <w:tcPr>
            <w:tcW w:w="214" w:type="pct"/>
            <w:shd w:val="clear" w:color="000000" w:fill="FFFFFF"/>
            <w:vAlign w:val="center"/>
          </w:tcPr>
          <w:p w14:paraId="441BB133" w14:textId="738D3D27" w:rsidR="00436482" w:rsidRPr="00611C9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28</w:t>
            </w:r>
          </w:p>
        </w:tc>
        <w:tc>
          <w:tcPr>
            <w:tcW w:w="214" w:type="pct"/>
            <w:shd w:val="clear" w:color="000000" w:fill="FFFFFF"/>
            <w:vAlign w:val="center"/>
          </w:tcPr>
          <w:p w14:paraId="7569D721" w14:textId="0C6FF9CE" w:rsidR="00436482" w:rsidRPr="00611C9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29</w:t>
            </w:r>
          </w:p>
        </w:tc>
        <w:tc>
          <w:tcPr>
            <w:tcW w:w="216" w:type="pct"/>
            <w:shd w:val="clear" w:color="000000" w:fill="FFFFFF"/>
            <w:vAlign w:val="center"/>
          </w:tcPr>
          <w:p w14:paraId="786EF283" w14:textId="3F0B8B00" w:rsidR="00436482" w:rsidRPr="00611C98" w:rsidRDefault="00436482" w:rsidP="00436482">
            <w:pPr>
              <w:jc w:val="center"/>
              <w:rPr>
                <w:rFonts w:ascii="华文细黑" w:eastAsia="华文细黑" w:hAnsi="华文细黑"/>
                <w:color w:val="000000"/>
                <w:sz w:val="13"/>
                <w:szCs w:val="13"/>
              </w:rPr>
            </w:pPr>
          </w:p>
        </w:tc>
        <w:tc>
          <w:tcPr>
            <w:tcW w:w="232" w:type="pct"/>
            <w:shd w:val="clear" w:color="000000" w:fill="FFFFFF"/>
            <w:noWrap/>
            <w:vAlign w:val="center"/>
            <w:hideMark/>
          </w:tcPr>
          <w:p w14:paraId="2DE14453" w14:textId="29E1FC82"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387656</w:t>
            </w:r>
          </w:p>
        </w:tc>
      </w:tr>
      <w:tr w:rsidR="00436482" w:rsidRPr="00E05368" w14:paraId="0DC61429" w14:textId="77777777" w:rsidTr="00436482">
        <w:trPr>
          <w:trHeight w:val="340"/>
          <w:jc w:val="center"/>
        </w:trPr>
        <w:tc>
          <w:tcPr>
            <w:tcW w:w="190" w:type="pct"/>
            <w:shd w:val="clear" w:color="000000" w:fill="FFFFFF"/>
            <w:noWrap/>
            <w:vAlign w:val="center"/>
            <w:hideMark/>
          </w:tcPr>
          <w:p w14:paraId="419355C1" w14:textId="77777777" w:rsidR="00436482" w:rsidRPr="00035628" w:rsidRDefault="00436482" w:rsidP="00436482">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5</w:t>
            </w:r>
          </w:p>
        </w:tc>
        <w:tc>
          <w:tcPr>
            <w:tcW w:w="810" w:type="pct"/>
            <w:shd w:val="clear" w:color="000000" w:fill="FFFFFF"/>
            <w:noWrap/>
            <w:vAlign w:val="center"/>
            <w:hideMark/>
          </w:tcPr>
          <w:p w14:paraId="576CEE72" w14:textId="26630D58"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增值税及附加</w:t>
            </w:r>
          </w:p>
        </w:tc>
        <w:tc>
          <w:tcPr>
            <w:tcW w:w="237" w:type="pct"/>
            <w:shd w:val="clear" w:color="000000" w:fill="FFFFFF"/>
            <w:noWrap/>
            <w:vAlign w:val="center"/>
          </w:tcPr>
          <w:p w14:paraId="090465EE" w14:textId="77777777" w:rsidR="00436482" w:rsidRPr="00035628" w:rsidRDefault="00436482" w:rsidP="00436482">
            <w:pPr>
              <w:jc w:val="center"/>
              <w:rPr>
                <w:rFonts w:ascii="华文细黑" w:eastAsia="华文细黑" w:hAnsi="华文细黑"/>
                <w:color w:val="000000"/>
                <w:sz w:val="13"/>
                <w:szCs w:val="13"/>
              </w:rPr>
            </w:pPr>
          </w:p>
        </w:tc>
        <w:tc>
          <w:tcPr>
            <w:tcW w:w="293" w:type="pct"/>
            <w:shd w:val="clear" w:color="000000" w:fill="FFFFFF"/>
            <w:noWrap/>
            <w:vAlign w:val="center"/>
          </w:tcPr>
          <w:p w14:paraId="08C71F20" w14:textId="77777777" w:rsidR="00436482" w:rsidRPr="00035628" w:rsidRDefault="00436482" w:rsidP="00436482">
            <w:pPr>
              <w:jc w:val="center"/>
              <w:rPr>
                <w:rFonts w:ascii="华文细黑" w:eastAsia="华文细黑" w:hAnsi="华文细黑"/>
                <w:color w:val="000000"/>
                <w:sz w:val="13"/>
                <w:szCs w:val="13"/>
              </w:rPr>
            </w:pPr>
          </w:p>
        </w:tc>
        <w:tc>
          <w:tcPr>
            <w:tcW w:w="293" w:type="pct"/>
            <w:shd w:val="clear" w:color="000000" w:fill="FFFFFF"/>
            <w:noWrap/>
            <w:vAlign w:val="center"/>
          </w:tcPr>
          <w:p w14:paraId="5A01C2EC" w14:textId="5C890C3F" w:rsidR="00436482" w:rsidRPr="00035628" w:rsidRDefault="00436482" w:rsidP="00436482">
            <w:pPr>
              <w:jc w:val="center"/>
              <w:rPr>
                <w:rFonts w:ascii="华文细黑" w:eastAsia="华文细黑" w:hAnsi="华文细黑"/>
                <w:color w:val="000000"/>
                <w:sz w:val="13"/>
                <w:szCs w:val="13"/>
              </w:rPr>
            </w:pPr>
          </w:p>
        </w:tc>
        <w:tc>
          <w:tcPr>
            <w:tcW w:w="293" w:type="pct"/>
            <w:shd w:val="clear" w:color="000000" w:fill="FFFFFF"/>
            <w:noWrap/>
            <w:vAlign w:val="center"/>
          </w:tcPr>
          <w:p w14:paraId="109FCFB3" w14:textId="0E4A897C" w:rsidR="00436482" w:rsidRPr="00035628" w:rsidRDefault="00436482" w:rsidP="00436482">
            <w:pPr>
              <w:jc w:val="center"/>
              <w:rPr>
                <w:rFonts w:ascii="华文细黑" w:eastAsia="华文细黑" w:hAnsi="华文细黑"/>
                <w:color w:val="000000"/>
                <w:sz w:val="13"/>
                <w:szCs w:val="13"/>
              </w:rPr>
            </w:pPr>
          </w:p>
        </w:tc>
        <w:tc>
          <w:tcPr>
            <w:tcW w:w="247" w:type="pct"/>
            <w:shd w:val="clear" w:color="000000" w:fill="FFFFFF"/>
            <w:noWrap/>
            <w:vAlign w:val="center"/>
          </w:tcPr>
          <w:p w14:paraId="5DEFB215" w14:textId="38E041D6" w:rsidR="00436482" w:rsidRPr="00035628" w:rsidRDefault="00436482" w:rsidP="00436482">
            <w:pPr>
              <w:jc w:val="center"/>
              <w:rPr>
                <w:rFonts w:ascii="华文细黑" w:eastAsia="华文细黑" w:hAnsi="华文细黑"/>
                <w:color w:val="000000"/>
                <w:sz w:val="13"/>
                <w:szCs w:val="13"/>
              </w:rPr>
            </w:pPr>
          </w:p>
        </w:tc>
        <w:tc>
          <w:tcPr>
            <w:tcW w:w="237" w:type="pct"/>
            <w:shd w:val="clear" w:color="000000" w:fill="FFFFFF"/>
            <w:noWrap/>
            <w:vAlign w:val="center"/>
            <w:hideMark/>
          </w:tcPr>
          <w:p w14:paraId="4F8FC856" w14:textId="667BE669"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931</w:t>
            </w:r>
          </w:p>
        </w:tc>
        <w:tc>
          <w:tcPr>
            <w:tcW w:w="237" w:type="pct"/>
            <w:shd w:val="clear" w:color="000000" w:fill="FFFFFF"/>
            <w:noWrap/>
            <w:vAlign w:val="center"/>
            <w:hideMark/>
          </w:tcPr>
          <w:p w14:paraId="5A057CFB" w14:textId="3A432D93"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1862</w:t>
            </w:r>
          </w:p>
        </w:tc>
        <w:tc>
          <w:tcPr>
            <w:tcW w:w="216" w:type="pct"/>
            <w:shd w:val="clear" w:color="000000" w:fill="FFFFFF"/>
            <w:noWrap/>
            <w:vAlign w:val="center"/>
            <w:hideMark/>
          </w:tcPr>
          <w:p w14:paraId="1F989F0C" w14:textId="3E383BAA"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1862</w:t>
            </w:r>
          </w:p>
        </w:tc>
        <w:tc>
          <w:tcPr>
            <w:tcW w:w="214" w:type="pct"/>
            <w:shd w:val="clear" w:color="000000" w:fill="FFFFFF"/>
            <w:noWrap/>
            <w:vAlign w:val="center"/>
            <w:hideMark/>
          </w:tcPr>
          <w:p w14:paraId="3D1A5E7C" w14:textId="0E55CBBE"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2021</w:t>
            </w:r>
          </w:p>
        </w:tc>
        <w:tc>
          <w:tcPr>
            <w:tcW w:w="214" w:type="pct"/>
            <w:shd w:val="clear" w:color="000000" w:fill="FFFFFF"/>
            <w:noWrap/>
            <w:vAlign w:val="center"/>
            <w:hideMark/>
          </w:tcPr>
          <w:p w14:paraId="37A78DB2" w14:textId="0C75E97B"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2180</w:t>
            </w:r>
          </w:p>
        </w:tc>
        <w:tc>
          <w:tcPr>
            <w:tcW w:w="214" w:type="pct"/>
            <w:shd w:val="clear" w:color="000000" w:fill="FFFFFF"/>
            <w:noWrap/>
            <w:vAlign w:val="center"/>
            <w:hideMark/>
          </w:tcPr>
          <w:p w14:paraId="31F3A68E" w14:textId="228AC2AA"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2269</w:t>
            </w:r>
          </w:p>
        </w:tc>
        <w:tc>
          <w:tcPr>
            <w:tcW w:w="216" w:type="pct"/>
            <w:shd w:val="clear" w:color="000000" w:fill="FFFFFF"/>
            <w:noWrap/>
            <w:vAlign w:val="center"/>
          </w:tcPr>
          <w:p w14:paraId="6B495499" w14:textId="405AC954"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1957</w:t>
            </w:r>
          </w:p>
        </w:tc>
        <w:tc>
          <w:tcPr>
            <w:tcW w:w="214" w:type="pct"/>
            <w:shd w:val="clear" w:color="000000" w:fill="FFFFFF"/>
            <w:vAlign w:val="center"/>
          </w:tcPr>
          <w:p w14:paraId="773F6891" w14:textId="75EA5F9F" w:rsidR="00436482" w:rsidRPr="00611C9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866</w:t>
            </w:r>
          </w:p>
        </w:tc>
        <w:tc>
          <w:tcPr>
            <w:tcW w:w="214" w:type="pct"/>
            <w:shd w:val="clear" w:color="000000" w:fill="FFFFFF"/>
            <w:vAlign w:val="center"/>
          </w:tcPr>
          <w:p w14:paraId="569B6D99" w14:textId="3B635B3C" w:rsidR="00436482" w:rsidRPr="00611C9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87</w:t>
            </w:r>
          </w:p>
        </w:tc>
        <w:tc>
          <w:tcPr>
            <w:tcW w:w="214" w:type="pct"/>
            <w:shd w:val="clear" w:color="000000" w:fill="FFFFFF"/>
            <w:vAlign w:val="center"/>
          </w:tcPr>
          <w:p w14:paraId="23C86837" w14:textId="6DAFEC07" w:rsidR="00436482" w:rsidRPr="00611C9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87</w:t>
            </w:r>
          </w:p>
        </w:tc>
        <w:tc>
          <w:tcPr>
            <w:tcW w:w="216" w:type="pct"/>
            <w:shd w:val="clear" w:color="000000" w:fill="FFFFFF"/>
            <w:vAlign w:val="center"/>
          </w:tcPr>
          <w:p w14:paraId="5A52D374" w14:textId="29E2FEA3" w:rsidR="00436482" w:rsidRPr="00611C98" w:rsidRDefault="00436482" w:rsidP="00436482">
            <w:pPr>
              <w:jc w:val="center"/>
              <w:rPr>
                <w:rFonts w:ascii="华文细黑" w:eastAsia="华文细黑" w:hAnsi="华文细黑"/>
                <w:color w:val="000000"/>
                <w:sz w:val="13"/>
                <w:szCs w:val="13"/>
              </w:rPr>
            </w:pPr>
          </w:p>
        </w:tc>
        <w:tc>
          <w:tcPr>
            <w:tcW w:w="232" w:type="pct"/>
            <w:shd w:val="clear" w:color="000000" w:fill="FFFFFF"/>
            <w:noWrap/>
            <w:vAlign w:val="center"/>
            <w:hideMark/>
          </w:tcPr>
          <w:p w14:paraId="214922BB" w14:textId="18A1C1FC"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14122</w:t>
            </w:r>
          </w:p>
        </w:tc>
      </w:tr>
      <w:tr w:rsidR="00436482" w:rsidRPr="00E05368" w14:paraId="0F8386BF" w14:textId="77777777" w:rsidTr="00436482">
        <w:trPr>
          <w:trHeight w:val="340"/>
          <w:jc w:val="center"/>
        </w:trPr>
        <w:tc>
          <w:tcPr>
            <w:tcW w:w="190" w:type="pct"/>
            <w:shd w:val="clear" w:color="000000" w:fill="FFFFFF"/>
            <w:noWrap/>
            <w:vAlign w:val="center"/>
            <w:hideMark/>
          </w:tcPr>
          <w:p w14:paraId="03003387" w14:textId="77777777" w:rsidR="00436482" w:rsidRPr="00035628" w:rsidRDefault="00436482" w:rsidP="00436482">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6</w:t>
            </w:r>
          </w:p>
        </w:tc>
        <w:tc>
          <w:tcPr>
            <w:tcW w:w="810" w:type="pct"/>
            <w:shd w:val="clear" w:color="000000" w:fill="FFFFFF"/>
            <w:noWrap/>
            <w:vAlign w:val="center"/>
            <w:hideMark/>
          </w:tcPr>
          <w:p w14:paraId="66BBC6AE" w14:textId="4551E303"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土地增值税</w:t>
            </w:r>
          </w:p>
        </w:tc>
        <w:tc>
          <w:tcPr>
            <w:tcW w:w="237" w:type="pct"/>
            <w:shd w:val="clear" w:color="000000" w:fill="FFFFFF"/>
            <w:noWrap/>
            <w:vAlign w:val="center"/>
          </w:tcPr>
          <w:p w14:paraId="4CC1E71D" w14:textId="77777777" w:rsidR="00436482" w:rsidRPr="00035628" w:rsidRDefault="00436482" w:rsidP="00436482">
            <w:pPr>
              <w:jc w:val="center"/>
              <w:rPr>
                <w:rFonts w:ascii="华文细黑" w:eastAsia="华文细黑" w:hAnsi="华文细黑"/>
                <w:color w:val="000000"/>
                <w:sz w:val="13"/>
                <w:szCs w:val="13"/>
              </w:rPr>
            </w:pPr>
          </w:p>
        </w:tc>
        <w:tc>
          <w:tcPr>
            <w:tcW w:w="293" w:type="pct"/>
            <w:shd w:val="clear" w:color="000000" w:fill="FFFFFF"/>
            <w:noWrap/>
            <w:vAlign w:val="center"/>
          </w:tcPr>
          <w:p w14:paraId="45CC1E93" w14:textId="77777777" w:rsidR="00436482" w:rsidRPr="00035628" w:rsidRDefault="00436482" w:rsidP="00436482">
            <w:pPr>
              <w:jc w:val="center"/>
              <w:rPr>
                <w:rFonts w:ascii="华文细黑" w:eastAsia="华文细黑" w:hAnsi="华文细黑"/>
                <w:color w:val="000000"/>
                <w:sz w:val="13"/>
                <w:szCs w:val="13"/>
              </w:rPr>
            </w:pPr>
          </w:p>
        </w:tc>
        <w:tc>
          <w:tcPr>
            <w:tcW w:w="293" w:type="pct"/>
            <w:shd w:val="clear" w:color="000000" w:fill="FFFFFF"/>
            <w:noWrap/>
            <w:vAlign w:val="center"/>
          </w:tcPr>
          <w:p w14:paraId="42BDBB7A" w14:textId="6CCBDBC5" w:rsidR="00436482" w:rsidRPr="00035628" w:rsidRDefault="00436482" w:rsidP="00436482">
            <w:pPr>
              <w:jc w:val="center"/>
              <w:rPr>
                <w:rFonts w:ascii="华文细黑" w:eastAsia="华文细黑" w:hAnsi="华文细黑"/>
                <w:color w:val="000000"/>
                <w:sz w:val="13"/>
                <w:szCs w:val="13"/>
              </w:rPr>
            </w:pPr>
          </w:p>
        </w:tc>
        <w:tc>
          <w:tcPr>
            <w:tcW w:w="293" w:type="pct"/>
            <w:shd w:val="clear" w:color="000000" w:fill="FFFFFF"/>
            <w:noWrap/>
            <w:vAlign w:val="center"/>
          </w:tcPr>
          <w:p w14:paraId="03CE1B81" w14:textId="0EB910F2" w:rsidR="00436482" w:rsidRPr="00035628" w:rsidRDefault="00436482" w:rsidP="00436482">
            <w:pPr>
              <w:jc w:val="center"/>
              <w:rPr>
                <w:rFonts w:ascii="华文细黑" w:eastAsia="华文细黑" w:hAnsi="华文细黑"/>
                <w:color w:val="000000"/>
                <w:sz w:val="13"/>
                <w:szCs w:val="13"/>
              </w:rPr>
            </w:pPr>
          </w:p>
        </w:tc>
        <w:tc>
          <w:tcPr>
            <w:tcW w:w="247" w:type="pct"/>
            <w:shd w:val="clear" w:color="000000" w:fill="FFFFFF"/>
            <w:noWrap/>
            <w:vAlign w:val="center"/>
          </w:tcPr>
          <w:p w14:paraId="1501D1B9" w14:textId="10A7C18E" w:rsidR="00436482" w:rsidRPr="00035628" w:rsidRDefault="00436482" w:rsidP="00436482">
            <w:pPr>
              <w:jc w:val="center"/>
              <w:rPr>
                <w:rFonts w:ascii="华文细黑" w:eastAsia="华文细黑" w:hAnsi="华文细黑"/>
                <w:color w:val="000000"/>
                <w:sz w:val="13"/>
                <w:szCs w:val="13"/>
              </w:rPr>
            </w:pPr>
          </w:p>
        </w:tc>
        <w:tc>
          <w:tcPr>
            <w:tcW w:w="237" w:type="pct"/>
            <w:shd w:val="clear" w:color="000000" w:fill="FFFFFF"/>
            <w:noWrap/>
            <w:vAlign w:val="center"/>
            <w:hideMark/>
          </w:tcPr>
          <w:p w14:paraId="01D75FFB" w14:textId="109BA363"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604</w:t>
            </w:r>
          </w:p>
        </w:tc>
        <w:tc>
          <w:tcPr>
            <w:tcW w:w="237" w:type="pct"/>
            <w:shd w:val="clear" w:color="000000" w:fill="FFFFFF"/>
            <w:noWrap/>
            <w:vAlign w:val="center"/>
            <w:hideMark/>
          </w:tcPr>
          <w:p w14:paraId="3E89D562" w14:textId="3DD7C157"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1208</w:t>
            </w:r>
          </w:p>
        </w:tc>
        <w:tc>
          <w:tcPr>
            <w:tcW w:w="216" w:type="pct"/>
            <w:shd w:val="clear" w:color="000000" w:fill="FFFFFF"/>
            <w:noWrap/>
            <w:vAlign w:val="center"/>
            <w:hideMark/>
          </w:tcPr>
          <w:p w14:paraId="48CBE918" w14:textId="1920FF2C"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1208</w:t>
            </w:r>
          </w:p>
        </w:tc>
        <w:tc>
          <w:tcPr>
            <w:tcW w:w="214" w:type="pct"/>
            <w:shd w:val="clear" w:color="000000" w:fill="FFFFFF"/>
            <w:noWrap/>
            <w:vAlign w:val="center"/>
            <w:hideMark/>
          </w:tcPr>
          <w:p w14:paraId="51BA1C0D" w14:textId="21EA0949"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1415</w:t>
            </w:r>
          </w:p>
        </w:tc>
        <w:tc>
          <w:tcPr>
            <w:tcW w:w="214" w:type="pct"/>
            <w:shd w:val="clear" w:color="000000" w:fill="FFFFFF"/>
            <w:noWrap/>
            <w:vAlign w:val="center"/>
            <w:hideMark/>
          </w:tcPr>
          <w:p w14:paraId="6BD312DC" w14:textId="2A73083E"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1621</w:t>
            </w:r>
          </w:p>
        </w:tc>
        <w:tc>
          <w:tcPr>
            <w:tcW w:w="214" w:type="pct"/>
            <w:shd w:val="clear" w:color="000000" w:fill="FFFFFF"/>
            <w:noWrap/>
            <w:vAlign w:val="center"/>
            <w:hideMark/>
          </w:tcPr>
          <w:p w14:paraId="1B877098" w14:textId="1A0FFA62"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1734</w:t>
            </w:r>
          </w:p>
        </w:tc>
        <w:tc>
          <w:tcPr>
            <w:tcW w:w="216" w:type="pct"/>
            <w:shd w:val="clear" w:color="000000" w:fill="FFFFFF"/>
            <w:noWrap/>
            <w:vAlign w:val="center"/>
          </w:tcPr>
          <w:p w14:paraId="35F735A3" w14:textId="72053C7E"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1533</w:t>
            </w:r>
          </w:p>
        </w:tc>
        <w:tc>
          <w:tcPr>
            <w:tcW w:w="214" w:type="pct"/>
            <w:shd w:val="clear" w:color="000000" w:fill="FFFFFF"/>
            <w:vAlign w:val="center"/>
          </w:tcPr>
          <w:p w14:paraId="67D16D74" w14:textId="4DEEA522" w:rsidR="00436482" w:rsidRPr="00611C9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722</w:t>
            </w:r>
          </w:p>
        </w:tc>
        <w:tc>
          <w:tcPr>
            <w:tcW w:w="214" w:type="pct"/>
            <w:shd w:val="clear" w:color="000000" w:fill="FFFFFF"/>
            <w:vAlign w:val="center"/>
          </w:tcPr>
          <w:p w14:paraId="6860E0AB" w14:textId="5741F0D4" w:rsidR="00436482" w:rsidRPr="00611C9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113</w:t>
            </w:r>
          </w:p>
        </w:tc>
        <w:tc>
          <w:tcPr>
            <w:tcW w:w="214" w:type="pct"/>
            <w:shd w:val="clear" w:color="000000" w:fill="FFFFFF"/>
            <w:vAlign w:val="center"/>
          </w:tcPr>
          <w:p w14:paraId="6797DEAE" w14:textId="17C0C8F0" w:rsidR="00436482" w:rsidRPr="00611C9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113</w:t>
            </w:r>
          </w:p>
        </w:tc>
        <w:tc>
          <w:tcPr>
            <w:tcW w:w="216" w:type="pct"/>
            <w:shd w:val="clear" w:color="000000" w:fill="FFFFFF"/>
            <w:vAlign w:val="center"/>
          </w:tcPr>
          <w:p w14:paraId="48469BE4" w14:textId="59E96372" w:rsidR="00436482" w:rsidRPr="00611C9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-10271</w:t>
            </w:r>
          </w:p>
        </w:tc>
        <w:tc>
          <w:tcPr>
            <w:tcW w:w="232" w:type="pct"/>
            <w:shd w:val="clear" w:color="000000" w:fill="FFFFFF"/>
            <w:noWrap/>
            <w:vAlign w:val="center"/>
            <w:hideMark/>
          </w:tcPr>
          <w:p w14:paraId="39A87B00" w14:textId="044F6FB0" w:rsidR="00436482" w:rsidRPr="00035628" w:rsidRDefault="00436482" w:rsidP="00436482">
            <w:pPr>
              <w:jc w:val="center"/>
              <w:rPr>
                <w:rFonts w:ascii="华文细黑" w:eastAsia="华文细黑" w:hAnsi="华文细黑"/>
                <w:color w:val="000000"/>
                <w:sz w:val="13"/>
                <w:szCs w:val="13"/>
              </w:rPr>
            </w:pPr>
          </w:p>
        </w:tc>
      </w:tr>
      <w:tr w:rsidR="00436482" w:rsidRPr="00E05368" w14:paraId="563B9CA7" w14:textId="77777777" w:rsidTr="00436482">
        <w:trPr>
          <w:trHeight w:val="340"/>
          <w:jc w:val="center"/>
        </w:trPr>
        <w:tc>
          <w:tcPr>
            <w:tcW w:w="190" w:type="pct"/>
            <w:shd w:val="clear" w:color="000000" w:fill="FFFFFF"/>
            <w:noWrap/>
            <w:vAlign w:val="center"/>
            <w:hideMark/>
          </w:tcPr>
          <w:p w14:paraId="43D4F566" w14:textId="77777777" w:rsidR="00436482" w:rsidRPr="00035628" w:rsidRDefault="00436482" w:rsidP="00436482">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7</w:t>
            </w:r>
          </w:p>
        </w:tc>
        <w:tc>
          <w:tcPr>
            <w:tcW w:w="810" w:type="pct"/>
            <w:shd w:val="clear" w:color="000000" w:fill="FFFFFF"/>
            <w:noWrap/>
            <w:vAlign w:val="center"/>
            <w:hideMark/>
          </w:tcPr>
          <w:p w14:paraId="67831A1F" w14:textId="39369905"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所得税</w:t>
            </w:r>
          </w:p>
        </w:tc>
        <w:tc>
          <w:tcPr>
            <w:tcW w:w="237" w:type="pct"/>
            <w:shd w:val="clear" w:color="000000" w:fill="FFFFFF"/>
            <w:noWrap/>
            <w:vAlign w:val="center"/>
          </w:tcPr>
          <w:p w14:paraId="2B8DF8E5" w14:textId="77777777" w:rsidR="00436482" w:rsidRPr="00035628" w:rsidRDefault="00436482" w:rsidP="00436482">
            <w:pPr>
              <w:jc w:val="center"/>
              <w:rPr>
                <w:rFonts w:ascii="华文细黑" w:eastAsia="华文细黑" w:hAnsi="华文细黑"/>
                <w:color w:val="000000"/>
                <w:sz w:val="13"/>
                <w:szCs w:val="13"/>
              </w:rPr>
            </w:pPr>
          </w:p>
        </w:tc>
        <w:tc>
          <w:tcPr>
            <w:tcW w:w="293" w:type="pct"/>
            <w:shd w:val="clear" w:color="000000" w:fill="FFFFFF"/>
            <w:noWrap/>
            <w:vAlign w:val="center"/>
          </w:tcPr>
          <w:p w14:paraId="009236AC" w14:textId="77777777" w:rsidR="00436482" w:rsidRPr="00035628" w:rsidRDefault="00436482" w:rsidP="00436482">
            <w:pPr>
              <w:jc w:val="center"/>
              <w:rPr>
                <w:rFonts w:ascii="华文细黑" w:eastAsia="华文细黑" w:hAnsi="华文细黑"/>
                <w:color w:val="000000"/>
                <w:sz w:val="13"/>
                <w:szCs w:val="13"/>
              </w:rPr>
            </w:pPr>
          </w:p>
        </w:tc>
        <w:tc>
          <w:tcPr>
            <w:tcW w:w="293" w:type="pct"/>
            <w:shd w:val="clear" w:color="000000" w:fill="FFFFFF"/>
            <w:noWrap/>
            <w:vAlign w:val="center"/>
          </w:tcPr>
          <w:p w14:paraId="044810EC" w14:textId="77777777" w:rsidR="00436482" w:rsidRPr="00035628" w:rsidRDefault="00436482" w:rsidP="00436482">
            <w:pPr>
              <w:jc w:val="center"/>
              <w:rPr>
                <w:rFonts w:ascii="华文细黑" w:eastAsia="华文细黑" w:hAnsi="华文细黑"/>
                <w:color w:val="000000"/>
                <w:sz w:val="13"/>
                <w:szCs w:val="13"/>
              </w:rPr>
            </w:pPr>
          </w:p>
        </w:tc>
        <w:tc>
          <w:tcPr>
            <w:tcW w:w="293" w:type="pct"/>
            <w:shd w:val="clear" w:color="000000" w:fill="FFFFFF"/>
            <w:noWrap/>
            <w:vAlign w:val="center"/>
          </w:tcPr>
          <w:p w14:paraId="5BBDD632" w14:textId="5E2FBF55" w:rsidR="00436482" w:rsidRPr="00035628" w:rsidRDefault="00436482" w:rsidP="00436482">
            <w:pPr>
              <w:jc w:val="center"/>
              <w:rPr>
                <w:rFonts w:ascii="华文细黑" w:eastAsia="华文细黑" w:hAnsi="华文细黑"/>
                <w:color w:val="000000"/>
                <w:sz w:val="13"/>
                <w:szCs w:val="13"/>
              </w:rPr>
            </w:pPr>
          </w:p>
        </w:tc>
        <w:tc>
          <w:tcPr>
            <w:tcW w:w="247" w:type="pct"/>
            <w:shd w:val="clear" w:color="000000" w:fill="FFFFFF"/>
            <w:noWrap/>
            <w:vAlign w:val="center"/>
          </w:tcPr>
          <w:p w14:paraId="1CCF24CE" w14:textId="77777777" w:rsidR="00436482" w:rsidRPr="00035628" w:rsidRDefault="00436482" w:rsidP="00436482">
            <w:pPr>
              <w:jc w:val="center"/>
              <w:rPr>
                <w:rFonts w:ascii="华文细黑" w:eastAsia="华文细黑" w:hAnsi="华文细黑"/>
                <w:color w:val="000000"/>
                <w:sz w:val="13"/>
                <w:szCs w:val="13"/>
              </w:rPr>
            </w:pPr>
          </w:p>
        </w:tc>
        <w:tc>
          <w:tcPr>
            <w:tcW w:w="237" w:type="pct"/>
            <w:shd w:val="clear" w:color="000000" w:fill="FFFFFF"/>
            <w:noWrap/>
            <w:vAlign w:val="center"/>
          </w:tcPr>
          <w:p w14:paraId="51C3AC88" w14:textId="2CA3FB0D" w:rsidR="00436482" w:rsidRPr="00035628" w:rsidRDefault="00436482" w:rsidP="00436482">
            <w:pPr>
              <w:jc w:val="center"/>
              <w:rPr>
                <w:rFonts w:ascii="华文细黑" w:eastAsia="华文细黑" w:hAnsi="华文细黑"/>
                <w:color w:val="000000"/>
                <w:sz w:val="13"/>
                <w:szCs w:val="13"/>
              </w:rPr>
            </w:pPr>
          </w:p>
        </w:tc>
        <w:tc>
          <w:tcPr>
            <w:tcW w:w="237" w:type="pct"/>
            <w:shd w:val="clear" w:color="000000" w:fill="FFFFFF"/>
            <w:noWrap/>
            <w:vAlign w:val="center"/>
          </w:tcPr>
          <w:p w14:paraId="5ABEB200" w14:textId="1A5792B5" w:rsidR="00436482" w:rsidRPr="00035628" w:rsidRDefault="00436482" w:rsidP="00436482">
            <w:pPr>
              <w:jc w:val="center"/>
              <w:rPr>
                <w:rFonts w:ascii="华文细黑" w:eastAsia="华文细黑" w:hAnsi="华文细黑"/>
                <w:color w:val="000000"/>
                <w:sz w:val="13"/>
                <w:szCs w:val="13"/>
              </w:rPr>
            </w:pPr>
          </w:p>
        </w:tc>
        <w:tc>
          <w:tcPr>
            <w:tcW w:w="216" w:type="pct"/>
            <w:shd w:val="clear" w:color="000000" w:fill="FFFFFF"/>
            <w:noWrap/>
            <w:vAlign w:val="center"/>
          </w:tcPr>
          <w:p w14:paraId="60BF869C" w14:textId="1966DDCC" w:rsidR="00436482" w:rsidRPr="00035628" w:rsidRDefault="00436482" w:rsidP="00436482">
            <w:pPr>
              <w:jc w:val="center"/>
              <w:rPr>
                <w:rFonts w:ascii="华文细黑" w:eastAsia="华文细黑" w:hAnsi="华文细黑"/>
                <w:color w:val="000000"/>
                <w:sz w:val="13"/>
                <w:szCs w:val="13"/>
              </w:rPr>
            </w:pPr>
          </w:p>
        </w:tc>
        <w:tc>
          <w:tcPr>
            <w:tcW w:w="214" w:type="pct"/>
            <w:shd w:val="clear" w:color="000000" w:fill="FFFFFF"/>
            <w:noWrap/>
            <w:vAlign w:val="center"/>
          </w:tcPr>
          <w:p w14:paraId="2E9BFBFE" w14:textId="3DE1C59D" w:rsidR="00436482" w:rsidRPr="00035628" w:rsidRDefault="00436482" w:rsidP="00436482">
            <w:pPr>
              <w:jc w:val="center"/>
              <w:rPr>
                <w:rFonts w:ascii="华文细黑" w:eastAsia="华文细黑" w:hAnsi="华文细黑"/>
                <w:color w:val="000000"/>
                <w:sz w:val="13"/>
                <w:szCs w:val="13"/>
              </w:rPr>
            </w:pPr>
          </w:p>
        </w:tc>
        <w:tc>
          <w:tcPr>
            <w:tcW w:w="214" w:type="pct"/>
            <w:shd w:val="clear" w:color="000000" w:fill="FFFFFF"/>
            <w:noWrap/>
            <w:vAlign w:val="center"/>
          </w:tcPr>
          <w:p w14:paraId="311F19A3" w14:textId="3948EE11" w:rsidR="00436482" w:rsidRPr="00035628" w:rsidRDefault="00436482" w:rsidP="00436482">
            <w:pPr>
              <w:jc w:val="center"/>
              <w:rPr>
                <w:rFonts w:ascii="华文细黑" w:eastAsia="华文细黑" w:hAnsi="华文细黑"/>
                <w:color w:val="000000"/>
                <w:sz w:val="13"/>
                <w:szCs w:val="13"/>
              </w:rPr>
            </w:pPr>
          </w:p>
        </w:tc>
        <w:tc>
          <w:tcPr>
            <w:tcW w:w="214" w:type="pct"/>
            <w:shd w:val="clear" w:color="000000" w:fill="FFFFFF"/>
            <w:noWrap/>
            <w:vAlign w:val="center"/>
          </w:tcPr>
          <w:p w14:paraId="11275E4E" w14:textId="48CE9C24" w:rsidR="00436482" w:rsidRPr="00035628" w:rsidRDefault="00436482" w:rsidP="00436482">
            <w:pPr>
              <w:jc w:val="center"/>
              <w:rPr>
                <w:rFonts w:ascii="华文细黑" w:eastAsia="华文细黑" w:hAnsi="华文细黑"/>
                <w:color w:val="000000"/>
                <w:sz w:val="13"/>
                <w:szCs w:val="13"/>
              </w:rPr>
            </w:pPr>
          </w:p>
        </w:tc>
        <w:tc>
          <w:tcPr>
            <w:tcW w:w="216" w:type="pct"/>
            <w:shd w:val="clear" w:color="000000" w:fill="FFFFFF"/>
            <w:noWrap/>
            <w:vAlign w:val="center"/>
          </w:tcPr>
          <w:p w14:paraId="2E5992E1" w14:textId="099589A8" w:rsidR="00436482" w:rsidRPr="00035628" w:rsidRDefault="00436482" w:rsidP="00436482">
            <w:pPr>
              <w:jc w:val="center"/>
              <w:rPr>
                <w:rFonts w:ascii="华文细黑" w:eastAsia="华文细黑" w:hAnsi="华文细黑"/>
                <w:color w:val="000000"/>
                <w:sz w:val="13"/>
                <w:szCs w:val="13"/>
              </w:rPr>
            </w:pPr>
          </w:p>
        </w:tc>
        <w:tc>
          <w:tcPr>
            <w:tcW w:w="214" w:type="pct"/>
            <w:shd w:val="clear" w:color="000000" w:fill="FFFFFF"/>
            <w:vAlign w:val="center"/>
          </w:tcPr>
          <w:p w14:paraId="3D649296" w14:textId="0BC7C321" w:rsidR="00436482" w:rsidRPr="00611C98" w:rsidRDefault="00436482" w:rsidP="00436482">
            <w:pPr>
              <w:jc w:val="center"/>
              <w:rPr>
                <w:rFonts w:ascii="华文细黑" w:eastAsia="华文细黑" w:hAnsi="华文细黑"/>
                <w:color w:val="000000"/>
                <w:sz w:val="13"/>
                <w:szCs w:val="13"/>
              </w:rPr>
            </w:pPr>
          </w:p>
        </w:tc>
        <w:tc>
          <w:tcPr>
            <w:tcW w:w="214" w:type="pct"/>
            <w:shd w:val="clear" w:color="000000" w:fill="FFFFFF"/>
            <w:vAlign w:val="center"/>
          </w:tcPr>
          <w:p w14:paraId="56585DF5" w14:textId="74F590FA" w:rsidR="00436482" w:rsidRPr="00611C98" w:rsidRDefault="00436482" w:rsidP="00436482">
            <w:pPr>
              <w:jc w:val="center"/>
              <w:rPr>
                <w:rFonts w:ascii="华文细黑" w:eastAsia="华文细黑" w:hAnsi="华文细黑"/>
                <w:color w:val="000000"/>
                <w:sz w:val="13"/>
                <w:szCs w:val="13"/>
              </w:rPr>
            </w:pPr>
          </w:p>
        </w:tc>
        <w:tc>
          <w:tcPr>
            <w:tcW w:w="214" w:type="pct"/>
            <w:shd w:val="clear" w:color="000000" w:fill="FFFFFF"/>
            <w:vAlign w:val="center"/>
          </w:tcPr>
          <w:p w14:paraId="17195533" w14:textId="68CBFEA9" w:rsidR="00436482" w:rsidRPr="00611C98" w:rsidRDefault="00436482" w:rsidP="00436482">
            <w:pPr>
              <w:jc w:val="center"/>
              <w:rPr>
                <w:rFonts w:ascii="华文细黑" w:eastAsia="华文细黑" w:hAnsi="华文细黑"/>
                <w:color w:val="000000"/>
                <w:sz w:val="13"/>
                <w:szCs w:val="13"/>
              </w:rPr>
            </w:pPr>
          </w:p>
        </w:tc>
        <w:tc>
          <w:tcPr>
            <w:tcW w:w="216" w:type="pct"/>
            <w:shd w:val="clear" w:color="000000" w:fill="FFFFFF"/>
            <w:vAlign w:val="center"/>
          </w:tcPr>
          <w:p w14:paraId="41E64D29" w14:textId="245C87F0" w:rsidR="00436482" w:rsidRPr="00611C9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1965</w:t>
            </w:r>
          </w:p>
        </w:tc>
        <w:tc>
          <w:tcPr>
            <w:tcW w:w="232" w:type="pct"/>
            <w:shd w:val="clear" w:color="000000" w:fill="FFFFFF"/>
            <w:noWrap/>
            <w:vAlign w:val="center"/>
            <w:hideMark/>
          </w:tcPr>
          <w:p w14:paraId="0480A4B6" w14:textId="0CD7C208"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1965</w:t>
            </w:r>
          </w:p>
        </w:tc>
      </w:tr>
      <w:tr w:rsidR="00436482" w:rsidRPr="00E05368" w14:paraId="21330FD3" w14:textId="77777777" w:rsidTr="00436482">
        <w:trPr>
          <w:trHeight w:val="340"/>
          <w:jc w:val="center"/>
        </w:trPr>
        <w:tc>
          <w:tcPr>
            <w:tcW w:w="190" w:type="pct"/>
            <w:shd w:val="clear" w:color="000000" w:fill="FFFFFF"/>
            <w:noWrap/>
            <w:vAlign w:val="center"/>
            <w:hideMark/>
          </w:tcPr>
          <w:p w14:paraId="47F597E5" w14:textId="77777777" w:rsidR="00436482" w:rsidRPr="00035628" w:rsidRDefault="00436482" w:rsidP="00436482">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8</w:t>
            </w:r>
          </w:p>
        </w:tc>
        <w:tc>
          <w:tcPr>
            <w:tcW w:w="810" w:type="pct"/>
            <w:shd w:val="clear" w:color="000000" w:fill="FFFFFF"/>
            <w:noWrap/>
            <w:vAlign w:val="center"/>
            <w:hideMark/>
          </w:tcPr>
          <w:p w14:paraId="7728B852" w14:textId="74BC3E20"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净现金流量</w:t>
            </w:r>
          </w:p>
        </w:tc>
        <w:tc>
          <w:tcPr>
            <w:tcW w:w="237" w:type="pct"/>
            <w:shd w:val="clear" w:color="000000" w:fill="FFFFFF"/>
            <w:noWrap/>
            <w:vAlign w:val="center"/>
          </w:tcPr>
          <w:p w14:paraId="703428F5" w14:textId="73F183E9" w:rsidR="00436482" w:rsidRPr="00035628" w:rsidRDefault="00436482" w:rsidP="00436482">
            <w:pPr>
              <w:jc w:val="center"/>
              <w:rPr>
                <w:rFonts w:ascii="华文细黑" w:eastAsia="华文细黑" w:hAnsi="华文细黑"/>
                <w:color w:val="000000"/>
                <w:sz w:val="13"/>
                <w:szCs w:val="13"/>
              </w:rPr>
            </w:pPr>
          </w:p>
        </w:tc>
        <w:tc>
          <w:tcPr>
            <w:tcW w:w="293" w:type="pct"/>
            <w:shd w:val="clear" w:color="000000" w:fill="FFFFFF"/>
            <w:noWrap/>
            <w:vAlign w:val="center"/>
            <w:hideMark/>
          </w:tcPr>
          <w:p w14:paraId="1C1432EC" w14:textId="72A01D77"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-125500</w:t>
            </w:r>
          </w:p>
        </w:tc>
        <w:tc>
          <w:tcPr>
            <w:tcW w:w="293" w:type="pct"/>
            <w:shd w:val="clear" w:color="000000" w:fill="FFFFFF"/>
            <w:noWrap/>
            <w:vAlign w:val="center"/>
            <w:hideMark/>
          </w:tcPr>
          <w:p w14:paraId="4DF23B36" w14:textId="03974795"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-135386</w:t>
            </w:r>
          </w:p>
        </w:tc>
        <w:tc>
          <w:tcPr>
            <w:tcW w:w="293" w:type="pct"/>
            <w:shd w:val="clear" w:color="000000" w:fill="FFFFFF"/>
            <w:noWrap/>
            <w:vAlign w:val="center"/>
            <w:hideMark/>
          </w:tcPr>
          <w:p w14:paraId="60D6584A" w14:textId="5DA1E170"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-11640</w:t>
            </w:r>
          </w:p>
        </w:tc>
        <w:tc>
          <w:tcPr>
            <w:tcW w:w="247" w:type="pct"/>
            <w:shd w:val="clear" w:color="000000" w:fill="FFFFFF"/>
            <w:noWrap/>
            <w:vAlign w:val="center"/>
            <w:hideMark/>
          </w:tcPr>
          <w:p w14:paraId="1A05E846" w14:textId="26527C60"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-12516</w:t>
            </w:r>
          </w:p>
        </w:tc>
        <w:tc>
          <w:tcPr>
            <w:tcW w:w="237" w:type="pct"/>
            <w:shd w:val="clear" w:color="000000" w:fill="FFFFFF"/>
            <w:noWrap/>
            <w:vAlign w:val="center"/>
            <w:hideMark/>
          </w:tcPr>
          <w:p w14:paraId="6FAC93A7" w14:textId="457A3DED"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16894</w:t>
            </w:r>
          </w:p>
        </w:tc>
        <w:tc>
          <w:tcPr>
            <w:tcW w:w="237" w:type="pct"/>
            <w:shd w:val="clear" w:color="000000" w:fill="FFFFFF"/>
            <w:noWrap/>
            <w:vAlign w:val="center"/>
            <w:hideMark/>
          </w:tcPr>
          <w:p w14:paraId="4AA95FC9" w14:textId="7DA678C6"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43165</w:t>
            </w:r>
          </w:p>
        </w:tc>
        <w:tc>
          <w:tcPr>
            <w:tcW w:w="216" w:type="pct"/>
            <w:shd w:val="clear" w:color="000000" w:fill="FFFFFF"/>
            <w:noWrap/>
            <w:vAlign w:val="center"/>
            <w:hideMark/>
          </w:tcPr>
          <w:p w14:paraId="5ECC6E12" w14:textId="76742F4D"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42676</w:t>
            </w:r>
          </w:p>
        </w:tc>
        <w:tc>
          <w:tcPr>
            <w:tcW w:w="214" w:type="pct"/>
            <w:shd w:val="clear" w:color="000000" w:fill="FFFFFF"/>
            <w:noWrap/>
            <w:vAlign w:val="center"/>
            <w:hideMark/>
          </w:tcPr>
          <w:p w14:paraId="63A79063" w14:textId="6247820D"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47415</w:t>
            </w:r>
          </w:p>
        </w:tc>
        <w:tc>
          <w:tcPr>
            <w:tcW w:w="214" w:type="pct"/>
            <w:shd w:val="clear" w:color="000000" w:fill="FFFFFF"/>
            <w:noWrap/>
            <w:vAlign w:val="center"/>
            <w:hideMark/>
          </w:tcPr>
          <w:p w14:paraId="2E5B1CBA" w14:textId="6C5507E8"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52644</w:t>
            </w:r>
          </w:p>
        </w:tc>
        <w:tc>
          <w:tcPr>
            <w:tcW w:w="214" w:type="pct"/>
            <w:shd w:val="clear" w:color="000000" w:fill="FFFFFF"/>
            <w:noWrap/>
            <w:vAlign w:val="center"/>
            <w:hideMark/>
          </w:tcPr>
          <w:p w14:paraId="7869E196" w14:textId="151D51A9"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57347</w:t>
            </w:r>
          </w:p>
        </w:tc>
        <w:tc>
          <w:tcPr>
            <w:tcW w:w="216" w:type="pct"/>
            <w:shd w:val="clear" w:color="000000" w:fill="FFFFFF"/>
            <w:noWrap/>
            <w:vAlign w:val="center"/>
            <w:hideMark/>
          </w:tcPr>
          <w:p w14:paraId="1100256A" w14:textId="20D275F8"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47892</w:t>
            </w:r>
          </w:p>
        </w:tc>
        <w:tc>
          <w:tcPr>
            <w:tcW w:w="214" w:type="pct"/>
            <w:shd w:val="clear" w:color="000000" w:fill="FFFFFF"/>
            <w:vAlign w:val="center"/>
          </w:tcPr>
          <w:p w14:paraId="4DA818F7" w14:textId="45048010" w:rsidR="00436482" w:rsidRPr="00611C9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17934</w:t>
            </w:r>
          </w:p>
        </w:tc>
        <w:tc>
          <w:tcPr>
            <w:tcW w:w="214" w:type="pct"/>
            <w:shd w:val="clear" w:color="000000" w:fill="FFFFFF"/>
            <w:vAlign w:val="center"/>
          </w:tcPr>
          <w:p w14:paraId="44D2A42E" w14:textId="58B1BEE7" w:rsidR="00436482" w:rsidRPr="00611C9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2607</w:t>
            </w:r>
          </w:p>
        </w:tc>
        <w:tc>
          <w:tcPr>
            <w:tcW w:w="214" w:type="pct"/>
            <w:shd w:val="clear" w:color="000000" w:fill="FFFFFF"/>
            <w:vAlign w:val="center"/>
          </w:tcPr>
          <w:p w14:paraId="5FF15A7E" w14:textId="35F57CA2" w:rsidR="00436482" w:rsidRPr="00611C9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2606</w:t>
            </w:r>
          </w:p>
        </w:tc>
        <w:tc>
          <w:tcPr>
            <w:tcW w:w="216" w:type="pct"/>
            <w:shd w:val="clear" w:color="000000" w:fill="FFFFFF"/>
            <w:vAlign w:val="center"/>
          </w:tcPr>
          <w:p w14:paraId="49296F30" w14:textId="25BB2F17" w:rsidR="00436482" w:rsidRPr="00611C9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8306</w:t>
            </w:r>
          </w:p>
        </w:tc>
        <w:tc>
          <w:tcPr>
            <w:tcW w:w="232" w:type="pct"/>
            <w:shd w:val="clear" w:color="000000" w:fill="FFFFFF"/>
            <w:noWrap/>
            <w:vAlign w:val="center"/>
            <w:hideMark/>
          </w:tcPr>
          <w:p w14:paraId="534F3863" w14:textId="190A4FD6"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54444</w:t>
            </w:r>
          </w:p>
        </w:tc>
      </w:tr>
      <w:tr w:rsidR="00436482" w:rsidRPr="00E05368" w14:paraId="7BAC3922" w14:textId="77777777" w:rsidTr="00436482">
        <w:trPr>
          <w:trHeight w:val="340"/>
          <w:jc w:val="center"/>
        </w:trPr>
        <w:tc>
          <w:tcPr>
            <w:tcW w:w="190" w:type="pct"/>
            <w:shd w:val="clear" w:color="000000" w:fill="FFFFFF"/>
            <w:noWrap/>
            <w:vAlign w:val="center"/>
            <w:hideMark/>
          </w:tcPr>
          <w:p w14:paraId="3EF2CDAC" w14:textId="77777777" w:rsidR="00436482" w:rsidRPr="00035628" w:rsidRDefault="00436482" w:rsidP="00436482">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9</w:t>
            </w:r>
          </w:p>
        </w:tc>
        <w:tc>
          <w:tcPr>
            <w:tcW w:w="810" w:type="pct"/>
            <w:shd w:val="clear" w:color="000000" w:fill="FFFFFF"/>
            <w:noWrap/>
            <w:vAlign w:val="center"/>
            <w:hideMark/>
          </w:tcPr>
          <w:p w14:paraId="51F4D852" w14:textId="6AAD5823"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累计现金流量</w:t>
            </w:r>
          </w:p>
        </w:tc>
        <w:tc>
          <w:tcPr>
            <w:tcW w:w="237" w:type="pct"/>
            <w:shd w:val="clear" w:color="000000" w:fill="FFFFFF"/>
            <w:noWrap/>
            <w:vAlign w:val="center"/>
          </w:tcPr>
          <w:p w14:paraId="391B945C" w14:textId="135E671A" w:rsidR="00436482" w:rsidRPr="00035628" w:rsidRDefault="00436482" w:rsidP="00436482">
            <w:pPr>
              <w:jc w:val="center"/>
              <w:rPr>
                <w:rFonts w:ascii="华文细黑" w:eastAsia="华文细黑" w:hAnsi="华文细黑"/>
                <w:color w:val="000000"/>
                <w:sz w:val="13"/>
                <w:szCs w:val="13"/>
              </w:rPr>
            </w:pPr>
          </w:p>
        </w:tc>
        <w:tc>
          <w:tcPr>
            <w:tcW w:w="293" w:type="pct"/>
            <w:shd w:val="clear" w:color="000000" w:fill="FFFFFF"/>
            <w:noWrap/>
            <w:vAlign w:val="center"/>
            <w:hideMark/>
          </w:tcPr>
          <w:p w14:paraId="72176DB4" w14:textId="3BA58D59"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-125500</w:t>
            </w:r>
          </w:p>
        </w:tc>
        <w:tc>
          <w:tcPr>
            <w:tcW w:w="293" w:type="pct"/>
            <w:shd w:val="clear" w:color="000000" w:fill="FFFFFF"/>
            <w:noWrap/>
            <w:vAlign w:val="center"/>
            <w:hideMark/>
          </w:tcPr>
          <w:p w14:paraId="07D87BE5" w14:textId="592C698B"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-260886</w:t>
            </w:r>
          </w:p>
        </w:tc>
        <w:tc>
          <w:tcPr>
            <w:tcW w:w="293" w:type="pct"/>
            <w:shd w:val="clear" w:color="000000" w:fill="FFFFFF"/>
            <w:noWrap/>
            <w:vAlign w:val="center"/>
            <w:hideMark/>
          </w:tcPr>
          <w:p w14:paraId="1715AA14" w14:textId="17D9EE03"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-272526</w:t>
            </w:r>
          </w:p>
        </w:tc>
        <w:tc>
          <w:tcPr>
            <w:tcW w:w="247" w:type="pct"/>
            <w:shd w:val="clear" w:color="000000" w:fill="FFFFFF"/>
            <w:noWrap/>
            <w:vAlign w:val="center"/>
            <w:hideMark/>
          </w:tcPr>
          <w:p w14:paraId="352A8959" w14:textId="1E8CADE0"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-285042</w:t>
            </w:r>
          </w:p>
        </w:tc>
        <w:tc>
          <w:tcPr>
            <w:tcW w:w="237" w:type="pct"/>
            <w:shd w:val="clear" w:color="000000" w:fill="FFFFFF"/>
            <w:noWrap/>
            <w:vAlign w:val="center"/>
            <w:hideMark/>
          </w:tcPr>
          <w:p w14:paraId="3BE3EB22" w14:textId="15F73A7A"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-268148</w:t>
            </w:r>
          </w:p>
        </w:tc>
        <w:tc>
          <w:tcPr>
            <w:tcW w:w="237" w:type="pct"/>
            <w:shd w:val="clear" w:color="000000" w:fill="FFFFFF"/>
            <w:noWrap/>
            <w:vAlign w:val="center"/>
            <w:hideMark/>
          </w:tcPr>
          <w:p w14:paraId="31C03BFD" w14:textId="488B1477"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-224983</w:t>
            </w:r>
          </w:p>
        </w:tc>
        <w:tc>
          <w:tcPr>
            <w:tcW w:w="216" w:type="pct"/>
            <w:shd w:val="clear" w:color="000000" w:fill="FFFFFF"/>
            <w:noWrap/>
            <w:vAlign w:val="center"/>
            <w:hideMark/>
          </w:tcPr>
          <w:p w14:paraId="36CA1B13" w14:textId="1A9CF146"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-182307</w:t>
            </w:r>
          </w:p>
        </w:tc>
        <w:tc>
          <w:tcPr>
            <w:tcW w:w="214" w:type="pct"/>
            <w:shd w:val="clear" w:color="000000" w:fill="FFFFFF"/>
            <w:noWrap/>
            <w:vAlign w:val="center"/>
            <w:hideMark/>
          </w:tcPr>
          <w:p w14:paraId="027D6A4B" w14:textId="11E0CE51"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-134892</w:t>
            </w:r>
          </w:p>
        </w:tc>
        <w:tc>
          <w:tcPr>
            <w:tcW w:w="214" w:type="pct"/>
            <w:shd w:val="clear" w:color="000000" w:fill="FFFFFF"/>
            <w:noWrap/>
            <w:vAlign w:val="center"/>
            <w:hideMark/>
          </w:tcPr>
          <w:p w14:paraId="2063702D" w14:textId="7857C2A1"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-82248</w:t>
            </w:r>
          </w:p>
        </w:tc>
        <w:tc>
          <w:tcPr>
            <w:tcW w:w="214" w:type="pct"/>
            <w:shd w:val="clear" w:color="000000" w:fill="FFFFFF"/>
            <w:noWrap/>
            <w:vAlign w:val="center"/>
            <w:hideMark/>
          </w:tcPr>
          <w:p w14:paraId="21D33948" w14:textId="59D28616"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-24901</w:t>
            </w:r>
          </w:p>
        </w:tc>
        <w:tc>
          <w:tcPr>
            <w:tcW w:w="216" w:type="pct"/>
            <w:shd w:val="clear" w:color="000000" w:fill="FFFFFF"/>
            <w:noWrap/>
            <w:vAlign w:val="center"/>
            <w:hideMark/>
          </w:tcPr>
          <w:p w14:paraId="3F493BD9" w14:textId="7C6ECD89"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22991</w:t>
            </w:r>
          </w:p>
        </w:tc>
        <w:tc>
          <w:tcPr>
            <w:tcW w:w="214" w:type="pct"/>
            <w:shd w:val="clear" w:color="000000" w:fill="FFFFFF"/>
            <w:vAlign w:val="center"/>
          </w:tcPr>
          <w:p w14:paraId="7789D29D" w14:textId="41CFEEEA"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40925</w:t>
            </w:r>
          </w:p>
        </w:tc>
        <w:tc>
          <w:tcPr>
            <w:tcW w:w="214" w:type="pct"/>
            <w:shd w:val="clear" w:color="000000" w:fill="FFFFFF"/>
            <w:vAlign w:val="center"/>
          </w:tcPr>
          <w:p w14:paraId="7D61C89E" w14:textId="610D614B"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43532</w:t>
            </w:r>
          </w:p>
        </w:tc>
        <w:tc>
          <w:tcPr>
            <w:tcW w:w="214" w:type="pct"/>
            <w:shd w:val="clear" w:color="000000" w:fill="FFFFFF"/>
            <w:vAlign w:val="center"/>
          </w:tcPr>
          <w:p w14:paraId="2B5A51B5" w14:textId="595A75BA"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46138</w:t>
            </w:r>
          </w:p>
        </w:tc>
        <w:tc>
          <w:tcPr>
            <w:tcW w:w="216" w:type="pct"/>
            <w:shd w:val="clear" w:color="000000" w:fill="FFFFFF"/>
            <w:vAlign w:val="center"/>
          </w:tcPr>
          <w:p w14:paraId="42FD4D6B" w14:textId="7E634798"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54444</w:t>
            </w:r>
          </w:p>
        </w:tc>
        <w:tc>
          <w:tcPr>
            <w:tcW w:w="232" w:type="pct"/>
            <w:shd w:val="clear" w:color="000000" w:fill="FFFFFF"/>
            <w:noWrap/>
            <w:vAlign w:val="center"/>
            <w:hideMark/>
          </w:tcPr>
          <w:p w14:paraId="4663BF3C" w14:textId="77777777" w:rsidR="00436482" w:rsidRPr="00035628" w:rsidRDefault="00436482" w:rsidP="00436482">
            <w:pPr>
              <w:jc w:val="center"/>
              <w:rPr>
                <w:rFonts w:ascii="华文细黑" w:eastAsia="华文细黑" w:hAnsi="华文细黑"/>
                <w:color w:val="000000"/>
                <w:sz w:val="13"/>
                <w:szCs w:val="13"/>
              </w:rPr>
            </w:pPr>
          </w:p>
        </w:tc>
      </w:tr>
      <w:tr w:rsidR="00436482" w:rsidRPr="00E05368" w14:paraId="4A7215E3" w14:textId="77777777" w:rsidTr="00436482">
        <w:trPr>
          <w:trHeight w:val="340"/>
          <w:jc w:val="center"/>
        </w:trPr>
        <w:tc>
          <w:tcPr>
            <w:tcW w:w="190" w:type="pct"/>
            <w:shd w:val="clear" w:color="000000" w:fill="FFFFFF"/>
            <w:noWrap/>
            <w:vAlign w:val="center"/>
            <w:hideMark/>
          </w:tcPr>
          <w:p w14:paraId="1918D37A" w14:textId="77777777" w:rsidR="00436482" w:rsidRPr="00035628" w:rsidRDefault="00436482" w:rsidP="00436482">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10</w:t>
            </w:r>
          </w:p>
        </w:tc>
        <w:tc>
          <w:tcPr>
            <w:tcW w:w="810" w:type="pct"/>
            <w:shd w:val="clear" w:color="000000" w:fill="FFFFFF"/>
            <w:noWrap/>
            <w:vAlign w:val="center"/>
            <w:hideMark/>
          </w:tcPr>
          <w:p w14:paraId="04BC74BB" w14:textId="3C0F09CF"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净现值</w:t>
            </w:r>
          </w:p>
        </w:tc>
        <w:tc>
          <w:tcPr>
            <w:tcW w:w="237" w:type="pct"/>
            <w:shd w:val="clear" w:color="000000" w:fill="FFFFFF"/>
            <w:noWrap/>
            <w:vAlign w:val="center"/>
          </w:tcPr>
          <w:p w14:paraId="4CD6EF64" w14:textId="27A601AD" w:rsidR="00436482" w:rsidRPr="00035628" w:rsidRDefault="00436482" w:rsidP="00436482">
            <w:pPr>
              <w:jc w:val="center"/>
              <w:rPr>
                <w:rFonts w:ascii="华文细黑" w:eastAsia="华文细黑" w:hAnsi="华文细黑"/>
                <w:color w:val="000000"/>
                <w:sz w:val="13"/>
                <w:szCs w:val="13"/>
              </w:rPr>
            </w:pPr>
          </w:p>
        </w:tc>
        <w:tc>
          <w:tcPr>
            <w:tcW w:w="293" w:type="pct"/>
            <w:shd w:val="clear" w:color="000000" w:fill="FFFFFF"/>
            <w:noWrap/>
            <w:vAlign w:val="center"/>
            <w:hideMark/>
          </w:tcPr>
          <w:p w14:paraId="6CAAB7C7" w14:textId="41BE890E"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-122545</w:t>
            </w:r>
          </w:p>
        </w:tc>
        <w:tc>
          <w:tcPr>
            <w:tcW w:w="293" w:type="pct"/>
            <w:shd w:val="clear" w:color="000000" w:fill="FFFFFF"/>
            <w:noWrap/>
            <w:vAlign w:val="center"/>
            <w:hideMark/>
          </w:tcPr>
          <w:p w14:paraId="6C592F12" w14:textId="459CBB12"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-129085</w:t>
            </w:r>
          </w:p>
        </w:tc>
        <w:tc>
          <w:tcPr>
            <w:tcW w:w="293" w:type="pct"/>
            <w:shd w:val="clear" w:color="000000" w:fill="FFFFFF"/>
            <w:noWrap/>
            <w:vAlign w:val="center"/>
            <w:hideMark/>
          </w:tcPr>
          <w:p w14:paraId="346FC764" w14:textId="28C18B57"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-10837</w:t>
            </w:r>
          </w:p>
        </w:tc>
        <w:tc>
          <w:tcPr>
            <w:tcW w:w="247" w:type="pct"/>
            <w:shd w:val="clear" w:color="000000" w:fill="FFFFFF"/>
            <w:noWrap/>
            <w:vAlign w:val="center"/>
            <w:hideMark/>
          </w:tcPr>
          <w:p w14:paraId="3F4118ED" w14:textId="240B4E5E"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-11378</w:t>
            </w:r>
          </w:p>
        </w:tc>
        <w:tc>
          <w:tcPr>
            <w:tcW w:w="237" w:type="pct"/>
            <w:shd w:val="clear" w:color="000000" w:fill="FFFFFF"/>
            <w:noWrap/>
            <w:vAlign w:val="center"/>
            <w:hideMark/>
          </w:tcPr>
          <w:p w14:paraId="3F660E85" w14:textId="60CA23BE"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14997</w:t>
            </w:r>
          </w:p>
        </w:tc>
        <w:tc>
          <w:tcPr>
            <w:tcW w:w="237" w:type="pct"/>
            <w:shd w:val="clear" w:color="000000" w:fill="FFFFFF"/>
            <w:noWrap/>
            <w:vAlign w:val="center"/>
            <w:hideMark/>
          </w:tcPr>
          <w:p w14:paraId="4947D6AA" w14:textId="45CA27AF"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37415</w:t>
            </w:r>
          </w:p>
        </w:tc>
        <w:tc>
          <w:tcPr>
            <w:tcW w:w="216" w:type="pct"/>
            <w:shd w:val="clear" w:color="000000" w:fill="FFFFFF"/>
            <w:noWrap/>
            <w:vAlign w:val="center"/>
            <w:hideMark/>
          </w:tcPr>
          <w:p w14:paraId="64030322" w14:textId="7761417B"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36120</w:t>
            </w:r>
          </w:p>
        </w:tc>
        <w:tc>
          <w:tcPr>
            <w:tcW w:w="214" w:type="pct"/>
            <w:shd w:val="clear" w:color="000000" w:fill="FFFFFF"/>
            <w:noWrap/>
            <w:vAlign w:val="center"/>
            <w:hideMark/>
          </w:tcPr>
          <w:p w14:paraId="629C2536" w14:textId="691A14E0"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39186</w:t>
            </w:r>
          </w:p>
        </w:tc>
        <w:tc>
          <w:tcPr>
            <w:tcW w:w="214" w:type="pct"/>
            <w:shd w:val="clear" w:color="000000" w:fill="FFFFFF"/>
            <w:noWrap/>
            <w:vAlign w:val="center"/>
            <w:hideMark/>
          </w:tcPr>
          <w:p w14:paraId="1B4C7E1B" w14:textId="289FC5B2"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42483</w:t>
            </w:r>
          </w:p>
        </w:tc>
        <w:tc>
          <w:tcPr>
            <w:tcW w:w="214" w:type="pct"/>
            <w:shd w:val="clear" w:color="000000" w:fill="FFFFFF"/>
            <w:noWrap/>
            <w:vAlign w:val="center"/>
            <w:hideMark/>
          </w:tcPr>
          <w:p w14:paraId="608EA474" w14:textId="146FFBDC"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45189</w:t>
            </w:r>
          </w:p>
        </w:tc>
        <w:tc>
          <w:tcPr>
            <w:tcW w:w="216" w:type="pct"/>
            <w:shd w:val="clear" w:color="000000" w:fill="FFFFFF"/>
            <w:noWrap/>
            <w:vAlign w:val="center"/>
            <w:hideMark/>
          </w:tcPr>
          <w:p w14:paraId="5B47DD64" w14:textId="271DD142"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36850</w:t>
            </w:r>
          </w:p>
        </w:tc>
        <w:tc>
          <w:tcPr>
            <w:tcW w:w="214" w:type="pct"/>
            <w:shd w:val="clear" w:color="000000" w:fill="FFFFFF"/>
            <w:vAlign w:val="center"/>
          </w:tcPr>
          <w:p w14:paraId="6F052AB4" w14:textId="3DF19C81" w:rsidR="00436482" w:rsidRPr="00611C9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13474</w:t>
            </w:r>
          </w:p>
        </w:tc>
        <w:tc>
          <w:tcPr>
            <w:tcW w:w="214" w:type="pct"/>
            <w:shd w:val="clear" w:color="000000" w:fill="FFFFFF"/>
            <w:vAlign w:val="center"/>
          </w:tcPr>
          <w:p w14:paraId="34443261" w14:textId="790DDE4C" w:rsidR="00436482" w:rsidRPr="00611C9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1913</w:t>
            </w:r>
          </w:p>
        </w:tc>
        <w:tc>
          <w:tcPr>
            <w:tcW w:w="214" w:type="pct"/>
            <w:shd w:val="clear" w:color="000000" w:fill="FFFFFF"/>
            <w:vAlign w:val="center"/>
          </w:tcPr>
          <w:p w14:paraId="374D77CC" w14:textId="2415F6DB" w:rsidR="00436482" w:rsidRPr="00611C9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1867</w:t>
            </w:r>
          </w:p>
        </w:tc>
        <w:tc>
          <w:tcPr>
            <w:tcW w:w="216" w:type="pct"/>
            <w:shd w:val="clear" w:color="000000" w:fill="FFFFFF"/>
            <w:vAlign w:val="center"/>
          </w:tcPr>
          <w:p w14:paraId="31F9AEAB" w14:textId="79AC02F3" w:rsidR="00436482" w:rsidRPr="00611C9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5810</w:t>
            </w:r>
          </w:p>
        </w:tc>
        <w:tc>
          <w:tcPr>
            <w:tcW w:w="232" w:type="pct"/>
            <w:shd w:val="clear" w:color="000000" w:fill="FFFFFF"/>
            <w:noWrap/>
            <w:vAlign w:val="center"/>
            <w:hideMark/>
          </w:tcPr>
          <w:p w14:paraId="4564E355" w14:textId="56FA2AD9"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1459</w:t>
            </w:r>
          </w:p>
        </w:tc>
      </w:tr>
      <w:tr w:rsidR="00436482" w:rsidRPr="00E05368" w14:paraId="399CCE36" w14:textId="77777777" w:rsidTr="00436482">
        <w:trPr>
          <w:trHeight w:val="340"/>
          <w:jc w:val="center"/>
        </w:trPr>
        <w:tc>
          <w:tcPr>
            <w:tcW w:w="190" w:type="pct"/>
            <w:shd w:val="clear" w:color="000000" w:fill="FFFFFF"/>
            <w:noWrap/>
            <w:vAlign w:val="center"/>
            <w:hideMark/>
          </w:tcPr>
          <w:p w14:paraId="15BE6F6C"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1</w:t>
            </w:r>
            <w:r>
              <w:rPr>
                <w:rFonts w:ascii="华文细黑" w:eastAsia="华文细黑" w:hAnsi="华文细黑" w:hint="eastAsia"/>
                <w:color w:val="000000"/>
                <w:sz w:val="13"/>
                <w:szCs w:val="13"/>
              </w:rPr>
              <w:t>1</w:t>
            </w:r>
          </w:p>
        </w:tc>
        <w:tc>
          <w:tcPr>
            <w:tcW w:w="810" w:type="pct"/>
            <w:shd w:val="clear" w:color="000000" w:fill="FFFFFF"/>
            <w:noWrap/>
            <w:vAlign w:val="center"/>
            <w:hideMark/>
          </w:tcPr>
          <w:p w14:paraId="3B45664C" w14:textId="17A7729B"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累积净现值</w:t>
            </w:r>
          </w:p>
        </w:tc>
        <w:tc>
          <w:tcPr>
            <w:tcW w:w="237" w:type="pct"/>
            <w:shd w:val="clear" w:color="000000" w:fill="FFFFFF"/>
            <w:noWrap/>
            <w:vAlign w:val="center"/>
          </w:tcPr>
          <w:p w14:paraId="70723D22" w14:textId="269B0A4A" w:rsidR="00436482" w:rsidRPr="00035628" w:rsidRDefault="00436482" w:rsidP="00436482">
            <w:pPr>
              <w:jc w:val="center"/>
              <w:rPr>
                <w:rFonts w:ascii="华文细黑" w:eastAsia="华文细黑" w:hAnsi="华文细黑"/>
                <w:color w:val="000000"/>
                <w:sz w:val="13"/>
                <w:szCs w:val="13"/>
              </w:rPr>
            </w:pPr>
          </w:p>
        </w:tc>
        <w:tc>
          <w:tcPr>
            <w:tcW w:w="293" w:type="pct"/>
            <w:shd w:val="clear" w:color="000000" w:fill="FFFFFF"/>
            <w:noWrap/>
            <w:vAlign w:val="center"/>
            <w:hideMark/>
          </w:tcPr>
          <w:p w14:paraId="69A04526" w14:textId="564AA95D"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-122545</w:t>
            </w:r>
          </w:p>
        </w:tc>
        <w:tc>
          <w:tcPr>
            <w:tcW w:w="293" w:type="pct"/>
            <w:shd w:val="clear" w:color="000000" w:fill="FFFFFF"/>
            <w:noWrap/>
            <w:vAlign w:val="center"/>
            <w:hideMark/>
          </w:tcPr>
          <w:p w14:paraId="4489B020" w14:textId="09502928"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-251630</w:t>
            </w:r>
          </w:p>
        </w:tc>
        <w:tc>
          <w:tcPr>
            <w:tcW w:w="293" w:type="pct"/>
            <w:shd w:val="clear" w:color="000000" w:fill="FFFFFF"/>
            <w:noWrap/>
            <w:vAlign w:val="center"/>
            <w:hideMark/>
          </w:tcPr>
          <w:p w14:paraId="713695FC" w14:textId="6347AB3C"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-262467</w:t>
            </w:r>
          </w:p>
        </w:tc>
        <w:tc>
          <w:tcPr>
            <w:tcW w:w="247" w:type="pct"/>
            <w:shd w:val="clear" w:color="000000" w:fill="FFFFFF"/>
            <w:noWrap/>
            <w:vAlign w:val="center"/>
            <w:hideMark/>
          </w:tcPr>
          <w:p w14:paraId="5624E6FF" w14:textId="4F81167B"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-273845</w:t>
            </w:r>
          </w:p>
        </w:tc>
        <w:tc>
          <w:tcPr>
            <w:tcW w:w="237" w:type="pct"/>
            <w:shd w:val="clear" w:color="000000" w:fill="FFFFFF"/>
            <w:noWrap/>
            <w:vAlign w:val="center"/>
            <w:hideMark/>
          </w:tcPr>
          <w:p w14:paraId="60BEA79E" w14:textId="264845ED"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-258848</w:t>
            </w:r>
          </w:p>
        </w:tc>
        <w:tc>
          <w:tcPr>
            <w:tcW w:w="237" w:type="pct"/>
            <w:shd w:val="clear" w:color="000000" w:fill="FFFFFF"/>
            <w:noWrap/>
            <w:vAlign w:val="center"/>
            <w:hideMark/>
          </w:tcPr>
          <w:p w14:paraId="0D313038" w14:textId="3DAF5563"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-221433</w:t>
            </w:r>
          </w:p>
        </w:tc>
        <w:tc>
          <w:tcPr>
            <w:tcW w:w="216" w:type="pct"/>
            <w:shd w:val="clear" w:color="000000" w:fill="FFFFFF"/>
            <w:noWrap/>
            <w:vAlign w:val="center"/>
            <w:hideMark/>
          </w:tcPr>
          <w:p w14:paraId="33138353" w14:textId="0A6B8AF7"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-185313</w:t>
            </w:r>
          </w:p>
        </w:tc>
        <w:tc>
          <w:tcPr>
            <w:tcW w:w="214" w:type="pct"/>
            <w:shd w:val="clear" w:color="000000" w:fill="FFFFFF"/>
            <w:noWrap/>
            <w:vAlign w:val="center"/>
            <w:hideMark/>
          </w:tcPr>
          <w:p w14:paraId="0EA1DCB9" w14:textId="5ABECA98"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-146127</w:t>
            </w:r>
          </w:p>
        </w:tc>
        <w:tc>
          <w:tcPr>
            <w:tcW w:w="214" w:type="pct"/>
            <w:shd w:val="clear" w:color="000000" w:fill="FFFFFF"/>
            <w:noWrap/>
            <w:vAlign w:val="center"/>
            <w:hideMark/>
          </w:tcPr>
          <w:p w14:paraId="729D6950" w14:textId="646F1124"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-103644</w:t>
            </w:r>
          </w:p>
        </w:tc>
        <w:tc>
          <w:tcPr>
            <w:tcW w:w="214" w:type="pct"/>
            <w:shd w:val="clear" w:color="000000" w:fill="FFFFFF"/>
            <w:noWrap/>
            <w:vAlign w:val="center"/>
            <w:hideMark/>
          </w:tcPr>
          <w:p w14:paraId="1BDE268A" w14:textId="13F18FD0"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-58455</w:t>
            </w:r>
          </w:p>
        </w:tc>
        <w:tc>
          <w:tcPr>
            <w:tcW w:w="216" w:type="pct"/>
            <w:shd w:val="clear" w:color="000000" w:fill="FFFFFF"/>
            <w:noWrap/>
            <w:vAlign w:val="center"/>
            <w:hideMark/>
          </w:tcPr>
          <w:p w14:paraId="34793501" w14:textId="3526CA19"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-21605</w:t>
            </w:r>
          </w:p>
        </w:tc>
        <w:tc>
          <w:tcPr>
            <w:tcW w:w="214" w:type="pct"/>
            <w:shd w:val="clear" w:color="000000" w:fill="FFFFFF"/>
            <w:vAlign w:val="center"/>
          </w:tcPr>
          <w:p w14:paraId="28F33C09" w14:textId="2C23E904"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-8131</w:t>
            </w:r>
          </w:p>
        </w:tc>
        <w:tc>
          <w:tcPr>
            <w:tcW w:w="214" w:type="pct"/>
            <w:shd w:val="clear" w:color="000000" w:fill="FFFFFF"/>
            <w:vAlign w:val="center"/>
          </w:tcPr>
          <w:p w14:paraId="1652E27D" w14:textId="78AF0050"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-6218</w:t>
            </w:r>
          </w:p>
        </w:tc>
        <w:tc>
          <w:tcPr>
            <w:tcW w:w="214" w:type="pct"/>
            <w:shd w:val="clear" w:color="000000" w:fill="FFFFFF"/>
            <w:vAlign w:val="center"/>
          </w:tcPr>
          <w:p w14:paraId="04C79840" w14:textId="6CABF04D"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-4351</w:t>
            </w:r>
          </w:p>
        </w:tc>
        <w:tc>
          <w:tcPr>
            <w:tcW w:w="216" w:type="pct"/>
            <w:shd w:val="clear" w:color="000000" w:fill="FFFFFF"/>
            <w:vAlign w:val="center"/>
          </w:tcPr>
          <w:p w14:paraId="7828839F" w14:textId="1B2EA1C0"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1459</w:t>
            </w:r>
          </w:p>
        </w:tc>
        <w:tc>
          <w:tcPr>
            <w:tcW w:w="232" w:type="pct"/>
            <w:shd w:val="clear" w:color="000000" w:fill="FFFFFF"/>
            <w:noWrap/>
            <w:vAlign w:val="center"/>
            <w:hideMark/>
          </w:tcPr>
          <w:p w14:paraId="5414B627" w14:textId="67000C41" w:rsidR="00436482" w:rsidRPr="00035628" w:rsidRDefault="00436482" w:rsidP="00436482">
            <w:pPr>
              <w:jc w:val="center"/>
              <w:rPr>
                <w:rFonts w:ascii="华文细黑" w:eastAsia="华文细黑" w:hAnsi="华文细黑"/>
                <w:color w:val="000000"/>
                <w:sz w:val="13"/>
                <w:szCs w:val="13"/>
              </w:rPr>
            </w:pPr>
          </w:p>
        </w:tc>
      </w:tr>
      <w:tr w:rsidR="00436482" w:rsidRPr="00E05368" w14:paraId="73AE6C3F" w14:textId="77777777" w:rsidTr="00436482">
        <w:trPr>
          <w:trHeight w:val="340"/>
          <w:jc w:val="center"/>
        </w:trPr>
        <w:tc>
          <w:tcPr>
            <w:tcW w:w="1000" w:type="pct"/>
            <w:gridSpan w:val="2"/>
            <w:shd w:val="clear" w:color="000000" w:fill="FFFFFF"/>
            <w:noWrap/>
            <w:vAlign w:val="center"/>
            <w:hideMark/>
          </w:tcPr>
          <w:p w14:paraId="4F9FB180"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1</w:t>
            </w:r>
            <w:r>
              <w:rPr>
                <w:rFonts w:ascii="华文细黑" w:eastAsia="华文细黑" w:hAnsi="华文细黑" w:hint="eastAsia"/>
                <w:color w:val="000000"/>
                <w:sz w:val="13"/>
                <w:szCs w:val="13"/>
              </w:rPr>
              <w:t>、基准折现率（年化</w:t>
            </w:r>
            <w:r w:rsidRPr="00035628">
              <w:rPr>
                <w:rFonts w:ascii="华文细黑" w:eastAsia="华文细黑" w:hAnsi="华文细黑" w:hint="eastAsia"/>
                <w:color w:val="000000"/>
                <w:sz w:val="13"/>
                <w:szCs w:val="13"/>
              </w:rPr>
              <w:t>）</w:t>
            </w:r>
          </w:p>
        </w:tc>
        <w:tc>
          <w:tcPr>
            <w:tcW w:w="237" w:type="pct"/>
            <w:shd w:val="clear" w:color="000000" w:fill="FFFFFF"/>
            <w:noWrap/>
            <w:vAlign w:val="center"/>
            <w:hideMark/>
          </w:tcPr>
          <w:p w14:paraId="3C696B12" w14:textId="6C7B2B6D" w:rsidR="00436482" w:rsidRPr="00035628" w:rsidRDefault="00436482" w:rsidP="00436482">
            <w:pPr>
              <w:jc w:val="center"/>
              <w:rPr>
                <w:rFonts w:ascii="华文细黑" w:eastAsia="华文细黑" w:hAnsi="华文细黑"/>
                <w:color w:val="000000"/>
                <w:sz w:val="13"/>
                <w:szCs w:val="13"/>
              </w:rPr>
            </w:pPr>
            <w:r>
              <w:rPr>
                <w:rFonts w:ascii="华文细黑" w:eastAsia="华文细黑" w:hAnsi="华文细黑"/>
                <w:color w:val="000000"/>
                <w:sz w:val="13"/>
                <w:szCs w:val="13"/>
              </w:rPr>
              <w:t>2.4114</w:t>
            </w:r>
            <w:r w:rsidRPr="00035628">
              <w:rPr>
                <w:rFonts w:ascii="华文细黑" w:eastAsia="华文细黑" w:hAnsi="华文细黑" w:hint="eastAsia"/>
                <w:color w:val="000000"/>
                <w:sz w:val="13"/>
                <w:szCs w:val="13"/>
              </w:rPr>
              <w:t>%</w:t>
            </w:r>
          </w:p>
        </w:tc>
        <w:tc>
          <w:tcPr>
            <w:tcW w:w="878" w:type="pct"/>
            <w:gridSpan w:val="3"/>
            <w:shd w:val="clear" w:color="000000" w:fill="FFFFFF"/>
            <w:noWrap/>
            <w:vAlign w:val="center"/>
            <w:hideMark/>
          </w:tcPr>
          <w:p w14:paraId="333D56C6"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2、财务净现值(FNPV)</w:t>
            </w:r>
          </w:p>
        </w:tc>
        <w:tc>
          <w:tcPr>
            <w:tcW w:w="247" w:type="pct"/>
            <w:shd w:val="clear" w:color="000000" w:fill="FFFFFF"/>
            <w:noWrap/>
            <w:vAlign w:val="center"/>
            <w:hideMark/>
          </w:tcPr>
          <w:p w14:paraId="5336BD79" w14:textId="1A38B8BB"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1456</w:t>
            </w:r>
          </w:p>
        </w:tc>
        <w:tc>
          <w:tcPr>
            <w:tcW w:w="237" w:type="pct"/>
            <w:shd w:val="clear" w:color="000000" w:fill="FFFFFF"/>
            <w:noWrap/>
            <w:vAlign w:val="center"/>
            <w:hideMark/>
          </w:tcPr>
          <w:p w14:paraId="760FB919" w14:textId="77777777" w:rsidR="00436482" w:rsidRPr="00035628" w:rsidRDefault="00436482" w:rsidP="00436482">
            <w:pPr>
              <w:jc w:val="center"/>
              <w:rPr>
                <w:rFonts w:ascii="华文细黑" w:eastAsia="华文细黑" w:hAnsi="华文细黑"/>
                <w:color w:val="000000"/>
                <w:sz w:val="13"/>
                <w:szCs w:val="13"/>
              </w:rPr>
            </w:pPr>
          </w:p>
        </w:tc>
        <w:tc>
          <w:tcPr>
            <w:tcW w:w="237" w:type="pct"/>
            <w:shd w:val="clear" w:color="000000" w:fill="FFFFFF"/>
            <w:noWrap/>
            <w:vAlign w:val="center"/>
            <w:hideMark/>
          </w:tcPr>
          <w:p w14:paraId="543CF4BC" w14:textId="4F78FCDE" w:rsidR="00436482" w:rsidRPr="00035628" w:rsidRDefault="00436482" w:rsidP="00436482">
            <w:pPr>
              <w:jc w:val="center"/>
              <w:rPr>
                <w:rFonts w:ascii="华文细黑" w:eastAsia="华文细黑" w:hAnsi="华文细黑"/>
                <w:color w:val="000000"/>
                <w:sz w:val="13"/>
                <w:szCs w:val="13"/>
              </w:rPr>
            </w:pPr>
          </w:p>
        </w:tc>
        <w:tc>
          <w:tcPr>
            <w:tcW w:w="216" w:type="pct"/>
            <w:shd w:val="clear" w:color="000000" w:fill="FFFFFF"/>
            <w:noWrap/>
            <w:vAlign w:val="center"/>
            <w:hideMark/>
          </w:tcPr>
          <w:p w14:paraId="4185A57E" w14:textId="6F89ADC8" w:rsidR="00436482" w:rsidRPr="00035628" w:rsidRDefault="00436482" w:rsidP="00436482">
            <w:pPr>
              <w:jc w:val="center"/>
              <w:rPr>
                <w:rFonts w:ascii="华文细黑" w:eastAsia="华文细黑" w:hAnsi="华文细黑"/>
                <w:color w:val="000000"/>
                <w:sz w:val="13"/>
                <w:szCs w:val="13"/>
              </w:rPr>
            </w:pPr>
          </w:p>
        </w:tc>
        <w:tc>
          <w:tcPr>
            <w:tcW w:w="214" w:type="pct"/>
            <w:shd w:val="clear" w:color="000000" w:fill="FFFFFF"/>
            <w:noWrap/>
            <w:vAlign w:val="center"/>
            <w:hideMark/>
          </w:tcPr>
          <w:p w14:paraId="3F2A9A68" w14:textId="0FDCC965" w:rsidR="00436482" w:rsidRPr="00035628" w:rsidRDefault="00436482" w:rsidP="00436482">
            <w:pPr>
              <w:jc w:val="center"/>
              <w:rPr>
                <w:rFonts w:ascii="华文细黑" w:eastAsia="华文细黑" w:hAnsi="华文细黑"/>
                <w:color w:val="000000"/>
                <w:sz w:val="13"/>
                <w:szCs w:val="13"/>
              </w:rPr>
            </w:pPr>
          </w:p>
        </w:tc>
        <w:tc>
          <w:tcPr>
            <w:tcW w:w="214" w:type="pct"/>
            <w:shd w:val="clear" w:color="000000" w:fill="FFFFFF"/>
            <w:noWrap/>
            <w:vAlign w:val="center"/>
            <w:hideMark/>
          </w:tcPr>
          <w:p w14:paraId="60725422" w14:textId="2426E536" w:rsidR="00436482" w:rsidRPr="00035628" w:rsidRDefault="00436482" w:rsidP="00436482">
            <w:pPr>
              <w:jc w:val="center"/>
              <w:rPr>
                <w:rFonts w:ascii="华文细黑" w:eastAsia="华文细黑" w:hAnsi="华文细黑"/>
                <w:color w:val="000000"/>
                <w:sz w:val="13"/>
                <w:szCs w:val="13"/>
              </w:rPr>
            </w:pPr>
          </w:p>
        </w:tc>
        <w:tc>
          <w:tcPr>
            <w:tcW w:w="214" w:type="pct"/>
            <w:shd w:val="clear" w:color="000000" w:fill="FFFFFF"/>
            <w:noWrap/>
            <w:vAlign w:val="center"/>
            <w:hideMark/>
          </w:tcPr>
          <w:p w14:paraId="1D1279B7" w14:textId="033400F8" w:rsidR="00436482" w:rsidRPr="00035628" w:rsidRDefault="00436482" w:rsidP="00436482">
            <w:pPr>
              <w:jc w:val="center"/>
              <w:rPr>
                <w:rFonts w:ascii="华文细黑" w:eastAsia="华文细黑" w:hAnsi="华文细黑"/>
                <w:color w:val="000000"/>
                <w:sz w:val="13"/>
                <w:szCs w:val="13"/>
              </w:rPr>
            </w:pPr>
          </w:p>
        </w:tc>
        <w:tc>
          <w:tcPr>
            <w:tcW w:w="216" w:type="pct"/>
            <w:shd w:val="clear" w:color="000000" w:fill="FFFFFF"/>
            <w:noWrap/>
            <w:vAlign w:val="center"/>
            <w:hideMark/>
          </w:tcPr>
          <w:p w14:paraId="68D42164" w14:textId="7D15CDFB" w:rsidR="00436482" w:rsidRPr="00035628" w:rsidRDefault="00436482" w:rsidP="00436482">
            <w:pPr>
              <w:jc w:val="center"/>
              <w:rPr>
                <w:rFonts w:ascii="华文细黑" w:eastAsia="华文细黑" w:hAnsi="华文细黑"/>
                <w:color w:val="000000"/>
                <w:sz w:val="13"/>
                <w:szCs w:val="13"/>
              </w:rPr>
            </w:pPr>
          </w:p>
        </w:tc>
        <w:tc>
          <w:tcPr>
            <w:tcW w:w="214" w:type="pct"/>
            <w:shd w:val="clear" w:color="000000" w:fill="FFFFFF"/>
            <w:vAlign w:val="center"/>
          </w:tcPr>
          <w:p w14:paraId="2D11F736" w14:textId="77777777" w:rsidR="00436482" w:rsidRPr="00035628" w:rsidRDefault="00436482" w:rsidP="00436482">
            <w:pPr>
              <w:jc w:val="center"/>
              <w:rPr>
                <w:rFonts w:ascii="华文细黑" w:eastAsia="华文细黑" w:hAnsi="华文细黑"/>
                <w:color w:val="000000"/>
                <w:sz w:val="13"/>
                <w:szCs w:val="13"/>
              </w:rPr>
            </w:pPr>
          </w:p>
        </w:tc>
        <w:tc>
          <w:tcPr>
            <w:tcW w:w="214" w:type="pct"/>
            <w:shd w:val="clear" w:color="000000" w:fill="FFFFFF"/>
            <w:vAlign w:val="center"/>
          </w:tcPr>
          <w:p w14:paraId="25458C17" w14:textId="77777777" w:rsidR="00436482" w:rsidRPr="00035628" w:rsidRDefault="00436482" w:rsidP="00436482">
            <w:pPr>
              <w:jc w:val="center"/>
              <w:rPr>
                <w:rFonts w:ascii="华文细黑" w:eastAsia="华文细黑" w:hAnsi="华文细黑"/>
                <w:color w:val="000000"/>
                <w:sz w:val="13"/>
                <w:szCs w:val="13"/>
              </w:rPr>
            </w:pPr>
          </w:p>
        </w:tc>
        <w:tc>
          <w:tcPr>
            <w:tcW w:w="214" w:type="pct"/>
            <w:shd w:val="clear" w:color="000000" w:fill="FFFFFF"/>
            <w:vAlign w:val="center"/>
          </w:tcPr>
          <w:p w14:paraId="781C0E0B" w14:textId="77777777" w:rsidR="00436482" w:rsidRPr="00035628" w:rsidRDefault="00436482" w:rsidP="00436482">
            <w:pPr>
              <w:jc w:val="center"/>
              <w:rPr>
                <w:rFonts w:ascii="华文细黑" w:eastAsia="华文细黑" w:hAnsi="华文细黑"/>
                <w:color w:val="000000"/>
                <w:sz w:val="13"/>
                <w:szCs w:val="13"/>
              </w:rPr>
            </w:pPr>
          </w:p>
        </w:tc>
        <w:tc>
          <w:tcPr>
            <w:tcW w:w="216" w:type="pct"/>
            <w:shd w:val="clear" w:color="000000" w:fill="FFFFFF"/>
            <w:vAlign w:val="center"/>
          </w:tcPr>
          <w:p w14:paraId="6753A4F8" w14:textId="77777777" w:rsidR="00436482" w:rsidRPr="00035628" w:rsidRDefault="00436482" w:rsidP="00436482">
            <w:pPr>
              <w:jc w:val="center"/>
              <w:rPr>
                <w:rFonts w:ascii="华文细黑" w:eastAsia="华文细黑" w:hAnsi="华文细黑"/>
                <w:color w:val="000000"/>
                <w:sz w:val="13"/>
                <w:szCs w:val="13"/>
              </w:rPr>
            </w:pPr>
          </w:p>
        </w:tc>
        <w:tc>
          <w:tcPr>
            <w:tcW w:w="232" w:type="pct"/>
            <w:shd w:val="clear" w:color="000000" w:fill="FFFFFF"/>
            <w:noWrap/>
            <w:vAlign w:val="center"/>
            <w:hideMark/>
          </w:tcPr>
          <w:p w14:paraId="3C8C7698" w14:textId="488C169D" w:rsidR="00436482" w:rsidRPr="00035628" w:rsidRDefault="00436482" w:rsidP="00436482">
            <w:pPr>
              <w:jc w:val="center"/>
              <w:rPr>
                <w:rFonts w:ascii="华文细黑" w:eastAsia="华文细黑" w:hAnsi="华文细黑"/>
                <w:color w:val="000000"/>
                <w:sz w:val="13"/>
                <w:szCs w:val="13"/>
              </w:rPr>
            </w:pPr>
          </w:p>
        </w:tc>
      </w:tr>
      <w:tr w:rsidR="00436482" w:rsidRPr="00E05368" w14:paraId="0A1A82A4" w14:textId="77777777" w:rsidTr="00436482">
        <w:trPr>
          <w:trHeight w:val="340"/>
          <w:jc w:val="center"/>
        </w:trPr>
        <w:tc>
          <w:tcPr>
            <w:tcW w:w="1000" w:type="pct"/>
            <w:gridSpan w:val="2"/>
            <w:shd w:val="clear" w:color="000000" w:fill="FFFFFF"/>
            <w:noWrap/>
            <w:vAlign w:val="center"/>
            <w:hideMark/>
          </w:tcPr>
          <w:p w14:paraId="057BB496"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3、财务内部收益率(FIRR)（季）</w:t>
            </w:r>
          </w:p>
        </w:tc>
        <w:tc>
          <w:tcPr>
            <w:tcW w:w="237" w:type="pct"/>
            <w:shd w:val="clear" w:color="000000" w:fill="FFFFFF"/>
            <w:noWrap/>
            <w:vAlign w:val="center"/>
            <w:hideMark/>
          </w:tcPr>
          <w:p w14:paraId="75CB902B" w14:textId="38C3E4A6"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2.49%</w:t>
            </w:r>
          </w:p>
        </w:tc>
        <w:tc>
          <w:tcPr>
            <w:tcW w:w="878" w:type="pct"/>
            <w:gridSpan w:val="3"/>
            <w:shd w:val="clear" w:color="000000" w:fill="FFFFFF"/>
            <w:noWrap/>
            <w:vAlign w:val="center"/>
            <w:hideMark/>
          </w:tcPr>
          <w:p w14:paraId="1D66ABDF"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财务内部收益率(FIRR)</w:t>
            </w:r>
            <w:r>
              <w:rPr>
                <w:rFonts w:ascii="华文细黑" w:eastAsia="华文细黑" w:hAnsi="华文细黑" w:hint="eastAsia"/>
                <w:color w:val="000000"/>
                <w:sz w:val="13"/>
                <w:szCs w:val="13"/>
              </w:rPr>
              <w:t>（年</w:t>
            </w:r>
            <w:r w:rsidRPr="00035628">
              <w:rPr>
                <w:rFonts w:ascii="华文细黑" w:eastAsia="华文细黑" w:hAnsi="华文细黑" w:hint="eastAsia"/>
                <w:color w:val="000000"/>
                <w:sz w:val="13"/>
                <w:szCs w:val="13"/>
              </w:rPr>
              <w:t>）</w:t>
            </w:r>
          </w:p>
        </w:tc>
        <w:tc>
          <w:tcPr>
            <w:tcW w:w="247" w:type="pct"/>
            <w:shd w:val="clear" w:color="000000" w:fill="FFFFFF"/>
            <w:noWrap/>
            <w:vAlign w:val="center"/>
            <w:hideMark/>
          </w:tcPr>
          <w:p w14:paraId="06DC5338" w14:textId="6B580C69" w:rsidR="00436482" w:rsidRPr="00035628" w:rsidRDefault="00436482" w:rsidP="00436482">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10.34</w:t>
            </w:r>
            <w:r w:rsidRPr="004A1B30">
              <w:rPr>
                <w:rFonts w:ascii="华文细黑" w:eastAsia="华文细黑" w:hAnsi="华文细黑"/>
                <w:color w:val="000000"/>
                <w:sz w:val="13"/>
                <w:szCs w:val="13"/>
              </w:rPr>
              <w:t>%</w:t>
            </w:r>
          </w:p>
        </w:tc>
        <w:tc>
          <w:tcPr>
            <w:tcW w:w="237" w:type="pct"/>
            <w:shd w:val="clear" w:color="000000" w:fill="FFFFFF"/>
            <w:noWrap/>
            <w:vAlign w:val="center"/>
            <w:hideMark/>
          </w:tcPr>
          <w:p w14:paraId="4D715094" w14:textId="414C5C2D" w:rsidR="00436482" w:rsidRPr="00035628" w:rsidRDefault="00436482" w:rsidP="00436482">
            <w:pPr>
              <w:jc w:val="center"/>
              <w:rPr>
                <w:rFonts w:ascii="华文细黑" w:eastAsia="华文细黑" w:hAnsi="华文细黑"/>
                <w:color w:val="000000"/>
                <w:sz w:val="13"/>
                <w:szCs w:val="13"/>
              </w:rPr>
            </w:pPr>
          </w:p>
        </w:tc>
        <w:tc>
          <w:tcPr>
            <w:tcW w:w="237" w:type="pct"/>
            <w:shd w:val="clear" w:color="000000" w:fill="FFFFFF"/>
            <w:noWrap/>
            <w:vAlign w:val="center"/>
            <w:hideMark/>
          </w:tcPr>
          <w:p w14:paraId="0F2D1150" w14:textId="29790DB4" w:rsidR="00436482" w:rsidRPr="00035628" w:rsidRDefault="00436482" w:rsidP="00436482">
            <w:pPr>
              <w:jc w:val="center"/>
              <w:rPr>
                <w:rFonts w:ascii="华文细黑" w:eastAsia="华文细黑" w:hAnsi="华文细黑"/>
                <w:color w:val="000000"/>
                <w:sz w:val="13"/>
                <w:szCs w:val="13"/>
              </w:rPr>
            </w:pPr>
          </w:p>
        </w:tc>
        <w:tc>
          <w:tcPr>
            <w:tcW w:w="216" w:type="pct"/>
            <w:shd w:val="clear" w:color="000000" w:fill="FFFFFF"/>
            <w:noWrap/>
            <w:vAlign w:val="center"/>
            <w:hideMark/>
          </w:tcPr>
          <w:p w14:paraId="4EFDF1D8" w14:textId="240F86B0" w:rsidR="00436482" w:rsidRPr="00035628" w:rsidRDefault="00436482" w:rsidP="00436482">
            <w:pPr>
              <w:jc w:val="center"/>
              <w:rPr>
                <w:rFonts w:ascii="华文细黑" w:eastAsia="华文细黑" w:hAnsi="华文细黑"/>
                <w:color w:val="000000"/>
                <w:sz w:val="13"/>
                <w:szCs w:val="13"/>
              </w:rPr>
            </w:pPr>
          </w:p>
        </w:tc>
        <w:tc>
          <w:tcPr>
            <w:tcW w:w="214" w:type="pct"/>
            <w:shd w:val="clear" w:color="000000" w:fill="FFFFFF"/>
            <w:noWrap/>
            <w:vAlign w:val="center"/>
            <w:hideMark/>
          </w:tcPr>
          <w:p w14:paraId="7F33C5C1" w14:textId="02AECEAE" w:rsidR="00436482" w:rsidRPr="00035628" w:rsidRDefault="00436482" w:rsidP="00436482">
            <w:pPr>
              <w:jc w:val="center"/>
              <w:rPr>
                <w:rFonts w:ascii="华文细黑" w:eastAsia="华文细黑" w:hAnsi="华文细黑"/>
                <w:color w:val="000000"/>
                <w:sz w:val="13"/>
                <w:szCs w:val="13"/>
              </w:rPr>
            </w:pPr>
          </w:p>
        </w:tc>
        <w:tc>
          <w:tcPr>
            <w:tcW w:w="214" w:type="pct"/>
            <w:shd w:val="clear" w:color="000000" w:fill="FFFFFF"/>
            <w:noWrap/>
            <w:vAlign w:val="center"/>
            <w:hideMark/>
          </w:tcPr>
          <w:p w14:paraId="00367899" w14:textId="073B9A4B" w:rsidR="00436482" w:rsidRPr="00035628" w:rsidRDefault="00436482" w:rsidP="00436482">
            <w:pPr>
              <w:jc w:val="center"/>
              <w:rPr>
                <w:rFonts w:ascii="华文细黑" w:eastAsia="华文细黑" w:hAnsi="华文细黑"/>
                <w:color w:val="000000"/>
                <w:sz w:val="13"/>
                <w:szCs w:val="13"/>
              </w:rPr>
            </w:pPr>
          </w:p>
        </w:tc>
        <w:tc>
          <w:tcPr>
            <w:tcW w:w="214" w:type="pct"/>
            <w:shd w:val="clear" w:color="000000" w:fill="FFFFFF"/>
            <w:noWrap/>
            <w:vAlign w:val="center"/>
            <w:hideMark/>
          </w:tcPr>
          <w:p w14:paraId="44BD463F" w14:textId="149AE1C1" w:rsidR="00436482" w:rsidRPr="00035628" w:rsidRDefault="00436482" w:rsidP="00436482">
            <w:pPr>
              <w:jc w:val="center"/>
              <w:rPr>
                <w:rFonts w:ascii="华文细黑" w:eastAsia="华文细黑" w:hAnsi="华文细黑"/>
                <w:color w:val="000000"/>
                <w:sz w:val="13"/>
                <w:szCs w:val="13"/>
              </w:rPr>
            </w:pPr>
          </w:p>
        </w:tc>
        <w:tc>
          <w:tcPr>
            <w:tcW w:w="216" w:type="pct"/>
            <w:shd w:val="clear" w:color="000000" w:fill="FFFFFF"/>
            <w:noWrap/>
            <w:vAlign w:val="center"/>
            <w:hideMark/>
          </w:tcPr>
          <w:p w14:paraId="2C3CAF5D" w14:textId="14D35D8F" w:rsidR="00436482" w:rsidRPr="00035628" w:rsidRDefault="00436482" w:rsidP="00436482">
            <w:pPr>
              <w:jc w:val="center"/>
              <w:rPr>
                <w:rFonts w:ascii="华文细黑" w:eastAsia="华文细黑" w:hAnsi="华文细黑"/>
                <w:color w:val="000000"/>
                <w:sz w:val="13"/>
                <w:szCs w:val="13"/>
              </w:rPr>
            </w:pPr>
          </w:p>
        </w:tc>
        <w:tc>
          <w:tcPr>
            <w:tcW w:w="214" w:type="pct"/>
            <w:shd w:val="clear" w:color="000000" w:fill="FFFFFF"/>
            <w:vAlign w:val="center"/>
          </w:tcPr>
          <w:p w14:paraId="2F2047CC" w14:textId="77777777" w:rsidR="00436482" w:rsidRPr="00035628" w:rsidRDefault="00436482" w:rsidP="00436482">
            <w:pPr>
              <w:jc w:val="center"/>
              <w:rPr>
                <w:rFonts w:ascii="华文细黑" w:eastAsia="华文细黑" w:hAnsi="华文细黑"/>
                <w:color w:val="000000"/>
                <w:sz w:val="13"/>
                <w:szCs w:val="13"/>
              </w:rPr>
            </w:pPr>
          </w:p>
        </w:tc>
        <w:tc>
          <w:tcPr>
            <w:tcW w:w="214" w:type="pct"/>
            <w:shd w:val="clear" w:color="000000" w:fill="FFFFFF"/>
            <w:vAlign w:val="center"/>
          </w:tcPr>
          <w:p w14:paraId="046F1BC1" w14:textId="77777777" w:rsidR="00436482" w:rsidRPr="00035628" w:rsidRDefault="00436482" w:rsidP="00436482">
            <w:pPr>
              <w:jc w:val="center"/>
              <w:rPr>
                <w:rFonts w:ascii="华文细黑" w:eastAsia="华文细黑" w:hAnsi="华文细黑"/>
                <w:color w:val="000000"/>
                <w:sz w:val="13"/>
                <w:szCs w:val="13"/>
              </w:rPr>
            </w:pPr>
          </w:p>
        </w:tc>
        <w:tc>
          <w:tcPr>
            <w:tcW w:w="214" w:type="pct"/>
            <w:shd w:val="clear" w:color="000000" w:fill="FFFFFF"/>
            <w:vAlign w:val="center"/>
          </w:tcPr>
          <w:p w14:paraId="358868E5" w14:textId="77777777" w:rsidR="00436482" w:rsidRPr="00035628" w:rsidRDefault="00436482" w:rsidP="00436482">
            <w:pPr>
              <w:jc w:val="center"/>
              <w:rPr>
                <w:rFonts w:ascii="华文细黑" w:eastAsia="华文细黑" w:hAnsi="华文细黑"/>
                <w:color w:val="000000"/>
                <w:sz w:val="13"/>
                <w:szCs w:val="13"/>
              </w:rPr>
            </w:pPr>
          </w:p>
        </w:tc>
        <w:tc>
          <w:tcPr>
            <w:tcW w:w="216" w:type="pct"/>
            <w:shd w:val="clear" w:color="000000" w:fill="FFFFFF"/>
            <w:vAlign w:val="center"/>
          </w:tcPr>
          <w:p w14:paraId="4D2CF25B" w14:textId="77777777" w:rsidR="00436482" w:rsidRPr="00035628" w:rsidRDefault="00436482" w:rsidP="00436482">
            <w:pPr>
              <w:jc w:val="center"/>
              <w:rPr>
                <w:rFonts w:ascii="华文细黑" w:eastAsia="华文细黑" w:hAnsi="华文细黑"/>
                <w:color w:val="000000"/>
                <w:sz w:val="13"/>
                <w:szCs w:val="13"/>
              </w:rPr>
            </w:pPr>
          </w:p>
        </w:tc>
        <w:tc>
          <w:tcPr>
            <w:tcW w:w="232" w:type="pct"/>
            <w:shd w:val="clear" w:color="000000" w:fill="FFFFFF"/>
            <w:noWrap/>
            <w:vAlign w:val="center"/>
            <w:hideMark/>
          </w:tcPr>
          <w:p w14:paraId="7E4A7940" w14:textId="0BB8E0E0" w:rsidR="00436482" w:rsidRPr="00035628" w:rsidRDefault="00436482" w:rsidP="00436482">
            <w:pPr>
              <w:jc w:val="center"/>
              <w:rPr>
                <w:rFonts w:ascii="华文细黑" w:eastAsia="华文细黑" w:hAnsi="华文细黑"/>
                <w:color w:val="000000"/>
                <w:sz w:val="13"/>
                <w:szCs w:val="13"/>
              </w:rPr>
            </w:pPr>
          </w:p>
        </w:tc>
      </w:tr>
    </w:tbl>
    <w:p w14:paraId="361280C1" w14:textId="77777777" w:rsidR="0053025C" w:rsidRPr="00E05368" w:rsidRDefault="0053025C" w:rsidP="0053025C">
      <w:pPr>
        <w:spacing w:line="240" w:lineRule="exact"/>
        <w:rPr>
          <w:rFonts w:ascii="华文细黑" w:eastAsia="华文细黑" w:hAnsi="华文细黑"/>
          <w:bCs/>
          <w:color w:val="000000"/>
          <w:sz w:val="15"/>
          <w:szCs w:val="15"/>
        </w:rPr>
      </w:pPr>
      <w:r w:rsidRPr="00E05368">
        <w:rPr>
          <w:rFonts w:ascii="华文细黑" w:eastAsia="华文细黑" w:hAnsi="华文细黑"/>
          <w:bCs/>
          <w:color w:val="000000"/>
          <w:sz w:val="15"/>
          <w:szCs w:val="15"/>
        </w:rPr>
        <w:t>单位：万元</w:t>
      </w:r>
      <w:r w:rsidRPr="00E05368">
        <w:rPr>
          <w:rFonts w:ascii="华文细黑" w:eastAsia="华文细黑" w:hAnsi="华文细黑" w:hint="eastAsia"/>
          <w:bCs/>
          <w:color w:val="000000"/>
          <w:sz w:val="15"/>
          <w:szCs w:val="15"/>
        </w:rPr>
        <w:t>、年</w:t>
      </w:r>
    </w:p>
    <w:p w14:paraId="7EE24846" w14:textId="77777777" w:rsidR="0053025C" w:rsidRPr="00E05368" w:rsidRDefault="0053025C" w:rsidP="0053025C">
      <w:pPr>
        <w:spacing w:line="360" w:lineRule="auto"/>
        <w:ind w:firstLineChars="200" w:firstLine="480"/>
        <w:rPr>
          <w:rFonts w:ascii="Arial" w:hAnsi="Arial" w:cs="Arial"/>
          <w:bCs/>
          <w:color w:val="000000"/>
          <w:szCs w:val="21"/>
        </w:rPr>
      </w:pPr>
    </w:p>
    <w:p w14:paraId="49FB8F4E" w14:textId="77777777" w:rsidR="0053025C" w:rsidRPr="00E05368" w:rsidRDefault="0053025C" w:rsidP="0053025C">
      <w:pPr>
        <w:spacing w:line="360" w:lineRule="auto"/>
        <w:ind w:firstLineChars="200" w:firstLine="480"/>
        <w:rPr>
          <w:rFonts w:ascii="Arial" w:hAnsi="Arial" w:cs="Arial"/>
          <w:bCs/>
          <w:color w:val="000000"/>
          <w:sz w:val="21"/>
          <w:szCs w:val="21"/>
        </w:rPr>
      </w:pPr>
      <w:r w:rsidRPr="00E05368">
        <w:rPr>
          <w:rFonts w:ascii="Arial" w:eastAsia="仿宋_GB2312" w:hAnsi="Arial" w:cs="Arial"/>
          <w:bCs/>
          <w:color w:val="000000"/>
          <w:szCs w:val="21"/>
        </w:rPr>
        <w:br w:type="page"/>
      </w:r>
      <w:r w:rsidRPr="00E05368">
        <w:rPr>
          <w:rFonts w:ascii="Arial" w:hAnsi="Arial" w:cs="Arial" w:hint="eastAsia"/>
          <w:bCs/>
          <w:color w:val="000000"/>
          <w:sz w:val="21"/>
          <w:szCs w:val="21"/>
        </w:rPr>
        <w:lastRenderedPageBreak/>
        <w:t>（</w:t>
      </w:r>
      <w:r w:rsidRPr="00E05368">
        <w:rPr>
          <w:rFonts w:ascii="Arial" w:hAnsi="Arial" w:cs="Arial" w:hint="eastAsia"/>
          <w:bCs/>
          <w:color w:val="000000"/>
          <w:sz w:val="21"/>
          <w:szCs w:val="21"/>
        </w:rPr>
        <w:t>3</w:t>
      </w:r>
      <w:r w:rsidRPr="00E05368">
        <w:rPr>
          <w:rFonts w:ascii="Arial" w:hAnsi="Arial" w:cs="Arial" w:hint="eastAsia"/>
          <w:bCs/>
          <w:color w:val="000000"/>
          <w:sz w:val="21"/>
          <w:szCs w:val="21"/>
        </w:rPr>
        <w:t>）</w:t>
      </w:r>
      <w:r w:rsidRPr="00E05368">
        <w:rPr>
          <w:rFonts w:ascii="Arial" w:hAnsi="Arial" w:cs="Arial"/>
          <w:bCs/>
          <w:color w:val="000000"/>
          <w:sz w:val="21"/>
          <w:szCs w:val="21"/>
        </w:rPr>
        <w:t>项目损益预测表（主表</w:t>
      </w:r>
      <w:r w:rsidRPr="00E05368">
        <w:rPr>
          <w:rFonts w:ascii="Arial" w:hAnsi="Arial" w:cs="Arial"/>
          <w:bCs/>
          <w:color w:val="000000"/>
          <w:sz w:val="21"/>
          <w:szCs w:val="21"/>
        </w:rPr>
        <w:t>3</w:t>
      </w:r>
      <w:r w:rsidRPr="00E05368">
        <w:rPr>
          <w:rFonts w:ascii="Arial" w:hAnsi="Arial" w:cs="Arial"/>
          <w:bCs/>
          <w:color w:val="000000"/>
          <w:sz w:val="21"/>
          <w:szCs w:val="21"/>
        </w:rPr>
        <w:t>）</w:t>
      </w:r>
    </w:p>
    <w:tbl>
      <w:tblPr>
        <w:tblW w:w="14572" w:type="dxa"/>
        <w:jc w:val="center"/>
        <w:tblCellMar>
          <w:left w:w="28" w:type="dxa"/>
          <w:right w:w="28" w:type="dxa"/>
        </w:tblCellMar>
        <w:tblLook w:val="04A0" w:firstRow="1" w:lastRow="0" w:firstColumn="1" w:lastColumn="0" w:noHBand="0" w:noVBand="1"/>
      </w:tblPr>
      <w:tblGrid>
        <w:gridCol w:w="508"/>
        <w:gridCol w:w="1679"/>
        <w:gridCol w:w="711"/>
        <w:gridCol w:w="635"/>
        <w:gridCol w:w="799"/>
        <w:gridCol w:w="796"/>
        <w:gridCol w:w="635"/>
        <w:gridCol w:w="635"/>
        <w:gridCol w:w="635"/>
        <w:gridCol w:w="799"/>
        <w:gridCol w:w="635"/>
        <w:gridCol w:w="801"/>
        <w:gridCol w:w="796"/>
        <w:gridCol w:w="799"/>
        <w:gridCol w:w="801"/>
        <w:gridCol w:w="796"/>
        <w:gridCol w:w="635"/>
        <w:gridCol w:w="600"/>
        <w:gridCol w:w="877"/>
      </w:tblGrid>
      <w:tr w:rsidR="00846EC2" w:rsidRPr="00D40239" w14:paraId="7C4D44E6" w14:textId="77777777" w:rsidTr="00846EC2">
        <w:trPr>
          <w:trHeight w:val="340"/>
          <w:jc w:val="center"/>
        </w:trPr>
        <w:tc>
          <w:tcPr>
            <w:tcW w:w="174" w:type="pct"/>
            <w:vMerge w:val="restart"/>
            <w:tcBorders>
              <w:top w:val="single" w:sz="4" w:space="0" w:color="auto"/>
              <w:left w:val="single" w:sz="4" w:space="0" w:color="auto"/>
              <w:right w:val="single" w:sz="4" w:space="0" w:color="auto"/>
            </w:tcBorders>
            <w:shd w:val="clear" w:color="auto" w:fill="auto"/>
            <w:noWrap/>
            <w:vAlign w:val="center"/>
            <w:hideMark/>
          </w:tcPr>
          <w:p w14:paraId="52B57023"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序号</w:t>
            </w:r>
          </w:p>
        </w:tc>
        <w:tc>
          <w:tcPr>
            <w:tcW w:w="576" w:type="pct"/>
            <w:vMerge w:val="restart"/>
            <w:tcBorders>
              <w:top w:val="single" w:sz="4" w:space="0" w:color="auto"/>
              <w:left w:val="nil"/>
              <w:right w:val="single" w:sz="4" w:space="0" w:color="auto"/>
            </w:tcBorders>
            <w:shd w:val="clear" w:color="auto" w:fill="auto"/>
            <w:noWrap/>
            <w:vAlign w:val="center"/>
            <w:hideMark/>
          </w:tcPr>
          <w:p w14:paraId="159BCF86"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项目</w:t>
            </w:r>
          </w:p>
        </w:tc>
        <w:tc>
          <w:tcPr>
            <w:tcW w:w="1009" w:type="pct"/>
            <w:gridSpan w:val="4"/>
            <w:tcBorders>
              <w:top w:val="single" w:sz="4" w:space="0" w:color="auto"/>
              <w:left w:val="nil"/>
              <w:bottom w:val="single" w:sz="4" w:space="0" w:color="auto"/>
              <w:right w:val="single" w:sz="4" w:space="0" w:color="000000"/>
            </w:tcBorders>
            <w:shd w:val="clear" w:color="auto" w:fill="auto"/>
            <w:noWrap/>
            <w:vAlign w:val="center"/>
            <w:hideMark/>
          </w:tcPr>
          <w:p w14:paraId="1575153C" w14:textId="77777777" w:rsidR="00846EC2" w:rsidRPr="00D40239" w:rsidRDefault="00846EC2" w:rsidP="007B3231">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2021年</w:t>
            </w:r>
          </w:p>
        </w:tc>
        <w:tc>
          <w:tcPr>
            <w:tcW w:w="928" w:type="pct"/>
            <w:gridSpan w:val="4"/>
            <w:tcBorders>
              <w:top w:val="single" w:sz="4" w:space="0" w:color="auto"/>
              <w:left w:val="nil"/>
              <w:bottom w:val="single" w:sz="4" w:space="0" w:color="auto"/>
              <w:right w:val="single" w:sz="4" w:space="0" w:color="000000"/>
            </w:tcBorders>
            <w:shd w:val="clear" w:color="auto" w:fill="auto"/>
            <w:noWrap/>
            <w:vAlign w:val="center"/>
            <w:hideMark/>
          </w:tcPr>
          <w:p w14:paraId="47BC5233" w14:textId="77777777" w:rsidR="00846EC2" w:rsidRPr="00D40239" w:rsidRDefault="00846EC2" w:rsidP="007B3231">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2022年</w:t>
            </w:r>
          </w:p>
        </w:tc>
        <w:tc>
          <w:tcPr>
            <w:tcW w:w="1040" w:type="pct"/>
            <w:gridSpan w:val="4"/>
            <w:tcBorders>
              <w:top w:val="single" w:sz="4" w:space="0" w:color="auto"/>
              <w:left w:val="nil"/>
              <w:bottom w:val="single" w:sz="4" w:space="0" w:color="auto"/>
              <w:right w:val="single" w:sz="4" w:space="0" w:color="auto"/>
            </w:tcBorders>
            <w:shd w:val="clear" w:color="auto" w:fill="auto"/>
            <w:noWrap/>
            <w:vAlign w:val="center"/>
            <w:hideMark/>
          </w:tcPr>
          <w:p w14:paraId="1EAA393C" w14:textId="77777777" w:rsidR="00846EC2" w:rsidRPr="00D40239" w:rsidRDefault="00846EC2" w:rsidP="007B3231">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2023年</w:t>
            </w:r>
          </w:p>
        </w:tc>
        <w:tc>
          <w:tcPr>
            <w:tcW w:w="971" w:type="pct"/>
            <w:gridSpan w:val="4"/>
            <w:tcBorders>
              <w:top w:val="single" w:sz="4" w:space="0" w:color="auto"/>
              <w:left w:val="single" w:sz="4" w:space="0" w:color="auto"/>
              <w:bottom w:val="single" w:sz="4" w:space="0" w:color="auto"/>
              <w:right w:val="single" w:sz="4" w:space="0" w:color="auto"/>
            </w:tcBorders>
            <w:vAlign w:val="center"/>
          </w:tcPr>
          <w:p w14:paraId="036269F3" w14:textId="77777777" w:rsidR="00846EC2" w:rsidRPr="00D40239" w:rsidRDefault="00846EC2" w:rsidP="007B3231">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2024</w:t>
            </w:r>
            <w:r w:rsidRPr="00D40239">
              <w:rPr>
                <w:rFonts w:ascii="华文细黑" w:eastAsia="华文细黑" w:hAnsi="华文细黑" w:hint="eastAsia"/>
                <w:color w:val="000000"/>
                <w:sz w:val="13"/>
                <w:szCs w:val="13"/>
              </w:rPr>
              <w:t>年</w:t>
            </w:r>
          </w:p>
        </w:tc>
        <w:tc>
          <w:tcPr>
            <w:tcW w:w="301" w:type="pct"/>
            <w:vMerge w:val="restart"/>
            <w:tcBorders>
              <w:top w:val="single" w:sz="4" w:space="0" w:color="auto"/>
              <w:left w:val="nil"/>
              <w:right w:val="single" w:sz="4" w:space="0" w:color="auto"/>
            </w:tcBorders>
            <w:shd w:val="clear" w:color="auto" w:fill="auto"/>
            <w:noWrap/>
            <w:vAlign w:val="center"/>
            <w:hideMark/>
          </w:tcPr>
          <w:p w14:paraId="6B4CCC7A" w14:textId="77777777" w:rsidR="00846EC2" w:rsidRPr="00D40239" w:rsidRDefault="00846EC2" w:rsidP="007B3231">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合计</w:t>
            </w:r>
          </w:p>
        </w:tc>
      </w:tr>
      <w:tr w:rsidR="00846EC2" w:rsidRPr="00D40239" w14:paraId="304AE4BA" w14:textId="77777777" w:rsidTr="00846EC2">
        <w:trPr>
          <w:trHeight w:val="340"/>
          <w:jc w:val="center"/>
        </w:trPr>
        <w:tc>
          <w:tcPr>
            <w:tcW w:w="174" w:type="pct"/>
            <w:vMerge/>
            <w:tcBorders>
              <w:left w:val="single" w:sz="4" w:space="0" w:color="auto"/>
              <w:bottom w:val="single" w:sz="4" w:space="0" w:color="auto"/>
              <w:right w:val="single" w:sz="4" w:space="0" w:color="auto"/>
            </w:tcBorders>
            <w:shd w:val="clear" w:color="auto" w:fill="auto"/>
            <w:noWrap/>
            <w:vAlign w:val="center"/>
            <w:hideMark/>
          </w:tcPr>
          <w:p w14:paraId="3B593101" w14:textId="77777777" w:rsidR="00846EC2" w:rsidRPr="00D40239" w:rsidRDefault="00846EC2" w:rsidP="007B3231">
            <w:pPr>
              <w:jc w:val="both"/>
              <w:rPr>
                <w:rFonts w:ascii="华文细黑" w:eastAsia="华文细黑" w:hAnsi="华文细黑"/>
                <w:color w:val="000000"/>
                <w:sz w:val="13"/>
                <w:szCs w:val="13"/>
              </w:rPr>
            </w:pPr>
          </w:p>
        </w:tc>
        <w:tc>
          <w:tcPr>
            <w:tcW w:w="576" w:type="pct"/>
            <w:vMerge/>
            <w:tcBorders>
              <w:left w:val="nil"/>
              <w:bottom w:val="single" w:sz="4" w:space="0" w:color="auto"/>
              <w:right w:val="single" w:sz="4" w:space="0" w:color="auto"/>
            </w:tcBorders>
            <w:shd w:val="clear" w:color="auto" w:fill="auto"/>
            <w:noWrap/>
            <w:vAlign w:val="center"/>
            <w:hideMark/>
          </w:tcPr>
          <w:p w14:paraId="67B9BA2B" w14:textId="77777777" w:rsidR="00846EC2" w:rsidRPr="00D40239" w:rsidRDefault="00846EC2" w:rsidP="007B3231">
            <w:pPr>
              <w:jc w:val="both"/>
              <w:rPr>
                <w:rFonts w:ascii="华文细黑" w:eastAsia="华文细黑" w:hAnsi="华文细黑"/>
                <w:color w:val="000000"/>
                <w:sz w:val="13"/>
                <w:szCs w:val="13"/>
              </w:rPr>
            </w:pPr>
          </w:p>
        </w:tc>
        <w:tc>
          <w:tcPr>
            <w:tcW w:w="244" w:type="pct"/>
            <w:tcBorders>
              <w:top w:val="nil"/>
              <w:left w:val="nil"/>
              <w:bottom w:val="single" w:sz="4" w:space="0" w:color="auto"/>
              <w:right w:val="single" w:sz="4" w:space="0" w:color="auto"/>
            </w:tcBorders>
            <w:shd w:val="clear" w:color="auto" w:fill="auto"/>
            <w:noWrap/>
            <w:vAlign w:val="center"/>
            <w:hideMark/>
          </w:tcPr>
          <w:p w14:paraId="5B27F669" w14:textId="77777777" w:rsidR="00846EC2" w:rsidRPr="00D40239" w:rsidRDefault="00846EC2" w:rsidP="007B3231">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Q1</w:t>
            </w:r>
          </w:p>
        </w:tc>
        <w:tc>
          <w:tcPr>
            <w:tcW w:w="218" w:type="pct"/>
            <w:tcBorders>
              <w:top w:val="nil"/>
              <w:left w:val="nil"/>
              <w:bottom w:val="single" w:sz="4" w:space="0" w:color="auto"/>
              <w:right w:val="single" w:sz="4" w:space="0" w:color="auto"/>
            </w:tcBorders>
            <w:shd w:val="clear" w:color="auto" w:fill="auto"/>
            <w:noWrap/>
            <w:vAlign w:val="center"/>
            <w:hideMark/>
          </w:tcPr>
          <w:p w14:paraId="2724FE7A" w14:textId="77777777" w:rsidR="00846EC2" w:rsidRPr="00D40239" w:rsidRDefault="00846EC2" w:rsidP="007B3231">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Q2</w:t>
            </w:r>
          </w:p>
        </w:tc>
        <w:tc>
          <w:tcPr>
            <w:tcW w:w="274" w:type="pct"/>
            <w:tcBorders>
              <w:top w:val="nil"/>
              <w:left w:val="nil"/>
              <w:bottom w:val="single" w:sz="4" w:space="0" w:color="auto"/>
              <w:right w:val="single" w:sz="4" w:space="0" w:color="auto"/>
            </w:tcBorders>
            <w:shd w:val="clear" w:color="auto" w:fill="auto"/>
            <w:noWrap/>
            <w:vAlign w:val="center"/>
            <w:hideMark/>
          </w:tcPr>
          <w:p w14:paraId="51434A1D" w14:textId="77777777" w:rsidR="00846EC2" w:rsidRPr="00D40239" w:rsidRDefault="00846EC2" w:rsidP="007B3231">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Q3</w:t>
            </w:r>
          </w:p>
        </w:tc>
        <w:tc>
          <w:tcPr>
            <w:tcW w:w="273" w:type="pct"/>
            <w:tcBorders>
              <w:top w:val="nil"/>
              <w:left w:val="nil"/>
              <w:bottom w:val="single" w:sz="4" w:space="0" w:color="auto"/>
              <w:right w:val="single" w:sz="4" w:space="0" w:color="auto"/>
            </w:tcBorders>
            <w:shd w:val="clear" w:color="auto" w:fill="auto"/>
            <w:noWrap/>
            <w:vAlign w:val="center"/>
            <w:hideMark/>
          </w:tcPr>
          <w:p w14:paraId="1D7F126E" w14:textId="77777777" w:rsidR="00846EC2" w:rsidRPr="00D40239" w:rsidRDefault="00846EC2" w:rsidP="007B3231">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Q4</w:t>
            </w:r>
          </w:p>
        </w:tc>
        <w:tc>
          <w:tcPr>
            <w:tcW w:w="218" w:type="pct"/>
            <w:tcBorders>
              <w:top w:val="nil"/>
              <w:left w:val="nil"/>
              <w:bottom w:val="single" w:sz="4" w:space="0" w:color="auto"/>
              <w:right w:val="single" w:sz="4" w:space="0" w:color="auto"/>
            </w:tcBorders>
            <w:shd w:val="clear" w:color="auto" w:fill="auto"/>
            <w:noWrap/>
            <w:vAlign w:val="center"/>
            <w:hideMark/>
          </w:tcPr>
          <w:p w14:paraId="2EF2BBE9" w14:textId="77777777" w:rsidR="00846EC2" w:rsidRPr="00D40239" w:rsidRDefault="00846EC2" w:rsidP="007B3231">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Q1</w:t>
            </w:r>
          </w:p>
        </w:tc>
        <w:tc>
          <w:tcPr>
            <w:tcW w:w="218" w:type="pct"/>
            <w:tcBorders>
              <w:top w:val="nil"/>
              <w:left w:val="nil"/>
              <w:bottom w:val="single" w:sz="4" w:space="0" w:color="auto"/>
              <w:right w:val="single" w:sz="4" w:space="0" w:color="auto"/>
            </w:tcBorders>
            <w:shd w:val="clear" w:color="auto" w:fill="auto"/>
            <w:noWrap/>
            <w:vAlign w:val="center"/>
            <w:hideMark/>
          </w:tcPr>
          <w:p w14:paraId="311FAB18" w14:textId="77777777" w:rsidR="00846EC2" w:rsidRPr="00D40239" w:rsidRDefault="00846EC2" w:rsidP="007B3231">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Q2</w:t>
            </w:r>
          </w:p>
        </w:tc>
        <w:tc>
          <w:tcPr>
            <w:tcW w:w="218" w:type="pct"/>
            <w:tcBorders>
              <w:top w:val="nil"/>
              <w:left w:val="nil"/>
              <w:bottom w:val="single" w:sz="4" w:space="0" w:color="auto"/>
              <w:right w:val="single" w:sz="4" w:space="0" w:color="auto"/>
            </w:tcBorders>
            <w:shd w:val="clear" w:color="auto" w:fill="auto"/>
            <w:noWrap/>
            <w:vAlign w:val="center"/>
            <w:hideMark/>
          </w:tcPr>
          <w:p w14:paraId="26F37C34" w14:textId="77777777" w:rsidR="00846EC2" w:rsidRPr="00D40239" w:rsidRDefault="00846EC2" w:rsidP="007B3231">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Q3</w:t>
            </w:r>
          </w:p>
        </w:tc>
        <w:tc>
          <w:tcPr>
            <w:tcW w:w="273" w:type="pct"/>
            <w:tcBorders>
              <w:top w:val="nil"/>
              <w:left w:val="nil"/>
              <w:bottom w:val="single" w:sz="4" w:space="0" w:color="auto"/>
              <w:right w:val="single" w:sz="4" w:space="0" w:color="auto"/>
            </w:tcBorders>
            <w:shd w:val="clear" w:color="auto" w:fill="auto"/>
            <w:noWrap/>
            <w:vAlign w:val="center"/>
            <w:hideMark/>
          </w:tcPr>
          <w:p w14:paraId="65F0B17A" w14:textId="77777777" w:rsidR="00846EC2" w:rsidRPr="00D40239" w:rsidRDefault="00846EC2" w:rsidP="007B3231">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Q4</w:t>
            </w:r>
          </w:p>
        </w:tc>
        <w:tc>
          <w:tcPr>
            <w:tcW w:w="218" w:type="pct"/>
            <w:tcBorders>
              <w:top w:val="nil"/>
              <w:left w:val="nil"/>
              <w:bottom w:val="single" w:sz="4" w:space="0" w:color="auto"/>
              <w:right w:val="single" w:sz="4" w:space="0" w:color="auto"/>
            </w:tcBorders>
            <w:shd w:val="clear" w:color="auto" w:fill="auto"/>
            <w:noWrap/>
            <w:vAlign w:val="center"/>
            <w:hideMark/>
          </w:tcPr>
          <w:p w14:paraId="5DD58650" w14:textId="77777777" w:rsidR="00846EC2" w:rsidRPr="00D40239" w:rsidRDefault="00846EC2" w:rsidP="007B3231">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Q1</w:t>
            </w:r>
          </w:p>
        </w:tc>
        <w:tc>
          <w:tcPr>
            <w:tcW w:w="275" w:type="pct"/>
            <w:tcBorders>
              <w:top w:val="nil"/>
              <w:left w:val="nil"/>
              <w:bottom w:val="single" w:sz="4" w:space="0" w:color="auto"/>
              <w:right w:val="single" w:sz="4" w:space="0" w:color="auto"/>
            </w:tcBorders>
            <w:shd w:val="clear" w:color="auto" w:fill="auto"/>
            <w:noWrap/>
            <w:vAlign w:val="center"/>
            <w:hideMark/>
          </w:tcPr>
          <w:p w14:paraId="638E819A" w14:textId="77777777" w:rsidR="00846EC2" w:rsidRPr="00D40239" w:rsidRDefault="00846EC2" w:rsidP="007B3231">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Q2</w:t>
            </w:r>
          </w:p>
        </w:tc>
        <w:tc>
          <w:tcPr>
            <w:tcW w:w="273" w:type="pct"/>
            <w:tcBorders>
              <w:top w:val="nil"/>
              <w:left w:val="nil"/>
              <w:bottom w:val="single" w:sz="4" w:space="0" w:color="auto"/>
              <w:right w:val="single" w:sz="4" w:space="0" w:color="auto"/>
            </w:tcBorders>
            <w:shd w:val="clear" w:color="auto" w:fill="auto"/>
            <w:noWrap/>
            <w:vAlign w:val="center"/>
            <w:hideMark/>
          </w:tcPr>
          <w:p w14:paraId="6D0EE947" w14:textId="77777777" w:rsidR="00846EC2" w:rsidRPr="00D40239" w:rsidRDefault="00846EC2" w:rsidP="007B3231">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Q3</w:t>
            </w:r>
          </w:p>
        </w:tc>
        <w:tc>
          <w:tcPr>
            <w:tcW w:w="273" w:type="pct"/>
            <w:tcBorders>
              <w:top w:val="nil"/>
              <w:left w:val="nil"/>
              <w:bottom w:val="single" w:sz="4" w:space="0" w:color="auto"/>
              <w:right w:val="single" w:sz="4" w:space="0" w:color="auto"/>
            </w:tcBorders>
            <w:shd w:val="clear" w:color="auto" w:fill="auto"/>
            <w:noWrap/>
            <w:vAlign w:val="center"/>
            <w:hideMark/>
          </w:tcPr>
          <w:p w14:paraId="70183E0E" w14:textId="77777777" w:rsidR="00846EC2" w:rsidRPr="00D40239" w:rsidRDefault="00846EC2" w:rsidP="007B3231">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Q4</w:t>
            </w:r>
          </w:p>
        </w:tc>
        <w:tc>
          <w:tcPr>
            <w:tcW w:w="275" w:type="pct"/>
            <w:tcBorders>
              <w:top w:val="single" w:sz="4" w:space="0" w:color="auto"/>
              <w:left w:val="nil"/>
              <w:bottom w:val="single" w:sz="4" w:space="0" w:color="auto"/>
              <w:right w:val="single" w:sz="4" w:space="0" w:color="auto"/>
            </w:tcBorders>
            <w:vAlign w:val="center"/>
          </w:tcPr>
          <w:p w14:paraId="6D118343" w14:textId="77777777" w:rsidR="00846EC2" w:rsidRPr="00D40239" w:rsidRDefault="00846EC2" w:rsidP="007B3231">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Q1</w:t>
            </w:r>
          </w:p>
        </w:tc>
        <w:tc>
          <w:tcPr>
            <w:tcW w:w="273" w:type="pct"/>
            <w:tcBorders>
              <w:top w:val="single" w:sz="4" w:space="0" w:color="auto"/>
              <w:left w:val="single" w:sz="4" w:space="0" w:color="auto"/>
              <w:bottom w:val="single" w:sz="4" w:space="0" w:color="auto"/>
              <w:right w:val="single" w:sz="4" w:space="0" w:color="auto"/>
            </w:tcBorders>
            <w:vAlign w:val="center"/>
          </w:tcPr>
          <w:p w14:paraId="53E59BFF" w14:textId="77777777" w:rsidR="00846EC2" w:rsidRPr="00D40239" w:rsidRDefault="00846EC2" w:rsidP="007B3231">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Q2</w:t>
            </w:r>
          </w:p>
        </w:tc>
        <w:tc>
          <w:tcPr>
            <w:tcW w:w="218" w:type="pct"/>
            <w:tcBorders>
              <w:top w:val="single" w:sz="4" w:space="0" w:color="auto"/>
              <w:left w:val="single" w:sz="4" w:space="0" w:color="auto"/>
              <w:bottom w:val="single" w:sz="4" w:space="0" w:color="auto"/>
              <w:right w:val="single" w:sz="4" w:space="0" w:color="auto"/>
            </w:tcBorders>
            <w:vAlign w:val="center"/>
          </w:tcPr>
          <w:p w14:paraId="2A9E6CD1" w14:textId="77777777" w:rsidR="00846EC2" w:rsidRPr="00D40239" w:rsidRDefault="00846EC2" w:rsidP="007B3231">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Q3</w:t>
            </w:r>
          </w:p>
        </w:tc>
        <w:tc>
          <w:tcPr>
            <w:tcW w:w="206" w:type="pct"/>
            <w:tcBorders>
              <w:top w:val="single" w:sz="4" w:space="0" w:color="auto"/>
              <w:left w:val="single" w:sz="4" w:space="0" w:color="auto"/>
              <w:bottom w:val="single" w:sz="4" w:space="0" w:color="auto"/>
              <w:right w:val="single" w:sz="4" w:space="0" w:color="auto"/>
            </w:tcBorders>
            <w:vAlign w:val="center"/>
          </w:tcPr>
          <w:p w14:paraId="1AC145FA" w14:textId="77777777" w:rsidR="00846EC2" w:rsidRPr="00D40239" w:rsidRDefault="00846EC2" w:rsidP="007B3231">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Q4</w:t>
            </w:r>
          </w:p>
        </w:tc>
        <w:tc>
          <w:tcPr>
            <w:tcW w:w="301" w:type="pct"/>
            <w:vMerge/>
            <w:tcBorders>
              <w:left w:val="nil"/>
              <w:bottom w:val="single" w:sz="4" w:space="0" w:color="auto"/>
              <w:right w:val="single" w:sz="4" w:space="0" w:color="auto"/>
            </w:tcBorders>
            <w:shd w:val="clear" w:color="auto" w:fill="auto"/>
            <w:noWrap/>
            <w:vAlign w:val="center"/>
            <w:hideMark/>
          </w:tcPr>
          <w:p w14:paraId="69AD16A7" w14:textId="77777777" w:rsidR="00846EC2" w:rsidRPr="00D40239" w:rsidRDefault="00846EC2" w:rsidP="007B3231">
            <w:pPr>
              <w:jc w:val="center"/>
              <w:rPr>
                <w:rFonts w:ascii="华文细黑" w:eastAsia="华文细黑" w:hAnsi="华文细黑"/>
                <w:color w:val="000000"/>
                <w:sz w:val="13"/>
                <w:szCs w:val="13"/>
              </w:rPr>
            </w:pPr>
          </w:p>
        </w:tc>
      </w:tr>
      <w:tr w:rsidR="00846EC2" w:rsidRPr="00D40239" w14:paraId="62DA5BC2" w14:textId="77777777" w:rsidTr="00846EC2">
        <w:trPr>
          <w:trHeight w:val="340"/>
          <w:jc w:val="center"/>
        </w:trPr>
        <w:tc>
          <w:tcPr>
            <w:tcW w:w="174" w:type="pct"/>
            <w:tcBorders>
              <w:top w:val="nil"/>
              <w:left w:val="single" w:sz="4" w:space="0" w:color="auto"/>
              <w:bottom w:val="single" w:sz="4" w:space="0" w:color="auto"/>
              <w:right w:val="single" w:sz="4" w:space="0" w:color="auto"/>
            </w:tcBorders>
            <w:shd w:val="clear" w:color="auto" w:fill="auto"/>
            <w:noWrap/>
            <w:vAlign w:val="center"/>
            <w:hideMark/>
          </w:tcPr>
          <w:p w14:paraId="4435882A"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1</w:t>
            </w:r>
          </w:p>
        </w:tc>
        <w:tc>
          <w:tcPr>
            <w:tcW w:w="576" w:type="pct"/>
            <w:tcBorders>
              <w:top w:val="nil"/>
              <w:left w:val="nil"/>
              <w:bottom w:val="single" w:sz="4" w:space="0" w:color="auto"/>
              <w:right w:val="single" w:sz="4" w:space="0" w:color="auto"/>
            </w:tcBorders>
            <w:shd w:val="clear" w:color="auto" w:fill="auto"/>
            <w:noWrap/>
            <w:vAlign w:val="center"/>
            <w:hideMark/>
          </w:tcPr>
          <w:p w14:paraId="54B58FDE"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销售收入</w:t>
            </w:r>
          </w:p>
        </w:tc>
        <w:tc>
          <w:tcPr>
            <w:tcW w:w="244" w:type="pct"/>
            <w:tcBorders>
              <w:top w:val="nil"/>
              <w:left w:val="nil"/>
              <w:bottom w:val="single" w:sz="4" w:space="0" w:color="auto"/>
              <w:right w:val="single" w:sz="4" w:space="0" w:color="auto"/>
            </w:tcBorders>
            <w:shd w:val="clear" w:color="auto" w:fill="auto"/>
            <w:noWrap/>
            <w:vAlign w:val="center"/>
          </w:tcPr>
          <w:p w14:paraId="545D24F8" w14:textId="77777777" w:rsidR="00846EC2" w:rsidRPr="00D40239" w:rsidRDefault="00846EC2"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tcPr>
          <w:p w14:paraId="14601876" w14:textId="77777777" w:rsidR="00846EC2" w:rsidRPr="00D40239" w:rsidRDefault="00846EC2" w:rsidP="007B3231">
            <w:pPr>
              <w:jc w:val="center"/>
              <w:rPr>
                <w:rFonts w:ascii="华文细黑" w:eastAsia="华文细黑" w:hAnsi="华文细黑"/>
                <w:color w:val="000000"/>
                <w:sz w:val="13"/>
                <w:szCs w:val="13"/>
              </w:rPr>
            </w:pPr>
          </w:p>
        </w:tc>
        <w:tc>
          <w:tcPr>
            <w:tcW w:w="274" w:type="pct"/>
            <w:tcBorders>
              <w:top w:val="nil"/>
              <w:left w:val="nil"/>
              <w:bottom w:val="single" w:sz="4" w:space="0" w:color="auto"/>
              <w:right w:val="single" w:sz="4" w:space="0" w:color="auto"/>
            </w:tcBorders>
            <w:shd w:val="clear" w:color="auto" w:fill="auto"/>
            <w:noWrap/>
            <w:vAlign w:val="center"/>
          </w:tcPr>
          <w:p w14:paraId="45971C97" w14:textId="752BC7BE" w:rsidR="00846EC2" w:rsidRPr="00D40239" w:rsidRDefault="00846EC2" w:rsidP="007B3231">
            <w:pPr>
              <w:jc w:val="center"/>
              <w:rPr>
                <w:rFonts w:ascii="华文细黑" w:eastAsia="华文细黑" w:hAnsi="华文细黑"/>
                <w:color w:val="000000"/>
                <w:sz w:val="13"/>
                <w:szCs w:val="13"/>
              </w:rPr>
            </w:pPr>
          </w:p>
        </w:tc>
        <w:tc>
          <w:tcPr>
            <w:tcW w:w="273" w:type="pct"/>
            <w:tcBorders>
              <w:top w:val="nil"/>
              <w:left w:val="nil"/>
              <w:bottom w:val="single" w:sz="4" w:space="0" w:color="auto"/>
              <w:right w:val="single" w:sz="4" w:space="0" w:color="auto"/>
            </w:tcBorders>
            <w:shd w:val="clear" w:color="auto" w:fill="auto"/>
            <w:noWrap/>
            <w:vAlign w:val="center"/>
          </w:tcPr>
          <w:p w14:paraId="5130AFC3" w14:textId="15DF7B4B" w:rsidR="00846EC2" w:rsidRPr="00D40239" w:rsidRDefault="00846EC2"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tcPr>
          <w:p w14:paraId="53D39CB0" w14:textId="137E8B6B" w:rsidR="00846EC2" w:rsidRPr="00D40239" w:rsidRDefault="00846EC2"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tcPr>
          <w:p w14:paraId="782EE566" w14:textId="17F97B60"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30207</w:t>
            </w:r>
          </w:p>
        </w:tc>
        <w:tc>
          <w:tcPr>
            <w:tcW w:w="218" w:type="pct"/>
            <w:tcBorders>
              <w:top w:val="nil"/>
              <w:left w:val="nil"/>
              <w:bottom w:val="single" w:sz="4" w:space="0" w:color="auto"/>
              <w:right w:val="single" w:sz="4" w:space="0" w:color="auto"/>
            </w:tcBorders>
            <w:shd w:val="clear" w:color="auto" w:fill="auto"/>
            <w:noWrap/>
            <w:vAlign w:val="center"/>
          </w:tcPr>
          <w:p w14:paraId="3A23759D" w14:textId="58FECC9E"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60414</w:t>
            </w:r>
          </w:p>
        </w:tc>
        <w:tc>
          <w:tcPr>
            <w:tcW w:w="273" w:type="pct"/>
            <w:tcBorders>
              <w:top w:val="nil"/>
              <w:left w:val="nil"/>
              <w:bottom w:val="single" w:sz="4" w:space="0" w:color="auto"/>
              <w:right w:val="single" w:sz="4" w:space="0" w:color="auto"/>
            </w:tcBorders>
            <w:shd w:val="clear" w:color="auto" w:fill="auto"/>
            <w:noWrap/>
            <w:vAlign w:val="center"/>
          </w:tcPr>
          <w:p w14:paraId="7D63CFBD" w14:textId="41FCB2D3"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60414</w:t>
            </w:r>
          </w:p>
        </w:tc>
        <w:tc>
          <w:tcPr>
            <w:tcW w:w="218" w:type="pct"/>
            <w:tcBorders>
              <w:top w:val="nil"/>
              <w:left w:val="nil"/>
              <w:bottom w:val="single" w:sz="4" w:space="0" w:color="auto"/>
              <w:right w:val="single" w:sz="4" w:space="0" w:color="auto"/>
            </w:tcBorders>
            <w:shd w:val="clear" w:color="auto" w:fill="auto"/>
            <w:noWrap/>
            <w:vAlign w:val="center"/>
          </w:tcPr>
          <w:p w14:paraId="79257F57" w14:textId="166511EF"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65571</w:t>
            </w:r>
          </w:p>
        </w:tc>
        <w:tc>
          <w:tcPr>
            <w:tcW w:w="275" w:type="pct"/>
            <w:tcBorders>
              <w:top w:val="nil"/>
              <w:left w:val="nil"/>
              <w:bottom w:val="single" w:sz="4" w:space="0" w:color="auto"/>
              <w:right w:val="single" w:sz="4" w:space="0" w:color="auto"/>
            </w:tcBorders>
            <w:shd w:val="clear" w:color="auto" w:fill="auto"/>
            <w:noWrap/>
            <w:vAlign w:val="center"/>
          </w:tcPr>
          <w:p w14:paraId="2E932C36" w14:textId="3E6DCA07"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70727</w:t>
            </w:r>
          </w:p>
        </w:tc>
        <w:tc>
          <w:tcPr>
            <w:tcW w:w="273" w:type="pct"/>
            <w:tcBorders>
              <w:top w:val="nil"/>
              <w:left w:val="nil"/>
              <w:bottom w:val="single" w:sz="4" w:space="0" w:color="auto"/>
              <w:right w:val="single" w:sz="4" w:space="0" w:color="auto"/>
            </w:tcBorders>
            <w:shd w:val="clear" w:color="auto" w:fill="auto"/>
            <w:noWrap/>
            <w:vAlign w:val="center"/>
          </w:tcPr>
          <w:p w14:paraId="5F13D3FB" w14:textId="14EC3DF8"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73562</w:t>
            </w:r>
          </w:p>
        </w:tc>
        <w:tc>
          <w:tcPr>
            <w:tcW w:w="273" w:type="pct"/>
            <w:tcBorders>
              <w:top w:val="nil"/>
              <w:left w:val="nil"/>
              <w:bottom w:val="single" w:sz="4" w:space="0" w:color="auto"/>
              <w:right w:val="single" w:sz="4" w:space="0" w:color="auto"/>
            </w:tcBorders>
            <w:shd w:val="clear" w:color="auto" w:fill="auto"/>
            <w:noWrap/>
            <w:vAlign w:val="center"/>
          </w:tcPr>
          <w:p w14:paraId="16B81F26" w14:textId="46121B40"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63493</w:t>
            </w:r>
          </w:p>
        </w:tc>
        <w:tc>
          <w:tcPr>
            <w:tcW w:w="275" w:type="pct"/>
            <w:tcBorders>
              <w:top w:val="single" w:sz="4" w:space="0" w:color="auto"/>
              <w:left w:val="nil"/>
              <w:bottom w:val="single" w:sz="4" w:space="0" w:color="auto"/>
              <w:right w:val="single" w:sz="4" w:space="0" w:color="auto"/>
            </w:tcBorders>
            <w:vAlign w:val="center"/>
          </w:tcPr>
          <w:p w14:paraId="308FBBEA" w14:textId="3FAC3D04"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28129</w:t>
            </w:r>
          </w:p>
        </w:tc>
        <w:tc>
          <w:tcPr>
            <w:tcW w:w="273" w:type="pct"/>
            <w:tcBorders>
              <w:top w:val="single" w:sz="4" w:space="0" w:color="auto"/>
              <w:left w:val="single" w:sz="4" w:space="0" w:color="auto"/>
              <w:bottom w:val="single" w:sz="4" w:space="0" w:color="auto"/>
              <w:right w:val="single" w:sz="4" w:space="0" w:color="auto"/>
            </w:tcBorders>
            <w:vAlign w:val="center"/>
          </w:tcPr>
          <w:p w14:paraId="1528C1F3" w14:textId="4DADA954"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2835</w:t>
            </w:r>
          </w:p>
        </w:tc>
        <w:tc>
          <w:tcPr>
            <w:tcW w:w="218" w:type="pct"/>
            <w:tcBorders>
              <w:top w:val="single" w:sz="4" w:space="0" w:color="auto"/>
              <w:left w:val="single" w:sz="4" w:space="0" w:color="auto"/>
              <w:bottom w:val="single" w:sz="4" w:space="0" w:color="auto"/>
              <w:right w:val="single" w:sz="4" w:space="0" w:color="auto"/>
            </w:tcBorders>
            <w:vAlign w:val="center"/>
          </w:tcPr>
          <w:p w14:paraId="57A534C2" w14:textId="1A45E46B"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2835</w:t>
            </w:r>
          </w:p>
        </w:tc>
        <w:tc>
          <w:tcPr>
            <w:tcW w:w="206" w:type="pct"/>
            <w:tcBorders>
              <w:top w:val="single" w:sz="4" w:space="0" w:color="auto"/>
              <w:left w:val="single" w:sz="4" w:space="0" w:color="auto"/>
              <w:bottom w:val="single" w:sz="4" w:space="0" w:color="auto"/>
              <w:right w:val="single" w:sz="4" w:space="0" w:color="auto"/>
            </w:tcBorders>
            <w:vAlign w:val="center"/>
          </w:tcPr>
          <w:p w14:paraId="77E5DA21" w14:textId="2E79DD34" w:rsidR="00846EC2" w:rsidRPr="007061B3" w:rsidRDefault="00846EC2" w:rsidP="00846EC2">
            <w:pPr>
              <w:jc w:val="center"/>
              <w:rPr>
                <w:rFonts w:ascii="华文细黑" w:eastAsia="华文细黑" w:hAnsi="华文细黑"/>
                <w:color w:val="000000"/>
                <w:sz w:val="13"/>
                <w:szCs w:val="13"/>
              </w:rPr>
            </w:pPr>
          </w:p>
        </w:tc>
        <w:tc>
          <w:tcPr>
            <w:tcW w:w="301" w:type="pct"/>
            <w:tcBorders>
              <w:top w:val="nil"/>
              <w:left w:val="nil"/>
              <w:bottom w:val="single" w:sz="4" w:space="0" w:color="auto"/>
              <w:right w:val="single" w:sz="4" w:space="0" w:color="auto"/>
            </w:tcBorders>
            <w:shd w:val="clear" w:color="auto" w:fill="auto"/>
            <w:noWrap/>
            <w:vAlign w:val="center"/>
            <w:hideMark/>
          </w:tcPr>
          <w:p w14:paraId="59C7D8F0" w14:textId="2FC5366E"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458187</w:t>
            </w:r>
          </w:p>
        </w:tc>
      </w:tr>
      <w:tr w:rsidR="00846EC2" w:rsidRPr="00D40239" w14:paraId="1115696B" w14:textId="77777777" w:rsidTr="00846EC2">
        <w:trPr>
          <w:trHeight w:val="340"/>
          <w:jc w:val="center"/>
        </w:trPr>
        <w:tc>
          <w:tcPr>
            <w:tcW w:w="174" w:type="pct"/>
            <w:tcBorders>
              <w:top w:val="nil"/>
              <w:left w:val="single" w:sz="4" w:space="0" w:color="auto"/>
              <w:bottom w:val="single" w:sz="4" w:space="0" w:color="auto"/>
              <w:right w:val="single" w:sz="4" w:space="0" w:color="auto"/>
            </w:tcBorders>
            <w:shd w:val="clear" w:color="auto" w:fill="auto"/>
            <w:noWrap/>
            <w:vAlign w:val="center"/>
            <w:hideMark/>
          </w:tcPr>
          <w:p w14:paraId="6DFF02E2"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2</w:t>
            </w:r>
          </w:p>
        </w:tc>
        <w:tc>
          <w:tcPr>
            <w:tcW w:w="576" w:type="pct"/>
            <w:tcBorders>
              <w:top w:val="nil"/>
              <w:left w:val="nil"/>
              <w:bottom w:val="single" w:sz="4" w:space="0" w:color="auto"/>
              <w:right w:val="single" w:sz="4" w:space="0" w:color="auto"/>
            </w:tcBorders>
            <w:shd w:val="clear" w:color="auto" w:fill="auto"/>
            <w:noWrap/>
            <w:vAlign w:val="center"/>
            <w:hideMark/>
          </w:tcPr>
          <w:p w14:paraId="6B1E7709"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开发成本</w:t>
            </w:r>
          </w:p>
        </w:tc>
        <w:tc>
          <w:tcPr>
            <w:tcW w:w="244" w:type="pct"/>
            <w:tcBorders>
              <w:top w:val="nil"/>
              <w:left w:val="nil"/>
              <w:bottom w:val="single" w:sz="4" w:space="0" w:color="auto"/>
              <w:right w:val="single" w:sz="4" w:space="0" w:color="auto"/>
            </w:tcBorders>
            <w:shd w:val="clear" w:color="auto" w:fill="auto"/>
            <w:noWrap/>
            <w:vAlign w:val="center"/>
          </w:tcPr>
          <w:p w14:paraId="0AC97382" w14:textId="77777777" w:rsidR="00846EC2" w:rsidRPr="00D40239" w:rsidRDefault="00846EC2"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tcPr>
          <w:p w14:paraId="6D60F09B" w14:textId="77777777" w:rsidR="00846EC2" w:rsidRPr="00D40239" w:rsidRDefault="00846EC2" w:rsidP="007B3231">
            <w:pPr>
              <w:jc w:val="center"/>
              <w:rPr>
                <w:rFonts w:ascii="华文细黑" w:eastAsia="华文细黑" w:hAnsi="华文细黑"/>
                <w:color w:val="000000"/>
                <w:sz w:val="13"/>
                <w:szCs w:val="13"/>
              </w:rPr>
            </w:pPr>
          </w:p>
        </w:tc>
        <w:tc>
          <w:tcPr>
            <w:tcW w:w="274" w:type="pct"/>
            <w:tcBorders>
              <w:top w:val="nil"/>
              <w:left w:val="nil"/>
              <w:bottom w:val="single" w:sz="4" w:space="0" w:color="auto"/>
              <w:right w:val="single" w:sz="4" w:space="0" w:color="auto"/>
            </w:tcBorders>
            <w:shd w:val="clear" w:color="auto" w:fill="auto"/>
            <w:noWrap/>
            <w:vAlign w:val="center"/>
          </w:tcPr>
          <w:p w14:paraId="3AFB54DB" w14:textId="7209DACE" w:rsidR="00846EC2" w:rsidRPr="00D40239" w:rsidRDefault="00846EC2" w:rsidP="007B3231">
            <w:pPr>
              <w:jc w:val="center"/>
              <w:rPr>
                <w:rFonts w:ascii="华文细黑" w:eastAsia="华文细黑" w:hAnsi="华文细黑"/>
                <w:color w:val="000000"/>
                <w:sz w:val="13"/>
                <w:szCs w:val="13"/>
              </w:rPr>
            </w:pPr>
          </w:p>
        </w:tc>
        <w:tc>
          <w:tcPr>
            <w:tcW w:w="273" w:type="pct"/>
            <w:tcBorders>
              <w:top w:val="nil"/>
              <w:left w:val="nil"/>
              <w:bottom w:val="single" w:sz="4" w:space="0" w:color="auto"/>
              <w:right w:val="single" w:sz="4" w:space="0" w:color="auto"/>
            </w:tcBorders>
            <w:shd w:val="clear" w:color="auto" w:fill="auto"/>
            <w:noWrap/>
            <w:vAlign w:val="center"/>
          </w:tcPr>
          <w:p w14:paraId="56F33AA3" w14:textId="259C237B" w:rsidR="00846EC2" w:rsidRPr="00D40239" w:rsidRDefault="00846EC2"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tcPr>
          <w:p w14:paraId="4C1D5A54" w14:textId="5D6C7A49" w:rsidR="00846EC2" w:rsidRPr="00D40239" w:rsidRDefault="00846EC2"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hideMark/>
          </w:tcPr>
          <w:p w14:paraId="1D1F1D90" w14:textId="335B4DAB"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25140</w:t>
            </w:r>
          </w:p>
        </w:tc>
        <w:tc>
          <w:tcPr>
            <w:tcW w:w="218" w:type="pct"/>
            <w:tcBorders>
              <w:top w:val="nil"/>
              <w:left w:val="nil"/>
              <w:bottom w:val="single" w:sz="4" w:space="0" w:color="auto"/>
              <w:right w:val="single" w:sz="4" w:space="0" w:color="auto"/>
            </w:tcBorders>
            <w:shd w:val="clear" w:color="auto" w:fill="auto"/>
            <w:noWrap/>
            <w:vAlign w:val="center"/>
            <w:hideMark/>
          </w:tcPr>
          <w:p w14:paraId="4DBDD702" w14:textId="50BF5942"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50280</w:t>
            </w:r>
          </w:p>
        </w:tc>
        <w:tc>
          <w:tcPr>
            <w:tcW w:w="273" w:type="pct"/>
            <w:tcBorders>
              <w:top w:val="nil"/>
              <w:left w:val="nil"/>
              <w:bottom w:val="single" w:sz="4" w:space="0" w:color="auto"/>
              <w:right w:val="single" w:sz="4" w:space="0" w:color="auto"/>
            </w:tcBorders>
            <w:shd w:val="clear" w:color="auto" w:fill="auto"/>
            <w:noWrap/>
            <w:vAlign w:val="center"/>
            <w:hideMark/>
          </w:tcPr>
          <w:p w14:paraId="06EE3C53" w14:textId="57D02566"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50280</w:t>
            </w:r>
          </w:p>
        </w:tc>
        <w:tc>
          <w:tcPr>
            <w:tcW w:w="218" w:type="pct"/>
            <w:tcBorders>
              <w:top w:val="nil"/>
              <w:left w:val="nil"/>
              <w:bottom w:val="single" w:sz="4" w:space="0" w:color="auto"/>
              <w:right w:val="single" w:sz="4" w:space="0" w:color="auto"/>
            </w:tcBorders>
            <w:shd w:val="clear" w:color="auto" w:fill="auto"/>
            <w:noWrap/>
            <w:vAlign w:val="center"/>
            <w:hideMark/>
          </w:tcPr>
          <w:p w14:paraId="7C8CF266" w14:textId="67378D86"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54572</w:t>
            </w:r>
          </w:p>
        </w:tc>
        <w:tc>
          <w:tcPr>
            <w:tcW w:w="275" w:type="pct"/>
            <w:tcBorders>
              <w:top w:val="nil"/>
              <w:left w:val="nil"/>
              <w:bottom w:val="single" w:sz="4" w:space="0" w:color="auto"/>
              <w:right w:val="single" w:sz="4" w:space="0" w:color="auto"/>
            </w:tcBorders>
            <w:shd w:val="clear" w:color="auto" w:fill="auto"/>
            <w:noWrap/>
            <w:vAlign w:val="center"/>
            <w:hideMark/>
          </w:tcPr>
          <w:p w14:paraId="463C2060" w14:textId="593D34DB"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58863</w:t>
            </w:r>
          </w:p>
        </w:tc>
        <w:tc>
          <w:tcPr>
            <w:tcW w:w="273" w:type="pct"/>
            <w:tcBorders>
              <w:top w:val="nil"/>
              <w:left w:val="nil"/>
              <w:bottom w:val="single" w:sz="4" w:space="0" w:color="auto"/>
              <w:right w:val="single" w:sz="4" w:space="0" w:color="auto"/>
            </w:tcBorders>
            <w:shd w:val="clear" w:color="auto" w:fill="auto"/>
            <w:noWrap/>
            <w:vAlign w:val="center"/>
            <w:hideMark/>
          </w:tcPr>
          <w:p w14:paraId="0BB2DD51" w14:textId="1C2193F9"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61222</w:t>
            </w:r>
          </w:p>
        </w:tc>
        <w:tc>
          <w:tcPr>
            <w:tcW w:w="273" w:type="pct"/>
            <w:tcBorders>
              <w:top w:val="nil"/>
              <w:left w:val="nil"/>
              <w:bottom w:val="single" w:sz="4" w:space="0" w:color="auto"/>
              <w:right w:val="single" w:sz="4" w:space="0" w:color="auto"/>
            </w:tcBorders>
            <w:shd w:val="clear" w:color="auto" w:fill="auto"/>
            <w:noWrap/>
            <w:vAlign w:val="center"/>
          </w:tcPr>
          <w:p w14:paraId="67E1291E" w14:textId="4F3665D6"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52842</w:t>
            </w:r>
          </w:p>
        </w:tc>
        <w:tc>
          <w:tcPr>
            <w:tcW w:w="275" w:type="pct"/>
            <w:tcBorders>
              <w:top w:val="single" w:sz="4" w:space="0" w:color="auto"/>
              <w:left w:val="nil"/>
              <w:bottom w:val="single" w:sz="4" w:space="0" w:color="auto"/>
              <w:right w:val="single" w:sz="4" w:space="0" w:color="auto"/>
            </w:tcBorders>
            <w:vAlign w:val="center"/>
          </w:tcPr>
          <w:p w14:paraId="43F342AF" w14:textId="74EDAD4A"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23411</w:t>
            </w:r>
          </w:p>
        </w:tc>
        <w:tc>
          <w:tcPr>
            <w:tcW w:w="273" w:type="pct"/>
            <w:tcBorders>
              <w:top w:val="single" w:sz="4" w:space="0" w:color="auto"/>
              <w:left w:val="single" w:sz="4" w:space="0" w:color="auto"/>
              <w:bottom w:val="single" w:sz="4" w:space="0" w:color="auto"/>
              <w:right w:val="single" w:sz="4" w:space="0" w:color="auto"/>
            </w:tcBorders>
            <w:vAlign w:val="center"/>
          </w:tcPr>
          <w:p w14:paraId="665204CB" w14:textId="5D1DD4F6"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2359</w:t>
            </w:r>
          </w:p>
        </w:tc>
        <w:tc>
          <w:tcPr>
            <w:tcW w:w="218" w:type="pct"/>
            <w:tcBorders>
              <w:top w:val="single" w:sz="4" w:space="0" w:color="auto"/>
              <w:left w:val="single" w:sz="4" w:space="0" w:color="auto"/>
              <w:bottom w:val="single" w:sz="4" w:space="0" w:color="auto"/>
              <w:right w:val="single" w:sz="4" w:space="0" w:color="auto"/>
            </w:tcBorders>
            <w:vAlign w:val="center"/>
          </w:tcPr>
          <w:p w14:paraId="738EDC0D" w14:textId="5C7FBC8E"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2359</w:t>
            </w:r>
          </w:p>
        </w:tc>
        <w:tc>
          <w:tcPr>
            <w:tcW w:w="206" w:type="pct"/>
            <w:tcBorders>
              <w:top w:val="single" w:sz="4" w:space="0" w:color="auto"/>
              <w:left w:val="single" w:sz="4" w:space="0" w:color="auto"/>
              <w:bottom w:val="single" w:sz="4" w:space="0" w:color="auto"/>
              <w:right w:val="single" w:sz="4" w:space="0" w:color="auto"/>
            </w:tcBorders>
            <w:vAlign w:val="center"/>
          </w:tcPr>
          <w:p w14:paraId="4A9CC5AC" w14:textId="1427EB09" w:rsidR="00846EC2" w:rsidRPr="007061B3" w:rsidRDefault="00846EC2" w:rsidP="00846EC2">
            <w:pPr>
              <w:jc w:val="center"/>
              <w:rPr>
                <w:rFonts w:ascii="华文细黑" w:eastAsia="华文细黑" w:hAnsi="华文细黑"/>
                <w:color w:val="000000"/>
                <w:sz w:val="13"/>
                <w:szCs w:val="13"/>
              </w:rPr>
            </w:pPr>
          </w:p>
        </w:tc>
        <w:tc>
          <w:tcPr>
            <w:tcW w:w="301" w:type="pct"/>
            <w:tcBorders>
              <w:top w:val="nil"/>
              <w:left w:val="nil"/>
              <w:bottom w:val="single" w:sz="4" w:space="0" w:color="auto"/>
              <w:right w:val="single" w:sz="4" w:space="0" w:color="auto"/>
            </w:tcBorders>
            <w:shd w:val="clear" w:color="auto" w:fill="auto"/>
            <w:noWrap/>
            <w:vAlign w:val="center"/>
            <w:hideMark/>
          </w:tcPr>
          <w:p w14:paraId="07C44EF3" w14:textId="1039E281"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381328</w:t>
            </w:r>
          </w:p>
        </w:tc>
      </w:tr>
      <w:tr w:rsidR="00846EC2" w:rsidRPr="00D40239" w14:paraId="1BD06E4E" w14:textId="77777777" w:rsidTr="00846EC2">
        <w:trPr>
          <w:trHeight w:val="340"/>
          <w:jc w:val="center"/>
        </w:trPr>
        <w:tc>
          <w:tcPr>
            <w:tcW w:w="174" w:type="pct"/>
            <w:tcBorders>
              <w:top w:val="nil"/>
              <w:left w:val="single" w:sz="4" w:space="0" w:color="auto"/>
              <w:bottom w:val="single" w:sz="4" w:space="0" w:color="auto"/>
              <w:right w:val="single" w:sz="4" w:space="0" w:color="auto"/>
            </w:tcBorders>
            <w:shd w:val="clear" w:color="auto" w:fill="auto"/>
            <w:noWrap/>
            <w:vAlign w:val="center"/>
            <w:hideMark/>
          </w:tcPr>
          <w:p w14:paraId="7D79D6A1"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3</w:t>
            </w:r>
          </w:p>
        </w:tc>
        <w:tc>
          <w:tcPr>
            <w:tcW w:w="576" w:type="pct"/>
            <w:tcBorders>
              <w:top w:val="nil"/>
              <w:left w:val="nil"/>
              <w:bottom w:val="single" w:sz="4" w:space="0" w:color="auto"/>
              <w:right w:val="single" w:sz="4" w:space="0" w:color="auto"/>
            </w:tcBorders>
            <w:shd w:val="clear" w:color="auto" w:fill="auto"/>
            <w:noWrap/>
            <w:vAlign w:val="center"/>
            <w:hideMark/>
          </w:tcPr>
          <w:p w14:paraId="462BD77F"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增值税及附加</w:t>
            </w:r>
          </w:p>
        </w:tc>
        <w:tc>
          <w:tcPr>
            <w:tcW w:w="244" w:type="pct"/>
            <w:tcBorders>
              <w:top w:val="nil"/>
              <w:left w:val="nil"/>
              <w:bottom w:val="single" w:sz="4" w:space="0" w:color="auto"/>
              <w:right w:val="single" w:sz="4" w:space="0" w:color="auto"/>
            </w:tcBorders>
            <w:shd w:val="clear" w:color="auto" w:fill="auto"/>
            <w:noWrap/>
            <w:vAlign w:val="center"/>
          </w:tcPr>
          <w:p w14:paraId="1AF70A77" w14:textId="77777777" w:rsidR="00846EC2" w:rsidRPr="00D40239" w:rsidRDefault="00846EC2"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tcPr>
          <w:p w14:paraId="12593D37" w14:textId="77777777" w:rsidR="00846EC2" w:rsidRPr="00D40239" w:rsidRDefault="00846EC2" w:rsidP="007B3231">
            <w:pPr>
              <w:jc w:val="center"/>
              <w:rPr>
                <w:rFonts w:ascii="华文细黑" w:eastAsia="华文细黑" w:hAnsi="华文细黑"/>
                <w:color w:val="000000"/>
                <w:sz w:val="13"/>
                <w:szCs w:val="13"/>
              </w:rPr>
            </w:pPr>
          </w:p>
        </w:tc>
        <w:tc>
          <w:tcPr>
            <w:tcW w:w="274" w:type="pct"/>
            <w:tcBorders>
              <w:top w:val="nil"/>
              <w:left w:val="nil"/>
              <w:bottom w:val="single" w:sz="4" w:space="0" w:color="auto"/>
              <w:right w:val="single" w:sz="4" w:space="0" w:color="auto"/>
            </w:tcBorders>
            <w:shd w:val="clear" w:color="auto" w:fill="auto"/>
            <w:noWrap/>
            <w:vAlign w:val="center"/>
          </w:tcPr>
          <w:p w14:paraId="048E337C" w14:textId="736065EF" w:rsidR="00846EC2" w:rsidRPr="00D40239" w:rsidRDefault="00846EC2" w:rsidP="007B3231">
            <w:pPr>
              <w:jc w:val="center"/>
              <w:rPr>
                <w:rFonts w:ascii="华文细黑" w:eastAsia="华文细黑" w:hAnsi="华文细黑"/>
                <w:color w:val="000000"/>
                <w:sz w:val="13"/>
                <w:szCs w:val="13"/>
              </w:rPr>
            </w:pPr>
          </w:p>
        </w:tc>
        <w:tc>
          <w:tcPr>
            <w:tcW w:w="273" w:type="pct"/>
            <w:tcBorders>
              <w:top w:val="nil"/>
              <w:left w:val="nil"/>
              <w:bottom w:val="single" w:sz="4" w:space="0" w:color="auto"/>
              <w:right w:val="single" w:sz="4" w:space="0" w:color="auto"/>
            </w:tcBorders>
            <w:shd w:val="clear" w:color="auto" w:fill="auto"/>
            <w:noWrap/>
            <w:vAlign w:val="center"/>
          </w:tcPr>
          <w:p w14:paraId="5E59E0FB" w14:textId="71876CA8" w:rsidR="00846EC2" w:rsidRPr="00D40239" w:rsidRDefault="00846EC2"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tcPr>
          <w:p w14:paraId="3918DB38" w14:textId="7F1C08B8" w:rsidR="00846EC2" w:rsidRPr="00D40239" w:rsidRDefault="00846EC2"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hideMark/>
          </w:tcPr>
          <w:p w14:paraId="099ECB9D" w14:textId="28135622"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931</w:t>
            </w:r>
          </w:p>
        </w:tc>
        <w:tc>
          <w:tcPr>
            <w:tcW w:w="218" w:type="pct"/>
            <w:tcBorders>
              <w:top w:val="nil"/>
              <w:left w:val="nil"/>
              <w:bottom w:val="single" w:sz="4" w:space="0" w:color="auto"/>
              <w:right w:val="single" w:sz="4" w:space="0" w:color="auto"/>
            </w:tcBorders>
            <w:shd w:val="clear" w:color="auto" w:fill="auto"/>
            <w:noWrap/>
            <w:vAlign w:val="center"/>
            <w:hideMark/>
          </w:tcPr>
          <w:p w14:paraId="2BF5F877" w14:textId="08DC1B37"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1862</w:t>
            </w:r>
          </w:p>
        </w:tc>
        <w:tc>
          <w:tcPr>
            <w:tcW w:w="273" w:type="pct"/>
            <w:tcBorders>
              <w:top w:val="nil"/>
              <w:left w:val="nil"/>
              <w:bottom w:val="single" w:sz="4" w:space="0" w:color="auto"/>
              <w:right w:val="single" w:sz="4" w:space="0" w:color="auto"/>
            </w:tcBorders>
            <w:shd w:val="clear" w:color="auto" w:fill="auto"/>
            <w:noWrap/>
            <w:vAlign w:val="center"/>
            <w:hideMark/>
          </w:tcPr>
          <w:p w14:paraId="1649AA13" w14:textId="7F0CBDAE"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1862</w:t>
            </w:r>
          </w:p>
        </w:tc>
        <w:tc>
          <w:tcPr>
            <w:tcW w:w="218" w:type="pct"/>
            <w:tcBorders>
              <w:top w:val="nil"/>
              <w:left w:val="nil"/>
              <w:bottom w:val="single" w:sz="4" w:space="0" w:color="auto"/>
              <w:right w:val="single" w:sz="4" w:space="0" w:color="auto"/>
            </w:tcBorders>
            <w:shd w:val="clear" w:color="auto" w:fill="auto"/>
            <w:noWrap/>
            <w:vAlign w:val="center"/>
            <w:hideMark/>
          </w:tcPr>
          <w:p w14:paraId="230E6143" w14:textId="26D5BEF6"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2021</w:t>
            </w:r>
          </w:p>
        </w:tc>
        <w:tc>
          <w:tcPr>
            <w:tcW w:w="275" w:type="pct"/>
            <w:tcBorders>
              <w:top w:val="nil"/>
              <w:left w:val="nil"/>
              <w:bottom w:val="single" w:sz="4" w:space="0" w:color="auto"/>
              <w:right w:val="single" w:sz="4" w:space="0" w:color="auto"/>
            </w:tcBorders>
            <w:shd w:val="clear" w:color="auto" w:fill="auto"/>
            <w:noWrap/>
            <w:vAlign w:val="center"/>
            <w:hideMark/>
          </w:tcPr>
          <w:p w14:paraId="79B61051" w14:textId="710BBBDB"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2180</w:t>
            </w:r>
          </w:p>
        </w:tc>
        <w:tc>
          <w:tcPr>
            <w:tcW w:w="273" w:type="pct"/>
            <w:tcBorders>
              <w:top w:val="nil"/>
              <w:left w:val="nil"/>
              <w:bottom w:val="single" w:sz="4" w:space="0" w:color="auto"/>
              <w:right w:val="single" w:sz="4" w:space="0" w:color="auto"/>
            </w:tcBorders>
            <w:shd w:val="clear" w:color="auto" w:fill="auto"/>
            <w:noWrap/>
            <w:vAlign w:val="center"/>
            <w:hideMark/>
          </w:tcPr>
          <w:p w14:paraId="589CF07B" w14:textId="6A32AE40"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2269</w:t>
            </w:r>
          </w:p>
        </w:tc>
        <w:tc>
          <w:tcPr>
            <w:tcW w:w="273" w:type="pct"/>
            <w:tcBorders>
              <w:top w:val="nil"/>
              <w:left w:val="nil"/>
              <w:bottom w:val="single" w:sz="4" w:space="0" w:color="auto"/>
              <w:right w:val="single" w:sz="4" w:space="0" w:color="auto"/>
            </w:tcBorders>
            <w:shd w:val="clear" w:color="auto" w:fill="auto"/>
            <w:noWrap/>
            <w:vAlign w:val="center"/>
          </w:tcPr>
          <w:p w14:paraId="17C27EAB" w14:textId="3553CA75"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1957</w:t>
            </w:r>
          </w:p>
        </w:tc>
        <w:tc>
          <w:tcPr>
            <w:tcW w:w="275" w:type="pct"/>
            <w:tcBorders>
              <w:top w:val="single" w:sz="4" w:space="0" w:color="auto"/>
              <w:left w:val="nil"/>
              <w:bottom w:val="single" w:sz="4" w:space="0" w:color="auto"/>
              <w:right w:val="single" w:sz="4" w:space="0" w:color="auto"/>
            </w:tcBorders>
            <w:vAlign w:val="center"/>
          </w:tcPr>
          <w:p w14:paraId="1B8233C0" w14:textId="6A8AB1FC"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866</w:t>
            </w:r>
          </w:p>
        </w:tc>
        <w:tc>
          <w:tcPr>
            <w:tcW w:w="273" w:type="pct"/>
            <w:tcBorders>
              <w:top w:val="single" w:sz="4" w:space="0" w:color="auto"/>
              <w:left w:val="single" w:sz="4" w:space="0" w:color="auto"/>
              <w:bottom w:val="single" w:sz="4" w:space="0" w:color="auto"/>
              <w:right w:val="single" w:sz="4" w:space="0" w:color="auto"/>
            </w:tcBorders>
            <w:vAlign w:val="center"/>
          </w:tcPr>
          <w:p w14:paraId="6D08071E" w14:textId="65DAF553"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87</w:t>
            </w:r>
          </w:p>
        </w:tc>
        <w:tc>
          <w:tcPr>
            <w:tcW w:w="218" w:type="pct"/>
            <w:tcBorders>
              <w:top w:val="single" w:sz="4" w:space="0" w:color="auto"/>
              <w:left w:val="single" w:sz="4" w:space="0" w:color="auto"/>
              <w:bottom w:val="single" w:sz="4" w:space="0" w:color="auto"/>
              <w:right w:val="single" w:sz="4" w:space="0" w:color="auto"/>
            </w:tcBorders>
            <w:vAlign w:val="center"/>
          </w:tcPr>
          <w:p w14:paraId="6805F6D8" w14:textId="1C0256C2"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87</w:t>
            </w:r>
          </w:p>
        </w:tc>
        <w:tc>
          <w:tcPr>
            <w:tcW w:w="206" w:type="pct"/>
            <w:tcBorders>
              <w:top w:val="single" w:sz="4" w:space="0" w:color="auto"/>
              <w:left w:val="single" w:sz="4" w:space="0" w:color="auto"/>
              <w:bottom w:val="single" w:sz="4" w:space="0" w:color="auto"/>
              <w:right w:val="single" w:sz="4" w:space="0" w:color="auto"/>
            </w:tcBorders>
            <w:vAlign w:val="center"/>
          </w:tcPr>
          <w:p w14:paraId="47DB9A5B" w14:textId="5A707543" w:rsidR="00846EC2" w:rsidRPr="007061B3" w:rsidRDefault="00846EC2" w:rsidP="00846EC2">
            <w:pPr>
              <w:jc w:val="center"/>
              <w:rPr>
                <w:rFonts w:ascii="华文细黑" w:eastAsia="华文细黑" w:hAnsi="华文细黑"/>
                <w:color w:val="000000"/>
                <w:sz w:val="13"/>
                <w:szCs w:val="13"/>
              </w:rPr>
            </w:pPr>
          </w:p>
        </w:tc>
        <w:tc>
          <w:tcPr>
            <w:tcW w:w="301" w:type="pct"/>
            <w:tcBorders>
              <w:top w:val="nil"/>
              <w:left w:val="nil"/>
              <w:bottom w:val="single" w:sz="4" w:space="0" w:color="auto"/>
              <w:right w:val="single" w:sz="4" w:space="0" w:color="auto"/>
            </w:tcBorders>
            <w:shd w:val="clear" w:color="auto" w:fill="auto"/>
            <w:noWrap/>
            <w:vAlign w:val="center"/>
            <w:hideMark/>
          </w:tcPr>
          <w:p w14:paraId="244C3D17" w14:textId="17B315E7"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14122</w:t>
            </w:r>
          </w:p>
        </w:tc>
      </w:tr>
      <w:tr w:rsidR="00846EC2" w:rsidRPr="00D40239" w14:paraId="3A3C19F9" w14:textId="77777777" w:rsidTr="00846EC2">
        <w:trPr>
          <w:trHeight w:val="340"/>
          <w:jc w:val="center"/>
        </w:trPr>
        <w:tc>
          <w:tcPr>
            <w:tcW w:w="174" w:type="pct"/>
            <w:tcBorders>
              <w:top w:val="nil"/>
              <w:left w:val="single" w:sz="4" w:space="0" w:color="auto"/>
              <w:bottom w:val="single" w:sz="4" w:space="0" w:color="auto"/>
              <w:right w:val="single" w:sz="4" w:space="0" w:color="auto"/>
            </w:tcBorders>
            <w:shd w:val="clear" w:color="auto" w:fill="auto"/>
            <w:noWrap/>
            <w:vAlign w:val="center"/>
            <w:hideMark/>
          </w:tcPr>
          <w:p w14:paraId="26245CBC"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5</w:t>
            </w:r>
          </w:p>
        </w:tc>
        <w:tc>
          <w:tcPr>
            <w:tcW w:w="576" w:type="pct"/>
            <w:tcBorders>
              <w:top w:val="nil"/>
              <w:left w:val="nil"/>
              <w:bottom w:val="single" w:sz="4" w:space="0" w:color="auto"/>
              <w:right w:val="single" w:sz="4" w:space="0" w:color="auto"/>
            </w:tcBorders>
            <w:shd w:val="clear" w:color="auto" w:fill="auto"/>
            <w:noWrap/>
            <w:vAlign w:val="center"/>
            <w:hideMark/>
          </w:tcPr>
          <w:p w14:paraId="5C066D30" w14:textId="77777777" w:rsidR="00846EC2" w:rsidRPr="00D40239" w:rsidRDefault="00846EC2" w:rsidP="007B3231">
            <w:pPr>
              <w:jc w:val="both"/>
              <w:rPr>
                <w:rFonts w:ascii="华文细黑" w:eastAsia="华文细黑" w:hAnsi="华文细黑"/>
                <w:sz w:val="13"/>
                <w:szCs w:val="13"/>
              </w:rPr>
            </w:pPr>
            <w:r w:rsidRPr="00D40239">
              <w:rPr>
                <w:rFonts w:ascii="华文细黑" w:eastAsia="华文细黑" w:hAnsi="华文细黑" w:hint="eastAsia"/>
                <w:sz w:val="13"/>
                <w:szCs w:val="13"/>
              </w:rPr>
              <w:t>土地增值税</w:t>
            </w:r>
          </w:p>
        </w:tc>
        <w:tc>
          <w:tcPr>
            <w:tcW w:w="244" w:type="pct"/>
            <w:tcBorders>
              <w:top w:val="nil"/>
              <w:left w:val="nil"/>
              <w:bottom w:val="single" w:sz="4" w:space="0" w:color="auto"/>
              <w:right w:val="single" w:sz="4" w:space="0" w:color="auto"/>
            </w:tcBorders>
            <w:shd w:val="clear" w:color="auto" w:fill="auto"/>
            <w:noWrap/>
            <w:vAlign w:val="center"/>
          </w:tcPr>
          <w:p w14:paraId="7D97C2EB" w14:textId="77777777" w:rsidR="00846EC2" w:rsidRPr="00D40239" w:rsidRDefault="00846EC2"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tcPr>
          <w:p w14:paraId="421DB492" w14:textId="42A7C389" w:rsidR="00846EC2" w:rsidRPr="00D40239" w:rsidRDefault="00846EC2" w:rsidP="00846EC2">
            <w:pPr>
              <w:jc w:val="center"/>
              <w:rPr>
                <w:rFonts w:ascii="华文细黑" w:eastAsia="华文细黑" w:hAnsi="华文细黑"/>
                <w:color w:val="000000"/>
                <w:sz w:val="13"/>
                <w:szCs w:val="13"/>
              </w:rPr>
            </w:pPr>
          </w:p>
        </w:tc>
        <w:tc>
          <w:tcPr>
            <w:tcW w:w="274" w:type="pct"/>
            <w:tcBorders>
              <w:top w:val="nil"/>
              <w:left w:val="nil"/>
              <w:bottom w:val="single" w:sz="4" w:space="0" w:color="auto"/>
              <w:right w:val="single" w:sz="4" w:space="0" w:color="auto"/>
            </w:tcBorders>
            <w:shd w:val="clear" w:color="auto" w:fill="auto"/>
            <w:noWrap/>
            <w:vAlign w:val="center"/>
          </w:tcPr>
          <w:p w14:paraId="08A520FB" w14:textId="68A9517B" w:rsidR="00846EC2" w:rsidRPr="00D40239" w:rsidRDefault="00846EC2" w:rsidP="00846EC2">
            <w:pPr>
              <w:jc w:val="center"/>
              <w:rPr>
                <w:rFonts w:ascii="华文细黑" w:eastAsia="华文细黑" w:hAnsi="华文细黑"/>
                <w:color w:val="000000"/>
                <w:sz w:val="13"/>
                <w:szCs w:val="13"/>
              </w:rPr>
            </w:pPr>
          </w:p>
        </w:tc>
        <w:tc>
          <w:tcPr>
            <w:tcW w:w="273" w:type="pct"/>
            <w:tcBorders>
              <w:top w:val="nil"/>
              <w:left w:val="nil"/>
              <w:bottom w:val="single" w:sz="4" w:space="0" w:color="auto"/>
              <w:right w:val="single" w:sz="4" w:space="0" w:color="auto"/>
            </w:tcBorders>
            <w:shd w:val="clear" w:color="auto" w:fill="auto"/>
            <w:noWrap/>
            <w:vAlign w:val="center"/>
          </w:tcPr>
          <w:p w14:paraId="41EEEBCA" w14:textId="55A9A845" w:rsidR="00846EC2" w:rsidRPr="00D40239" w:rsidRDefault="00846EC2" w:rsidP="00846EC2">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tcPr>
          <w:p w14:paraId="05D87D7A" w14:textId="6C24AA64" w:rsidR="00846EC2" w:rsidRPr="00D40239" w:rsidRDefault="00846EC2" w:rsidP="00846EC2">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hideMark/>
          </w:tcPr>
          <w:p w14:paraId="5D5263AC" w14:textId="0A1ED850"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604</w:t>
            </w:r>
          </w:p>
        </w:tc>
        <w:tc>
          <w:tcPr>
            <w:tcW w:w="218" w:type="pct"/>
            <w:tcBorders>
              <w:top w:val="nil"/>
              <w:left w:val="nil"/>
              <w:bottom w:val="single" w:sz="4" w:space="0" w:color="auto"/>
              <w:right w:val="single" w:sz="4" w:space="0" w:color="auto"/>
            </w:tcBorders>
            <w:shd w:val="clear" w:color="auto" w:fill="auto"/>
            <w:noWrap/>
            <w:vAlign w:val="center"/>
            <w:hideMark/>
          </w:tcPr>
          <w:p w14:paraId="3CC699B9" w14:textId="5C5D349A"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1208</w:t>
            </w:r>
          </w:p>
        </w:tc>
        <w:tc>
          <w:tcPr>
            <w:tcW w:w="273" w:type="pct"/>
            <w:tcBorders>
              <w:top w:val="nil"/>
              <w:left w:val="nil"/>
              <w:bottom w:val="single" w:sz="4" w:space="0" w:color="auto"/>
              <w:right w:val="single" w:sz="4" w:space="0" w:color="auto"/>
            </w:tcBorders>
            <w:shd w:val="clear" w:color="auto" w:fill="auto"/>
            <w:noWrap/>
            <w:vAlign w:val="center"/>
            <w:hideMark/>
          </w:tcPr>
          <w:p w14:paraId="2A0418B0" w14:textId="7EB7D2FB"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1208</w:t>
            </w:r>
          </w:p>
        </w:tc>
        <w:tc>
          <w:tcPr>
            <w:tcW w:w="218" w:type="pct"/>
            <w:tcBorders>
              <w:top w:val="nil"/>
              <w:left w:val="nil"/>
              <w:bottom w:val="single" w:sz="4" w:space="0" w:color="auto"/>
              <w:right w:val="single" w:sz="4" w:space="0" w:color="auto"/>
            </w:tcBorders>
            <w:shd w:val="clear" w:color="auto" w:fill="auto"/>
            <w:noWrap/>
            <w:vAlign w:val="center"/>
            <w:hideMark/>
          </w:tcPr>
          <w:p w14:paraId="7A33E08A" w14:textId="6D25DB9F"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1415</w:t>
            </w:r>
          </w:p>
        </w:tc>
        <w:tc>
          <w:tcPr>
            <w:tcW w:w="275" w:type="pct"/>
            <w:tcBorders>
              <w:top w:val="nil"/>
              <w:left w:val="nil"/>
              <w:bottom w:val="single" w:sz="4" w:space="0" w:color="auto"/>
              <w:right w:val="single" w:sz="4" w:space="0" w:color="auto"/>
            </w:tcBorders>
            <w:shd w:val="clear" w:color="auto" w:fill="auto"/>
            <w:noWrap/>
            <w:vAlign w:val="center"/>
            <w:hideMark/>
          </w:tcPr>
          <w:p w14:paraId="333A0EB6" w14:textId="606746F0"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1621</w:t>
            </w:r>
          </w:p>
        </w:tc>
        <w:tc>
          <w:tcPr>
            <w:tcW w:w="273" w:type="pct"/>
            <w:tcBorders>
              <w:top w:val="nil"/>
              <w:left w:val="nil"/>
              <w:bottom w:val="single" w:sz="4" w:space="0" w:color="auto"/>
              <w:right w:val="single" w:sz="4" w:space="0" w:color="auto"/>
            </w:tcBorders>
            <w:shd w:val="clear" w:color="auto" w:fill="auto"/>
            <w:noWrap/>
            <w:vAlign w:val="center"/>
            <w:hideMark/>
          </w:tcPr>
          <w:p w14:paraId="55532A44" w14:textId="75195FD8"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1734</w:t>
            </w:r>
          </w:p>
        </w:tc>
        <w:tc>
          <w:tcPr>
            <w:tcW w:w="273" w:type="pct"/>
            <w:tcBorders>
              <w:top w:val="nil"/>
              <w:left w:val="nil"/>
              <w:bottom w:val="single" w:sz="4" w:space="0" w:color="auto"/>
              <w:right w:val="single" w:sz="4" w:space="0" w:color="auto"/>
            </w:tcBorders>
            <w:shd w:val="clear" w:color="auto" w:fill="auto"/>
            <w:noWrap/>
            <w:vAlign w:val="center"/>
          </w:tcPr>
          <w:p w14:paraId="72895DD9" w14:textId="697EC891"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1533</w:t>
            </w:r>
          </w:p>
        </w:tc>
        <w:tc>
          <w:tcPr>
            <w:tcW w:w="275" w:type="pct"/>
            <w:tcBorders>
              <w:top w:val="single" w:sz="4" w:space="0" w:color="auto"/>
              <w:left w:val="nil"/>
              <w:bottom w:val="single" w:sz="4" w:space="0" w:color="auto"/>
              <w:right w:val="single" w:sz="4" w:space="0" w:color="auto"/>
            </w:tcBorders>
            <w:vAlign w:val="center"/>
          </w:tcPr>
          <w:p w14:paraId="1AE2444C" w14:textId="3FE1607B"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722</w:t>
            </w:r>
          </w:p>
        </w:tc>
        <w:tc>
          <w:tcPr>
            <w:tcW w:w="273" w:type="pct"/>
            <w:tcBorders>
              <w:top w:val="single" w:sz="4" w:space="0" w:color="auto"/>
              <w:left w:val="single" w:sz="4" w:space="0" w:color="auto"/>
              <w:bottom w:val="single" w:sz="4" w:space="0" w:color="auto"/>
              <w:right w:val="single" w:sz="4" w:space="0" w:color="auto"/>
            </w:tcBorders>
            <w:vAlign w:val="center"/>
          </w:tcPr>
          <w:p w14:paraId="7562D1D3" w14:textId="443F278C"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113</w:t>
            </w:r>
          </w:p>
        </w:tc>
        <w:tc>
          <w:tcPr>
            <w:tcW w:w="218" w:type="pct"/>
            <w:tcBorders>
              <w:top w:val="single" w:sz="4" w:space="0" w:color="auto"/>
              <w:left w:val="single" w:sz="4" w:space="0" w:color="auto"/>
              <w:bottom w:val="single" w:sz="4" w:space="0" w:color="auto"/>
              <w:right w:val="single" w:sz="4" w:space="0" w:color="auto"/>
            </w:tcBorders>
            <w:vAlign w:val="center"/>
          </w:tcPr>
          <w:p w14:paraId="6B189106" w14:textId="45DD1008"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113</w:t>
            </w:r>
          </w:p>
        </w:tc>
        <w:tc>
          <w:tcPr>
            <w:tcW w:w="206" w:type="pct"/>
            <w:tcBorders>
              <w:top w:val="single" w:sz="4" w:space="0" w:color="auto"/>
              <w:left w:val="single" w:sz="4" w:space="0" w:color="auto"/>
              <w:bottom w:val="single" w:sz="4" w:space="0" w:color="auto"/>
              <w:right w:val="single" w:sz="4" w:space="0" w:color="auto"/>
            </w:tcBorders>
            <w:vAlign w:val="center"/>
          </w:tcPr>
          <w:p w14:paraId="2880794F" w14:textId="4CBCEB81"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-10271</w:t>
            </w:r>
          </w:p>
        </w:tc>
        <w:tc>
          <w:tcPr>
            <w:tcW w:w="301" w:type="pct"/>
            <w:tcBorders>
              <w:top w:val="nil"/>
              <w:left w:val="nil"/>
              <w:bottom w:val="single" w:sz="4" w:space="0" w:color="auto"/>
              <w:right w:val="single" w:sz="4" w:space="0" w:color="auto"/>
            </w:tcBorders>
            <w:shd w:val="clear" w:color="auto" w:fill="auto"/>
            <w:noWrap/>
            <w:vAlign w:val="center"/>
            <w:hideMark/>
          </w:tcPr>
          <w:p w14:paraId="72DA42A8" w14:textId="4C5C0ABF"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0</w:t>
            </w:r>
          </w:p>
        </w:tc>
      </w:tr>
      <w:tr w:rsidR="00846EC2" w:rsidRPr="00D40239" w14:paraId="47EE34A8" w14:textId="77777777" w:rsidTr="00846EC2">
        <w:trPr>
          <w:trHeight w:val="340"/>
          <w:jc w:val="center"/>
        </w:trPr>
        <w:tc>
          <w:tcPr>
            <w:tcW w:w="174" w:type="pct"/>
            <w:tcBorders>
              <w:top w:val="nil"/>
              <w:left w:val="single" w:sz="4" w:space="0" w:color="auto"/>
              <w:bottom w:val="single" w:sz="4" w:space="0" w:color="auto"/>
              <w:right w:val="single" w:sz="4" w:space="0" w:color="auto"/>
            </w:tcBorders>
            <w:shd w:val="clear" w:color="auto" w:fill="auto"/>
            <w:noWrap/>
            <w:vAlign w:val="center"/>
            <w:hideMark/>
          </w:tcPr>
          <w:p w14:paraId="2EBD315C"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6</w:t>
            </w:r>
          </w:p>
        </w:tc>
        <w:tc>
          <w:tcPr>
            <w:tcW w:w="576" w:type="pct"/>
            <w:tcBorders>
              <w:top w:val="nil"/>
              <w:left w:val="nil"/>
              <w:bottom w:val="single" w:sz="4" w:space="0" w:color="auto"/>
              <w:right w:val="single" w:sz="4" w:space="0" w:color="auto"/>
            </w:tcBorders>
            <w:shd w:val="clear" w:color="auto" w:fill="auto"/>
            <w:noWrap/>
            <w:vAlign w:val="center"/>
            <w:hideMark/>
          </w:tcPr>
          <w:p w14:paraId="2B1B7056"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销售费用</w:t>
            </w:r>
          </w:p>
        </w:tc>
        <w:tc>
          <w:tcPr>
            <w:tcW w:w="244" w:type="pct"/>
            <w:tcBorders>
              <w:top w:val="nil"/>
              <w:left w:val="nil"/>
              <w:bottom w:val="single" w:sz="4" w:space="0" w:color="auto"/>
              <w:right w:val="single" w:sz="4" w:space="0" w:color="auto"/>
            </w:tcBorders>
            <w:shd w:val="clear" w:color="auto" w:fill="auto"/>
            <w:noWrap/>
            <w:vAlign w:val="center"/>
          </w:tcPr>
          <w:p w14:paraId="56B16BE2" w14:textId="77777777" w:rsidR="00846EC2" w:rsidRPr="00D40239" w:rsidRDefault="00846EC2"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tcPr>
          <w:p w14:paraId="6F84925E" w14:textId="6085BD19" w:rsidR="00846EC2" w:rsidRPr="00D40239" w:rsidRDefault="00846EC2" w:rsidP="00846EC2">
            <w:pPr>
              <w:jc w:val="center"/>
              <w:rPr>
                <w:rFonts w:ascii="华文细黑" w:eastAsia="华文细黑" w:hAnsi="华文细黑"/>
                <w:color w:val="000000"/>
                <w:sz w:val="13"/>
                <w:szCs w:val="13"/>
              </w:rPr>
            </w:pPr>
          </w:p>
        </w:tc>
        <w:tc>
          <w:tcPr>
            <w:tcW w:w="274" w:type="pct"/>
            <w:tcBorders>
              <w:top w:val="nil"/>
              <w:left w:val="nil"/>
              <w:bottom w:val="single" w:sz="4" w:space="0" w:color="auto"/>
              <w:right w:val="single" w:sz="4" w:space="0" w:color="auto"/>
            </w:tcBorders>
            <w:shd w:val="clear" w:color="auto" w:fill="auto"/>
            <w:noWrap/>
            <w:vAlign w:val="center"/>
          </w:tcPr>
          <w:p w14:paraId="4BF0151C" w14:textId="77750D22" w:rsidR="00846EC2" w:rsidRPr="00D40239" w:rsidRDefault="00846EC2" w:rsidP="00846EC2">
            <w:pPr>
              <w:jc w:val="center"/>
              <w:rPr>
                <w:rFonts w:ascii="华文细黑" w:eastAsia="华文细黑" w:hAnsi="华文细黑"/>
                <w:color w:val="000000"/>
                <w:sz w:val="13"/>
                <w:szCs w:val="13"/>
              </w:rPr>
            </w:pPr>
          </w:p>
        </w:tc>
        <w:tc>
          <w:tcPr>
            <w:tcW w:w="273" w:type="pct"/>
            <w:tcBorders>
              <w:top w:val="nil"/>
              <w:left w:val="nil"/>
              <w:bottom w:val="single" w:sz="4" w:space="0" w:color="auto"/>
              <w:right w:val="single" w:sz="4" w:space="0" w:color="auto"/>
            </w:tcBorders>
            <w:shd w:val="clear" w:color="auto" w:fill="auto"/>
            <w:noWrap/>
            <w:vAlign w:val="center"/>
          </w:tcPr>
          <w:p w14:paraId="5466C1D7" w14:textId="16EF5AA4" w:rsidR="00846EC2" w:rsidRPr="00D40239" w:rsidRDefault="00846EC2" w:rsidP="00846EC2">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tcPr>
          <w:p w14:paraId="052739D0" w14:textId="39052F2B" w:rsidR="00846EC2" w:rsidRPr="00D40239" w:rsidRDefault="00846EC2" w:rsidP="00846EC2">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hideMark/>
          </w:tcPr>
          <w:p w14:paraId="4CE198D5" w14:textId="608EA062"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302</w:t>
            </w:r>
          </w:p>
        </w:tc>
        <w:tc>
          <w:tcPr>
            <w:tcW w:w="218" w:type="pct"/>
            <w:tcBorders>
              <w:top w:val="nil"/>
              <w:left w:val="nil"/>
              <w:bottom w:val="single" w:sz="4" w:space="0" w:color="auto"/>
              <w:right w:val="single" w:sz="4" w:space="0" w:color="auto"/>
            </w:tcBorders>
            <w:shd w:val="clear" w:color="auto" w:fill="auto"/>
            <w:noWrap/>
            <w:vAlign w:val="center"/>
            <w:hideMark/>
          </w:tcPr>
          <w:p w14:paraId="05B10D08" w14:textId="5AABCB75"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604</w:t>
            </w:r>
          </w:p>
        </w:tc>
        <w:tc>
          <w:tcPr>
            <w:tcW w:w="273" w:type="pct"/>
            <w:tcBorders>
              <w:top w:val="nil"/>
              <w:left w:val="nil"/>
              <w:bottom w:val="single" w:sz="4" w:space="0" w:color="auto"/>
              <w:right w:val="single" w:sz="4" w:space="0" w:color="auto"/>
            </w:tcBorders>
            <w:shd w:val="clear" w:color="auto" w:fill="auto"/>
            <w:noWrap/>
            <w:vAlign w:val="center"/>
            <w:hideMark/>
          </w:tcPr>
          <w:p w14:paraId="744DA3BA" w14:textId="0BA92B03"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604</w:t>
            </w:r>
          </w:p>
        </w:tc>
        <w:tc>
          <w:tcPr>
            <w:tcW w:w="218" w:type="pct"/>
            <w:tcBorders>
              <w:top w:val="nil"/>
              <w:left w:val="nil"/>
              <w:bottom w:val="single" w:sz="4" w:space="0" w:color="auto"/>
              <w:right w:val="single" w:sz="4" w:space="0" w:color="auto"/>
            </w:tcBorders>
            <w:shd w:val="clear" w:color="auto" w:fill="auto"/>
            <w:noWrap/>
            <w:vAlign w:val="center"/>
            <w:hideMark/>
          </w:tcPr>
          <w:p w14:paraId="618EFCC5" w14:textId="73E3CDF4"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656</w:t>
            </w:r>
          </w:p>
        </w:tc>
        <w:tc>
          <w:tcPr>
            <w:tcW w:w="275" w:type="pct"/>
            <w:tcBorders>
              <w:top w:val="nil"/>
              <w:left w:val="nil"/>
              <w:bottom w:val="single" w:sz="4" w:space="0" w:color="auto"/>
              <w:right w:val="single" w:sz="4" w:space="0" w:color="auto"/>
            </w:tcBorders>
            <w:shd w:val="clear" w:color="auto" w:fill="auto"/>
            <w:noWrap/>
            <w:vAlign w:val="center"/>
            <w:hideMark/>
          </w:tcPr>
          <w:p w14:paraId="4584087A" w14:textId="05610EDE"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707</w:t>
            </w:r>
          </w:p>
        </w:tc>
        <w:tc>
          <w:tcPr>
            <w:tcW w:w="273" w:type="pct"/>
            <w:tcBorders>
              <w:top w:val="nil"/>
              <w:left w:val="nil"/>
              <w:bottom w:val="single" w:sz="4" w:space="0" w:color="auto"/>
              <w:right w:val="single" w:sz="4" w:space="0" w:color="auto"/>
            </w:tcBorders>
            <w:shd w:val="clear" w:color="auto" w:fill="auto"/>
            <w:noWrap/>
            <w:vAlign w:val="center"/>
            <w:hideMark/>
          </w:tcPr>
          <w:p w14:paraId="75461446" w14:textId="77840C79"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736</w:t>
            </w:r>
          </w:p>
        </w:tc>
        <w:tc>
          <w:tcPr>
            <w:tcW w:w="273" w:type="pct"/>
            <w:tcBorders>
              <w:top w:val="nil"/>
              <w:left w:val="nil"/>
              <w:bottom w:val="single" w:sz="4" w:space="0" w:color="auto"/>
              <w:right w:val="single" w:sz="4" w:space="0" w:color="auto"/>
            </w:tcBorders>
            <w:shd w:val="clear" w:color="auto" w:fill="auto"/>
            <w:noWrap/>
            <w:vAlign w:val="center"/>
          </w:tcPr>
          <w:p w14:paraId="1C84A71C" w14:textId="1FDF7625"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635</w:t>
            </w:r>
          </w:p>
        </w:tc>
        <w:tc>
          <w:tcPr>
            <w:tcW w:w="275" w:type="pct"/>
            <w:tcBorders>
              <w:top w:val="single" w:sz="4" w:space="0" w:color="auto"/>
              <w:left w:val="nil"/>
              <w:bottom w:val="single" w:sz="4" w:space="0" w:color="auto"/>
              <w:right w:val="single" w:sz="4" w:space="0" w:color="auto"/>
            </w:tcBorders>
            <w:vAlign w:val="center"/>
          </w:tcPr>
          <w:p w14:paraId="280BA362" w14:textId="5AC42A67"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281</w:t>
            </w:r>
          </w:p>
        </w:tc>
        <w:tc>
          <w:tcPr>
            <w:tcW w:w="273" w:type="pct"/>
            <w:tcBorders>
              <w:top w:val="single" w:sz="4" w:space="0" w:color="auto"/>
              <w:left w:val="single" w:sz="4" w:space="0" w:color="auto"/>
              <w:bottom w:val="single" w:sz="4" w:space="0" w:color="auto"/>
              <w:right w:val="single" w:sz="4" w:space="0" w:color="auto"/>
            </w:tcBorders>
            <w:vAlign w:val="center"/>
          </w:tcPr>
          <w:p w14:paraId="6187A1A5" w14:textId="329B9DC4"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28</w:t>
            </w:r>
          </w:p>
        </w:tc>
        <w:tc>
          <w:tcPr>
            <w:tcW w:w="218" w:type="pct"/>
            <w:tcBorders>
              <w:top w:val="single" w:sz="4" w:space="0" w:color="auto"/>
              <w:left w:val="single" w:sz="4" w:space="0" w:color="auto"/>
              <w:bottom w:val="single" w:sz="4" w:space="0" w:color="auto"/>
              <w:right w:val="single" w:sz="4" w:space="0" w:color="auto"/>
            </w:tcBorders>
            <w:vAlign w:val="center"/>
          </w:tcPr>
          <w:p w14:paraId="2B5115E1" w14:textId="170034B5"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29</w:t>
            </w:r>
          </w:p>
        </w:tc>
        <w:tc>
          <w:tcPr>
            <w:tcW w:w="206" w:type="pct"/>
            <w:tcBorders>
              <w:top w:val="single" w:sz="4" w:space="0" w:color="auto"/>
              <w:left w:val="single" w:sz="4" w:space="0" w:color="auto"/>
              <w:bottom w:val="single" w:sz="4" w:space="0" w:color="auto"/>
              <w:right w:val="single" w:sz="4" w:space="0" w:color="auto"/>
            </w:tcBorders>
            <w:vAlign w:val="center"/>
          </w:tcPr>
          <w:p w14:paraId="60C11188" w14:textId="05343527" w:rsidR="00846EC2" w:rsidRPr="007061B3" w:rsidRDefault="00846EC2" w:rsidP="00846EC2">
            <w:pPr>
              <w:jc w:val="center"/>
              <w:rPr>
                <w:rFonts w:ascii="华文细黑" w:eastAsia="华文细黑" w:hAnsi="华文细黑"/>
                <w:color w:val="000000"/>
                <w:sz w:val="13"/>
                <w:szCs w:val="13"/>
              </w:rPr>
            </w:pPr>
          </w:p>
        </w:tc>
        <w:tc>
          <w:tcPr>
            <w:tcW w:w="301" w:type="pct"/>
            <w:tcBorders>
              <w:top w:val="nil"/>
              <w:left w:val="nil"/>
              <w:bottom w:val="single" w:sz="4" w:space="0" w:color="auto"/>
              <w:right w:val="single" w:sz="4" w:space="0" w:color="auto"/>
            </w:tcBorders>
            <w:shd w:val="clear" w:color="auto" w:fill="auto"/>
            <w:noWrap/>
            <w:vAlign w:val="center"/>
            <w:hideMark/>
          </w:tcPr>
          <w:p w14:paraId="0DCB3649" w14:textId="02151456"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4582</w:t>
            </w:r>
          </w:p>
        </w:tc>
      </w:tr>
      <w:tr w:rsidR="00846EC2" w:rsidRPr="00D40239" w14:paraId="5CADE9A9" w14:textId="77777777" w:rsidTr="00846EC2">
        <w:trPr>
          <w:trHeight w:val="340"/>
          <w:jc w:val="center"/>
        </w:trPr>
        <w:tc>
          <w:tcPr>
            <w:tcW w:w="174" w:type="pct"/>
            <w:tcBorders>
              <w:top w:val="nil"/>
              <w:left w:val="single" w:sz="4" w:space="0" w:color="auto"/>
              <w:bottom w:val="single" w:sz="4" w:space="0" w:color="auto"/>
              <w:right w:val="single" w:sz="4" w:space="0" w:color="auto"/>
            </w:tcBorders>
            <w:shd w:val="clear" w:color="auto" w:fill="auto"/>
            <w:noWrap/>
            <w:vAlign w:val="center"/>
            <w:hideMark/>
          </w:tcPr>
          <w:p w14:paraId="1866FC55"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7</w:t>
            </w:r>
          </w:p>
        </w:tc>
        <w:tc>
          <w:tcPr>
            <w:tcW w:w="576" w:type="pct"/>
            <w:tcBorders>
              <w:top w:val="nil"/>
              <w:left w:val="nil"/>
              <w:bottom w:val="single" w:sz="4" w:space="0" w:color="auto"/>
              <w:right w:val="single" w:sz="4" w:space="0" w:color="auto"/>
            </w:tcBorders>
            <w:shd w:val="clear" w:color="auto" w:fill="auto"/>
            <w:noWrap/>
            <w:vAlign w:val="center"/>
            <w:hideMark/>
          </w:tcPr>
          <w:p w14:paraId="41EB008D"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管理费用</w:t>
            </w:r>
          </w:p>
        </w:tc>
        <w:tc>
          <w:tcPr>
            <w:tcW w:w="244" w:type="pct"/>
            <w:tcBorders>
              <w:top w:val="nil"/>
              <w:left w:val="nil"/>
              <w:bottom w:val="single" w:sz="4" w:space="0" w:color="auto"/>
              <w:right w:val="single" w:sz="4" w:space="0" w:color="auto"/>
            </w:tcBorders>
            <w:shd w:val="clear" w:color="auto" w:fill="auto"/>
            <w:noWrap/>
            <w:vAlign w:val="center"/>
          </w:tcPr>
          <w:p w14:paraId="6F80F97C" w14:textId="52C76A51" w:rsidR="00846EC2" w:rsidRPr="00D40239" w:rsidRDefault="00846EC2"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tcPr>
          <w:p w14:paraId="41F00933" w14:textId="05B44991" w:rsidR="00846EC2" w:rsidRPr="00D40239" w:rsidRDefault="00846EC2" w:rsidP="00846EC2">
            <w:pPr>
              <w:jc w:val="center"/>
              <w:rPr>
                <w:rFonts w:ascii="华文细黑" w:eastAsia="华文细黑" w:hAnsi="华文细黑"/>
                <w:color w:val="000000"/>
                <w:sz w:val="13"/>
                <w:szCs w:val="13"/>
              </w:rPr>
            </w:pPr>
          </w:p>
        </w:tc>
        <w:tc>
          <w:tcPr>
            <w:tcW w:w="274" w:type="pct"/>
            <w:tcBorders>
              <w:top w:val="nil"/>
              <w:left w:val="nil"/>
              <w:bottom w:val="single" w:sz="4" w:space="0" w:color="auto"/>
              <w:right w:val="single" w:sz="4" w:space="0" w:color="auto"/>
            </w:tcBorders>
            <w:shd w:val="clear" w:color="auto" w:fill="auto"/>
            <w:noWrap/>
            <w:vAlign w:val="center"/>
            <w:hideMark/>
          </w:tcPr>
          <w:p w14:paraId="309DCCCF" w14:textId="3F8F103C"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33</w:t>
            </w:r>
          </w:p>
        </w:tc>
        <w:tc>
          <w:tcPr>
            <w:tcW w:w="273" w:type="pct"/>
            <w:tcBorders>
              <w:top w:val="nil"/>
              <w:left w:val="nil"/>
              <w:bottom w:val="single" w:sz="4" w:space="0" w:color="auto"/>
              <w:right w:val="single" w:sz="4" w:space="0" w:color="auto"/>
            </w:tcBorders>
            <w:shd w:val="clear" w:color="auto" w:fill="auto"/>
            <w:noWrap/>
            <w:vAlign w:val="center"/>
            <w:hideMark/>
          </w:tcPr>
          <w:p w14:paraId="30C6EE87" w14:textId="6E6EAF93"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109</w:t>
            </w:r>
          </w:p>
        </w:tc>
        <w:tc>
          <w:tcPr>
            <w:tcW w:w="218" w:type="pct"/>
            <w:tcBorders>
              <w:top w:val="nil"/>
              <w:left w:val="nil"/>
              <w:bottom w:val="single" w:sz="4" w:space="0" w:color="auto"/>
              <w:right w:val="single" w:sz="4" w:space="0" w:color="auto"/>
            </w:tcBorders>
            <w:shd w:val="clear" w:color="auto" w:fill="auto"/>
            <w:noWrap/>
            <w:vAlign w:val="center"/>
            <w:hideMark/>
          </w:tcPr>
          <w:p w14:paraId="5AB975E7" w14:textId="27529C2E"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168</w:t>
            </w:r>
          </w:p>
        </w:tc>
        <w:tc>
          <w:tcPr>
            <w:tcW w:w="218" w:type="pct"/>
            <w:tcBorders>
              <w:top w:val="nil"/>
              <w:left w:val="nil"/>
              <w:bottom w:val="single" w:sz="4" w:space="0" w:color="auto"/>
              <w:right w:val="single" w:sz="4" w:space="0" w:color="auto"/>
            </w:tcBorders>
            <w:shd w:val="clear" w:color="auto" w:fill="auto"/>
            <w:noWrap/>
            <w:vAlign w:val="center"/>
            <w:hideMark/>
          </w:tcPr>
          <w:p w14:paraId="17ECF5FD" w14:textId="273E5B44"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168</w:t>
            </w:r>
          </w:p>
        </w:tc>
        <w:tc>
          <w:tcPr>
            <w:tcW w:w="218" w:type="pct"/>
            <w:tcBorders>
              <w:top w:val="nil"/>
              <w:left w:val="nil"/>
              <w:bottom w:val="single" w:sz="4" w:space="0" w:color="auto"/>
              <w:right w:val="single" w:sz="4" w:space="0" w:color="auto"/>
            </w:tcBorders>
            <w:shd w:val="clear" w:color="auto" w:fill="auto"/>
            <w:noWrap/>
            <w:vAlign w:val="center"/>
            <w:hideMark/>
          </w:tcPr>
          <w:p w14:paraId="78A5A0EE" w14:textId="1E400F48"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199</w:t>
            </w:r>
          </w:p>
        </w:tc>
        <w:tc>
          <w:tcPr>
            <w:tcW w:w="273" w:type="pct"/>
            <w:tcBorders>
              <w:top w:val="nil"/>
              <w:left w:val="nil"/>
              <w:bottom w:val="single" w:sz="4" w:space="0" w:color="auto"/>
              <w:right w:val="single" w:sz="4" w:space="0" w:color="auto"/>
            </w:tcBorders>
            <w:shd w:val="clear" w:color="auto" w:fill="auto"/>
            <w:noWrap/>
            <w:vAlign w:val="center"/>
            <w:hideMark/>
          </w:tcPr>
          <w:p w14:paraId="051BC93E" w14:textId="1A96ECE3"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206</w:t>
            </w:r>
          </w:p>
        </w:tc>
        <w:tc>
          <w:tcPr>
            <w:tcW w:w="218" w:type="pct"/>
            <w:tcBorders>
              <w:top w:val="nil"/>
              <w:left w:val="nil"/>
              <w:bottom w:val="single" w:sz="4" w:space="0" w:color="auto"/>
              <w:right w:val="single" w:sz="4" w:space="0" w:color="auto"/>
            </w:tcBorders>
            <w:shd w:val="clear" w:color="auto" w:fill="auto"/>
            <w:noWrap/>
            <w:vAlign w:val="center"/>
            <w:hideMark/>
          </w:tcPr>
          <w:p w14:paraId="16040FE4" w14:textId="2B0A8EFE"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206</w:t>
            </w:r>
          </w:p>
        </w:tc>
        <w:tc>
          <w:tcPr>
            <w:tcW w:w="275" w:type="pct"/>
            <w:tcBorders>
              <w:top w:val="nil"/>
              <w:left w:val="nil"/>
              <w:bottom w:val="single" w:sz="4" w:space="0" w:color="auto"/>
              <w:right w:val="single" w:sz="4" w:space="0" w:color="auto"/>
            </w:tcBorders>
            <w:shd w:val="clear" w:color="auto" w:fill="auto"/>
            <w:noWrap/>
            <w:vAlign w:val="center"/>
            <w:hideMark/>
          </w:tcPr>
          <w:p w14:paraId="34E2526E" w14:textId="4F1C6789"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199</w:t>
            </w:r>
          </w:p>
        </w:tc>
        <w:tc>
          <w:tcPr>
            <w:tcW w:w="273" w:type="pct"/>
            <w:tcBorders>
              <w:top w:val="nil"/>
              <w:left w:val="nil"/>
              <w:bottom w:val="single" w:sz="4" w:space="0" w:color="auto"/>
              <w:right w:val="single" w:sz="4" w:space="0" w:color="auto"/>
            </w:tcBorders>
            <w:shd w:val="clear" w:color="auto" w:fill="auto"/>
            <w:noWrap/>
            <w:vAlign w:val="center"/>
            <w:hideMark/>
          </w:tcPr>
          <w:p w14:paraId="69810D11" w14:textId="0FBCD4A1"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168</w:t>
            </w:r>
          </w:p>
        </w:tc>
        <w:tc>
          <w:tcPr>
            <w:tcW w:w="273" w:type="pct"/>
            <w:tcBorders>
              <w:top w:val="nil"/>
              <w:left w:val="nil"/>
              <w:bottom w:val="single" w:sz="4" w:space="0" w:color="auto"/>
              <w:right w:val="single" w:sz="4" w:space="0" w:color="auto"/>
            </w:tcBorders>
            <w:shd w:val="clear" w:color="auto" w:fill="auto"/>
            <w:noWrap/>
            <w:vAlign w:val="center"/>
          </w:tcPr>
          <w:p w14:paraId="16DF2D7B" w14:textId="5A35E081"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168</w:t>
            </w:r>
          </w:p>
        </w:tc>
        <w:tc>
          <w:tcPr>
            <w:tcW w:w="275" w:type="pct"/>
            <w:tcBorders>
              <w:top w:val="single" w:sz="4" w:space="0" w:color="auto"/>
              <w:left w:val="nil"/>
              <w:bottom w:val="single" w:sz="4" w:space="0" w:color="auto"/>
              <w:right w:val="single" w:sz="4" w:space="0" w:color="auto"/>
            </w:tcBorders>
            <w:vAlign w:val="center"/>
          </w:tcPr>
          <w:p w14:paraId="0AE0752B" w14:textId="5FF2A1A8"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121</w:t>
            </w:r>
          </w:p>
        </w:tc>
        <w:tc>
          <w:tcPr>
            <w:tcW w:w="273" w:type="pct"/>
            <w:tcBorders>
              <w:top w:val="single" w:sz="4" w:space="0" w:color="auto"/>
              <w:left w:val="single" w:sz="4" w:space="0" w:color="auto"/>
              <w:bottom w:val="single" w:sz="4" w:space="0" w:color="auto"/>
              <w:right w:val="single" w:sz="4" w:space="0" w:color="auto"/>
            </w:tcBorders>
            <w:vAlign w:val="center"/>
          </w:tcPr>
          <w:p w14:paraId="5FFBAFE9" w14:textId="0FCA7C30" w:rsidR="00846EC2" w:rsidRPr="007061B3" w:rsidRDefault="00846EC2" w:rsidP="00846EC2">
            <w:pPr>
              <w:jc w:val="center"/>
              <w:rPr>
                <w:rFonts w:ascii="华文细黑" w:eastAsia="华文细黑" w:hAnsi="华文细黑"/>
                <w:color w:val="000000"/>
                <w:sz w:val="13"/>
                <w:szCs w:val="13"/>
              </w:rPr>
            </w:pPr>
          </w:p>
        </w:tc>
        <w:tc>
          <w:tcPr>
            <w:tcW w:w="218" w:type="pct"/>
            <w:tcBorders>
              <w:top w:val="single" w:sz="4" w:space="0" w:color="auto"/>
              <w:left w:val="single" w:sz="4" w:space="0" w:color="auto"/>
              <w:bottom w:val="single" w:sz="4" w:space="0" w:color="auto"/>
              <w:right w:val="single" w:sz="4" w:space="0" w:color="auto"/>
            </w:tcBorders>
            <w:vAlign w:val="center"/>
          </w:tcPr>
          <w:p w14:paraId="55986DD0" w14:textId="22F1274B" w:rsidR="00846EC2" w:rsidRPr="007061B3" w:rsidRDefault="00846EC2" w:rsidP="00846EC2">
            <w:pPr>
              <w:jc w:val="center"/>
              <w:rPr>
                <w:rFonts w:ascii="华文细黑" w:eastAsia="华文细黑" w:hAnsi="华文细黑"/>
                <w:color w:val="000000"/>
                <w:sz w:val="13"/>
                <w:szCs w:val="13"/>
              </w:rPr>
            </w:pPr>
          </w:p>
        </w:tc>
        <w:tc>
          <w:tcPr>
            <w:tcW w:w="206" w:type="pct"/>
            <w:tcBorders>
              <w:top w:val="single" w:sz="4" w:space="0" w:color="auto"/>
              <w:left w:val="single" w:sz="4" w:space="0" w:color="auto"/>
              <w:bottom w:val="single" w:sz="4" w:space="0" w:color="auto"/>
              <w:right w:val="single" w:sz="4" w:space="0" w:color="auto"/>
            </w:tcBorders>
            <w:vAlign w:val="center"/>
          </w:tcPr>
          <w:p w14:paraId="53B99B2E" w14:textId="469CC3E1" w:rsidR="00846EC2" w:rsidRPr="007061B3" w:rsidRDefault="00846EC2" w:rsidP="00846EC2">
            <w:pPr>
              <w:jc w:val="center"/>
              <w:rPr>
                <w:rFonts w:ascii="华文细黑" w:eastAsia="华文细黑" w:hAnsi="华文细黑"/>
                <w:color w:val="000000"/>
                <w:sz w:val="13"/>
                <w:szCs w:val="13"/>
              </w:rPr>
            </w:pPr>
          </w:p>
        </w:tc>
        <w:tc>
          <w:tcPr>
            <w:tcW w:w="301" w:type="pct"/>
            <w:tcBorders>
              <w:top w:val="nil"/>
              <w:left w:val="nil"/>
              <w:bottom w:val="single" w:sz="4" w:space="0" w:color="auto"/>
              <w:right w:val="single" w:sz="4" w:space="0" w:color="auto"/>
            </w:tcBorders>
            <w:shd w:val="clear" w:color="auto" w:fill="auto"/>
            <w:noWrap/>
            <w:vAlign w:val="center"/>
            <w:hideMark/>
          </w:tcPr>
          <w:p w14:paraId="585C0162" w14:textId="7DB9DDA3"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1745</w:t>
            </w:r>
          </w:p>
        </w:tc>
      </w:tr>
      <w:tr w:rsidR="00846EC2" w:rsidRPr="00D40239" w14:paraId="1BA1AF92" w14:textId="77777777" w:rsidTr="00846EC2">
        <w:trPr>
          <w:trHeight w:val="340"/>
          <w:jc w:val="center"/>
        </w:trPr>
        <w:tc>
          <w:tcPr>
            <w:tcW w:w="174" w:type="pct"/>
            <w:tcBorders>
              <w:top w:val="nil"/>
              <w:left w:val="single" w:sz="4" w:space="0" w:color="auto"/>
              <w:bottom w:val="single" w:sz="4" w:space="0" w:color="auto"/>
              <w:right w:val="single" w:sz="4" w:space="0" w:color="auto"/>
            </w:tcBorders>
            <w:shd w:val="clear" w:color="auto" w:fill="auto"/>
            <w:noWrap/>
            <w:vAlign w:val="center"/>
            <w:hideMark/>
          </w:tcPr>
          <w:p w14:paraId="16E9E92A"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8</w:t>
            </w:r>
          </w:p>
        </w:tc>
        <w:tc>
          <w:tcPr>
            <w:tcW w:w="576" w:type="pct"/>
            <w:tcBorders>
              <w:top w:val="nil"/>
              <w:left w:val="nil"/>
              <w:bottom w:val="single" w:sz="4" w:space="0" w:color="auto"/>
              <w:right w:val="single" w:sz="4" w:space="0" w:color="auto"/>
            </w:tcBorders>
            <w:shd w:val="clear" w:color="auto" w:fill="auto"/>
            <w:noWrap/>
            <w:vAlign w:val="center"/>
            <w:hideMark/>
          </w:tcPr>
          <w:p w14:paraId="26A2B1E6"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财务费用</w:t>
            </w:r>
          </w:p>
        </w:tc>
        <w:tc>
          <w:tcPr>
            <w:tcW w:w="244" w:type="pct"/>
            <w:tcBorders>
              <w:top w:val="nil"/>
              <w:left w:val="nil"/>
              <w:bottom w:val="single" w:sz="4" w:space="0" w:color="auto"/>
              <w:right w:val="single" w:sz="4" w:space="0" w:color="auto"/>
            </w:tcBorders>
            <w:shd w:val="clear" w:color="auto" w:fill="auto"/>
            <w:noWrap/>
            <w:vAlign w:val="center"/>
          </w:tcPr>
          <w:p w14:paraId="4A8F7C87" w14:textId="474681D0" w:rsidR="00846EC2" w:rsidRPr="00D40239" w:rsidRDefault="00846EC2"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hideMark/>
          </w:tcPr>
          <w:p w14:paraId="7DA914D1" w14:textId="393DF6D9"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470</w:t>
            </w:r>
          </w:p>
        </w:tc>
        <w:tc>
          <w:tcPr>
            <w:tcW w:w="274" w:type="pct"/>
            <w:tcBorders>
              <w:top w:val="nil"/>
              <w:left w:val="nil"/>
              <w:bottom w:val="single" w:sz="4" w:space="0" w:color="auto"/>
              <w:right w:val="single" w:sz="4" w:space="0" w:color="auto"/>
            </w:tcBorders>
            <w:shd w:val="clear" w:color="auto" w:fill="auto"/>
            <w:noWrap/>
            <w:vAlign w:val="center"/>
            <w:hideMark/>
          </w:tcPr>
          <w:p w14:paraId="5A908498" w14:textId="1933A539"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5834</w:t>
            </w:r>
          </w:p>
        </w:tc>
        <w:tc>
          <w:tcPr>
            <w:tcW w:w="273" w:type="pct"/>
            <w:tcBorders>
              <w:top w:val="nil"/>
              <w:left w:val="nil"/>
              <w:bottom w:val="single" w:sz="4" w:space="0" w:color="auto"/>
              <w:right w:val="single" w:sz="4" w:space="0" w:color="auto"/>
            </w:tcBorders>
            <w:shd w:val="clear" w:color="auto" w:fill="auto"/>
            <w:noWrap/>
            <w:vAlign w:val="center"/>
            <w:hideMark/>
          </w:tcPr>
          <w:p w14:paraId="753B9FFF" w14:textId="6D562CA2"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6029</w:t>
            </w:r>
          </w:p>
        </w:tc>
        <w:tc>
          <w:tcPr>
            <w:tcW w:w="218" w:type="pct"/>
            <w:tcBorders>
              <w:top w:val="nil"/>
              <w:left w:val="nil"/>
              <w:bottom w:val="single" w:sz="4" w:space="0" w:color="auto"/>
              <w:right w:val="single" w:sz="4" w:space="0" w:color="auto"/>
            </w:tcBorders>
            <w:shd w:val="clear" w:color="auto" w:fill="auto"/>
            <w:noWrap/>
            <w:vAlign w:val="center"/>
          </w:tcPr>
          <w:p w14:paraId="0B75DF3E" w14:textId="1DFB3425"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6414</w:t>
            </w:r>
          </w:p>
        </w:tc>
        <w:tc>
          <w:tcPr>
            <w:tcW w:w="218" w:type="pct"/>
            <w:tcBorders>
              <w:top w:val="nil"/>
              <w:left w:val="nil"/>
              <w:bottom w:val="single" w:sz="4" w:space="0" w:color="auto"/>
              <w:right w:val="single" w:sz="4" w:space="0" w:color="auto"/>
            </w:tcBorders>
            <w:shd w:val="clear" w:color="auto" w:fill="auto"/>
            <w:noWrap/>
            <w:vAlign w:val="center"/>
          </w:tcPr>
          <w:p w14:paraId="44020CB0" w14:textId="490C3B7E"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6450</w:t>
            </w:r>
          </w:p>
        </w:tc>
        <w:tc>
          <w:tcPr>
            <w:tcW w:w="218" w:type="pct"/>
            <w:tcBorders>
              <w:top w:val="nil"/>
              <w:left w:val="nil"/>
              <w:bottom w:val="single" w:sz="4" w:space="0" w:color="auto"/>
              <w:right w:val="single" w:sz="4" w:space="0" w:color="auto"/>
            </w:tcBorders>
            <w:shd w:val="clear" w:color="auto" w:fill="auto"/>
            <w:noWrap/>
            <w:vAlign w:val="center"/>
          </w:tcPr>
          <w:p w14:paraId="1DAD9A80" w14:textId="7553389F"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6294</w:t>
            </w:r>
          </w:p>
        </w:tc>
        <w:tc>
          <w:tcPr>
            <w:tcW w:w="273" w:type="pct"/>
            <w:tcBorders>
              <w:top w:val="nil"/>
              <w:left w:val="nil"/>
              <w:bottom w:val="single" w:sz="4" w:space="0" w:color="auto"/>
              <w:right w:val="single" w:sz="4" w:space="0" w:color="auto"/>
            </w:tcBorders>
            <w:shd w:val="clear" w:color="auto" w:fill="auto"/>
            <w:noWrap/>
            <w:vAlign w:val="center"/>
          </w:tcPr>
          <w:p w14:paraId="280CDCD2" w14:textId="14B02287"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5480</w:t>
            </w:r>
          </w:p>
        </w:tc>
        <w:tc>
          <w:tcPr>
            <w:tcW w:w="218" w:type="pct"/>
            <w:tcBorders>
              <w:top w:val="nil"/>
              <w:left w:val="nil"/>
              <w:bottom w:val="single" w:sz="4" w:space="0" w:color="auto"/>
              <w:right w:val="single" w:sz="4" w:space="0" w:color="auto"/>
            </w:tcBorders>
            <w:shd w:val="clear" w:color="auto" w:fill="auto"/>
            <w:noWrap/>
            <w:vAlign w:val="center"/>
          </w:tcPr>
          <w:p w14:paraId="1080203C" w14:textId="442944C6"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4666</w:t>
            </w:r>
          </w:p>
        </w:tc>
        <w:tc>
          <w:tcPr>
            <w:tcW w:w="275" w:type="pct"/>
            <w:tcBorders>
              <w:top w:val="nil"/>
              <w:left w:val="nil"/>
              <w:bottom w:val="single" w:sz="4" w:space="0" w:color="auto"/>
              <w:right w:val="single" w:sz="4" w:space="0" w:color="auto"/>
            </w:tcBorders>
            <w:shd w:val="clear" w:color="auto" w:fill="auto"/>
            <w:noWrap/>
            <w:vAlign w:val="center"/>
          </w:tcPr>
          <w:p w14:paraId="1E615D43" w14:textId="7E402E73"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3566</w:t>
            </w:r>
          </w:p>
        </w:tc>
        <w:tc>
          <w:tcPr>
            <w:tcW w:w="273" w:type="pct"/>
            <w:tcBorders>
              <w:top w:val="nil"/>
              <w:left w:val="nil"/>
              <w:bottom w:val="single" w:sz="4" w:space="0" w:color="auto"/>
              <w:right w:val="single" w:sz="4" w:space="0" w:color="auto"/>
            </w:tcBorders>
            <w:shd w:val="clear" w:color="auto" w:fill="auto"/>
            <w:noWrap/>
            <w:vAlign w:val="center"/>
          </w:tcPr>
          <w:p w14:paraId="1843A76A" w14:textId="7F42FFC3"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2043</w:t>
            </w:r>
          </w:p>
        </w:tc>
        <w:tc>
          <w:tcPr>
            <w:tcW w:w="273" w:type="pct"/>
            <w:tcBorders>
              <w:top w:val="nil"/>
              <w:left w:val="nil"/>
              <w:bottom w:val="single" w:sz="4" w:space="0" w:color="auto"/>
              <w:right w:val="single" w:sz="4" w:space="0" w:color="auto"/>
            </w:tcBorders>
            <w:shd w:val="clear" w:color="auto" w:fill="auto"/>
            <w:noWrap/>
            <w:vAlign w:val="center"/>
          </w:tcPr>
          <w:p w14:paraId="767A3956" w14:textId="485AE422"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921</w:t>
            </w:r>
          </w:p>
        </w:tc>
        <w:tc>
          <w:tcPr>
            <w:tcW w:w="275" w:type="pct"/>
            <w:tcBorders>
              <w:top w:val="single" w:sz="4" w:space="0" w:color="auto"/>
              <w:left w:val="nil"/>
              <w:bottom w:val="single" w:sz="4" w:space="0" w:color="auto"/>
              <w:right w:val="single" w:sz="4" w:space="0" w:color="auto"/>
            </w:tcBorders>
            <w:vAlign w:val="center"/>
          </w:tcPr>
          <w:p w14:paraId="49F6A269" w14:textId="61EED5C6"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255</w:t>
            </w:r>
          </w:p>
        </w:tc>
        <w:tc>
          <w:tcPr>
            <w:tcW w:w="273" w:type="pct"/>
            <w:tcBorders>
              <w:top w:val="single" w:sz="4" w:space="0" w:color="auto"/>
              <w:left w:val="single" w:sz="4" w:space="0" w:color="auto"/>
              <w:bottom w:val="single" w:sz="4" w:space="0" w:color="auto"/>
              <w:right w:val="single" w:sz="4" w:space="0" w:color="auto"/>
            </w:tcBorders>
            <w:vAlign w:val="center"/>
          </w:tcPr>
          <w:p w14:paraId="15C16DE3" w14:textId="228BFC93"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83</w:t>
            </w:r>
          </w:p>
        </w:tc>
        <w:tc>
          <w:tcPr>
            <w:tcW w:w="218" w:type="pct"/>
            <w:tcBorders>
              <w:top w:val="single" w:sz="4" w:space="0" w:color="auto"/>
              <w:left w:val="single" w:sz="4" w:space="0" w:color="auto"/>
              <w:bottom w:val="single" w:sz="4" w:space="0" w:color="auto"/>
              <w:right w:val="single" w:sz="4" w:space="0" w:color="auto"/>
            </w:tcBorders>
            <w:vAlign w:val="center"/>
          </w:tcPr>
          <w:p w14:paraId="38A16BD7" w14:textId="6F655F9A"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38</w:t>
            </w:r>
          </w:p>
        </w:tc>
        <w:tc>
          <w:tcPr>
            <w:tcW w:w="206" w:type="pct"/>
            <w:tcBorders>
              <w:top w:val="single" w:sz="4" w:space="0" w:color="auto"/>
              <w:left w:val="single" w:sz="4" w:space="0" w:color="auto"/>
              <w:bottom w:val="single" w:sz="4" w:space="0" w:color="auto"/>
              <w:right w:val="single" w:sz="4" w:space="0" w:color="auto"/>
            </w:tcBorders>
            <w:vAlign w:val="center"/>
          </w:tcPr>
          <w:p w14:paraId="23B2F0CC" w14:textId="1F118CBC"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8</w:t>
            </w:r>
          </w:p>
        </w:tc>
        <w:tc>
          <w:tcPr>
            <w:tcW w:w="301" w:type="pct"/>
            <w:tcBorders>
              <w:top w:val="nil"/>
              <w:left w:val="nil"/>
              <w:bottom w:val="single" w:sz="4" w:space="0" w:color="auto"/>
              <w:right w:val="single" w:sz="4" w:space="0" w:color="auto"/>
            </w:tcBorders>
            <w:shd w:val="clear" w:color="auto" w:fill="auto"/>
            <w:noWrap/>
            <w:vAlign w:val="center"/>
            <w:hideMark/>
          </w:tcPr>
          <w:p w14:paraId="78A6373A" w14:textId="5E78B179"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48551</w:t>
            </w:r>
          </w:p>
        </w:tc>
      </w:tr>
      <w:tr w:rsidR="00846EC2" w:rsidRPr="00D40239" w14:paraId="0B57C9FB" w14:textId="77777777" w:rsidTr="00846EC2">
        <w:trPr>
          <w:trHeight w:val="340"/>
          <w:jc w:val="center"/>
        </w:trPr>
        <w:tc>
          <w:tcPr>
            <w:tcW w:w="174" w:type="pct"/>
            <w:tcBorders>
              <w:top w:val="nil"/>
              <w:left w:val="single" w:sz="4" w:space="0" w:color="auto"/>
              <w:bottom w:val="single" w:sz="4" w:space="0" w:color="auto"/>
              <w:right w:val="single" w:sz="4" w:space="0" w:color="auto"/>
            </w:tcBorders>
            <w:shd w:val="clear" w:color="auto" w:fill="auto"/>
            <w:noWrap/>
            <w:vAlign w:val="center"/>
            <w:hideMark/>
          </w:tcPr>
          <w:p w14:paraId="24D9457D"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9</w:t>
            </w:r>
          </w:p>
        </w:tc>
        <w:tc>
          <w:tcPr>
            <w:tcW w:w="576" w:type="pct"/>
            <w:tcBorders>
              <w:top w:val="nil"/>
              <w:left w:val="nil"/>
              <w:bottom w:val="single" w:sz="4" w:space="0" w:color="auto"/>
              <w:right w:val="single" w:sz="4" w:space="0" w:color="auto"/>
            </w:tcBorders>
            <w:shd w:val="clear" w:color="auto" w:fill="auto"/>
            <w:noWrap/>
            <w:vAlign w:val="center"/>
            <w:hideMark/>
          </w:tcPr>
          <w:p w14:paraId="3E4B90E5"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利润总额</w:t>
            </w:r>
          </w:p>
        </w:tc>
        <w:tc>
          <w:tcPr>
            <w:tcW w:w="244" w:type="pct"/>
            <w:tcBorders>
              <w:top w:val="nil"/>
              <w:left w:val="nil"/>
              <w:bottom w:val="single" w:sz="4" w:space="0" w:color="auto"/>
              <w:right w:val="single" w:sz="4" w:space="0" w:color="auto"/>
            </w:tcBorders>
            <w:shd w:val="clear" w:color="auto" w:fill="auto"/>
            <w:noWrap/>
            <w:vAlign w:val="center"/>
          </w:tcPr>
          <w:p w14:paraId="74027BC7" w14:textId="76EEE0FA" w:rsidR="00846EC2" w:rsidRPr="00D40239" w:rsidRDefault="00846EC2"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hideMark/>
          </w:tcPr>
          <w:p w14:paraId="1E53724A" w14:textId="79D3558F"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-470</w:t>
            </w:r>
          </w:p>
        </w:tc>
        <w:tc>
          <w:tcPr>
            <w:tcW w:w="274" w:type="pct"/>
            <w:tcBorders>
              <w:top w:val="nil"/>
              <w:left w:val="nil"/>
              <w:bottom w:val="single" w:sz="4" w:space="0" w:color="auto"/>
              <w:right w:val="single" w:sz="4" w:space="0" w:color="auto"/>
            </w:tcBorders>
            <w:shd w:val="clear" w:color="auto" w:fill="auto"/>
            <w:noWrap/>
            <w:vAlign w:val="center"/>
            <w:hideMark/>
          </w:tcPr>
          <w:p w14:paraId="02543111" w14:textId="3B864915"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-5867</w:t>
            </w:r>
          </w:p>
        </w:tc>
        <w:tc>
          <w:tcPr>
            <w:tcW w:w="273" w:type="pct"/>
            <w:tcBorders>
              <w:top w:val="nil"/>
              <w:left w:val="nil"/>
              <w:bottom w:val="single" w:sz="4" w:space="0" w:color="auto"/>
              <w:right w:val="single" w:sz="4" w:space="0" w:color="auto"/>
            </w:tcBorders>
            <w:shd w:val="clear" w:color="auto" w:fill="auto"/>
            <w:noWrap/>
            <w:vAlign w:val="center"/>
            <w:hideMark/>
          </w:tcPr>
          <w:p w14:paraId="72EB04C8" w14:textId="29AE8751"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-6138</w:t>
            </w:r>
          </w:p>
        </w:tc>
        <w:tc>
          <w:tcPr>
            <w:tcW w:w="218" w:type="pct"/>
            <w:tcBorders>
              <w:top w:val="nil"/>
              <w:left w:val="nil"/>
              <w:bottom w:val="single" w:sz="4" w:space="0" w:color="auto"/>
              <w:right w:val="single" w:sz="4" w:space="0" w:color="auto"/>
            </w:tcBorders>
            <w:shd w:val="clear" w:color="auto" w:fill="auto"/>
            <w:noWrap/>
            <w:vAlign w:val="center"/>
            <w:hideMark/>
          </w:tcPr>
          <w:p w14:paraId="3D2361EC" w14:textId="2789FC5A"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-6582</w:t>
            </w:r>
          </w:p>
        </w:tc>
        <w:tc>
          <w:tcPr>
            <w:tcW w:w="218" w:type="pct"/>
            <w:tcBorders>
              <w:top w:val="nil"/>
              <w:left w:val="nil"/>
              <w:bottom w:val="single" w:sz="4" w:space="0" w:color="auto"/>
              <w:right w:val="single" w:sz="4" w:space="0" w:color="auto"/>
            </w:tcBorders>
            <w:shd w:val="clear" w:color="auto" w:fill="auto"/>
            <w:noWrap/>
            <w:vAlign w:val="center"/>
            <w:hideMark/>
          </w:tcPr>
          <w:p w14:paraId="11706F7B" w14:textId="73A2DEEF"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-3388</w:t>
            </w:r>
          </w:p>
        </w:tc>
        <w:tc>
          <w:tcPr>
            <w:tcW w:w="218" w:type="pct"/>
            <w:tcBorders>
              <w:top w:val="nil"/>
              <w:left w:val="nil"/>
              <w:bottom w:val="single" w:sz="4" w:space="0" w:color="auto"/>
              <w:right w:val="single" w:sz="4" w:space="0" w:color="auto"/>
            </w:tcBorders>
            <w:shd w:val="clear" w:color="auto" w:fill="auto"/>
            <w:noWrap/>
            <w:vAlign w:val="center"/>
            <w:hideMark/>
          </w:tcPr>
          <w:p w14:paraId="217185DF" w14:textId="4A4F79A6"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-33</w:t>
            </w:r>
          </w:p>
        </w:tc>
        <w:tc>
          <w:tcPr>
            <w:tcW w:w="273" w:type="pct"/>
            <w:tcBorders>
              <w:top w:val="nil"/>
              <w:left w:val="nil"/>
              <w:bottom w:val="single" w:sz="4" w:space="0" w:color="auto"/>
              <w:right w:val="single" w:sz="4" w:space="0" w:color="auto"/>
            </w:tcBorders>
            <w:shd w:val="clear" w:color="auto" w:fill="auto"/>
            <w:noWrap/>
            <w:vAlign w:val="center"/>
            <w:hideMark/>
          </w:tcPr>
          <w:p w14:paraId="1B297ABB" w14:textId="65FAB4B0"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774</w:t>
            </w:r>
          </w:p>
        </w:tc>
        <w:tc>
          <w:tcPr>
            <w:tcW w:w="218" w:type="pct"/>
            <w:tcBorders>
              <w:top w:val="nil"/>
              <w:left w:val="nil"/>
              <w:bottom w:val="single" w:sz="4" w:space="0" w:color="auto"/>
              <w:right w:val="single" w:sz="4" w:space="0" w:color="auto"/>
            </w:tcBorders>
            <w:shd w:val="clear" w:color="auto" w:fill="auto"/>
            <w:noWrap/>
            <w:vAlign w:val="center"/>
            <w:hideMark/>
          </w:tcPr>
          <w:p w14:paraId="21560CAF" w14:textId="5DF2A68B"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2035</w:t>
            </w:r>
          </w:p>
        </w:tc>
        <w:tc>
          <w:tcPr>
            <w:tcW w:w="275" w:type="pct"/>
            <w:tcBorders>
              <w:top w:val="nil"/>
              <w:left w:val="nil"/>
              <w:bottom w:val="single" w:sz="4" w:space="0" w:color="auto"/>
              <w:right w:val="single" w:sz="4" w:space="0" w:color="auto"/>
            </w:tcBorders>
            <w:shd w:val="clear" w:color="auto" w:fill="auto"/>
            <w:noWrap/>
            <w:vAlign w:val="center"/>
            <w:hideMark/>
          </w:tcPr>
          <w:p w14:paraId="7D316A9D" w14:textId="40EBFDD5"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3591</w:t>
            </w:r>
          </w:p>
        </w:tc>
        <w:tc>
          <w:tcPr>
            <w:tcW w:w="273" w:type="pct"/>
            <w:tcBorders>
              <w:top w:val="nil"/>
              <w:left w:val="nil"/>
              <w:bottom w:val="single" w:sz="4" w:space="0" w:color="auto"/>
              <w:right w:val="single" w:sz="4" w:space="0" w:color="auto"/>
            </w:tcBorders>
            <w:shd w:val="clear" w:color="auto" w:fill="auto"/>
            <w:noWrap/>
            <w:vAlign w:val="center"/>
            <w:hideMark/>
          </w:tcPr>
          <w:p w14:paraId="6BD40F74" w14:textId="3875BE54"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5390</w:t>
            </w:r>
          </w:p>
        </w:tc>
        <w:tc>
          <w:tcPr>
            <w:tcW w:w="273" w:type="pct"/>
            <w:tcBorders>
              <w:top w:val="nil"/>
              <w:left w:val="nil"/>
              <w:bottom w:val="single" w:sz="4" w:space="0" w:color="auto"/>
              <w:right w:val="single" w:sz="4" w:space="0" w:color="auto"/>
            </w:tcBorders>
            <w:shd w:val="clear" w:color="auto" w:fill="auto"/>
            <w:noWrap/>
            <w:vAlign w:val="center"/>
          </w:tcPr>
          <w:p w14:paraId="4161D019" w14:textId="18137037"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5437</w:t>
            </w:r>
          </w:p>
        </w:tc>
        <w:tc>
          <w:tcPr>
            <w:tcW w:w="275" w:type="pct"/>
            <w:tcBorders>
              <w:top w:val="single" w:sz="4" w:space="0" w:color="auto"/>
              <w:left w:val="nil"/>
              <w:bottom w:val="single" w:sz="4" w:space="0" w:color="auto"/>
              <w:right w:val="single" w:sz="4" w:space="0" w:color="auto"/>
            </w:tcBorders>
            <w:vAlign w:val="center"/>
          </w:tcPr>
          <w:p w14:paraId="60792BC4" w14:textId="3CC49D56"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2473</w:t>
            </w:r>
          </w:p>
        </w:tc>
        <w:tc>
          <w:tcPr>
            <w:tcW w:w="273" w:type="pct"/>
            <w:tcBorders>
              <w:top w:val="single" w:sz="4" w:space="0" w:color="auto"/>
              <w:left w:val="single" w:sz="4" w:space="0" w:color="auto"/>
              <w:bottom w:val="single" w:sz="4" w:space="0" w:color="auto"/>
              <w:right w:val="single" w:sz="4" w:space="0" w:color="auto"/>
            </w:tcBorders>
            <w:vAlign w:val="center"/>
          </w:tcPr>
          <w:p w14:paraId="2390F27E" w14:textId="5DD4BE4A"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165</w:t>
            </w:r>
          </w:p>
        </w:tc>
        <w:tc>
          <w:tcPr>
            <w:tcW w:w="218" w:type="pct"/>
            <w:tcBorders>
              <w:top w:val="single" w:sz="4" w:space="0" w:color="auto"/>
              <w:left w:val="single" w:sz="4" w:space="0" w:color="auto"/>
              <w:bottom w:val="single" w:sz="4" w:space="0" w:color="auto"/>
              <w:right w:val="single" w:sz="4" w:space="0" w:color="auto"/>
            </w:tcBorders>
            <w:vAlign w:val="center"/>
          </w:tcPr>
          <w:p w14:paraId="0AB3A205" w14:textId="4594F2C0"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209</w:t>
            </w:r>
          </w:p>
        </w:tc>
        <w:tc>
          <w:tcPr>
            <w:tcW w:w="206" w:type="pct"/>
            <w:tcBorders>
              <w:top w:val="single" w:sz="4" w:space="0" w:color="auto"/>
              <w:left w:val="single" w:sz="4" w:space="0" w:color="auto"/>
              <w:bottom w:val="single" w:sz="4" w:space="0" w:color="auto"/>
              <w:right w:val="single" w:sz="4" w:space="0" w:color="auto"/>
            </w:tcBorders>
            <w:vAlign w:val="center"/>
          </w:tcPr>
          <w:p w14:paraId="285B4FEB" w14:textId="7E318FBB"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10263</w:t>
            </w:r>
          </w:p>
        </w:tc>
        <w:tc>
          <w:tcPr>
            <w:tcW w:w="301" w:type="pct"/>
            <w:tcBorders>
              <w:top w:val="nil"/>
              <w:left w:val="nil"/>
              <w:bottom w:val="single" w:sz="4" w:space="0" w:color="auto"/>
              <w:right w:val="single" w:sz="4" w:space="0" w:color="auto"/>
            </w:tcBorders>
            <w:shd w:val="clear" w:color="auto" w:fill="auto"/>
            <w:noWrap/>
            <w:vAlign w:val="center"/>
            <w:hideMark/>
          </w:tcPr>
          <w:p w14:paraId="409ABD2A" w14:textId="573D5815"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7859</w:t>
            </w:r>
          </w:p>
        </w:tc>
      </w:tr>
      <w:tr w:rsidR="00846EC2" w:rsidRPr="00D40239" w14:paraId="231DB28A" w14:textId="77777777" w:rsidTr="00846EC2">
        <w:trPr>
          <w:trHeight w:val="340"/>
          <w:jc w:val="center"/>
        </w:trPr>
        <w:tc>
          <w:tcPr>
            <w:tcW w:w="174" w:type="pct"/>
            <w:tcBorders>
              <w:top w:val="nil"/>
              <w:left w:val="single" w:sz="4" w:space="0" w:color="auto"/>
              <w:bottom w:val="single" w:sz="4" w:space="0" w:color="auto"/>
              <w:right w:val="single" w:sz="4" w:space="0" w:color="auto"/>
            </w:tcBorders>
            <w:shd w:val="clear" w:color="auto" w:fill="auto"/>
            <w:noWrap/>
            <w:vAlign w:val="center"/>
            <w:hideMark/>
          </w:tcPr>
          <w:p w14:paraId="41EC4DDE"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10</w:t>
            </w:r>
          </w:p>
        </w:tc>
        <w:tc>
          <w:tcPr>
            <w:tcW w:w="576" w:type="pct"/>
            <w:tcBorders>
              <w:top w:val="nil"/>
              <w:left w:val="nil"/>
              <w:bottom w:val="single" w:sz="4" w:space="0" w:color="auto"/>
              <w:right w:val="single" w:sz="4" w:space="0" w:color="auto"/>
            </w:tcBorders>
            <w:shd w:val="clear" w:color="auto" w:fill="auto"/>
            <w:noWrap/>
            <w:vAlign w:val="center"/>
            <w:hideMark/>
          </w:tcPr>
          <w:p w14:paraId="21741385"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减：所得税</w:t>
            </w:r>
          </w:p>
        </w:tc>
        <w:tc>
          <w:tcPr>
            <w:tcW w:w="244" w:type="pct"/>
            <w:tcBorders>
              <w:top w:val="nil"/>
              <w:left w:val="nil"/>
              <w:bottom w:val="single" w:sz="4" w:space="0" w:color="auto"/>
              <w:right w:val="single" w:sz="4" w:space="0" w:color="auto"/>
            </w:tcBorders>
            <w:shd w:val="clear" w:color="auto" w:fill="auto"/>
            <w:noWrap/>
            <w:vAlign w:val="center"/>
          </w:tcPr>
          <w:p w14:paraId="7D1D8EEF" w14:textId="77777777" w:rsidR="00846EC2" w:rsidRPr="00D40239" w:rsidRDefault="00846EC2"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hideMark/>
          </w:tcPr>
          <w:p w14:paraId="72015ACF" w14:textId="77777777" w:rsidR="00846EC2" w:rsidRPr="00D40239" w:rsidRDefault="00846EC2" w:rsidP="007B3231">
            <w:pPr>
              <w:jc w:val="center"/>
              <w:rPr>
                <w:rFonts w:ascii="华文细黑" w:eastAsia="华文细黑" w:hAnsi="华文细黑"/>
                <w:color w:val="000000"/>
                <w:sz w:val="13"/>
                <w:szCs w:val="13"/>
              </w:rPr>
            </w:pPr>
          </w:p>
        </w:tc>
        <w:tc>
          <w:tcPr>
            <w:tcW w:w="274" w:type="pct"/>
            <w:tcBorders>
              <w:top w:val="nil"/>
              <w:left w:val="nil"/>
              <w:bottom w:val="single" w:sz="4" w:space="0" w:color="auto"/>
              <w:right w:val="single" w:sz="4" w:space="0" w:color="auto"/>
            </w:tcBorders>
            <w:shd w:val="clear" w:color="auto" w:fill="auto"/>
            <w:noWrap/>
            <w:vAlign w:val="center"/>
            <w:hideMark/>
          </w:tcPr>
          <w:p w14:paraId="3905BE4C" w14:textId="77777777" w:rsidR="00846EC2" w:rsidRPr="00D40239" w:rsidRDefault="00846EC2" w:rsidP="007B3231">
            <w:pPr>
              <w:jc w:val="center"/>
              <w:rPr>
                <w:rFonts w:ascii="华文细黑" w:eastAsia="华文细黑" w:hAnsi="华文细黑"/>
                <w:color w:val="000000"/>
                <w:sz w:val="13"/>
                <w:szCs w:val="13"/>
              </w:rPr>
            </w:pPr>
          </w:p>
        </w:tc>
        <w:tc>
          <w:tcPr>
            <w:tcW w:w="273" w:type="pct"/>
            <w:tcBorders>
              <w:top w:val="nil"/>
              <w:left w:val="nil"/>
              <w:bottom w:val="single" w:sz="4" w:space="0" w:color="auto"/>
              <w:right w:val="single" w:sz="4" w:space="0" w:color="auto"/>
            </w:tcBorders>
            <w:shd w:val="clear" w:color="auto" w:fill="auto"/>
            <w:noWrap/>
            <w:vAlign w:val="center"/>
            <w:hideMark/>
          </w:tcPr>
          <w:p w14:paraId="2C623045" w14:textId="12C44D7E" w:rsidR="00846EC2" w:rsidRPr="00D40239" w:rsidRDefault="00846EC2" w:rsidP="007B3231">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0</w:t>
            </w:r>
          </w:p>
        </w:tc>
        <w:tc>
          <w:tcPr>
            <w:tcW w:w="218" w:type="pct"/>
            <w:tcBorders>
              <w:top w:val="nil"/>
              <w:left w:val="nil"/>
              <w:bottom w:val="single" w:sz="4" w:space="0" w:color="auto"/>
              <w:right w:val="single" w:sz="4" w:space="0" w:color="auto"/>
            </w:tcBorders>
            <w:shd w:val="clear" w:color="auto" w:fill="auto"/>
            <w:noWrap/>
            <w:vAlign w:val="center"/>
            <w:hideMark/>
          </w:tcPr>
          <w:p w14:paraId="4DE2858E" w14:textId="77777777" w:rsidR="00846EC2" w:rsidRPr="00D40239" w:rsidRDefault="00846EC2"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hideMark/>
          </w:tcPr>
          <w:p w14:paraId="062A8529" w14:textId="77777777" w:rsidR="00846EC2" w:rsidRPr="00D40239" w:rsidRDefault="00846EC2"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hideMark/>
          </w:tcPr>
          <w:p w14:paraId="284330F1" w14:textId="77777777" w:rsidR="00846EC2" w:rsidRPr="00D40239" w:rsidRDefault="00846EC2" w:rsidP="007B3231">
            <w:pPr>
              <w:jc w:val="center"/>
              <w:rPr>
                <w:rFonts w:ascii="华文细黑" w:eastAsia="华文细黑" w:hAnsi="华文细黑"/>
                <w:color w:val="000000"/>
                <w:sz w:val="13"/>
                <w:szCs w:val="13"/>
              </w:rPr>
            </w:pPr>
          </w:p>
        </w:tc>
        <w:tc>
          <w:tcPr>
            <w:tcW w:w="273" w:type="pct"/>
            <w:tcBorders>
              <w:top w:val="nil"/>
              <w:left w:val="nil"/>
              <w:bottom w:val="single" w:sz="4" w:space="0" w:color="auto"/>
              <w:right w:val="single" w:sz="4" w:space="0" w:color="auto"/>
            </w:tcBorders>
            <w:shd w:val="clear" w:color="auto" w:fill="auto"/>
            <w:noWrap/>
            <w:vAlign w:val="center"/>
            <w:hideMark/>
          </w:tcPr>
          <w:p w14:paraId="34B9461F" w14:textId="456CD378" w:rsidR="00846EC2" w:rsidRPr="00D40239" w:rsidRDefault="00846EC2" w:rsidP="007B3231">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0</w:t>
            </w:r>
          </w:p>
        </w:tc>
        <w:tc>
          <w:tcPr>
            <w:tcW w:w="218" w:type="pct"/>
            <w:tcBorders>
              <w:top w:val="nil"/>
              <w:left w:val="nil"/>
              <w:bottom w:val="single" w:sz="4" w:space="0" w:color="auto"/>
              <w:right w:val="single" w:sz="4" w:space="0" w:color="auto"/>
            </w:tcBorders>
            <w:shd w:val="clear" w:color="auto" w:fill="auto"/>
            <w:noWrap/>
            <w:vAlign w:val="center"/>
            <w:hideMark/>
          </w:tcPr>
          <w:p w14:paraId="42C3F26C" w14:textId="77777777" w:rsidR="00846EC2" w:rsidRPr="00D40239" w:rsidRDefault="00846EC2" w:rsidP="007B3231">
            <w:pPr>
              <w:jc w:val="center"/>
              <w:rPr>
                <w:rFonts w:ascii="华文细黑" w:eastAsia="华文细黑" w:hAnsi="华文细黑"/>
                <w:color w:val="000000"/>
                <w:sz w:val="13"/>
                <w:szCs w:val="13"/>
              </w:rPr>
            </w:pPr>
          </w:p>
        </w:tc>
        <w:tc>
          <w:tcPr>
            <w:tcW w:w="275" w:type="pct"/>
            <w:tcBorders>
              <w:top w:val="nil"/>
              <w:left w:val="nil"/>
              <w:bottom w:val="single" w:sz="4" w:space="0" w:color="auto"/>
              <w:right w:val="single" w:sz="4" w:space="0" w:color="auto"/>
            </w:tcBorders>
            <w:shd w:val="clear" w:color="auto" w:fill="auto"/>
            <w:noWrap/>
            <w:vAlign w:val="center"/>
            <w:hideMark/>
          </w:tcPr>
          <w:p w14:paraId="7237E6EF" w14:textId="77777777" w:rsidR="00846EC2" w:rsidRPr="00D40239" w:rsidRDefault="00846EC2" w:rsidP="007B3231">
            <w:pPr>
              <w:jc w:val="center"/>
              <w:rPr>
                <w:rFonts w:ascii="华文细黑" w:eastAsia="华文细黑" w:hAnsi="华文细黑"/>
                <w:color w:val="000000"/>
                <w:sz w:val="13"/>
                <w:szCs w:val="13"/>
              </w:rPr>
            </w:pPr>
          </w:p>
        </w:tc>
        <w:tc>
          <w:tcPr>
            <w:tcW w:w="273" w:type="pct"/>
            <w:tcBorders>
              <w:top w:val="nil"/>
              <w:left w:val="nil"/>
              <w:bottom w:val="single" w:sz="4" w:space="0" w:color="auto"/>
              <w:right w:val="single" w:sz="4" w:space="0" w:color="auto"/>
            </w:tcBorders>
            <w:shd w:val="clear" w:color="auto" w:fill="auto"/>
            <w:noWrap/>
            <w:vAlign w:val="center"/>
            <w:hideMark/>
          </w:tcPr>
          <w:p w14:paraId="65A34686" w14:textId="77777777" w:rsidR="00846EC2" w:rsidRPr="00D40239" w:rsidRDefault="00846EC2" w:rsidP="007B3231">
            <w:pPr>
              <w:jc w:val="center"/>
              <w:rPr>
                <w:rFonts w:ascii="华文细黑" w:eastAsia="华文细黑" w:hAnsi="华文细黑"/>
                <w:color w:val="000000"/>
                <w:sz w:val="13"/>
                <w:szCs w:val="13"/>
              </w:rPr>
            </w:pPr>
          </w:p>
        </w:tc>
        <w:tc>
          <w:tcPr>
            <w:tcW w:w="273" w:type="pct"/>
            <w:tcBorders>
              <w:top w:val="nil"/>
              <w:left w:val="nil"/>
              <w:bottom w:val="single" w:sz="4" w:space="0" w:color="auto"/>
              <w:right w:val="single" w:sz="4" w:space="0" w:color="auto"/>
            </w:tcBorders>
            <w:shd w:val="clear" w:color="auto" w:fill="auto"/>
            <w:noWrap/>
            <w:vAlign w:val="center"/>
            <w:hideMark/>
          </w:tcPr>
          <w:p w14:paraId="43D56B81" w14:textId="4F8C46FB" w:rsidR="00846EC2" w:rsidRPr="00D40239" w:rsidRDefault="00846EC2" w:rsidP="007B3231">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0</w:t>
            </w:r>
          </w:p>
        </w:tc>
        <w:tc>
          <w:tcPr>
            <w:tcW w:w="275" w:type="pct"/>
            <w:tcBorders>
              <w:top w:val="single" w:sz="4" w:space="0" w:color="auto"/>
              <w:left w:val="nil"/>
              <w:bottom w:val="single" w:sz="4" w:space="0" w:color="auto"/>
              <w:right w:val="single" w:sz="4" w:space="0" w:color="auto"/>
            </w:tcBorders>
            <w:vAlign w:val="center"/>
          </w:tcPr>
          <w:p w14:paraId="6D8A121F" w14:textId="77777777" w:rsidR="00846EC2" w:rsidRPr="007061B3" w:rsidRDefault="00846EC2" w:rsidP="007B3231">
            <w:pPr>
              <w:jc w:val="center"/>
              <w:rPr>
                <w:rFonts w:ascii="华文细黑" w:eastAsia="华文细黑" w:hAnsi="华文细黑"/>
                <w:color w:val="000000"/>
                <w:sz w:val="13"/>
                <w:szCs w:val="13"/>
              </w:rPr>
            </w:pPr>
          </w:p>
        </w:tc>
        <w:tc>
          <w:tcPr>
            <w:tcW w:w="273" w:type="pct"/>
            <w:tcBorders>
              <w:top w:val="single" w:sz="4" w:space="0" w:color="auto"/>
              <w:left w:val="single" w:sz="4" w:space="0" w:color="auto"/>
              <w:bottom w:val="single" w:sz="4" w:space="0" w:color="auto"/>
              <w:right w:val="single" w:sz="4" w:space="0" w:color="auto"/>
            </w:tcBorders>
            <w:vAlign w:val="center"/>
          </w:tcPr>
          <w:p w14:paraId="64E61C6E" w14:textId="77777777" w:rsidR="00846EC2" w:rsidRPr="007061B3" w:rsidRDefault="00846EC2" w:rsidP="007B3231">
            <w:pPr>
              <w:jc w:val="center"/>
              <w:rPr>
                <w:rFonts w:ascii="华文细黑" w:eastAsia="华文细黑" w:hAnsi="华文细黑"/>
                <w:color w:val="000000"/>
                <w:sz w:val="13"/>
                <w:szCs w:val="13"/>
              </w:rPr>
            </w:pPr>
          </w:p>
        </w:tc>
        <w:tc>
          <w:tcPr>
            <w:tcW w:w="218" w:type="pct"/>
            <w:tcBorders>
              <w:top w:val="single" w:sz="4" w:space="0" w:color="auto"/>
              <w:left w:val="single" w:sz="4" w:space="0" w:color="auto"/>
              <w:bottom w:val="single" w:sz="4" w:space="0" w:color="auto"/>
              <w:right w:val="single" w:sz="4" w:space="0" w:color="auto"/>
            </w:tcBorders>
            <w:vAlign w:val="center"/>
          </w:tcPr>
          <w:p w14:paraId="6ADD9AD3" w14:textId="77777777" w:rsidR="00846EC2" w:rsidRPr="007061B3" w:rsidRDefault="00846EC2" w:rsidP="007B3231">
            <w:pPr>
              <w:jc w:val="center"/>
              <w:rPr>
                <w:rFonts w:ascii="华文细黑" w:eastAsia="华文细黑" w:hAnsi="华文细黑"/>
                <w:color w:val="000000"/>
                <w:sz w:val="13"/>
                <w:szCs w:val="13"/>
              </w:rPr>
            </w:pPr>
          </w:p>
        </w:tc>
        <w:tc>
          <w:tcPr>
            <w:tcW w:w="206" w:type="pct"/>
            <w:tcBorders>
              <w:top w:val="single" w:sz="4" w:space="0" w:color="auto"/>
              <w:left w:val="single" w:sz="4" w:space="0" w:color="auto"/>
              <w:bottom w:val="single" w:sz="4" w:space="0" w:color="auto"/>
              <w:right w:val="single" w:sz="4" w:space="0" w:color="auto"/>
            </w:tcBorders>
            <w:vAlign w:val="center"/>
          </w:tcPr>
          <w:p w14:paraId="52897BF3" w14:textId="55EE3526" w:rsidR="00846EC2" w:rsidRPr="007061B3" w:rsidRDefault="00846EC2" w:rsidP="007B3231">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1965</w:t>
            </w:r>
          </w:p>
        </w:tc>
        <w:tc>
          <w:tcPr>
            <w:tcW w:w="301" w:type="pct"/>
            <w:tcBorders>
              <w:top w:val="nil"/>
              <w:left w:val="nil"/>
              <w:bottom w:val="single" w:sz="4" w:space="0" w:color="auto"/>
              <w:right w:val="single" w:sz="4" w:space="0" w:color="auto"/>
            </w:tcBorders>
            <w:shd w:val="clear" w:color="auto" w:fill="auto"/>
            <w:noWrap/>
            <w:vAlign w:val="center"/>
            <w:hideMark/>
          </w:tcPr>
          <w:p w14:paraId="757EF8DA" w14:textId="6768F166"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1965</w:t>
            </w:r>
          </w:p>
        </w:tc>
      </w:tr>
      <w:tr w:rsidR="00846EC2" w:rsidRPr="00D40239" w14:paraId="1F8C1509" w14:textId="77777777" w:rsidTr="00846EC2">
        <w:trPr>
          <w:trHeight w:val="340"/>
          <w:jc w:val="center"/>
        </w:trPr>
        <w:tc>
          <w:tcPr>
            <w:tcW w:w="174" w:type="pct"/>
            <w:tcBorders>
              <w:top w:val="nil"/>
              <w:left w:val="single" w:sz="4" w:space="0" w:color="auto"/>
              <w:bottom w:val="single" w:sz="4" w:space="0" w:color="auto"/>
              <w:right w:val="single" w:sz="4" w:space="0" w:color="auto"/>
            </w:tcBorders>
            <w:shd w:val="clear" w:color="auto" w:fill="auto"/>
            <w:noWrap/>
            <w:vAlign w:val="center"/>
            <w:hideMark/>
          </w:tcPr>
          <w:p w14:paraId="45572ED3"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11</w:t>
            </w:r>
          </w:p>
        </w:tc>
        <w:tc>
          <w:tcPr>
            <w:tcW w:w="576" w:type="pct"/>
            <w:tcBorders>
              <w:top w:val="nil"/>
              <w:left w:val="nil"/>
              <w:bottom w:val="single" w:sz="4" w:space="0" w:color="auto"/>
              <w:right w:val="single" w:sz="4" w:space="0" w:color="auto"/>
            </w:tcBorders>
            <w:shd w:val="clear" w:color="auto" w:fill="auto"/>
            <w:noWrap/>
            <w:vAlign w:val="center"/>
            <w:hideMark/>
          </w:tcPr>
          <w:p w14:paraId="3CAC3490"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净利润</w:t>
            </w:r>
          </w:p>
        </w:tc>
        <w:tc>
          <w:tcPr>
            <w:tcW w:w="244" w:type="pct"/>
            <w:tcBorders>
              <w:top w:val="nil"/>
              <w:left w:val="nil"/>
              <w:bottom w:val="single" w:sz="4" w:space="0" w:color="auto"/>
              <w:right w:val="single" w:sz="4" w:space="0" w:color="auto"/>
            </w:tcBorders>
            <w:shd w:val="clear" w:color="auto" w:fill="auto"/>
            <w:noWrap/>
            <w:vAlign w:val="center"/>
          </w:tcPr>
          <w:p w14:paraId="35693EF9" w14:textId="4539BD8C" w:rsidR="00846EC2" w:rsidRPr="00D40239" w:rsidRDefault="00846EC2"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hideMark/>
          </w:tcPr>
          <w:p w14:paraId="21A194F3" w14:textId="54D695ED"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-470</w:t>
            </w:r>
          </w:p>
        </w:tc>
        <w:tc>
          <w:tcPr>
            <w:tcW w:w="274" w:type="pct"/>
            <w:tcBorders>
              <w:top w:val="nil"/>
              <w:left w:val="nil"/>
              <w:bottom w:val="single" w:sz="4" w:space="0" w:color="auto"/>
              <w:right w:val="single" w:sz="4" w:space="0" w:color="auto"/>
            </w:tcBorders>
            <w:shd w:val="clear" w:color="auto" w:fill="auto"/>
            <w:noWrap/>
            <w:vAlign w:val="center"/>
            <w:hideMark/>
          </w:tcPr>
          <w:p w14:paraId="4EDBF47C" w14:textId="47429A23"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-5867</w:t>
            </w:r>
          </w:p>
        </w:tc>
        <w:tc>
          <w:tcPr>
            <w:tcW w:w="273" w:type="pct"/>
            <w:tcBorders>
              <w:top w:val="nil"/>
              <w:left w:val="nil"/>
              <w:bottom w:val="single" w:sz="4" w:space="0" w:color="auto"/>
              <w:right w:val="single" w:sz="4" w:space="0" w:color="auto"/>
            </w:tcBorders>
            <w:shd w:val="clear" w:color="auto" w:fill="auto"/>
            <w:noWrap/>
            <w:vAlign w:val="center"/>
            <w:hideMark/>
          </w:tcPr>
          <w:p w14:paraId="673F1A74" w14:textId="611FFFEA"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-6138</w:t>
            </w:r>
          </w:p>
        </w:tc>
        <w:tc>
          <w:tcPr>
            <w:tcW w:w="218" w:type="pct"/>
            <w:tcBorders>
              <w:top w:val="nil"/>
              <w:left w:val="nil"/>
              <w:bottom w:val="single" w:sz="4" w:space="0" w:color="auto"/>
              <w:right w:val="single" w:sz="4" w:space="0" w:color="auto"/>
            </w:tcBorders>
            <w:shd w:val="clear" w:color="auto" w:fill="auto"/>
            <w:noWrap/>
            <w:vAlign w:val="center"/>
            <w:hideMark/>
          </w:tcPr>
          <w:p w14:paraId="7AE6B312" w14:textId="23A98DA0"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-6582</w:t>
            </w:r>
          </w:p>
        </w:tc>
        <w:tc>
          <w:tcPr>
            <w:tcW w:w="218" w:type="pct"/>
            <w:tcBorders>
              <w:top w:val="nil"/>
              <w:left w:val="nil"/>
              <w:bottom w:val="single" w:sz="4" w:space="0" w:color="auto"/>
              <w:right w:val="single" w:sz="4" w:space="0" w:color="auto"/>
            </w:tcBorders>
            <w:shd w:val="clear" w:color="auto" w:fill="auto"/>
            <w:noWrap/>
            <w:vAlign w:val="center"/>
            <w:hideMark/>
          </w:tcPr>
          <w:p w14:paraId="7F70BF0F" w14:textId="3AAAEFE4"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-3388</w:t>
            </w:r>
          </w:p>
        </w:tc>
        <w:tc>
          <w:tcPr>
            <w:tcW w:w="218" w:type="pct"/>
            <w:tcBorders>
              <w:top w:val="nil"/>
              <w:left w:val="nil"/>
              <w:bottom w:val="single" w:sz="4" w:space="0" w:color="auto"/>
              <w:right w:val="single" w:sz="4" w:space="0" w:color="auto"/>
            </w:tcBorders>
            <w:shd w:val="clear" w:color="auto" w:fill="auto"/>
            <w:noWrap/>
            <w:vAlign w:val="center"/>
            <w:hideMark/>
          </w:tcPr>
          <w:p w14:paraId="235E9684" w14:textId="4AC1E395"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-33</w:t>
            </w:r>
          </w:p>
        </w:tc>
        <w:tc>
          <w:tcPr>
            <w:tcW w:w="273" w:type="pct"/>
            <w:tcBorders>
              <w:top w:val="nil"/>
              <w:left w:val="nil"/>
              <w:bottom w:val="single" w:sz="4" w:space="0" w:color="auto"/>
              <w:right w:val="single" w:sz="4" w:space="0" w:color="auto"/>
            </w:tcBorders>
            <w:shd w:val="clear" w:color="auto" w:fill="auto"/>
            <w:noWrap/>
            <w:vAlign w:val="center"/>
            <w:hideMark/>
          </w:tcPr>
          <w:p w14:paraId="7EC1075D" w14:textId="0B44983C"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774</w:t>
            </w:r>
          </w:p>
        </w:tc>
        <w:tc>
          <w:tcPr>
            <w:tcW w:w="218" w:type="pct"/>
            <w:tcBorders>
              <w:top w:val="nil"/>
              <w:left w:val="nil"/>
              <w:bottom w:val="single" w:sz="4" w:space="0" w:color="auto"/>
              <w:right w:val="single" w:sz="4" w:space="0" w:color="auto"/>
            </w:tcBorders>
            <w:shd w:val="clear" w:color="auto" w:fill="auto"/>
            <w:noWrap/>
            <w:vAlign w:val="center"/>
            <w:hideMark/>
          </w:tcPr>
          <w:p w14:paraId="4E446A94" w14:textId="6190E5C0"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2035</w:t>
            </w:r>
          </w:p>
        </w:tc>
        <w:tc>
          <w:tcPr>
            <w:tcW w:w="275" w:type="pct"/>
            <w:tcBorders>
              <w:top w:val="nil"/>
              <w:left w:val="nil"/>
              <w:bottom w:val="single" w:sz="4" w:space="0" w:color="auto"/>
              <w:right w:val="single" w:sz="4" w:space="0" w:color="auto"/>
            </w:tcBorders>
            <w:shd w:val="clear" w:color="auto" w:fill="auto"/>
            <w:noWrap/>
            <w:vAlign w:val="center"/>
            <w:hideMark/>
          </w:tcPr>
          <w:p w14:paraId="31B989E8" w14:textId="0ECADA2F"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3591</w:t>
            </w:r>
          </w:p>
        </w:tc>
        <w:tc>
          <w:tcPr>
            <w:tcW w:w="273" w:type="pct"/>
            <w:tcBorders>
              <w:top w:val="nil"/>
              <w:left w:val="nil"/>
              <w:bottom w:val="single" w:sz="4" w:space="0" w:color="auto"/>
              <w:right w:val="single" w:sz="4" w:space="0" w:color="auto"/>
            </w:tcBorders>
            <w:shd w:val="clear" w:color="auto" w:fill="auto"/>
            <w:noWrap/>
            <w:vAlign w:val="center"/>
            <w:hideMark/>
          </w:tcPr>
          <w:p w14:paraId="35EC5077" w14:textId="1720F1FA"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5390</w:t>
            </w:r>
          </w:p>
        </w:tc>
        <w:tc>
          <w:tcPr>
            <w:tcW w:w="273" w:type="pct"/>
            <w:tcBorders>
              <w:top w:val="nil"/>
              <w:left w:val="nil"/>
              <w:bottom w:val="single" w:sz="4" w:space="0" w:color="auto"/>
              <w:right w:val="single" w:sz="4" w:space="0" w:color="auto"/>
            </w:tcBorders>
            <w:shd w:val="clear" w:color="auto" w:fill="auto"/>
            <w:noWrap/>
            <w:vAlign w:val="center"/>
            <w:hideMark/>
          </w:tcPr>
          <w:p w14:paraId="45D7AE23" w14:textId="65EFC06F"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5437</w:t>
            </w:r>
          </w:p>
        </w:tc>
        <w:tc>
          <w:tcPr>
            <w:tcW w:w="275" w:type="pct"/>
            <w:tcBorders>
              <w:top w:val="single" w:sz="4" w:space="0" w:color="auto"/>
              <w:left w:val="nil"/>
              <w:bottom w:val="single" w:sz="4" w:space="0" w:color="auto"/>
              <w:right w:val="single" w:sz="4" w:space="0" w:color="auto"/>
            </w:tcBorders>
            <w:vAlign w:val="center"/>
          </w:tcPr>
          <w:p w14:paraId="7E40446F" w14:textId="39B66081"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2473</w:t>
            </w:r>
          </w:p>
        </w:tc>
        <w:tc>
          <w:tcPr>
            <w:tcW w:w="273" w:type="pct"/>
            <w:tcBorders>
              <w:top w:val="single" w:sz="4" w:space="0" w:color="auto"/>
              <w:left w:val="single" w:sz="4" w:space="0" w:color="auto"/>
              <w:bottom w:val="single" w:sz="4" w:space="0" w:color="auto"/>
              <w:right w:val="single" w:sz="4" w:space="0" w:color="auto"/>
            </w:tcBorders>
            <w:vAlign w:val="center"/>
          </w:tcPr>
          <w:p w14:paraId="028E60B9" w14:textId="24A10A35"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165</w:t>
            </w:r>
          </w:p>
        </w:tc>
        <w:tc>
          <w:tcPr>
            <w:tcW w:w="218" w:type="pct"/>
            <w:tcBorders>
              <w:top w:val="single" w:sz="4" w:space="0" w:color="auto"/>
              <w:left w:val="single" w:sz="4" w:space="0" w:color="auto"/>
              <w:bottom w:val="single" w:sz="4" w:space="0" w:color="auto"/>
              <w:right w:val="single" w:sz="4" w:space="0" w:color="auto"/>
            </w:tcBorders>
            <w:vAlign w:val="center"/>
          </w:tcPr>
          <w:p w14:paraId="2B213934" w14:textId="511168D2"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209</w:t>
            </w:r>
          </w:p>
        </w:tc>
        <w:tc>
          <w:tcPr>
            <w:tcW w:w="206" w:type="pct"/>
            <w:tcBorders>
              <w:top w:val="single" w:sz="4" w:space="0" w:color="auto"/>
              <w:left w:val="single" w:sz="4" w:space="0" w:color="auto"/>
              <w:bottom w:val="single" w:sz="4" w:space="0" w:color="auto"/>
              <w:right w:val="single" w:sz="4" w:space="0" w:color="auto"/>
            </w:tcBorders>
            <w:vAlign w:val="center"/>
          </w:tcPr>
          <w:p w14:paraId="349C48E0" w14:textId="23EF2AC4"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8298</w:t>
            </w:r>
          </w:p>
        </w:tc>
        <w:tc>
          <w:tcPr>
            <w:tcW w:w="301" w:type="pct"/>
            <w:tcBorders>
              <w:top w:val="nil"/>
              <w:left w:val="nil"/>
              <w:bottom w:val="single" w:sz="4" w:space="0" w:color="auto"/>
              <w:right w:val="single" w:sz="4" w:space="0" w:color="auto"/>
            </w:tcBorders>
            <w:shd w:val="clear" w:color="auto" w:fill="auto"/>
            <w:noWrap/>
            <w:vAlign w:val="center"/>
            <w:hideMark/>
          </w:tcPr>
          <w:p w14:paraId="2D1BD376" w14:textId="4001B2BE"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5894</w:t>
            </w:r>
          </w:p>
        </w:tc>
      </w:tr>
      <w:tr w:rsidR="00846EC2" w:rsidRPr="00D40239" w14:paraId="165718C5" w14:textId="77777777" w:rsidTr="00846EC2">
        <w:trPr>
          <w:trHeight w:val="340"/>
          <w:jc w:val="center"/>
        </w:trPr>
        <w:tc>
          <w:tcPr>
            <w:tcW w:w="174" w:type="pct"/>
            <w:tcBorders>
              <w:top w:val="nil"/>
              <w:left w:val="single" w:sz="4" w:space="0" w:color="auto"/>
              <w:bottom w:val="single" w:sz="4" w:space="0" w:color="auto"/>
              <w:right w:val="single" w:sz="4" w:space="0" w:color="auto"/>
            </w:tcBorders>
            <w:shd w:val="clear" w:color="auto" w:fill="auto"/>
            <w:noWrap/>
            <w:vAlign w:val="center"/>
            <w:hideMark/>
          </w:tcPr>
          <w:p w14:paraId="5C0FB277"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12</w:t>
            </w:r>
          </w:p>
        </w:tc>
        <w:tc>
          <w:tcPr>
            <w:tcW w:w="576" w:type="pct"/>
            <w:tcBorders>
              <w:top w:val="nil"/>
              <w:left w:val="nil"/>
              <w:bottom w:val="single" w:sz="4" w:space="0" w:color="auto"/>
              <w:right w:val="single" w:sz="4" w:space="0" w:color="auto"/>
            </w:tcBorders>
            <w:shd w:val="clear" w:color="auto" w:fill="auto"/>
            <w:noWrap/>
            <w:vAlign w:val="center"/>
            <w:hideMark/>
          </w:tcPr>
          <w:p w14:paraId="613E61E9"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 xml:space="preserve">    加：年初未分配利润</w:t>
            </w:r>
          </w:p>
        </w:tc>
        <w:tc>
          <w:tcPr>
            <w:tcW w:w="244" w:type="pct"/>
            <w:tcBorders>
              <w:top w:val="nil"/>
              <w:left w:val="nil"/>
              <w:bottom w:val="single" w:sz="4" w:space="0" w:color="auto"/>
              <w:right w:val="single" w:sz="4" w:space="0" w:color="auto"/>
            </w:tcBorders>
            <w:shd w:val="clear" w:color="auto" w:fill="auto"/>
            <w:noWrap/>
            <w:vAlign w:val="center"/>
          </w:tcPr>
          <w:p w14:paraId="313F09F4" w14:textId="53297EE5" w:rsidR="00846EC2" w:rsidRPr="00D40239" w:rsidRDefault="00846EC2"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hideMark/>
          </w:tcPr>
          <w:p w14:paraId="5A6D951B" w14:textId="57894183"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0</w:t>
            </w:r>
          </w:p>
        </w:tc>
        <w:tc>
          <w:tcPr>
            <w:tcW w:w="274" w:type="pct"/>
            <w:tcBorders>
              <w:top w:val="nil"/>
              <w:left w:val="nil"/>
              <w:bottom w:val="single" w:sz="4" w:space="0" w:color="auto"/>
              <w:right w:val="single" w:sz="4" w:space="0" w:color="auto"/>
            </w:tcBorders>
            <w:shd w:val="clear" w:color="auto" w:fill="auto"/>
            <w:noWrap/>
            <w:vAlign w:val="center"/>
            <w:hideMark/>
          </w:tcPr>
          <w:p w14:paraId="38FE00E1" w14:textId="47A31342"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-470</w:t>
            </w:r>
          </w:p>
        </w:tc>
        <w:tc>
          <w:tcPr>
            <w:tcW w:w="273" w:type="pct"/>
            <w:tcBorders>
              <w:top w:val="nil"/>
              <w:left w:val="nil"/>
              <w:bottom w:val="single" w:sz="4" w:space="0" w:color="auto"/>
              <w:right w:val="single" w:sz="4" w:space="0" w:color="auto"/>
            </w:tcBorders>
            <w:shd w:val="clear" w:color="auto" w:fill="auto"/>
            <w:noWrap/>
            <w:vAlign w:val="center"/>
            <w:hideMark/>
          </w:tcPr>
          <w:p w14:paraId="037489F0" w14:textId="5626AE8E"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-6337</w:t>
            </w:r>
          </w:p>
        </w:tc>
        <w:tc>
          <w:tcPr>
            <w:tcW w:w="218" w:type="pct"/>
            <w:tcBorders>
              <w:top w:val="nil"/>
              <w:left w:val="nil"/>
              <w:bottom w:val="single" w:sz="4" w:space="0" w:color="auto"/>
              <w:right w:val="single" w:sz="4" w:space="0" w:color="auto"/>
            </w:tcBorders>
            <w:shd w:val="clear" w:color="auto" w:fill="auto"/>
            <w:noWrap/>
            <w:vAlign w:val="center"/>
            <w:hideMark/>
          </w:tcPr>
          <w:p w14:paraId="28DC79A1" w14:textId="250366CA"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-12475</w:t>
            </w:r>
          </w:p>
        </w:tc>
        <w:tc>
          <w:tcPr>
            <w:tcW w:w="218" w:type="pct"/>
            <w:tcBorders>
              <w:top w:val="nil"/>
              <w:left w:val="nil"/>
              <w:bottom w:val="single" w:sz="4" w:space="0" w:color="auto"/>
              <w:right w:val="single" w:sz="4" w:space="0" w:color="auto"/>
            </w:tcBorders>
            <w:shd w:val="clear" w:color="auto" w:fill="auto"/>
            <w:noWrap/>
            <w:vAlign w:val="center"/>
            <w:hideMark/>
          </w:tcPr>
          <w:p w14:paraId="2D32ED3B" w14:textId="0E8B07C3"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-19057</w:t>
            </w:r>
          </w:p>
        </w:tc>
        <w:tc>
          <w:tcPr>
            <w:tcW w:w="218" w:type="pct"/>
            <w:tcBorders>
              <w:top w:val="nil"/>
              <w:left w:val="nil"/>
              <w:bottom w:val="single" w:sz="4" w:space="0" w:color="auto"/>
              <w:right w:val="single" w:sz="4" w:space="0" w:color="auto"/>
            </w:tcBorders>
            <w:shd w:val="clear" w:color="auto" w:fill="auto"/>
            <w:noWrap/>
            <w:vAlign w:val="center"/>
            <w:hideMark/>
          </w:tcPr>
          <w:p w14:paraId="15C3BED0" w14:textId="06B5760C"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-22445</w:t>
            </w:r>
          </w:p>
        </w:tc>
        <w:tc>
          <w:tcPr>
            <w:tcW w:w="273" w:type="pct"/>
            <w:tcBorders>
              <w:top w:val="nil"/>
              <w:left w:val="nil"/>
              <w:bottom w:val="single" w:sz="4" w:space="0" w:color="auto"/>
              <w:right w:val="single" w:sz="4" w:space="0" w:color="auto"/>
            </w:tcBorders>
            <w:shd w:val="clear" w:color="auto" w:fill="auto"/>
            <w:noWrap/>
            <w:vAlign w:val="center"/>
            <w:hideMark/>
          </w:tcPr>
          <w:p w14:paraId="117BE4E4" w14:textId="7A7E524B"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-22478</w:t>
            </w:r>
          </w:p>
        </w:tc>
        <w:tc>
          <w:tcPr>
            <w:tcW w:w="218" w:type="pct"/>
            <w:tcBorders>
              <w:top w:val="nil"/>
              <w:left w:val="nil"/>
              <w:bottom w:val="single" w:sz="4" w:space="0" w:color="auto"/>
              <w:right w:val="single" w:sz="4" w:space="0" w:color="auto"/>
            </w:tcBorders>
            <w:shd w:val="clear" w:color="auto" w:fill="auto"/>
            <w:noWrap/>
            <w:vAlign w:val="center"/>
            <w:hideMark/>
          </w:tcPr>
          <w:p w14:paraId="5908C290" w14:textId="5B280054"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-21704</w:t>
            </w:r>
          </w:p>
        </w:tc>
        <w:tc>
          <w:tcPr>
            <w:tcW w:w="275" w:type="pct"/>
            <w:tcBorders>
              <w:top w:val="nil"/>
              <w:left w:val="nil"/>
              <w:bottom w:val="single" w:sz="4" w:space="0" w:color="auto"/>
              <w:right w:val="single" w:sz="4" w:space="0" w:color="auto"/>
            </w:tcBorders>
            <w:shd w:val="clear" w:color="auto" w:fill="auto"/>
            <w:noWrap/>
            <w:vAlign w:val="center"/>
            <w:hideMark/>
          </w:tcPr>
          <w:p w14:paraId="401CEFF2" w14:textId="28A184BD"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-19669</w:t>
            </w:r>
          </w:p>
        </w:tc>
        <w:tc>
          <w:tcPr>
            <w:tcW w:w="273" w:type="pct"/>
            <w:tcBorders>
              <w:top w:val="nil"/>
              <w:left w:val="nil"/>
              <w:bottom w:val="single" w:sz="4" w:space="0" w:color="auto"/>
              <w:right w:val="single" w:sz="4" w:space="0" w:color="auto"/>
            </w:tcBorders>
            <w:shd w:val="clear" w:color="auto" w:fill="auto"/>
            <w:noWrap/>
            <w:vAlign w:val="center"/>
            <w:hideMark/>
          </w:tcPr>
          <w:p w14:paraId="312DE464" w14:textId="576E018D"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-16078</w:t>
            </w:r>
          </w:p>
        </w:tc>
        <w:tc>
          <w:tcPr>
            <w:tcW w:w="273" w:type="pct"/>
            <w:tcBorders>
              <w:top w:val="nil"/>
              <w:left w:val="nil"/>
              <w:bottom w:val="single" w:sz="4" w:space="0" w:color="auto"/>
              <w:right w:val="single" w:sz="4" w:space="0" w:color="auto"/>
            </w:tcBorders>
            <w:shd w:val="clear" w:color="auto" w:fill="auto"/>
            <w:noWrap/>
            <w:vAlign w:val="center"/>
            <w:hideMark/>
          </w:tcPr>
          <w:p w14:paraId="489FA320" w14:textId="323E7596"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-10688</w:t>
            </w:r>
          </w:p>
        </w:tc>
        <w:tc>
          <w:tcPr>
            <w:tcW w:w="275" w:type="pct"/>
            <w:tcBorders>
              <w:top w:val="single" w:sz="4" w:space="0" w:color="auto"/>
              <w:left w:val="nil"/>
              <w:bottom w:val="single" w:sz="4" w:space="0" w:color="auto"/>
              <w:right w:val="single" w:sz="4" w:space="0" w:color="auto"/>
            </w:tcBorders>
            <w:vAlign w:val="center"/>
          </w:tcPr>
          <w:p w14:paraId="2F41D173" w14:textId="2131BC88"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-6896</w:t>
            </w:r>
          </w:p>
        </w:tc>
        <w:tc>
          <w:tcPr>
            <w:tcW w:w="273" w:type="pct"/>
            <w:tcBorders>
              <w:top w:val="single" w:sz="4" w:space="0" w:color="auto"/>
              <w:left w:val="single" w:sz="4" w:space="0" w:color="auto"/>
              <w:bottom w:val="single" w:sz="4" w:space="0" w:color="auto"/>
              <w:right w:val="single" w:sz="4" w:space="0" w:color="auto"/>
            </w:tcBorders>
            <w:vAlign w:val="center"/>
          </w:tcPr>
          <w:p w14:paraId="0B0D05EB" w14:textId="0C1A7A5C"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-4423</w:t>
            </w:r>
          </w:p>
        </w:tc>
        <w:tc>
          <w:tcPr>
            <w:tcW w:w="218" w:type="pct"/>
            <w:tcBorders>
              <w:top w:val="single" w:sz="4" w:space="0" w:color="auto"/>
              <w:left w:val="single" w:sz="4" w:space="0" w:color="auto"/>
              <w:bottom w:val="single" w:sz="4" w:space="0" w:color="auto"/>
              <w:right w:val="single" w:sz="4" w:space="0" w:color="auto"/>
            </w:tcBorders>
            <w:vAlign w:val="center"/>
          </w:tcPr>
          <w:p w14:paraId="0DA8B362" w14:textId="6ED4E3CD"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-4258</w:t>
            </w:r>
          </w:p>
        </w:tc>
        <w:tc>
          <w:tcPr>
            <w:tcW w:w="206" w:type="pct"/>
            <w:tcBorders>
              <w:top w:val="single" w:sz="4" w:space="0" w:color="auto"/>
              <w:left w:val="single" w:sz="4" w:space="0" w:color="auto"/>
              <w:bottom w:val="single" w:sz="4" w:space="0" w:color="auto"/>
              <w:right w:val="single" w:sz="4" w:space="0" w:color="auto"/>
            </w:tcBorders>
            <w:vAlign w:val="center"/>
          </w:tcPr>
          <w:p w14:paraId="1BF6741F" w14:textId="78341B24"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-4049</w:t>
            </w:r>
          </w:p>
        </w:tc>
        <w:tc>
          <w:tcPr>
            <w:tcW w:w="301" w:type="pct"/>
            <w:tcBorders>
              <w:top w:val="nil"/>
              <w:left w:val="nil"/>
              <w:bottom w:val="single" w:sz="4" w:space="0" w:color="auto"/>
              <w:right w:val="single" w:sz="4" w:space="0" w:color="auto"/>
            </w:tcBorders>
            <w:shd w:val="clear" w:color="auto" w:fill="auto"/>
            <w:noWrap/>
          </w:tcPr>
          <w:p w14:paraId="4981DF0F" w14:textId="09633908" w:rsidR="00846EC2" w:rsidRPr="00D40239" w:rsidRDefault="00846EC2" w:rsidP="00846EC2">
            <w:pPr>
              <w:jc w:val="center"/>
              <w:rPr>
                <w:rFonts w:ascii="华文细黑" w:eastAsia="华文细黑" w:hAnsi="华文细黑"/>
                <w:color w:val="000000"/>
                <w:sz w:val="13"/>
                <w:szCs w:val="13"/>
              </w:rPr>
            </w:pPr>
          </w:p>
        </w:tc>
      </w:tr>
      <w:tr w:rsidR="00846EC2" w:rsidRPr="00D40239" w14:paraId="21745736" w14:textId="77777777" w:rsidTr="00846EC2">
        <w:trPr>
          <w:trHeight w:val="340"/>
          <w:jc w:val="center"/>
        </w:trPr>
        <w:tc>
          <w:tcPr>
            <w:tcW w:w="174" w:type="pct"/>
            <w:tcBorders>
              <w:top w:val="nil"/>
              <w:left w:val="single" w:sz="4" w:space="0" w:color="auto"/>
              <w:bottom w:val="single" w:sz="4" w:space="0" w:color="auto"/>
              <w:right w:val="single" w:sz="4" w:space="0" w:color="auto"/>
            </w:tcBorders>
            <w:shd w:val="clear" w:color="auto" w:fill="auto"/>
            <w:noWrap/>
            <w:vAlign w:val="center"/>
            <w:hideMark/>
          </w:tcPr>
          <w:p w14:paraId="265DFAA3"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13</w:t>
            </w:r>
          </w:p>
        </w:tc>
        <w:tc>
          <w:tcPr>
            <w:tcW w:w="576" w:type="pct"/>
            <w:tcBorders>
              <w:top w:val="nil"/>
              <w:left w:val="nil"/>
              <w:bottom w:val="single" w:sz="4" w:space="0" w:color="auto"/>
              <w:right w:val="single" w:sz="4" w:space="0" w:color="auto"/>
            </w:tcBorders>
            <w:shd w:val="clear" w:color="auto" w:fill="auto"/>
            <w:noWrap/>
            <w:vAlign w:val="center"/>
            <w:hideMark/>
          </w:tcPr>
          <w:p w14:paraId="7E64F41C"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可供分配利润</w:t>
            </w:r>
          </w:p>
        </w:tc>
        <w:tc>
          <w:tcPr>
            <w:tcW w:w="244" w:type="pct"/>
            <w:tcBorders>
              <w:top w:val="nil"/>
              <w:left w:val="nil"/>
              <w:bottom w:val="single" w:sz="4" w:space="0" w:color="auto"/>
              <w:right w:val="single" w:sz="4" w:space="0" w:color="auto"/>
            </w:tcBorders>
            <w:shd w:val="clear" w:color="auto" w:fill="auto"/>
            <w:noWrap/>
            <w:vAlign w:val="center"/>
          </w:tcPr>
          <w:p w14:paraId="01F5DF85" w14:textId="79F60BA0" w:rsidR="00846EC2" w:rsidRPr="00D40239" w:rsidRDefault="00846EC2"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hideMark/>
          </w:tcPr>
          <w:p w14:paraId="508CA2D8" w14:textId="29B93E9D"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-470</w:t>
            </w:r>
          </w:p>
        </w:tc>
        <w:tc>
          <w:tcPr>
            <w:tcW w:w="274" w:type="pct"/>
            <w:tcBorders>
              <w:top w:val="nil"/>
              <w:left w:val="nil"/>
              <w:bottom w:val="single" w:sz="4" w:space="0" w:color="auto"/>
              <w:right w:val="single" w:sz="4" w:space="0" w:color="auto"/>
            </w:tcBorders>
            <w:shd w:val="clear" w:color="auto" w:fill="auto"/>
            <w:noWrap/>
            <w:vAlign w:val="center"/>
            <w:hideMark/>
          </w:tcPr>
          <w:p w14:paraId="3E5014C8" w14:textId="42A3C42F"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-6337</w:t>
            </w:r>
          </w:p>
        </w:tc>
        <w:tc>
          <w:tcPr>
            <w:tcW w:w="273" w:type="pct"/>
            <w:tcBorders>
              <w:top w:val="nil"/>
              <w:left w:val="nil"/>
              <w:bottom w:val="single" w:sz="4" w:space="0" w:color="auto"/>
              <w:right w:val="single" w:sz="4" w:space="0" w:color="auto"/>
            </w:tcBorders>
            <w:shd w:val="clear" w:color="auto" w:fill="auto"/>
            <w:noWrap/>
            <w:vAlign w:val="center"/>
            <w:hideMark/>
          </w:tcPr>
          <w:p w14:paraId="213A251C" w14:textId="1FAA23EE"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-12475</w:t>
            </w:r>
          </w:p>
        </w:tc>
        <w:tc>
          <w:tcPr>
            <w:tcW w:w="218" w:type="pct"/>
            <w:tcBorders>
              <w:top w:val="nil"/>
              <w:left w:val="nil"/>
              <w:bottom w:val="single" w:sz="4" w:space="0" w:color="auto"/>
              <w:right w:val="single" w:sz="4" w:space="0" w:color="auto"/>
            </w:tcBorders>
            <w:shd w:val="clear" w:color="auto" w:fill="auto"/>
            <w:noWrap/>
            <w:vAlign w:val="center"/>
            <w:hideMark/>
          </w:tcPr>
          <w:p w14:paraId="4EAE5E97" w14:textId="5D3127AB"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-19057</w:t>
            </w:r>
          </w:p>
        </w:tc>
        <w:tc>
          <w:tcPr>
            <w:tcW w:w="218" w:type="pct"/>
            <w:tcBorders>
              <w:top w:val="nil"/>
              <w:left w:val="nil"/>
              <w:bottom w:val="single" w:sz="4" w:space="0" w:color="auto"/>
              <w:right w:val="single" w:sz="4" w:space="0" w:color="auto"/>
            </w:tcBorders>
            <w:shd w:val="clear" w:color="auto" w:fill="auto"/>
            <w:noWrap/>
            <w:vAlign w:val="center"/>
            <w:hideMark/>
          </w:tcPr>
          <w:p w14:paraId="126FA245" w14:textId="41CBAC87"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-22445</w:t>
            </w:r>
          </w:p>
        </w:tc>
        <w:tc>
          <w:tcPr>
            <w:tcW w:w="218" w:type="pct"/>
            <w:tcBorders>
              <w:top w:val="nil"/>
              <w:left w:val="nil"/>
              <w:bottom w:val="single" w:sz="4" w:space="0" w:color="auto"/>
              <w:right w:val="single" w:sz="4" w:space="0" w:color="auto"/>
            </w:tcBorders>
            <w:shd w:val="clear" w:color="auto" w:fill="auto"/>
            <w:noWrap/>
            <w:vAlign w:val="center"/>
            <w:hideMark/>
          </w:tcPr>
          <w:p w14:paraId="5FB0FB9E" w14:textId="3DA695FA"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-22478</w:t>
            </w:r>
          </w:p>
        </w:tc>
        <w:tc>
          <w:tcPr>
            <w:tcW w:w="273" w:type="pct"/>
            <w:tcBorders>
              <w:top w:val="nil"/>
              <w:left w:val="nil"/>
              <w:bottom w:val="single" w:sz="4" w:space="0" w:color="auto"/>
              <w:right w:val="single" w:sz="4" w:space="0" w:color="auto"/>
            </w:tcBorders>
            <w:shd w:val="clear" w:color="auto" w:fill="auto"/>
            <w:noWrap/>
            <w:vAlign w:val="center"/>
            <w:hideMark/>
          </w:tcPr>
          <w:p w14:paraId="23B1D256" w14:textId="3AD476FB"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-21704</w:t>
            </w:r>
          </w:p>
        </w:tc>
        <w:tc>
          <w:tcPr>
            <w:tcW w:w="218" w:type="pct"/>
            <w:tcBorders>
              <w:top w:val="nil"/>
              <w:left w:val="nil"/>
              <w:bottom w:val="single" w:sz="4" w:space="0" w:color="auto"/>
              <w:right w:val="single" w:sz="4" w:space="0" w:color="auto"/>
            </w:tcBorders>
            <w:shd w:val="clear" w:color="auto" w:fill="auto"/>
            <w:noWrap/>
            <w:vAlign w:val="center"/>
            <w:hideMark/>
          </w:tcPr>
          <w:p w14:paraId="77DF0355" w14:textId="03E548E3"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-19669</w:t>
            </w:r>
          </w:p>
        </w:tc>
        <w:tc>
          <w:tcPr>
            <w:tcW w:w="275" w:type="pct"/>
            <w:tcBorders>
              <w:top w:val="nil"/>
              <w:left w:val="nil"/>
              <w:bottom w:val="single" w:sz="4" w:space="0" w:color="auto"/>
              <w:right w:val="single" w:sz="4" w:space="0" w:color="auto"/>
            </w:tcBorders>
            <w:shd w:val="clear" w:color="auto" w:fill="auto"/>
            <w:noWrap/>
            <w:vAlign w:val="center"/>
            <w:hideMark/>
          </w:tcPr>
          <w:p w14:paraId="418FC8C4" w14:textId="0E29EDCE"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-16078</w:t>
            </w:r>
          </w:p>
        </w:tc>
        <w:tc>
          <w:tcPr>
            <w:tcW w:w="273" w:type="pct"/>
            <w:tcBorders>
              <w:top w:val="nil"/>
              <w:left w:val="nil"/>
              <w:bottom w:val="single" w:sz="4" w:space="0" w:color="auto"/>
              <w:right w:val="single" w:sz="4" w:space="0" w:color="auto"/>
            </w:tcBorders>
            <w:shd w:val="clear" w:color="auto" w:fill="auto"/>
            <w:noWrap/>
            <w:vAlign w:val="center"/>
            <w:hideMark/>
          </w:tcPr>
          <w:p w14:paraId="4415EED4" w14:textId="7994BA4B"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-10688</w:t>
            </w:r>
          </w:p>
        </w:tc>
        <w:tc>
          <w:tcPr>
            <w:tcW w:w="273" w:type="pct"/>
            <w:tcBorders>
              <w:top w:val="nil"/>
              <w:left w:val="nil"/>
              <w:bottom w:val="single" w:sz="4" w:space="0" w:color="auto"/>
              <w:right w:val="single" w:sz="4" w:space="0" w:color="auto"/>
            </w:tcBorders>
            <w:shd w:val="clear" w:color="auto" w:fill="auto"/>
            <w:noWrap/>
            <w:vAlign w:val="center"/>
            <w:hideMark/>
          </w:tcPr>
          <w:p w14:paraId="18781CE0" w14:textId="59BBD3DE"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-5251</w:t>
            </w:r>
          </w:p>
        </w:tc>
        <w:tc>
          <w:tcPr>
            <w:tcW w:w="275" w:type="pct"/>
            <w:tcBorders>
              <w:top w:val="single" w:sz="4" w:space="0" w:color="auto"/>
              <w:left w:val="nil"/>
              <w:bottom w:val="single" w:sz="4" w:space="0" w:color="auto"/>
              <w:right w:val="single" w:sz="4" w:space="0" w:color="auto"/>
            </w:tcBorders>
            <w:vAlign w:val="center"/>
          </w:tcPr>
          <w:p w14:paraId="52F87964" w14:textId="15BBD8D2"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-4423</w:t>
            </w:r>
          </w:p>
        </w:tc>
        <w:tc>
          <w:tcPr>
            <w:tcW w:w="273" w:type="pct"/>
            <w:tcBorders>
              <w:top w:val="single" w:sz="4" w:space="0" w:color="auto"/>
              <w:left w:val="single" w:sz="4" w:space="0" w:color="auto"/>
              <w:bottom w:val="single" w:sz="4" w:space="0" w:color="auto"/>
              <w:right w:val="single" w:sz="4" w:space="0" w:color="auto"/>
            </w:tcBorders>
            <w:vAlign w:val="center"/>
          </w:tcPr>
          <w:p w14:paraId="2155DE20" w14:textId="6279BCB7"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-4258</w:t>
            </w:r>
          </w:p>
        </w:tc>
        <w:tc>
          <w:tcPr>
            <w:tcW w:w="218" w:type="pct"/>
            <w:tcBorders>
              <w:top w:val="single" w:sz="4" w:space="0" w:color="auto"/>
              <w:left w:val="single" w:sz="4" w:space="0" w:color="auto"/>
              <w:bottom w:val="single" w:sz="4" w:space="0" w:color="auto"/>
              <w:right w:val="single" w:sz="4" w:space="0" w:color="auto"/>
            </w:tcBorders>
            <w:vAlign w:val="center"/>
          </w:tcPr>
          <w:p w14:paraId="76374192" w14:textId="73499CCF"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-4049</w:t>
            </w:r>
          </w:p>
        </w:tc>
        <w:tc>
          <w:tcPr>
            <w:tcW w:w="206" w:type="pct"/>
            <w:tcBorders>
              <w:top w:val="single" w:sz="4" w:space="0" w:color="auto"/>
              <w:left w:val="single" w:sz="4" w:space="0" w:color="auto"/>
              <w:bottom w:val="single" w:sz="4" w:space="0" w:color="auto"/>
              <w:right w:val="single" w:sz="4" w:space="0" w:color="auto"/>
            </w:tcBorders>
            <w:vAlign w:val="center"/>
          </w:tcPr>
          <w:p w14:paraId="40DB76F9" w14:textId="6A11935A"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4249</w:t>
            </w:r>
          </w:p>
        </w:tc>
        <w:tc>
          <w:tcPr>
            <w:tcW w:w="301" w:type="pct"/>
            <w:tcBorders>
              <w:top w:val="nil"/>
              <w:left w:val="nil"/>
              <w:bottom w:val="single" w:sz="4" w:space="0" w:color="auto"/>
              <w:right w:val="single" w:sz="4" w:space="0" w:color="auto"/>
            </w:tcBorders>
            <w:shd w:val="clear" w:color="auto" w:fill="auto"/>
            <w:noWrap/>
          </w:tcPr>
          <w:p w14:paraId="36ACE25A" w14:textId="3E8F953D" w:rsidR="00846EC2" w:rsidRPr="00D40239" w:rsidRDefault="00846EC2" w:rsidP="00846EC2">
            <w:pPr>
              <w:jc w:val="center"/>
              <w:rPr>
                <w:rFonts w:ascii="华文细黑" w:eastAsia="华文细黑" w:hAnsi="华文细黑"/>
                <w:color w:val="000000"/>
                <w:sz w:val="13"/>
                <w:szCs w:val="13"/>
              </w:rPr>
            </w:pPr>
          </w:p>
        </w:tc>
      </w:tr>
      <w:tr w:rsidR="00846EC2" w:rsidRPr="00D40239" w14:paraId="650F06D7" w14:textId="77777777" w:rsidTr="00846EC2">
        <w:trPr>
          <w:trHeight w:val="340"/>
          <w:jc w:val="center"/>
        </w:trPr>
        <w:tc>
          <w:tcPr>
            <w:tcW w:w="174" w:type="pct"/>
            <w:tcBorders>
              <w:top w:val="nil"/>
              <w:left w:val="single" w:sz="4" w:space="0" w:color="auto"/>
              <w:bottom w:val="single" w:sz="4" w:space="0" w:color="auto"/>
              <w:right w:val="single" w:sz="4" w:space="0" w:color="auto"/>
            </w:tcBorders>
            <w:shd w:val="clear" w:color="auto" w:fill="auto"/>
            <w:noWrap/>
            <w:vAlign w:val="center"/>
            <w:hideMark/>
          </w:tcPr>
          <w:p w14:paraId="07427528"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14</w:t>
            </w:r>
          </w:p>
        </w:tc>
        <w:tc>
          <w:tcPr>
            <w:tcW w:w="576" w:type="pct"/>
            <w:tcBorders>
              <w:top w:val="nil"/>
              <w:left w:val="nil"/>
              <w:bottom w:val="single" w:sz="4" w:space="0" w:color="auto"/>
              <w:right w:val="single" w:sz="4" w:space="0" w:color="auto"/>
            </w:tcBorders>
            <w:shd w:val="clear" w:color="auto" w:fill="auto"/>
            <w:noWrap/>
            <w:vAlign w:val="center"/>
            <w:hideMark/>
          </w:tcPr>
          <w:p w14:paraId="1B953E66"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 xml:space="preserve">    减：提取公积金</w:t>
            </w:r>
          </w:p>
        </w:tc>
        <w:tc>
          <w:tcPr>
            <w:tcW w:w="244" w:type="pct"/>
            <w:tcBorders>
              <w:top w:val="nil"/>
              <w:left w:val="nil"/>
              <w:bottom w:val="single" w:sz="4" w:space="0" w:color="auto"/>
              <w:right w:val="single" w:sz="4" w:space="0" w:color="auto"/>
            </w:tcBorders>
            <w:shd w:val="clear" w:color="auto" w:fill="auto"/>
            <w:noWrap/>
            <w:vAlign w:val="center"/>
          </w:tcPr>
          <w:p w14:paraId="478791BE" w14:textId="77777777" w:rsidR="00846EC2" w:rsidRPr="00D40239" w:rsidRDefault="00846EC2"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hideMark/>
          </w:tcPr>
          <w:p w14:paraId="36EEF2D3" w14:textId="77777777" w:rsidR="00846EC2" w:rsidRPr="00D40239" w:rsidRDefault="00846EC2" w:rsidP="007B3231">
            <w:pPr>
              <w:jc w:val="center"/>
              <w:rPr>
                <w:rFonts w:ascii="华文细黑" w:eastAsia="华文细黑" w:hAnsi="华文细黑"/>
                <w:color w:val="000000"/>
                <w:sz w:val="13"/>
                <w:szCs w:val="13"/>
              </w:rPr>
            </w:pPr>
          </w:p>
        </w:tc>
        <w:tc>
          <w:tcPr>
            <w:tcW w:w="274" w:type="pct"/>
            <w:tcBorders>
              <w:top w:val="nil"/>
              <w:left w:val="nil"/>
              <w:bottom w:val="single" w:sz="4" w:space="0" w:color="auto"/>
              <w:right w:val="single" w:sz="4" w:space="0" w:color="auto"/>
            </w:tcBorders>
            <w:shd w:val="clear" w:color="auto" w:fill="auto"/>
            <w:noWrap/>
            <w:hideMark/>
          </w:tcPr>
          <w:p w14:paraId="07E66977" w14:textId="77777777" w:rsidR="00846EC2" w:rsidRPr="00D40239" w:rsidRDefault="00846EC2" w:rsidP="007B3231">
            <w:pPr>
              <w:jc w:val="center"/>
              <w:rPr>
                <w:rFonts w:ascii="华文细黑" w:eastAsia="华文细黑" w:hAnsi="华文细黑"/>
                <w:color w:val="000000"/>
                <w:sz w:val="13"/>
                <w:szCs w:val="13"/>
              </w:rPr>
            </w:pPr>
          </w:p>
        </w:tc>
        <w:tc>
          <w:tcPr>
            <w:tcW w:w="273" w:type="pct"/>
            <w:tcBorders>
              <w:top w:val="nil"/>
              <w:left w:val="nil"/>
              <w:bottom w:val="single" w:sz="4" w:space="0" w:color="auto"/>
              <w:right w:val="single" w:sz="4" w:space="0" w:color="auto"/>
            </w:tcBorders>
            <w:shd w:val="clear" w:color="auto" w:fill="auto"/>
            <w:noWrap/>
            <w:vAlign w:val="center"/>
            <w:hideMark/>
          </w:tcPr>
          <w:p w14:paraId="2D68A16B" w14:textId="425B28F8"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0</w:t>
            </w:r>
          </w:p>
        </w:tc>
        <w:tc>
          <w:tcPr>
            <w:tcW w:w="218" w:type="pct"/>
            <w:tcBorders>
              <w:top w:val="nil"/>
              <w:left w:val="nil"/>
              <w:bottom w:val="single" w:sz="4" w:space="0" w:color="auto"/>
              <w:right w:val="single" w:sz="4" w:space="0" w:color="auto"/>
            </w:tcBorders>
            <w:shd w:val="clear" w:color="auto" w:fill="auto"/>
            <w:noWrap/>
            <w:vAlign w:val="center"/>
            <w:hideMark/>
          </w:tcPr>
          <w:p w14:paraId="22055FA3" w14:textId="77777777" w:rsidR="00846EC2" w:rsidRPr="00D40239" w:rsidRDefault="00846EC2" w:rsidP="00846EC2">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hideMark/>
          </w:tcPr>
          <w:p w14:paraId="4332BAEB" w14:textId="77777777" w:rsidR="00846EC2" w:rsidRPr="00D40239" w:rsidRDefault="00846EC2" w:rsidP="00846EC2">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hideMark/>
          </w:tcPr>
          <w:p w14:paraId="0C39A6E3" w14:textId="77777777" w:rsidR="00846EC2" w:rsidRPr="00D40239" w:rsidRDefault="00846EC2" w:rsidP="00846EC2">
            <w:pPr>
              <w:jc w:val="center"/>
              <w:rPr>
                <w:rFonts w:ascii="华文细黑" w:eastAsia="华文细黑" w:hAnsi="华文细黑"/>
                <w:color w:val="000000"/>
                <w:sz w:val="13"/>
                <w:szCs w:val="13"/>
              </w:rPr>
            </w:pPr>
          </w:p>
        </w:tc>
        <w:tc>
          <w:tcPr>
            <w:tcW w:w="273" w:type="pct"/>
            <w:tcBorders>
              <w:top w:val="nil"/>
              <w:left w:val="nil"/>
              <w:bottom w:val="single" w:sz="4" w:space="0" w:color="auto"/>
              <w:right w:val="single" w:sz="4" w:space="0" w:color="auto"/>
            </w:tcBorders>
            <w:shd w:val="clear" w:color="auto" w:fill="auto"/>
            <w:noWrap/>
            <w:vAlign w:val="center"/>
            <w:hideMark/>
          </w:tcPr>
          <w:p w14:paraId="1AC3F9F4" w14:textId="3E3F9A8B"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0</w:t>
            </w:r>
          </w:p>
        </w:tc>
        <w:tc>
          <w:tcPr>
            <w:tcW w:w="218" w:type="pct"/>
            <w:tcBorders>
              <w:top w:val="nil"/>
              <w:left w:val="nil"/>
              <w:bottom w:val="single" w:sz="4" w:space="0" w:color="auto"/>
              <w:right w:val="single" w:sz="4" w:space="0" w:color="auto"/>
            </w:tcBorders>
            <w:shd w:val="clear" w:color="auto" w:fill="auto"/>
            <w:noWrap/>
            <w:vAlign w:val="center"/>
            <w:hideMark/>
          </w:tcPr>
          <w:p w14:paraId="6B58D4EA" w14:textId="77777777" w:rsidR="00846EC2" w:rsidRPr="00D40239" w:rsidRDefault="00846EC2" w:rsidP="00846EC2">
            <w:pPr>
              <w:jc w:val="center"/>
              <w:rPr>
                <w:rFonts w:ascii="华文细黑" w:eastAsia="华文细黑" w:hAnsi="华文细黑"/>
                <w:color w:val="000000"/>
                <w:sz w:val="13"/>
                <w:szCs w:val="13"/>
              </w:rPr>
            </w:pPr>
          </w:p>
        </w:tc>
        <w:tc>
          <w:tcPr>
            <w:tcW w:w="275" w:type="pct"/>
            <w:tcBorders>
              <w:top w:val="nil"/>
              <w:left w:val="nil"/>
              <w:bottom w:val="single" w:sz="4" w:space="0" w:color="auto"/>
              <w:right w:val="single" w:sz="4" w:space="0" w:color="auto"/>
            </w:tcBorders>
            <w:shd w:val="clear" w:color="auto" w:fill="auto"/>
            <w:noWrap/>
            <w:vAlign w:val="center"/>
            <w:hideMark/>
          </w:tcPr>
          <w:p w14:paraId="49ECF597" w14:textId="77777777" w:rsidR="00846EC2" w:rsidRPr="00D40239" w:rsidRDefault="00846EC2" w:rsidP="00846EC2">
            <w:pPr>
              <w:jc w:val="center"/>
              <w:rPr>
                <w:rFonts w:ascii="华文细黑" w:eastAsia="华文细黑" w:hAnsi="华文细黑"/>
                <w:color w:val="000000"/>
                <w:sz w:val="13"/>
                <w:szCs w:val="13"/>
              </w:rPr>
            </w:pPr>
          </w:p>
        </w:tc>
        <w:tc>
          <w:tcPr>
            <w:tcW w:w="273" w:type="pct"/>
            <w:tcBorders>
              <w:top w:val="nil"/>
              <w:left w:val="nil"/>
              <w:bottom w:val="single" w:sz="4" w:space="0" w:color="auto"/>
              <w:right w:val="single" w:sz="4" w:space="0" w:color="auto"/>
            </w:tcBorders>
            <w:shd w:val="clear" w:color="auto" w:fill="auto"/>
            <w:noWrap/>
            <w:vAlign w:val="center"/>
            <w:hideMark/>
          </w:tcPr>
          <w:p w14:paraId="229680F1" w14:textId="77777777" w:rsidR="00846EC2" w:rsidRPr="00D40239" w:rsidRDefault="00846EC2" w:rsidP="00846EC2">
            <w:pPr>
              <w:jc w:val="center"/>
              <w:rPr>
                <w:rFonts w:ascii="华文细黑" w:eastAsia="华文细黑" w:hAnsi="华文细黑"/>
                <w:color w:val="000000"/>
                <w:sz w:val="13"/>
                <w:szCs w:val="13"/>
              </w:rPr>
            </w:pPr>
          </w:p>
        </w:tc>
        <w:tc>
          <w:tcPr>
            <w:tcW w:w="273" w:type="pct"/>
            <w:tcBorders>
              <w:top w:val="nil"/>
              <w:left w:val="nil"/>
              <w:bottom w:val="single" w:sz="4" w:space="0" w:color="auto"/>
              <w:right w:val="single" w:sz="4" w:space="0" w:color="auto"/>
            </w:tcBorders>
            <w:shd w:val="clear" w:color="auto" w:fill="auto"/>
            <w:noWrap/>
            <w:vAlign w:val="center"/>
            <w:hideMark/>
          </w:tcPr>
          <w:p w14:paraId="02DD644A" w14:textId="2918A847"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1645</w:t>
            </w:r>
          </w:p>
        </w:tc>
        <w:tc>
          <w:tcPr>
            <w:tcW w:w="275" w:type="pct"/>
            <w:tcBorders>
              <w:top w:val="single" w:sz="4" w:space="0" w:color="auto"/>
              <w:left w:val="nil"/>
              <w:bottom w:val="single" w:sz="4" w:space="0" w:color="auto"/>
              <w:right w:val="single" w:sz="4" w:space="0" w:color="auto"/>
            </w:tcBorders>
            <w:vAlign w:val="center"/>
          </w:tcPr>
          <w:p w14:paraId="025D09FB" w14:textId="77777777" w:rsidR="00846EC2" w:rsidRPr="007061B3" w:rsidRDefault="00846EC2" w:rsidP="00846EC2">
            <w:pPr>
              <w:jc w:val="center"/>
              <w:rPr>
                <w:rFonts w:ascii="华文细黑" w:eastAsia="华文细黑" w:hAnsi="华文细黑"/>
                <w:color w:val="000000"/>
                <w:sz w:val="13"/>
                <w:szCs w:val="13"/>
              </w:rPr>
            </w:pPr>
          </w:p>
        </w:tc>
        <w:tc>
          <w:tcPr>
            <w:tcW w:w="273" w:type="pct"/>
            <w:tcBorders>
              <w:top w:val="single" w:sz="4" w:space="0" w:color="auto"/>
              <w:left w:val="single" w:sz="4" w:space="0" w:color="auto"/>
              <w:bottom w:val="single" w:sz="4" w:space="0" w:color="auto"/>
              <w:right w:val="single" w:sz="4" w:space="0" w:color="auto"/>
            </w:tcBorders>
            <w:vAlign w:val="center"/>
          </w:tcPr>
          <w:p w14:paraId="4654A446" w14:textId="77777777" w:rsidR="00846EC2" w:rsidRPr="007061B3" w:rsidRDefault="00846EC2" w:rsidP="00846EC2">
            <w:pPr>
              <w:jc w:val="center"/>
              <w:rPr>
                <w:rFonts w:ascii="华文细黑" w:eastAsia="华文细黑" w:hAnsi="华文细黑"/>
                <w:color w:val="000000"/>
                <w:sz w:val="13"/>
                <w:szCs w:val="13"/>
              </w:rPr>
            </w:pPr>
          </w:p>
        </w:tc>
        <w:tc>
          <w:tcPr>
            <w:tcW w:w="218" w:type="pct"/>
            <w:tcBorders>
              <w:top w:val="single" w:sz="4" w:space="0" w:color="auto"/>
              <w:left w:val="single" w:sz="4" w:space="0" w:color="auto"/>
              <w:bottom w:val="single" w:sz="4" w:space="0" w:color="auto"/>
              <w:right w:val="single" w:sz="4" w:space="0" w:color="auto"/>
            </w:tcBorders>
            <w:vAlign w:val="center"/>
          </w:tcPr>
          <w:p w14:paraId="382EE3D9" w14:textId="77777777" w:rsidR="00846EC2" w:rsidRPr="007061B3" w:rsidRDefault="00846EC2" w:rsidP="00846EC2">
            <w:pPr>
              <w:jc w:val="center"/>
              <w:rPr>
                <w:rFonts w:ascii="华文细黑" w:eastAsia="华文细黑" w:hAnsi="华文细黑"/>
                <w:color w:val="000000"/>
                <w:sz w:val="13"/>
                <w:szCs w:val="13"/>
              </w:rPr>
            </w:pPr>
          </w:p>
        </w:tc>
        <w:tc>
          <w:tcPr>
            <w:tcW w:w="206" w:type="pct"/>
            <w:tcBorders>
              <w:top w:val="single" w:sz="4" w:space="0" w:color="auto"/>
              <w:left w:val="single" w:sz="4" w:space="0" w:color="auto"/>
              <w:bottom w:val="single" w:sz="4" w:space="0" w:color="auto"/>
              <w:right w:val="single" w:sz="4" w:space="0" w:color="auto"/>
            </w:tcBorders>
            <w:vAlign w:val="center"/>
          </w:tcPr>
          <w:p w14:paraId="79E7C688" w14:textId="31FC8735"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1115</w:t>
            </w:r>
          </w:p>
        </w:tc>
        <w:tc>
          <w:tcPr>
            <w:tcW w:w="301" w:type="pct"/>
            <w:tcBorders>
              <w:top w:val="nil"/>
              <w:left w:val="nil"/>
              <w:bottom w:val="single" w:sz="4" w:space="0" w:color="auto"/>
              <w:right w:val="single" w:sz="4" w:space="0" w:color="auto"/>
            </w:tcBorders>
            <w:shd w:val="clear" w:color="auto" w:fill="auto"/>
            <w:noWrap/>
            <w:vAlign w:val="center"/>
            <w:hideMark/>
          </w:tcPr>
          <w:p w14:paraId="401E4A23" w14:textId="5DDCB4D8"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2760</w:t>
            </w:r>
          </w:p>
        </w:tc>
      </w:tr>
      <w:tr w:rsidR="00846EC2" w:rsidRPr="00D40239" w14:paraId="46466F72" w14:textId="77777777" w:rsidTr="00846EC2">
        <w:trPr>
          <w:trHeight w:val="340"/>
          <w:jc w:val="center"/>
        </w:trPr>
        <w:tc>
          <w:tcPr>
            <w:tcW w:w="174" w:type="pct"/>
            <w:tcBorders>
              <w:top w:val="nil"/>
              <w:left w:val="single" w:sz="4" w:space="0" w:color="auto"/>
              <w:bottom w:val="single" w:sz="4" w:space="0" w:color="auto"/>
              <w:right w:val="single" w:sz="4" w:space="0" w:color="auto"/>
            </w:tcBorders>
            <w:shd w:val="clear" w:color="auto" w:fill="auto"/>
            <w:noWrap/>
            <w:vAlign w:val="center"/>
            <w:hideMark/>
          </w:tcPr>
          <w:p w14:paraId="0C86560D"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15</w:t>
            </w:r>
          </w:p>
        </w:tc>
        <w:tc>
          <w:tcPr>
            <w:tcW w:w="576" w:type="pct"/>
            <w:tcBorders>
              <w:top w:val="nil"/>
              <w:left w:val="nil"/>
              <w:bottom w:val="single" w:sz="4" w:space="0" w:color="auto"/>
              <w:right w:val="single" w:sz="4" w:space="0" w:color="auto"/>
            </w:tcBorders>
            <w:shd w:val="clear" w:color="auto" w:fill="auto"/>
            <w:noWrap/>
            <w:vAlign w:val="center"/>
            <w:hideMark/>
          </w:tcPr>
          <w:p w14:paraId="189FF270"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年末未分配利润</w:t>
            </w:r>
          </w:p>
        </w:tc>
        <w:tc>
          <w:tcPr>
            <w:tcW w:w="244" w:type="pct"/>
            <w:tcBorders>
              <w:top w:val="nil"/>
              <w:left w:val="nil"/>
              <w:bottom w:val="single" w:sz="4" w:space="0" w:color="auto"/>
              <w:right w:val="single" w:sz="4" w:space="0" w:color="auto"/>
            </w:tcBorders>
            <w:shd w:val="clear" w:color="auto" w:fill="auto"/>
            <w:noWrap/>
            <w:vAlign w:val="center"/>
          </w:tcPr>
          <w:p w14:paraId="4B2471A0" w14:textId="6F2903AA" w:rsidR="00846EC2" w:rsidRPr="00D40239" w:rsidRDefault="00846EC2"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hideMark/>
          </w:tcPr>
          <w:p w14:paraId="5027F724" w14:textId="414960F1"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-470</w:t>
            </w:r>
          </w:p>
        </w:tc>
        <w:tc>
          <w:tcPr>
            <w:tcW w:w="274" w:type="pct"/>
            <w:tcBorders>
              <w:top w:val="nil"/>
              <w:left w:val="nil"/>
              <w:bottom w:val="single" w:sz="4" w:space="0" w:color="auto"/>
              <w:right w:val="single" w:sz="4" w:space="0" w:color="auto"/>
            </w:tcBorders>
            <w:shd w:val="clear" w:color="auto" w:fill="auto"/>
            <w:noWrap/>
            <w:vAlign w:val="center"/>
            <w:hideMark/>
          </w:tcPr>
          <w:p w14:paraId="28410F20" w14:textId="3718C269"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-6337</w:t>
            </w:r>
          </w:p>
        </w:tc>
        <w:tc>
          <w:tcPr>
            <w:tcW w:w="273" w:type="pct"/>
            <w:tcBorders>
              <w:top w:val="nil"/>
              <w:left w:val="nil"/>
              <w:bottom w:val="single" w:sz="4" w:space="0" w:color="auto"/>
              <w:right w:val="single" w:sz="4" w:space="0" w:color="auto"/>
            </w:tcBorders>
            <w:shd w:val="clear" w:color="auto" w:fill="auto"/>
            <w:noWrap/>
            <w:vAlign w:val="center"/>
            <w:hideMark/>
          </w:tcPr>
          <w:p w14:paraId="62EDF971" w14:textId="4BE70D36"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-12475</w:t>
            </w:r>
          </w:p>
        </w:tc>
        <w:tc>
          <w:tcPr>
            <w:tcW w:w="218" w:type="pct"/>
            <w:tcBorders>
              <w:top w:val="nil"/>
              <w:left w:val="nil"/>
              <w:bottom w:val="single" w:sz="4" w:space="0" w:color="auto"/>
              <w:right w:val="single" w:sz="4" w:space="0" w:color="auto"/>
            </w:tcBorders>
            <w:shd w:val="clear" w:color="auto" w:fill="auto"/>
            <w:noWrap/>
            <w:vAlign w:val="center"/>
            <w:hideMark/>
          </w:tcPr>
          <w:p w14:paraId="5E875471" w14:textId="79F2AD00"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-19057</w:t>
            </w:r>
          </w:p>
        </w:tc>
        <w:tc>
          <w:tcPr>
            <w:tcW w:w="218" w:type="pct"/>
            <w:tcBorders>
              <w:top w:val="nil"/>
              <w:left w:val="nil"/>
              <w:bottom w:val="single" w:sz="4" w:space="0" w:color="auto"/>
              <w:right w:val="single" w:sz="4" w:space="0" w:color="auto"/>
            </w:tcBorders>
            <w:shd w:val="clear" w:color="auto" w:fill="auto"/>
            <w:noWrap/>
            <w:vAlign w:val="center"/>
            <w:hideMark/>
          </w:tcPr>
          <w:p w14:paraId="08BF5E94" w14:textId="6DE3D7C7"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-22445</w:t>
            </w:r>
          </w:p>
        </w:tc>
        <w:tc>
          <w:tcPr>
            <w:tcW w:w="218" w:type="pct"/>
            <w:tcBorders>
              <w:top w:val="nil"/>
              <w:left w:val="nil"/>
              <w:bottom w:val="single" w:sz="4" w:space="0" w:color="auto"/>
              <w:right w:val="single" w:sz="4" w:space="0" w:color="auto"/>
            </w:tcBorders>
            <w:shd w:val="clear" w:color="auto" w:fill="auto"/>
            <w:noWrap/>
            <w:vAlign w:val="center"/>
            <w:hideMark/>
          </w:tcPr>
          <w:p w14:paraId="309BF9FB" w14:textId="58D9D405"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-22478</w:t>
            </w:r>
          </w:p>
        </w:tc>
        <w:tc>
          <w:tcPr>
            <w:tcW w:w="273" w:type="pct"/>
            <w:tcBorders>
              <w:top w:val="nil"/>
              <w:left w:val="nil"/>
              <w:bottom w:val="single" w:sz="4" w:space="0" w:color="auto"/>
              <w:right w:val="single" w:sz="4" w:space="0" w:color="auto"/>
            </w:tcBorders>
            <w:shd w:val="clear" w:color="auto" w:fill="auto"/>
            <w:noWrap/>
            <w:vAlign w:val="center"/>
            <w:hideMark/>
          </w:tcPr>
          <w:p w14:paraId="6AD1DE15" w14:textId="37A79EDB"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-21704</w:t>
            </w:r>
          </w:p>
        </w:tc>
        <w:tc>
          <w:tcPr>
            <w:tcW w:w="218" w:type="pct"/>
            <w:tcBorders>
              <w:top w:val="nil"/>
              <w:left w:val="nil"/>
              <w:bottom w:val="single" w:sz="4" w:space="0" w:color="auto"/>
              <w:right w:val="single" w:sz="4" w:space="0" w:color="auto"/>
            </w:tcBorders>
            <w:shd w:val="clear" w:color="auto" w:fill="auto"/>
            <w:noWrap/>
            <w:vAlign w:val="center"/>
            <w:hideMark/>
          </w:tcPr>
          <w:p w14:paraId="1041CBE9" w14:textId="348605A3"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-19669</w:t>
            </w:r>
          </w:p>
        </w:tc>
        <w:tc>
          <w:tcPr>
            <w:tcW w:w="275" w:type="pct"/>
            <w:tcBorders>
              <w:top w:val="nil"/>
              <w:left w:val="nil"/>
              <w:bottom w:val="single" w:sz="4" w:space="0" w:color="auto"/>
              <w:right w:val="single" w:sz="4" w:space="0" w:color="auto"/>
            </w:tcBorders>
            <w:shd w:val="clear" w:color="auto" w:fill="auto"/>
            <w:noWrap/>
            <w:vAlign w:val="center"/>
            <w:hideMark/>
          </w:tcPr>
          <w:p w14:paraId="47385BEC" w14:textId="1492FC09"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-16078</w:t>
            </w:r>
          </w:p>
        </w:tc>
        <w:tc>
          <w:tcPr>
            <w:tcW w:w="273" w:type="pct"/>
            <w:tcBorders>
              <w:top w:val="nil"/>
              <w:left w:val="nil"/>
              <w:bottom w:val="single" w:sz="4" w:space="0" w:color="auto"/>
              <w:right w:val="single" w:sz="4" w:space="0" w:color="auto"/>
            </w:tcBorders>
            <w:shd w:val="clear" w:color="auto" w:fill="auto"/>
            <w:noWrap/>
            <w:vAlign w:val="center"/>
            <w:hideMark/>
          </w:tcPr>
          <w:p w14:paraId="582B4200" w14:textId="65DB9320"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-10688</w:t>
            </w:r>
          </w:p>
        </w:tc>
        <w:tc>
          <w:tcPr>
            <w:tcW w:w="273" w:type="pct"/>
            <w:tcBorders>
              <w:top w:val="nil"/>
              <w:left w:val="nil"/>
              <w:bottom w:val="single" w:sz="4" w:space="0" w:color="auto"/>
              <w:right w:val="single" w:sz="4" w:space="0" w:color="auto"/>
            </w:tcBorders>
            <w:shd w:val="clear" w:color="auto" w:fill="auto"/>
            <w:noWrap/>
            <w:vAlign w:val="center"/>
            <w:hideMark/>
          </w:tcPr>
          <w:p w14:paraId="0E8FEEF7" w14:textId="33A812C2"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-6896</w:t>
            </w:r>
          </w:p>
        </w:tc>
        <w:tc>
          <w:tcPr>
            <w:tcW w:w="275" w:type="pct"/>
            <w:tcBorders>
              <w:top w:val="single" w:sz="4" w:space="0" w:color="auto"/>
              <w:left w:val="nil"/>
              <w:bottom w:val="single" w:sz="4" w:space="0" w:color="auto"/>
              <w:right w:val="single" w:sz="4" w:space="0" w:color="auto"/>
            </w:tcBorders>
            <w:vAlign w:val="center"/>
          </w:tcPr>
          <w:p w14:paraId="42CF41F6" w14:textId="51E4780A"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-4423</w:t>
            </w:r>
          </w:p>
        </w:tc>
        <w:tc>
          <w:tcPr>
            <w:tcW w:w="273" w:type="pct"/>
            <w:tcBorders>
              <w:top w:val="single" w:sz="4" w:space="0" w:color="auto"/>
              <w:left w:val="single" w:sz="4" w:space="0" w:color="auto"/>
              <w:bottom w:val="single" w:sz="4" w:space="0" w:color="auto"/>
              <w:right w:val="single" w:sz="4" w:space="0" w:color="auto"/>
            </w:tcBorders>
            <w:vAlign w:val="center"/>
          </w:tcPr>
          <w:p w14:paraId="2422581B" w14:textId="44DDF020"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-4258</w:t>
            </w:r>
          </w:p>
        </w:tc>
        <w:tc>
          <w:tcPr>
            <w:tcW w:w="218" w:type="pct"/>
            <w:tcBorders>
              <w:top w:val="single" w:sz="4" w:space="0" w:color="auto"/>
              <w:left w:val="single" w:sz="4" w:space="0" w:color="auto"/>
              <w:bottom w:val="single" w:sz="4" w:space="0" w:color="auto"/>
              <w:right w:val="single" w:sz="4" w:space="0" w:color="auto"/>
            </w:tcBorders>
            <w:vAlign w:val="center"/>
          </w:tcPr>
          <w:p w14:paraId="549AC033" w14:textId="1151C2F6"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-4049</w:t>
            </w:r>
          </w:p>
        </w:tc>
        <w:tc>
          <w:tcPr>
            <w:tcW w:w="206" w:type="pct"/>
            <w:tcBorders>
              <w:top w:val="single" w:sz="4" w:space="0" w:color="auto"/>
              <w:left w:val="single" w:sz="4" w:space="0" w:color="auto"/>
              <w:bottom w:val="single" w:sz="4" w:space="0" w:color="auto"/>
              <w:right w:val="single" w:sz="4" w:space="0" w:color="auto"/>
            </w:tcBorders>
            <w:vAlign w:val="center"/>
          </w:tcPr>
          <w:p w14:paraId="4FCC4DCD" w14:textId="08B107D9"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3134</w:t>
            </w:r>
          </w:p>
        </w:tc>
        <w:tc>
          <w:tcPr>
            <w:tcW w:w="301" w:type="pct"/>
            <w:tcBorders>
              <w:top w:val="nil"/>
              <w:left w:val="nil"/>
              <w:bottom w:val="single" w:sz="4" w:space="0" w:color="auto"/>
              <w:right w:val="single" w:sz="4" w:space="0" w:color="auto"/>
            </w:tcBorders>
            <w:shd w:val="clear" w:color="auto" w:fill="auto"/>
            <w:noWrap/>
            <w:vAlign w:val="center"/>
            <w:hideMark/>
          </w:tcPr>
          <w:p w14:paraId="2DB2FAA6" w14:textId="77777777" w:rsidR="00846EC2" w:rsidRPr="00D40239" w:rsidRDefault="00846EC2" w:rsidP="007B3231">
            <w:pPr>
              <w:jc w:val="center"/>
              <w:rPr>
                <w:rFonts w:ascii="华文细黑" w:eastAsia="华文细黑" w:hAnsi="华文细黑"/>
                <w:color w:val="000000"/>
                <w:sz w:val="13"/>
                <w:szCs w:val="13"/>
              </w:rPr>
            </w:pPr>
          </w:p>
        </w:tc>
      </w:tr>
    </w:tbl>
    <w:p w14:paraId="172E4AA6" w14:textId="77777777" w:rsidR="0053025C" w:rsidRPr="00E05368" w:rsidRDefault="0053025C" w:rsidP="0053025C">
      <w:pPr>
        <w:spacing w:line="0" w:lineRule="atLeast"/>
        <w:rPr>
          <w:rFonts w:ascii="华文细黑" w:eastAsia="华文细黑" w:hAnsi="华文细黑"/>
          <w:bCs/>
          <w:color w:val="000000"/>
          <w:sz w:val="15"/>
          <w:szCs w:val="15"/>
        </w:rPr>
      </w:pPr>
      <w:r w:rsidRPr="00E05368">
        <w:rPr>
          <w:rFonts w:ascii="华文细黑" w:eastAsia="华文细黑" w:hAnsi="华文细黑"/>
          <w:bCs/>
          <w:color w:val="000000"/>
          <w:sz w:val="15"/>
          <w:szCs w:val="15"/>
        </w:rPr>
        <w:t>单位：万元</w:t>
      </w:r>
    </w:p>
    <w:p w14:paraId="65F27ACC" w14:textId="77777777" w:rsidR="0053025C" w:rsidRPr="00E05368" w:rsidRDefault="0053025C" w:rsidP="0053025C">
      <w:pPr>
        <w:spacing w:line="0" w:lineRule="atLeast"/>
        <w:rPr>
          <w:rFonts w:ascii="华文细黑" w:eastAsia="华文细黑" w:hAnsi="华文细黑"/>
          <w:bCs/>
          <w:color w:val="000000"/>
          <w:sz w:val="15"/>
          <w:szCs w:val="15"/>
        </w:rPr>
      </w:pPr>
    </w:p>
    <w:p w14:paraId="225DE2AA" w14:textId="77777777" w:rsidR="0053025C" w:rsidRPr="00E05368" w:rsidRDefault="0053025C" w:rsidP="0053025C">
      <w:pPr>
        <w:spacing w:line="0" w:lineRule="atLeast"/>
        <w:rPr>
          <w:rFonts w:ascii="华文细黑" w:eastAsia="华文细黑" w:hAnsi="华文细黑"/>
          <w:bCs/>
          <w:color w:val="000000"/>
          <w:sz w:val="15"/>
          <w:szCs w:val="15"/>
        </w:rPr>
      </w:pPr>
    </w:p>
    <w:p w14:paraId="06CD6595" w14:textId="77777777" w:rsidR="0053025C" w:rsidRPr="00E05368" w:rsidRDefault="0053025C" w:rsidP="0053025C">
      <w:pPr>
        <w:spacing w:line="0" w:lineRule="atLeast"/>
        <w:rPr>
          <w:rFonts w:ascii="华文细黑" w:eastAsia="华文细黑" w:hAnsi="华文细黑"/>
          <w:bCs/>
          <w:color w:val="000000"/>
          <w:sz w:val="15"/>
          <w:szCs w:val="15"/>
        </w:rPr>
      </w:pPr>
    </w:p>
    <w:p w14:paraId="10BEC618" w14:textId="77777777" w:rsidR="0053025C" w:rsidRPr="00E05368" w:rsidRDefault="0053025C" w:rsidP="0053025C">
      <w:pPr>
        <w:spacing w:line="0" w:lineRule="atLeast"/>
        <w:rPr>
          <w:rFonts w:ascii="华文细黑" w:eastAsia="华文细黑" w:hAnsi="华文细黑"/>
          <w:bCs/>
          <w:color w:val="000000"/>
          <w:sz w:val="15"/>
          <w:szCs w:val="15"/>
        </w:rPr>
      </w:pPr>
    </w:p>
    <w:p w14:paraId="01C24CB5" w14:textId="77777777" w:rsidR="0053025C" w:rsidRPr="00E05368" w:rsidRDefault="0053025C" w:rsidP="0053025C">
      <w:pPr>
        <w:spacing w:line="0" w:lineRule="atLeast"/>
        <w:rPr>
          <w:rFonts w:ascii="华文细黑" w:eastAsia="华文细黑" w:hAnsi="华文细黑"/>
          <w:bCs/>
          <w:color w:val="000000"/>
          <w:sz w:val="15"/>
          <w:szCs w:val="15"/>
        </w:rPr>
      </w:pPr>
    </w:p>
    <w:p w14:paraId="160561E5" w14:textId="77777777" w:rsidR="0053025C" w:rsidRPr="00E05368" w:rsidRDefault="0053025C" w:rsidP="0053025C">
      <w:pPr>
        <w:spacing w:line="0" w:lineRule="atLeast"/>
        <w:rPr>
          <w:rFonts w:ascii="华文细黑" w:eastAsia="华文细黑" w:hAnsi="华文细黑"/>
          <w:bCs/>
          <w:color w:val="000000"/>
          <w:sz w:val="15"/>
          <w:szCs w:val="15"/>
        </w:rPr>
      </w:pPr>
    </w:p>
    <w:p w14:paraId="67895320" w14:textId="77777777" w:rsidR="0053025C" w:rsidRPr="00E05368" w:rsidRDefault="0053025C" w:rsidP="0053025C">
      <w:pPr>
        <w:spacing w:line="0" w:lineRule="atLeast"/>
        <w:rPr>
          <w:rFonts w:ascii="华文细黑" w:eastAsia="华文细黑" w:hAnsi="华文细黑"/>
          <w:bCs/>
          <w:color w:val="000000"/>
          <w:sz w:val="15"/>
          <w:szCs w:val="15"/>
        </w:rPr>
      </w:pPr>
    </w:p>
    <w:p w14:paraId="1A46E7AA" w14:textId="77777777" w:rsidR="0053025C" w:rsidRPr="00E05368" w:rsidRDefault="0053025C" w:rsidP="0053025C">
      <w:pPr>
        <w:spacing w:line="0" w:lineRule="atLeast"/>
        <w:rPr>
          <w:rFonts w:ascii="华文细黑" w:eastAsia="华文细黑" w:hAnsi="华文细黑"/>
          <w:bCs/>
          <w:color w:val="000000"/>
          <w:sz w:val="15"/>
          <w:szCs w:val="15"/>
        </w:rPr>
      </w:pPr>
    </w:p>
    <w:p w14:paraId="2D3233F5" w14:textId="77777777" w:rsidR="0053025C" w:rsidRDefault="0053025C" w:rsidP="0053025C">
      <w:pPr>
        <w:spacing w:line="0" w:lineRule="atLeast"/>
        <w:rPr>
          <w:rFonts w:ascii="华文细黑" w:eastAsia="华文细黑" w:hAnsi="华文细黑"/>
          <w:bCs/>
          <w:color w:val="000000"/>
          <w:sz w:val="15"/>
          <w:szCs w:val="15"/>
        </w:rPr>
      </w:pPr>
    </w:p>
    <w:p w14:paraId="7A00179D" w14:textId="77777777" w:rsidR="0053025C" w:rsidRPr="00E05368" w:rsidRDefault="0053025C" w:rsidP="0053025C">
      <w:pPr>
        <w:spacing w:line="0" w:lineRule="atLeast"/>
        <w:rPr>
          <w:rFonts w:ascii="华文细黑" w:eastAsia="华文细黑" w:hAnsi="华文细黑"/>
          <w:bCs/>
          <w:color w:val="000000"/>
          <w:sz w:val="15"/>
          <w:szCs w:val="15"/>
        </w:rPr>
      </w:pPr>
    </w:p>
    <w:p w14:paraId="7096EB87" w14:textId="77777777" w:rsidR="0053025C" w:rsidRPr="00E05368" w:rsidRDefault="0053025C" w:rsidP="0053025C">
      <w:pPr>
        <w:spacing w:line="0" w:lineRule="atLeast"/>
        <w:rPr>
          <w:rFonts w:ascii="华文细黑" w:eastAsia="华文细黑" w:hAnsi="华文细黑"/>
          <w:bCs/>
          <w:color w:val="000000"/>
          <w:sz w:val="15"/>
          <w:szCs w:val="15"/>
        </w:rPr>
      </w:pPr>
    </w:p>
    <w:p w14:paraId="68D67FDE" w14:textId="77777777" w:rsidR="0053025C" w:rsidRPr="00E05368" w:rsidRDefault="0053025C" w:rsidP="0053025C">
      <w:pPr>
        <w:adjustRightInd w:val="0"/>
        <w:snapToGrid w:val="0"/>
        <w:spacing w:line="360" w:lineRule="auto"/>
        <w:ind w:firstLineChars="150" w:firstLine="315"/>
        <w:rPr>
          <w:rFonts w:ascii="Arial" w:hAnsi="Arial" w:cs="Arial"/>
          <w:bCs/>
          <w:color w:val="000000"/>
          <w:sz w:val="21"/>
          <w:szCs w:val="21"/>
        </w:rPr>
      </w:pPr>
      <w:r w:rsidRPr="00E05368">
        <w:rPr>
          <w:rFonts w:ascii="Arial" w:eastAsia="仿宋_GB2312" w:hAnsi="Arial" w:cs="Arial" w:hint="eastAsia"/>
          <w:bCs/>
          <w:color w:val="000000"/>
          <w:sz w:val="21"/>
          <w:szCs w:val="21"/>
        </w:rPr>
        <w:lastRenderedPageBreak/>
        <w:t>（</w:t>
      </w:r>
      <w:r w:rsidRPr="00E05368">
        <w:rPr>
          <w:rFonts w:ascii="Arial" w:eastAsia="仿宋_GB2312" w:hAnsi="Arial" w:cs="Arial"/>
          <w:bCs/>
          <w:color w:val="000000"/>
          <w:sz w:val="21"/>
          <w:szCs w:val="21"/>
        </w:rPr>
        <w:t>4</w:t>
      </w:r>
      <w:r w:rsidRPr="00E05368">
        <w:rPr>
          <w:rFonts w:ascii="Arial" w:eastAsia="仿宋_GB2312" w:hAnsi="Arial" w:cs="Arial" w:hint="eastAsia"/>
          <w:bCs/>
          <w:color w:val="000000"/>
          <w:sz w:val="21"/>
          <w:szCs w:val="21"/>
        </w:rPr>
        <w:t>）</w:t>
      </w:r>
      <w:r w:rsidRPr="00E05368">
        <w:rPr>
          <w:rFonts w:ascii="Arial" w:hAnsi="Arial" w:cs="Arial" w:hint="eastAsia"/>
          <w:bCs/>
          <w:color w:val="000000"/>
          <w:sz w:val="21"/>
          <w:szCs w:val="21"/>
        </w:rPr>
        <w:t>资金来源与运用表（主表</w:t>
      </w:r>
      <w:r w:rsidRPr="00E05368">
        <w:rPr>
          <w:rFonts w:ascii="Arial" w:hAnsi="Arial" w:cs="Arial"/>
          <w:bCs/>
          <w:color w:val="000000"/>
          <w:sz w:val="21"/>
          <w:szCs w:val="21"/>
        </w:rPr>
        <w:t>4</w:t>
      </w:r>
      <w:r w:rsidRPr="00E05368">
        <w:rPr>
          <w:rFonts w:ascii="Arial" w:hAnsi="Arial" w:cs="Arial" w:hint="eastAsia"/>
          <w:bCs/>
          <w:color w:val="000000"/>
          <w:sz w:val="21"/>
          <w:szCs w:val="21"/>
        </w:rPr>
        <w:t>）</w:t>
      </w:r>
    </w:p>
    <w:tbl>
      <w:tblPr>
        <w:tblW w:w="14572" w:type="dxa"/>
        <w:tblInd w:w="113" w:type="dxa"/>
        <w:tblCellMar>
          <w:left w:w="28" w:type="dxa"/>
          <w:right w:w="28" w:type="dxa"/>
        </w:tblCellMar>
        <w:tblLook w:val="04A0" w:firstRow="1" w:lastRow="0" w:firstColumn="1" w:lastColumn="0" w:noHBand="0" w:noVBand="1"/>
      </w:tblPr>
      <w:tblGrid>
        <w:gridCol w:w="402"/>
        <w:gridCol w:w="1480"/>
        <w:gridCol w:w="835"/>
        <w:gridCol w:w="669"/>
        <w:gridCol w:w="669"/>
        <w:gridCol w:w="669"/>
        <w:gridCol w:w="836"/>
        <w:gridCol w:w="836"/>
        <w:gridCol w:w="835"/>
        <w:gridCol w:w="836"/>
        <w:gridCol w:w="836"/>
        <w:gridCol w:w="836"/>
        <w:gridCol w:w="835"/>
        <w:gridCol w:w="669"/>
        <w:gridCol w:w="669"/>
        <w:gridCol w:w="669"/>
        <w:gridCol w:w="502"/>
        <w:gridCol w:w="574"/>
        <w:gridCol w:w="915"/>
      </w:tblGrid>
      <w:tr w:rsidR="00B32F7E" w:rsidRPr="0009296A" w14:paraId="6CBBC610" w14:textId="77777777" w:rsidTr="00196AC7">
        <w:trPr>
          <w:trHeight w:val="340"/>
        </w:trPr>
        <w:tc>
          <w:tcPr>
            <w:tcW w:w="402" w:type="dxa"/>
            <w:vMerge w:val="restart"/>
            <w:tcBorders>
              <w:top w:val="single" w:sz="4" w:space="0" w:color="auto"/>
              <w:left w:val="single" w:sz="4" w:space="0" w:color="auto"/>
              <w:right w:val="single" w:sz="4" w:space="0" w:color="auto"/>
            </w:tcBorders>
            <w:shd w:val="clear" w:color="auto" w:fill="auto"/>
            <w:noWrap/>
            <w:vAlign w:val="center"/>
            <w:hideMark/>
          </w:tcPr>
          <w:p w14:paraId="07F46229" w14:textId="77777777" w:rsidR="00B32F7E" w:rsidRPr="0009296A" w:rsidRDefault="00B32F7E" w:rsidP="007B3231">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序号</w:t>
            </w:r>
          </w:p>
        </w:tc>
        <w:tc>
          <w:tcPr>
            <w:tcW w:w="1480" w:type="dxa"/>
            <w:vMerge w:val="restart"/>
            <w:tcBorders>
              <w:top w:val="single" w:sz="4" w:space="0" w:color="auto"/>
              <w:left w:val="nil"/>
              <w:right w:val="nil"/>
            </w:tcBorders>
            <w:shd w:val="clear" w:color="auto" w:fill="auto"/>
            <w:noWrap/>
            <w:vAlign w:val="center"/>
            <w:hideMark/>
          </w:tcPr>
          <w:p w14:paraId="456671B2" w14:textId="77777777" w:rsidR="00B32F7E" w:rsidRPr="0009296A" w:rsidRDefault="00B32F7E" w:rsidP="007B3231">
            <w:pPr>
              <w:ind w:right="260"/>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项目</w:t>
            </w:r>
          </w:p>
        </w:tc>
        <w:tc>
          <w:tcPr>
            <w:tcW w:w="2842"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451BC373" w14:textId="77777777" w:rsidR="00B32F7E" w:rsidRPr="0009296A" w:rsidRDefault="00B32F7E" w:rsidP="007B3231">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2021年</w:t>
            </w:r>
          </w:p>
        </w:tc>
        <w:tc>
          <w:tcPr>
            <w:tcW w:w="3343"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5525DDA1" w14:textId="77777777" w:rsidR="00B32F7E" w:rsidRPr="0009296A" w:rsidRDefault="00B32F7E" w:rsidP="007B3231">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2022年</w:t>
            </w:r>
          </w:p>
        </w:tc>
        <w:tc>
          <w:tcPr>
            <w:tcW w:w="3176" w:type="dxa"/>
            <w:gridSpan w:val="4"/>
            <w:tcBorders>
              <w:top w:val="single" w:sz="4" w:space="0" w:color="auto"/>
              <w:left w:val="nil"/>
              <w:bottom w:val="single" w:sz="4" w:space="0" w:color="auto"/>
              <w:right w:val="single" w:sz="4" w:space="0" w:color="auto"/>
            </w:tcBorders>
            <w:shd w:val="clear" w:color="auto" w:fill="auto"/>
            <w:noWrap/>
            <w:vAlign w:val="center"/>
            <w:hideMark/>
          </w:tcPr>
          <w:p w14:paraId="28B454F0" w14:textId="77777777" w:rsidR="00B32F7E" w:rsidRPr="0009296A" w:rsidRDefault="00B32F7E" w:rsidP="007B3231">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2023年</w:t>
            </w:r>
          </w:p>
        </w:tc>
        <w:tc>
          <w:tcPr>
            <w:tcW w:w="2414" w:type="dxa"/>
            <w:gridSpan w:val="4"/>
            <w:tcBorders>
              <w:top w:val="single" w:sz="4" w:space="0" w:color="auto"/>
              <w:left w:val="single" w:sz="4" w:space="0" w:color="auto"/>
              <w:bottom w:val="single" w:sz="4" w:space="0" w:color="auto"/>
              <w:right w:val="single" w:sz="4" w:space="0" w:color="auto"/>
            </w:tcBorders>
            <w:vAlign w:val="center"/>
          </w:tcPr>
          <w:p w14:paraId="292B40CC" w14:textId="77777777" w:rsidR="00B32F7E" w:rsidRPr="0009296A" w:rsidRDefault="00B32F7E" w:rsidP="007B3231">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2024年</w:t>
            </w:r>
          </w:p>
        </w:tc>
        <w:tc>
          <w:tcPr>
            <w:tcW w:w="915" w:type="dxa"/>
            <w:vMerge w:val="restart"/>
            <w:tcBorders>
              <w:top w:val="single" w:sz="4" w:space="0" w:color="auto"/>
              <w:left w:val="nil"/>
              <w:right w:val="single" w:sz="4" w:space="0" w:color="auto"/>
            </w:tcBorders>
            <w:shd w:val="clear" w:color="auto" w:fill="auto"/>
            <w:noWrap/>
            <w:vAlign w:val="center"/>
            <w:hideMark/>
          </w:tcPr>
          <w:p w14:paraId="6B95CBE3" w14:textId="77777777" w:rsidR="00B32F7E" w:rsidRPr="0009296A" w:rsidRDefault="00B32F7E" w:rsidP="00196AC7">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合计</w:t>
            </w:r>
          </w:p>
        </w:tc>
      </w:tr>
      <w:tr w:rsidR="00B32F7E" w:rsidRPr="0009296A" w14:paraId="18266B48" w14:textId="77777777" w:rsidTr="00196AC7">
        <w:trPr>
          <w:trHeight w:val="340"/>
        </w:trPr>
        <w:tc>
          <w:tcPr>
            <w:tcW w:w="402" w:type="dxa"/>
            <w:vMerge/>
            <w:tcBorders>
              <w:left w:val="single" w:sz="4" w:space="0" w:color="auto"/>
              <w:bottom w:val="single" w:sz="4" w:space="0" w:color="auto"/>
              <w:right w:val="single" w:sz="4" w:space="0" w:color="auto"/>
            </w:tcBorders>
            <w:shd w:val="clear" w:color="auto" w:fill="auto"/>
            <w:noWrap/>
            <w:vAlign w:val="center"/>
            <w:hideMark/>
          </w:tcPr>
          <w:p w14:paraId="7AAA44BA" w14:textId="77777777" w:rsidR="00B32F7E" w:rsidRPr="0009296A" w:rsidRDefault="00B32F7E" w:rsidP="007B3231">
            <w:pPr>
              <w:jc w:val="both"/>
              <w:rPr>
                <w:rFonts w:ascii="华文细黑" w:eastAsia="华文细黑" w:hAnsi="华文细黑"/>
                <w:color w:val="000000"/>
                <w:sz w:val="13"/>
                <w:szCs w:val="13"/>
              </w:rPr>
            </w:pPr>
          </w:p>
        </w:tc>
        <w:tc>
          <w:tcPr>
            <w:tcW w:w="1480" w:type="dxa"/>
            <w:vMerge/>
            <w:tcBorders>
              <w:left w:val="nil"/>
              <w:bottom w:val="single" w:sz="4" w:space="0" w:color="auto"/>
              <w:right w:val="nil"/>
            </w:tcBorders>
            <w:shd w:val="clear" w:color="auto" w:fill="auto"/>
            <w:noWrap/>
            <w:vAlign w:val="center"/>
            <w:hideMark/>
          </w:tcPr>
          <w:p w14:paraId="711B8994" w14:textId="77777777" w:rsidR="00B32F7E" w:rsidRPr="0009296A" w:rsidRDefault="00B32F7E" w:rsidP="007B3231">
            <w:pPr>
              <w:jc w:val="both"/>
              <w:rPr>
                <w:rFonts w:ascii="华文细黑" w:eastAsia="华文细黑" w:hAnsi="华文细黑"/>
                <w:color w:val="000000"/>
                <w:sz w:val="13"/>
                <w:szCs w:val="13"/>
              </w:rPr>
            </w:pPr>
          </w:p>
        </w:tc>
        <w:tc>
          <w:tcPr>
            <w:tcW w:w="835" w:type="dxa"/>
            <w:tcBorders>
              <w:top w:val="nil"/>
              <w:left w:val="single" w:sz="4" w:space="0" w:color="auto"/>
              <w:bottom w:val="single" w:sz="4" w:space="0" w:color="auto"/>
              <w:right w:val="nil"/>
            </w:tcBorders>
            <w:shd w:val="clear" w:color="auto" w:fill="auto"/>
            <w:noWrap/>
            <w:vAlign w:val="center"/>
            <w:hideMark/>
          </w:tcPr>
          <w:p w14:paraId="09E96027" w14:textId="77777777" w:rsidR="00B32F7E" w:rsidRPr="0009296A" w:rsidRDefault="00B32F7E" w:rsidP="007B3231">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Q1</w:t>
            </w:r>
          </w:p>
        </w:tc>
        <w:tc>
          <w:tcPr>
            <w:tcW w:w="669" w:type="dxa"/>
            <w:tcBorders>
              <w:top w:val="nil"/>
              <w:left w:val="single" w:sz="4" w:space="0" w:color="auto"/>
              <w:bottom w:val="single" w:sz="4" w:space="0" w:color="auto"/>
              <w:right w:val="nil"/>
            </w:tcBorders>
            <w:shd w:val="clear" w:color="auto" w:fill="auto"/>
            <w:noWrap/>
            <w:vAlign w:val="center"/>
            <w:hideMark/>
          </w:tcPr>
          <w:p w14:paraId="591A7CA7" w14:textId="77777777" w:rsidR="00B32F7E" w:rsidRPr="0009296A" w:rsidRDefault="00B32F7E" w:rsidP="007B3231">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Q2</w:t>
            </w:r>
          </w:p>
        </w:tc>
        <w:tc>
          <w:tcPr>
            <w:tcW w:w="669" w:type="dxa"/>
            <w:tcBorders>
              <w:top w:val="nil"/>
              <w:left w:val="single" w:sz="4" w:space="0" w:color="auto"/>
              <w:bottom w:val="single" w:sz="4" w:space="0" w:color="auto"/>
              <w:right w:val="nil"/>
            </w:tcBorders>
            <w:shd w:val="clear" w:color="auto" w:fill="auto"/>
            <w:noWrap/>
            <w:vAlign w:val="center"/>
            <w:hideMark/>
          </w:tcPr>
          <w:p w14:paraId="682CED41" w14:textId="77777777" w:rsidR="00B32F7E" w:rsidRPr="0009296A" w:rsidRDefault="00B32F7E" w:rsidP="007B3231">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Q3</w:t>
            </w:r>
          </w:p>
        </w:tc>
        <w:tc>
          <w:tcPr>
            <w:tcW w:w="669" w:type="dxa"/>
            <w:tcBorders>
              <w:top w:val="nil"/>
              <w:left w:val="single" w:sz="4" w:space="0" w:color="auto"/>
              <w:bottom w:val="single" w:sz="4" w:space="0" w:color="auto"/>
              <w:right w:val="nil"/>
            </w:tcBorders>
            <w:shd w:val="clear" w:color="auto" w:fill="auto"/>
            <w:noWrap/>
            <w:vAlign w:val="center"/>
            <w:hideMark/>
          </w:tcPr>
          <w:p w14:paraId="1E96C79C" w14:textId="77777777" w:rsidR="00B32F7E" w:rsidRPr="0009296A" w:rsidRDefault="00B32F7E" w:rsidP="007B3231">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Q4</w:t>
            </w:r>
          </w:p>
        </w:tc>
        <w:tc>
          <w:tcPr>
            <w:tcW w:w="836" w:type="dxa"/>
            <w:tcBorders>
              <w:top w:val="nil"/>
              <w:left w:val="single" w:sz="4" w:space="0" w:color="auto"/>
              <w:bottom w:val="single" w:sz="4" w:space="0" w:color="auto"/>
              <w:right w:val="nil"/>
            </w:tcBorders>
            <w:shd w:val="clear" w:color="auto" w:fill="auto"/>
            <w:noWrap/>
            <w:vAlign w:val="center"/>
            <w:hideMark/>
          </w:tcPr>
          <w:p w14:paraId="19745BDA" w14:textId="77777777" w:rsidR="00B32F7E" w:rsidRPr="0009296A" w:rsidRDefault="00B32F7E" w:rsidP="007B3231">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Q1</w:t>
            </w:r>
          </w:p>
        </w:tc>
        <w:tc>
          <w:tcPr>
            <w:tcW w:w="836" w:type="dxa"/>
            <w:tcBorders>
              <w:top w:val="nil"/>
              <w:left w:val="single" w:sz="4" w:space="0" w:color="auto"/>
              <w:bottom w:val="single" w:sz="4" w:space="0" w:color="auto"/>
              <w:right w:val="nil"/>
            </w:tcBorders>
            <w:shd w:val="clear" w:color="auto" w:fill="auto"/>
            <w:noWrap/>
            <w:vAlign w:val="center"/>
            <w:hideMark/>
          </w:tcPr>
          <w:p w14:paraId="1FF48C2B" w14:textId="77777777" w:rsidR="00B32F7E" w:rsidRPr="0009296A" w:rsidRDefault="00B32F7E" w:rsidP="007B3231">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Q2</w:t>
            </w:r>
          </w:p>
        </w:tc>
        <w:tc>
          <w:tcPr>
            <w:tcW w:w="835" w:type="dxa"/>
            <w:tcBorders>
              <w:top w:val="nil"/>
              <w:left w:val="single" w:sz="4" w:space="0" w:color="auto"/>
              <w:bottom w:val="single" w:sz="4" w:space="0" w:color="auto"/>
              <w:right w:val="nil"/>
            </w:tcBorders>
            <w:shd w:val="clear" w:color="auto" w:fill="auto"/>
            <w:noWrap/>
            <w:vAlign w:val="center"/>
            <w:hideMark/>
          </w:tcPr>
          <w:p w14:paraId="03B21C86" w14:textId="77777777" w:rsidR="00B32F7E" w:rsidRPr="0009296A" w:rsidRDefault="00B32F7E" w:rsidP="007B3231">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Q3</w:t>
            </w:r>
          </w:p>
        </w:tc>
        <w:tc>
          <w:tcPr>
            <w:tcW w:w="836" w:type="dxa"/>
            <w:tcBorders>
              <w:top w:val="nil"/>
              <w:left w:val="single" w:sz="4" w:space="0" w:color="auto"/>
              <w:bottom w:val="single" w:sz="4" w:space="0" w:color="auto"/>
              <w:right w:val="nil"/>
            </w:tcBorders>
            <w:shd w:val="clear" w:color="auto" w:fill="auto"/>
            <w:noWrap/>
            <w:vAlign w:val="center"/>
            <w:hideMark/>
          </w:tcPr>
          <w:p w14:paraId="62FCFE6B" w14:textId="77777777" w:rsidR="00B32F7E" w:rsidRPr="0009296A" w:rsidRDefault="00B32F7E" w:rsidP="007B3231">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Q4</w:t>
            </w:r>
          </w:p>
        </w:tc>
        <w:tc>
          <w:tcPr>
            <w:tcW w:w="836" w:type="dxa"/>
            <w:tcBorders>
              <w:top w:val="nil"/>
              <w:left w:val="single" w:sz="4" w:space="0" w:color="auto"/>
              <w:bottom w:val="single" w:sz="4" w:space="0" w:color="auto"/>
              <w:right w:val="nil"/>
            </w:tcBorders>
            <w:shd w:val="clear" w:color="auto" w:fill="auto"/>
            <w:noWrap/>
            <w:vAlign w:val="center"/>
            <w:hideMark/>
          </w:tcPr>
          <w:p w14:paraId="1EB9427D" w14:textId="77777777" w:rsidR="00B32F7E" w:rsidRPr="0009296A" w:rsidRDefault="00B32F7E" w:rsidP="007B3231">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Q1</w:t>
            </w:r>
          </w:p>
        </w:tc>
        <w:tc>
          <w:tcPr>
            <w:tcW w:w="836" w:type="dxa"/>
            <w:tcBorders>
              <w:top w:val="nil"/>
              <w:left w:val="single" w:sz="4" w:space="0" w:color="auto"/>
              <w:bottom w:val="single" w:sz="4" w:space="0" w:color="auto"/>
              <w:right w:val="nil"/>
            </w:tcBorders>
            <w:shd w:val="clear" w:color="auto" w:fill="auto"/>
            <w:noWrap/>
            <w:vAlign w:val="center"/>
            <w:hideMark/>
          </w:tcPr>
          <w:p w14:paraId="4438734D" w14:textId="77777777" w:rsidR="00B32F7E" w:rsidRPr="0009296A" w:rsidRDefault="00B32F7E" w:rsidP="007B3231">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Q2</w:t>
            </w:r>
          </w:p>
        </w:tc>
        <w:tc>
          <w:tcPr>
            <w:tcW w:w="835" w:type="dxa"/>
            <w:tcBorders>
              <w:top w:val="nil"/>
              <w:left w:val="single" w:sz="4" w:space="0" w:color="auto"/>
              <w:bottom w:val="single" w:sz="4" w:space="0" w:color="auto"/>
              <w:right w:val="nil"/>
            </w:tcBorders>
            <w:shd w:val="clear" w:color="auto" w:fill="auto"/>
            <w:noWrap/>
            <w:vAlign w:val="center"/>
            <w:hideMark/>
          </w:tcPr>
          <w:p w14:paraId="44AC2C29" w14:textId="77777777" w:rsidR="00B32F7E" w:rsidRPr="0009296A" w:rsidRDefault="00B32F7E" w:rsidP="007B3231">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Q3</w:t>
            </w:r>
          </w:p>
        </w:tc>
        <w:tc>
          <w:tcPr>
            <w:tcW w:w="669" w:type="dxa"/>
            <w:tcBorders>
              <w:top w:val="nil"/>
              <w:left w:val="single" w:sz="4" w:space="0" w:color="auto"/>
              <w:bottom w:val="single" w:sz="4" w:space="0" w:color="auto"/>
              <w:right w:val="nil"/>
            </w:tcBorders>
            <w:shd w:val="clear" w:color="auto" w:fill="auto"/>
            <w:noWrap/>
            <w:vAlign w:val="center"/>
            <w:hideMark/>
          </w:tcPr>
          <w:p w14:paraId="1C26FCE9" w14:textId="77777777" w:rsidR="00B32F7E" w:rsidRPr="0009296A" w:rsidRDefault="00B32F7E" w:rsidP="007B3231">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Q4</w:t>
            </w:r>
          </w:p>
        </w:tc>
        <w:tc>
          <w:tcPr>
            <w:tcW w:w="669" w:type="dxa"/>
            <w:tcBorders>
              <w:top w:val="single" w:sz="4" w:space="0" w:color="auto"/>
              <w:left w:val="single" w:sz="4" w:space="0" w:color="auto"/>
              <w:bottom w:val="single" w:sz="4" w:space="0" w:color="auto"/>
              <w:right w:val="single" w:sz="4" w:space="0" w:color="auto"/>
            </w:tcBorders>
            <w:vAlign w:val="center"/>
          </w:tcPr>
          <w:p w14:paraId="1EC12C38" w14:textId="77777777" w:rsidR="00B32F7E" w:rsidRPr="0009296A" w:rsidRDefault="00B32F7E" w:rsidP="007B3231">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Q1</w:t>
            </w:r>
          </w:p>
        </w:tc>
        <w:tc>
          <w:tcPr>
            <w:tcW w:w="669" w:type="dxa"/>
            <w:tcBorders>
              <w:top w:val="single" w:sz="4" w:space="0" w:color="auto"/>
              <w:left w:val="single" w:sz="4" w:space="0" w:color="auto"/>
              <w:bottom w:val="single" w:sz="4" w:space="0" w:color="auto"/>
              <w:right w:val="single" w:sz="4" w:space="0" w:color="auto"/>
            </w:tcBorders>
            <w:vAlign w:val="center"/>
          </w:tcPr>
          <w:p w14:paraId="73CA354F" w14:textId="77777777" w:rsidR="00B32F7E" w:rsidRPr="0009296A" w:rsidRDefault="00B32F7E" w:rsidP="007B3231">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Q2</w:t>
            </w:r>
          </w:p>
        </w:tc>
        <w:tc>
          <w:tcPr>
            <w:tcW w:w="502" w:type="dxa"/>
            <w:tcBorders>
              <w:top w:val="single" w:sz="4" w:space="0" w:color="auto"/>
              <w:left w:val="single" w:sz="4" w:space="0" w:color="auto"/>
              <w:bottom w:val="single" w:sz="4" w:space="0" w:color="auto"/>
              <w:right w:val="single" w:sz="4" w:space="0" w:color="auto"/>
            </w:tcBorders>
            <w:vAlign w:val="center"/>
          </w:tcPr>
          <w:p w14:paraId="2F6C1727" w14:textId="77777777" w:rsidR="00B32F7E" w:rsidRPr="0009296A" w:rsidRDefault="00B32F7E" w:rsidP="007B3231">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Q3</w:t>
            </w:r>
          </w:p>
        </w:tc>
        <w:tc>
          <w:tcPr>
            <w:tcW w:w="574" w:type="dxa"/>
            <w:tcBorders>
              <w:top w:val="single" w:sz="4" w:space="0" w:color="auto"/>
              <w:left w:val="single" w:sz="4" w:space="0" w:color="auto"/>
              <w:bottom w:val="single" w:sz="4" w:space="0" w:color="auto"/>
              <w:right w:val="single" w:sz="4" w:space="0" w:color="auto"/>
            </w:tcBorders>
            <w:vAlign w:val="center"/>
          </w:tcPr>
          <w:p w14:paraId="60C10BF5" w14:textId="77777777" w:rsidR="00B32F7E" w:rsidRPr="0009296A" w:rsidRDefault="00B32F7E" w:rsidP="007B3231">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Q4</w:t>
            </w:r>
          </w:p>
        </w:tc>
        <w:tc>
          <w:tcPr>
            <w:tcW w:w="915" w:type="dxa"/>
            <w:vMerge/>
            <w:tcBorders>
              <w:left w:val="single" w:sz="4" w:space="0" w:color="auto"/>
              <w:bottom w:val="single" w:sz="4" w:space="0" w:color="auto"/>
              <w:right w:val="single" w:sz="4" w:space="0" w:color="auto"/>
            </w:tcBorders>
            <w:shd w:val="clear" w:color="auto" w:fill="auto"/>
            <w:noWrap/>
            <w:vAlign w:val="center"/>
            <w:hideMark/>
          </w:tcPr>
          <w:p w14:paraId="1966CF2B" w14:textId="77777777" w:rsidR="00B32F7E" w:rsidRPr="0009296A" w:rsidRDefault="00B32F7E" w:rsidP="00196AC7">
            <w:pPr>
              <w:jc w:val="center"/>
              <w:rPr>
                <w:rFonts w:ascii="华文细黑" w:eastAsia="华文细黑" w:hAnsi="华文细黑"/>
                <w:color w:val="000000"/>
                <w:sz w:val="13"/>
                <w:szCs w:val="13"/>
              </w:rPr>
            </w:pPr>
          </w:p>
        </w:tc>
      </w:tr>
      <w:tr w:rsidR="00D64DE1" w:rsidRPr="0009296A" w14:paraId="6883525E" w14:textId="77777777" w:rsidTr="00196AC7">
        <w:trPr>
          <w:trHeight w:val="340"/>
        </w:trPr>
        <w:tc>
          <w:tcPr>
            <w:tcW w:w="402" w:type="dxa"/>
            <w:tcBorders>
              <w:top w:val="nil"/>
              <w:left w:val="single" w:sz="4" w:space="0" w:color="auto"/>
              <w:bottom w:val="single" w:sz="4" w:space="0" w:color="auto"/>
              <w:right w:val="single" w:sz="4" w:space="0" w:color="auto"/>
            </w:tcBorders>
            <w:shd w:val="clear" w:color="auto" w:fill="auto"/>
            <w:noWrap/>
            <w:vAlign w:val="center"/>
            <w:hideMark/>
          </w:tcPr>
          <w:p w14:paraId="14EE67A6" w14:textId="77777777" w:rsidR="00D64DE1" w:rsidRPr="0009296A" w:rsidRDefault="00D64DE1" w:rsidP="007B3231">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1</w:t>
            </w:r>
          </w:p>
        </w:tc>
        <w:tc>
          <w:tcPr>
            <w:tcW w:w="1480" w:type="dxa"/>
            <w:tcBorders>
              <w:top w:val="nil"/>
              <w:left w:val="nil"/>
              <w:bottom w:val="single" w:sz="4" w:space="0" w:color="auto"/>
              <w:right w:val="single" w:sz="4" w:space="0" w:color="auto"/>
            </w:tcBorders>
            <w:shd w:val="clear" w:color="auto" w:fill="auto"/>
            <w:noWrap/>
            <w:vAlign w:val="center"/>
            <w:hideMark/>
          </w:tcPr>
          <w:p w14:paraId="190B1184" w14:textId="77777777" w:rsidR="00D64DE1" w:rsidRPr="0009296A" w:rsidRDefault="00D64DE1" w:rsidP="007B3231">
            <w:pPr>
              <w:jc w:val="both"/>
              <w:rPr>
                <w:rFonts w:ascii="华文细黑" w:eastAsia="华文细黑" w:hAnsi="华文细黑"/>
                <w:b/>
                <w:bCs/>
                <w:color w:val="000000"/>
                <w:sz w:val="13"/>
                <w:szCs w:val="13"/>
              </w:rPr>
            </w:pPr>
            <w:r w:rsidRPr="0009296A">
              <w:rPr>
                <w:rFonts w:ascii="华文细黑" w:eastAsia="华文细黑" w:hAnsi="华文细黑" w:hint="eastAsia"/>
                <w:b/>
                <w:bCs/>
                <w:color w:val="000000"/>
                <w:sz w:val="13"/>
                <w:szCs w:val="13"/>
              </w:rPr>
              <w:t>资金来源合计</w:t>
            </w:r>
          </w:p>
        </w:tc>
        <w:tc>
          <w:tcPr>
            <w:tcW w:w="835" w:type="dxa"/>
            <w:tcBorders>
              <w:top w:val="nil"/>
              <w:left w:val="nil"/>
              <w:bottom w:val="single" w:sz="4" w:space="0" w:color="auto"/>
              <w:right w:val="single" w:sz="4" w:space="0" w:color="auto"/>
            </w:tcBorders>
            <w:shd w:val="clear" w:color="auto" w:fill="auto"/>
            <w:noWrap/>
            <w:vAlign w:val="center"/>
          </w:tcPr>
          <w:p w14:paraId="4D8BA892" w14:textId="65EDCC63" w:rsidR="00D64DE1" w:rsidRPr="0009296A" w:rsidRDefault="00D64DE1" w:rsidP="007B323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hideMark/>
          </w:tcPr>
          <w:p w14:paraId="01CEC834" w14:textId="7E2EED20"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125970</w:t>
            </w:r>
          </w:p>
        </w:tc>
        <w:tc>
          <w:tcPr>
            <w:tcW w:w="669" w:type="dxa"/>
            <w:tcBorders>
              <w:top w:val="nil"/>
              <w:left w:val="nil"/>
              <w:bottom w:val="single" w:sz="4" w:space="0" w:color="auto"/>
              <w:right w:val="single" w:sz="4" w:space="0" w:color="auto"/>
            </w:tcBorders>
            <w:shd w:val="clear" w:color="auto" w:fill="auto"/>
            <w:noWrap/>
            <w:vAlign w:val="center"/>
            <w:hideMark/>
          </w:tcPr>
          <w:p w14:paraId="74E31A3A" w14:textId="694BE86C"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175700</w:t>
            </w:r>
          </w:p>
        </w:tc>
        <w:tc>
          <w:tcPr>
            <w:tcW w:w="669" w:type="dxa"/>
            <w:tcBorders>
              <w:top w:val="nil"/>
              <w:left w:val="nil"/>
              <w:bottom w:val="single" w:sz="4" w:space="0" w:color="auto"/>
              <w:right w:val="single" w:sz="4" w:space="0" w:color="auto"/>
            </w:tcBorders>
            <w:shd w:val="clear" w:color="auto" w:fill="auto"/>
            <w:noWrap/>
            <w:vAlign w:val="center"/>
            <w:hideMark/>
          </w:tcPr>
          <w:p w14:paraId="47720AC6" w14:textId="2020648F"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17669</w:t>
            </w:r>
          </w:p>
        </w:tc>
        <w:tc>
          <w:tcPr>
            <w:tcW w:w="836" w:type="dxa"/>
            <w:tcBorders>
              <w:top w:val="nil"/>
              <w:left w:val="nil"/>
              <w:bottom w:val="single" w:sz="4" w:space="0" w:color="auto"/>
              <w:right w:val="single" w:sz="4" w:space="0" w:color="auto"/>
            </w:tcBorders>
            <w:shd w:val="clear" w:color="auto" w:fill="auto"/>
            <w:noWrap/>
            <w:vAlign w:val="center"/>
            <w:hideMark/>
          </w:tcPr>
          <w:p w14:paraId="7D142751" w14:textId="15BE75F4"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18930</w:t>
            </w:r>
          </w:p>
        </w:tc>
        <w:tc>
          <w:tcPr>
            <w:tcW w:w="836" w:type="dxa"/>
            <w:tcBorders>
              <w:top w:val="nil"/>
              <w:left w:val="nil"/>
              <w:bottom w:val="single" w:sz="4" w:space="0" w:color="auto"/>
              <w:right w:val="single" w:sz="4" w:space="0" w:color="auto"/>
            </w:tcBorders>
            <w:shd w:val="clear" w:color="auto" w:fill="auto"/>
            <w:noWrap/>
            <w:vAlign w:val="center"/>
            <w:hideMark/>
          </w:tcPr>
          <w:p w14:paraId="09354305" w14:textId="46BFC75D"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43207</w:t>
            </w:r>
          </w:p>
        </w:tc>
        <w:tc>
          <w:tcPr>
            <w:tcW w:w="835" w:type="dxa"/>
            <w:tcBorders>
              <w:top w:val="nil"/>
              <w:left w:val="nil"/>
              <w:bottom w:val="single" w:sz="4" w:space="0" w:color="auto"/>
              <w:right w:val="single" w:sz="4" w:space="0" w:color="auto"/>
            </w:tcBorders>
            <w:shd w:val="clear" w:color="auto" w:fill="auto"/>
            <w:noWrap/>
            <w:vAlign w:val="center"/>
            <w:hideMark/>
          </w:tcPr>
          <w:p w14:paraId="5B58BC34" w14:textId="46501DB1"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60414</w:t>
            </w:r>
          </w:p>
        </w:tc>
        <w:tc>
          <w:tcPr>
            <w:tcW w:w="836" w:type="dxa"/>
            <w:tcBorders>
              <w:top w:val="nil"/>
              <w:left w:val="nil"/>
              <w:bottom w:val="single" w:sz="4" w:space="0" w:color="auto"/>
              <w:right w:val="single" w:sz="4" w:space="0" w:color="auto"/>
            </w:tcBorders>
            <w:shd w:val="clear" w:color="auto" w:fill="auto"/>
            <w:noWrap/>
            <w:vAlign w:val="center"/>
            <w:hideMark/>
          </w:tcPr>
          <w:p w14:paraId="7639093A" w14:textId="0A8FE027"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60414</w:t>
            </w:r>
          </w:p>
        </w:tc>
        <w:tc>
          <w:tcPr>
            <w:tcW w:w="836" w:type="dxa"/>
            <w:tcBorders>
              <w:top w:val="nil"/>
              <w:left w:val="nil"/>
              <w:bottom w:val="single" w:sz="4" w:space="0" w:color="auto"/>
              <w:right w:val="single" w:sz="4" w:space="0" w:color="auto"/>
            </w:tcBorders>
            <w:shd w:val="clear" w:color="auto" w:fill="auto"/>
            <w:noWrap/>
            <w:vAlign w:val="center"/>
            <w:hideMark/>
          </w:tcPr>
          <w:p w14:paraId="0523FD52" w14:textId="4C96EB45"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65571</w:t>
            </w:r>
          </w:p>
        </w:tc>
        <w:tc>
          <w:tcPr>
            <w:tcW w:w="836" w:type="dxa"/>
            <w:tcBorders>
              <w:top w:val="nil"/>
              <w:left w:val="nil"/>
              <w:bottom w:val="single" w:sz="4" w:space="0" w:color="auto"/>
              <w:right w:val="single" w:sz="4" w:space="0" w:color="auto"/>
            </w:tcBorders>
            <w:shd w:val="clear" w:color="auto" w:fill="auto"/>
            <w:noWrap/>
            <w:vAlign w:val="center"/>
            <w:hideMark/>
          </w:tcPr>
          <w:p w14:paraId="50B9E105" w14:textId="54CC8B42"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70727</w:t>
            </w:r>
          </w:p>
        </w:tc>
        <w:tc>
          <w:tcPr>
            <w:tcW w:w="835" w:type="dxa"/>
            <w:tcBorders>
              <w:top w:val="nil"/>
              <w:left w:val="nil"/>
              <w:bottom w:val="single" w:sz="4" w:space="0" w:color="auto"/>
              <w:right w:val="single" w:sz="4" w:space="0" w:color="auto"/>
            </w:tcBorders>
            <w:shd w:val="clear" w:color="auto" w:fill="auto"/>
            <w:noWrap/>
            <w:vAlign w:val="center"/>
            <w:hideMark/>
          </w:tcPr>
          <w:p w14:paraId="05FA596F" w14:textId="460750F9"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73562</w:t>
            </w:r>
          </w:p>
        </w:tc>
        <w:tc>
          <w:tcPr>
            <w:tcW w:w="669" w:type="dxa"/>
            <w:tcBorders>
              <w:top w:val="nil"/>
              <w:left w:val="nil"/>
              <w:bottom w:val="single" w:sz="4" w:space="0" w:color="auto"/>
              <w:right w:val="single" w:sz="4" w:space="0" w:color="auto"/>
            </w:tcBorders>
            <w:shd w:val="clear" w:color="auto" w:fill="auto"/>
            <w:noWrap/>
            <w:vAlign w:val="center"/>
          </w:tcPr>
          <w:p w14:paraId="704597EA" w14:textId="21BA2CD0"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63493</w:t>
            </w:r>
          </w:p>
        </w:tc>
        <w:tc>
          <w:tcPr>
            <w:tcW w:w="669" w:type="dxa"/>
            <w:tcBorders>
              <w:top w:val="single" w:sz="4" w:space="0" w:color="auto"/>
              <w:left w:val="nil"/>
              <w:bottom w:val="single" w:sz="4" w:space="0" w:color="auto"/>
              <w:right w:val="single" w:sz="4" w:space="0" w:color="auto"/>
            </w:tcBorders>
            <w:vAlign w:val="center"/>
          </w:tcPr>
          <w:p w14:paraId="38E1ECBC" w14:textId="7E55DE8E" w:rsidR="00D64DE1" w:rsidRPr="0026532D"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28129</w:t>
            </w:r>
          </w:p>
        </w:tc>
        <w:tc>
          <w:tcPr>
            <w:tcW w:w="669" w:type="dxa"/>
            <w:tcBorders>
              <w:top w:val="single" w:sz="4" w:space="0" w:color="auto"/>
              <w:left w:val="single" w:sz="4" w:space="0" w:color="auto"/>
              <w:bottom w:val="single" w:sz="4" w:space="0" w:color="auto"/>
              <w:right w:val="single" w:sz="4" w:space="0" w:color="auto"/>
            </w:tcBorders>
            <w:vAlign w:val="center"/>
          </w:tcPr>
          <w:p w14:paraId="4E43C462" w14:textId="3F47FA3A" w:rsidR="00D64DE1" w:rsidRPr="0026532D"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2835</w:t>
            </w:r>
          </w:p>
        </w:tc>
        <w:tc>
          <w:tcPr>
            <w:tcW w:w="502" w:type="dxa"/>
            <w:tcBorders>
              <w:top w:val="single" w:sz="4" w:space="0" w:color="auto"/>
              <w:left w:val="single" w:sz="4" w:space="0" w:color="auto"/>
              <w:bottom w:val="single" w:sz="4" w:space="0" w:color="auto"/>
              <w:right w:val="single" w:sz="4" w:space="0" w:color="auto"/>
            </w:tcBorders>
            <w:vAlign w:val="center"/>
          </w:tcPr>
          <w:p w14:paraId="18D1C682" w14:textId="47575AA9" w:rsidR="00D64DE1" w:rsidRPr="0026532D"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2835</w:t>
            </w:r>
          </w:p>
        </w:tc>
        <w:tc>
          <w:tcPr>
            <w:tcW w:w="574" w:type="dxa"/>
            <w:tcBorders>
              <w:top w:val="single" w:sz="4" w:space="0" w:color="auto"/>
              <w:left w:val="single" w:sz="4" w:space="0" w:color="auto"/>
              <w:bottom w:val="single" w:sz="4" w:space="0" w:color="auto"/>
              <w:right w:val="single" w:sz="4" w:space="0" w:color="auto"/>
            </w:tcBorders>
            <w:vAlign w:val="center"/>
          </w:tcPr>
          <w:p w14:paraId="42B93A13" w14:textId="7E6AE404" w:rsidR="00D64DE1" w:rsidRPr="0026532D" w:rsidRDefault="00D64DE1" w:rsidP="00D64DE1">
            <w:pPr>
              <w:jc w:val="center"/>
              <w:rPr>
                <w:rFonts w:ascii="华文细黑" w:eastAsia="华文细黑" w:hAnsi="华文细黑"/>
                <w:color w:val="000000"/>
                <w:sz w:val="13"/>
                <w:szCs w:val="13"/>
              </w:rPr>
            </w:pPr>
          </w:p>
        </w:tc>
        <w:tc>
          <w:tcPr>
            <w:tcW w:w="915" w:type="dxa"/>
            <w:tcBorders>
              <w:top w:val="nil"/>
              <w:left w:val="nil"/>
              <w:bottom w:val="single" w:sz="4" w:space="0" w:color="auto"/>
              <w:right w:val="single" w:sz="4" w:space="0" w:color="auto"/>
            </w:tcBorders>
            <w:shd w:val="clear" w:color="auto" w:fill="auto"/>
            <w:noWrap/>
            <w:vAlign w:val="center"/>
            <w:hideMark/>
          </w:tcPr>
          <w:p w14:paraId="26BE2AF9" w14:textId="4B9B1C18" w:rsidR="00D64DE1" w:rsidRPr="0009296A" w:rsidRDefault="00D64DE1" w:rsidP="00196AC7">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809456</w:t>
            </w:r>
          </w:p>
        </w:tc>
      </w:tr>
      <w:tr w:rsidR="00D64DE1" w:rsidRPr="0009296A" w14:paraId="59E30E0D" w14:textId="77777777" w:rsidTr="00196AC7">
        <w:trPr>
          <w:trHeight w:val="340"/>
        </w:trPr>
        <w:tc>
          <w:tcPr>
            <w:tcW w:w="402" w:type="dxa"/>
            <w:tcBorders>
              <w:top w:val="nil"/>
              <w:left w:val="single" w:sz="4" w:space="0" w:color="auto"/>
              <w:bottom w:val="single" w:sz="4" w:space="0" w:color="auto"/>
              <w:right w:val="single" w:sz="4" w:space="0" w:color="auto"/>
            </w:tcBorders>
            <w:shd w:val="clear" w:color="auto" w:fill="auto"/>
            <w:noWrap/>
            <w:vAlign w:val="center"/>
            <w:hideMark/>
          </w:tcPr>
          <w:p w14:paraId="10FBDE08" w14:textId="77777777" w:rsidR="00D64DE1" w:rsidRPr="0009296A" w:rsidRDefault="00D64DE1" w:rsidP="007B3231">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2</w:t>
            </w:r>
          </w:p>
        </w:tc>
        <w:tc>
          <w:tcPr>
            <w:tcW w:w="1480" w:type="dxa"/>
            <w:tcBorders>
              <w:top w:val="nil"/>
              <w:left w:val="nil"/>
              <w:bottom w:val="single" w:sz="4" w:space="0" w:color="auto"/>
              <w:right w:val="single" w:sz="4" w:space="0" w:color="auto"/>
            </w:tcBorders>
            <w:shd w:val="clear" w:color="auto" w:fill="auto"/>
            <w:noWrap/>
            <w:vAlign w:val="center"/>
            <w:hideMark/>
          </w:tcPr>
          <w:p w14:paraId="29819261" w14:textId="77777777" w:rsidR="00D64DE1" w:rsidRPr="0009296A" w:rsidRDefault="00D64DE1" w:rsidP="007B3231">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经营活动产生的现金来源</w:t>
            </w:r>
          </w:p>
        </w:tc>
        <w:tc>
          <w:tcPr>
            <w:tcW w:w="835" w:type="dxa"/>
            <w:tcBorders>
              <w:top w:val="nil"/>
              <w:left w:val="nil"/>
              <w:bottom w:val="single" w:sz="4" w:space="0" w:color="auto"/>
              <w:right w:val="single" w:sz="4" w:space="0" w:color="auto"/>
            </w:tcBorders>
            <w:shd w:val="clear" w:color="auto" w:fill="auto"/>
            <w:noWrap/>
            <w:vAlign w:val="center"/>
          </w:tcPr>
          <w:p w14:paraId="2E4F3713" w14:textId="77777777" w:rsidR="00D64DE1" w:rsidRPr="0009296A" w:rsidRDefault="00D64DE1" w:rsidP="007B323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300099D0" w14:textId="5CB14258" w:rsidR="00D64DE1" w:rsidRPr="0009296A" w:rsidRDefault="00D64DE1" w:rsidP="00D64DE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22198619" w14:textId="23B7C946" w:rsidR="00D64DE1" w:rsidRPr="0009296A" w:rsidRDefault="00D64DE1" w:rsidP="00D64DE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483A3623" w14:textId="3C04EAFD"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7C3BBA5F" w14:textId="062B0900"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hideMark/>
          </w:tcPr>
          <w:p w14:paraId="1A69D0AA" w14:textId="2A114732"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30207</w:t>
            </w:r>
          </w:p>
        </w:tc>
        <w:tc>
          <w:tcPr>
            <w:tcW w:w="835" w:type="dxa"/>
            <w:tcBorders>
              <w:top w:val="nil"/>
              <w:left w:val="nil"/>
              <w:bottom w:val="single" w:sz="4" w:space="0" w:color="auto"/>
              <w:right w:val="single" w:sz="4" w:space="0" w:color="auto"/>
            </w:tcBorders>
            <w:shd w:val="clear" w:color="auto" w:fill="auto"/>
            <w:noWrap/>
            <w:vAlign w:val="center"/>
            <w:hideMark/>
          </w:tcPr>
          <w:p w14:paraId="6876D0DD" w14:textId="73E51FEE"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60414</w:t>
            </w:r>
          </w:p>
        </w:tc>
        <w:tc>
          <w:tcPr>
            <w:tcW w:w="836" w:type="dxa"/>
            <w:tcBorders>
              <w:top w:val="nil"/>
              <w:left w:val="nil"/>
              <w:bottom w:val="single" w:sz="4" w:space="0" w:color="auto"/>
              <w:right w:val="single" w:sz="4" w:space="0" w:color="auto"/>
            </w:tcBorders>
            <w:shd w:val="clear" w:color="auto" w:fill="auto"/>
            <w:noWrap/>
            <w:vAlign w:val="center"/>
            <w:hideMark/>
          </w:tcPr>
          <w:p w14:paraId="31379696" w14:textId="3806D457"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60414</w:t>
            </w:r>
          </w:p>
        </w:tc>
        <w:tc>
          <w:tcPr>
            <w:tcW w:w="836" w:type="dxa"/>
            <w:tcBorders>
              <w:top w:val="nil"/>
              <w:left w:val="nil"/>
              <w:bottom w:val="single" w:sz="4" w:space="0" w:color="auto"/>
              <w:right w:val="single" w:sz="4" w:space="0" w:color="auto"/>
            </w:tcBorders>
            <w:shd w:val="clear" w:color="auto" w:fill="auto"/>
            <w:noWrap/>
            <w:vAlign w:val="center"/>
            <w:hideMark/>
          </w:tcPr>
          <w:p w14:paraId="3C98CC56" w14:textId="790CD037"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65571</w:t>
            </w:r>
          </w:p>
        </w:tc>
        <w:tc>
          <w:tcPr>
            <w:tcW w:w="836" w:type="dxa"/>
            <w:tcBorders>
              <w:top w:val="nil"/>
              <w:left w:val="nil"/>
              <w:bottom w:val="single" w:sz="4" w:space="0" w:color="auto"/>
              <w:right w:val="single" w:sz="4" w:space="0" w:color="auto"/>
            </w:tcBorders>
            <w:shd w:val="clear" w:color="auto" w:fill="auto"/>
            <w:noWrap/>
            <w:vAlign w:val="center"/>
            <w:hideMark/>
          </w:tcPr>
          <w:p w14:paraId="4CE3E2E5" w14:textId="7B9CBA2C"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70727</w:t>
            </w:r>
          </w:p>
        </w:tc>
        <w:tc>
          <w:tcPr>
            <w:tcW w:w="835" w:type="dxa"/>
            <w:tcBorders>
              <w:top w:val="nil"/>
              <w:left w:val="nil"/>
              <w:bottom w:val="single" w:sz="4" w:space="0" w:color="auto"/>
              <w:right w:val="single" w:sz="4" w:space="0" w:color="auto"/>
            </w:tcBorders>
            <w:shd w:val="clear" w:color="auto" w:fill="auto"/>
            <w:noWrap/>
            <w:vAlign w:val="center"/>
            <w:hideMark/>
          </w:tcPr>
          <w:p w14:paraId="5D845B5C" w14:textId="469F3547"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73562</w:t>
            </w:r>
          </w:p>
        </w:tc>
        <w:tc>
          <w:tcPr>
            <w:tcW w:w="669" w:type="dxa"/>
            <w:tcBorders>
              <w:top w:val="nil"/>
              <w:left w:val="nil"/>
              <w:bottom w:val="single" w:sz="4" w:space="0" w:color="auto"/>
              <w:right w:val="single" w:sz="4" w:space="0" w:color="auto"/>
            </w:tcBorders>
            <w:shd w:val="clear" w:color="auto" w:fill="auto"/>
            <w:noWrap/>
            <w:vAlign w:val="center"/>
          </w:tcPr>
          <w:p w14:paraId="39B1AF0A" w14:textId="64CBB20B"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63493</w:t>
            </w:r>
          </w:p>
        </w:tc>
        <w:tc>
          <w:tcPr>
            <w:tcW w:w="669" w:type="dxa"/>
            <w:tcBorders>
              <w:top w:val="single" w:sz="4" w:space="0" w:color="auto"/>
              <w:left w:val="nil"/>
              <w:bottom w:val="single" w:sz="4" w:space="0" w:color="auto"/>
              <w:right w:val="single" w:sz="4" w:space="0" w:color="auto"/>
            </w:tcBorders>
            <w:vAlign w:val="center"/>
          </w:tcPr>
          <w:p w14:paraId="7094EB92" w14:textId="757A343F" w:rsidR="00D64DE1" w:rsidRPr="0026532D"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28129</w:t>
            </w:r>
          </w:p>
        </w:tc>
        <w:tc>
          <w:tcPr>
            <w:tcW w:w="669" w:type="dxa"/>
            <w:tcBorders>
              <w:top w:val="single" w:sz="4" w:space="0" w:color="auto"/>
              <w:left w:val="single" w:sz="4" w:space="0" w:color="auto"/>
              <w:bottom w:val="single" w:sz="4" w:space="0" w:color="auto"/>
              <w:right w:val="single" w:sz="4" w:space="0" w:color="auto"/>
            </w:tcBorders>
            <w:vAlign w:val="center"/>
          </w:tcPr>
          <w:p w14:paraId="1C1E312F" w14:textId="6C33566F" w:rsidR="00D64DE1" w:rsidRPr="0026532D"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2835</w:t>
            </w:r>
          </w:p>
        </w:tc>
        <w:tc>
          <w:tcPr>
            <w:tcW w:w="502" w:type="dxa"/>
            <w:tcBorders>
              <w:top w:val="single" w:sz="4" w:space="0" w:color="auto"/>
              <w:left w:val="single" w:sz="4" w:space="0" w:color="auto"/>
              <w:bottom w:val="single" w:sz="4" w:space="0" w:color="auto"/>
              <w:right w:val="single" w:sz="4" w:space="0" w:color="auto"/>
            </w:tcBorders>
            <w:vAlign w:val="center"/>
          </w:tcPr>
          <w:p w14:paraId="4D519630" w14:textId="0887E2C7" w:rsidR="00D64DE1" w:rsidRPr="0026532D"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2835</w:t>
            </w:r>
          </w:p>
        </w:tc>
        <w:tc>
          <w:tcPr>
            <w:tcW w:w="574" w:type="dxa"/>
            <w:tcBorders>
              <w:top w:val="single" w:sz="4" w:space="0" w:color="auto"/>
              <w:left w:val="single" w:sz="4" w:space="0" w:color="auto"/>
              <w:bottom w:val="single" w:sz="4" w:space="0" w:color="auto"/>
              <w:right w:val="single" w:sz="4" w:space="0" w:color="auto"/>
            </w:tcBorders>
            <w:vAlign w:val="center"/>
          </w:tcPr>
          <w:p w14:paraId="4DFB9F88" w14:textId="65BA6E1A" w:rsidR="00D64DE1" w:rsidRPr="0026532D" w:rsidRDefault="00D64DE1" w:rsidP="00D64DE1">
            <w:pPr>
              <w:jc w:val="center"/>
              <w:rPr>
                <w:rFonts w:ascii="华文细黑" w:eastAsia="华文细黑" w:hAnsi="华文细黑"/>
                <w:color w:val="000000"/>
                <w:sz w:val="13"/>
                <w:szCs w:val="13"/>
              </w:rPr>
            </w:pPr>
          </w:p>
        </w:tc>
        <w:tc>
          <w:tcPr>
            <w:tcW w:w="915" w:type="dxa"/>
            <w:tcBorders>
              <w:top w:val="nil"/>
              <w:left w:val="nil"/>
              <w:bottom w:val="single" w:sz="4" w:space="0" w:color="auto"/>
              <w:right w:val="single" w:sz="4" w:space="0" w:color="auto"/>
            </w:tcBorders>
            <w:shd w:val="clear" w:color="auto" w:fill="auto"/>
            <w:noWrap/>
            <w:vAlign w:val="center"/>
            <w:hideMark/>
          </w:tcPr>
          <w:p w14:paraId="1BEFCEF3" w14:textId="6D43CA75" w:rsidR="00D64DE1" w:rsidRPr="0009296A" w:rsidRDefault="00D64DE1" w:rsidP="00196AC7">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458187</w:t>
            </w:r>
          </w:p>
        </w:tc>
      </w:tr>
      <w:tr w:rsidR="00D64DE1" w:rsidRPr="0009296A" w14:paraId="02D7906E" w14:textId="77777777" w:rsidTr="00D64DE1">
        <w:trPr>
          <w:trHeight w:val="340"/>
        </w:trPr>
        <w:tc>
          <w:tcPr>
            <w:tcW w:w="402" w:type="dxa"/>
            <w:tcBorders>
              <w:top w:val="nil"/>
              <w:left w:val="single" w:sz="4" w:space="0" w:color="auto"/>
              <w:bottom w:val="single" w:sz="4" w:space="0" w:color="auto"/>
              <w:right w:val="single" w:sz="4" w:space="0" w:color="auto"/>
            </w:tcBorders>
            <w:shd w:val="clear" w:color="auto" w:fill="auto"/>
            <w:noWrap/>
            <w:vAlign w:val="center"/>
            <w:hideMark/>
          </w:tcPr>
          <w:p w14:paraId="769EF764" w14:textId="77777777" w:rsidR="00D64DE1" w:rsidRPr="0009296A" w:rsidRDefault="00D64DE1" w:rsidP="007B3231">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3</w:t>
            </w:r>
          </w:p>
        </w:tc>
        <w:tc>
          <w:tcPr>
            <w:tcW w:w="1480" w:type="dxa"/>
            <w:tcBorders>
              <w:top w:val="nil"/>
              <w:left w:val="nil"/>
              <w:bottom w:val="single" w:sz="4" w:space="0" w:color="auto"/>
              <w:right w:val="single" w:sz="4" w:space="0" w:color="auto"/>
            </w:tcBorders>
            <w:shd w:val="clear" w:color="auto" w:fill="auto"/>
            <w:noWrap/>
            <w:vAlign w:val="center"/>
            <w:hideMark/>
          </w:tcPr>
          <w:p w14:paraId="4B859C08" w14:textId="77777777" w:rsidR="00D64DE1" w:rsidRPr="0009296A" w:rsidRDefault="00D64DE1" w:rsidP="007B3231">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其中：销（预）售收入</w:t>
            </w:r>
          </w:p>
        </w:tc>
        <w:tc>
          <w:tcPr>
            <w:tcW w:w="835" w:type="dxa"/>
            <w:tcBorders>
              <w:top w:val="nil"/>
              <w:left w:val="nil"/>
              <w:bottom w:val="single" w:sz="4" w:space="0" w:color="auto"/>
              <w:right w:val="single" w:sz="4" w:space="0" w:color="auto"/>
            </w:tcBorders>
            <w:shd w:val="clear" w:color="auto" w:fill="auto"/>
            <w:noWrap/>
            <w:vAlign w:val="center"/>
          </w:tcPr>
          <w:p w14:paraId="59D740C8" w14:textId="77777777" w:rsidR="00D64DE1" w:rsidRPr="0009296A" w:rsidRDefault="00D64DE1" w:rsidP="007B323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31DD16D8" w14:textId="56FD505B" w:rsidR="00D64DE1" w:rsidRPr="0009296A" w:rsidRDefault="00D64DE1" w:rsidP="00D64DE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09C21C50" w14:textId="09748ACB" w:rsidR="00D64DE1" w:rsidRPr="0009296A" w:rsidRDefault="00D64DE1" w:rsidP="00D64DE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76C4D33E" w14:textId="3384D1E2"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77E8FBD7" w14:textId="174B017D"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hideMark/>
          </w:tcPr>
          <w:p w14:paraId="40124CC9" w14:textId="2816959B"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30207</w:t>
            </w:r>
          </w:p>
        </w:tc>
        <w:tc>
          <w:tcPr>
            <w:tcW w:w="835" w:type="dxa"/>
            <w:tcBorders>
              <w:top w:val="nil"/>
              <w:left w:val="nil"/>
              <w:bottom w:val="single" w:sz="4" w:space="0" w:color="auto"/>
              <w:right w:val="single" w:sz="4" w:space="0" w:color="auto"/>
            </w:tcBorders>
            <w:shd w:val="clear" w:color="auto" w:fill="auto"/>
            <w:noWrap/>
            <w:vAlign w:val="center"/>
            <w:hideMark/>
          </w:tcPr>
          <w:p w14:paraId="1918813B" w14:textId="0576336E"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60414</w:t>
            </w:r>
          </w:p>
        </w:tc>
        <w:tc>
          <w:tcPr>
            <w:tcW w:w="836" w:type="dxa"/>
            <w:tcBorders>
              <w:top w:val="nil"/>
              <w:left w:val="nil"/>
              <w:bottom w:val="single" w:sz="4" w:space="0" w:color="auto"/>
              <w:right w:val="single" w:sz="4" w:space="0" w:color="auto"/>
            </w:tcBorders>
            <w:shd w:val="clear" w:color="auto" w:fill="auto"/>
            <w:noWrap/>
            <w:vAlign w:val="center"/>
            <w:hideMark/>
          </w:tcPr>
          <w:p w14:paraId="5C226F7A" w14:textId="229FA774"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60414</w:t>
            </w:r>
          </w:p>
        </w:tc>
        <w:tc>
          <w:tcPr>
            <w:tcW w:w="836" w:type="dxa"/>
            <w:tcBorders>
              <w:top w:val="nil"/>
              <w:left w:val="nil"/>
              <w:bottom w:val="single" w:sz="4" w:space="0" w:color="auto"/>
              <w:right w:val="single" w:sz="4" w:space="0" w:color="auto"/>
            </w:tcBorders>
            <w:shd w:val="clear" w:color="auto" w:fill="auto"/>
            <w:noWrap/>
            <w:vAlign w:val="center"/>
            <w:hideMark/>
          </w:tcPr>
          <w:p w14:paraId="301B7A41" w14:textId="61E7D239"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65571</w:t>
            </w:r>
          </w:p>
        </w:tc>
        <w:tc>
          <w:tcPr>
            <w:tcW w:w="836" w:type="dxa"/>
            <w:tcBorders>
              <w:top w:val="nil"/>
              <w:left w:val="nil"/>
              <w:bottom w:val="single" w:sz="4" w:space="0" w:color="auto"/>
              <w:right w:val="single" w:sz="4" w:space="0" w:color="auto"/>
            </w:tcBorders>
            <w:shd w:val="clear" w:color="auto" w:fill="auto"/>
            <w:noWrap/>
            <w:vAlign w:val="center"/>
            <w:hideMark/>
          </w:tcPr>
          <w:p w14:paraId="292DEEC6" w14:textId="1578C0AE"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70727</w:t>
            </w:r>
          </w:p>
        </w:tc>
        <w:tc>
          <w:tcPr>
            <w:tcW w:w="835" w:type="dxa"/>
            <w:tcBorders>
              <w:top w:val="nil"/>
              <w:left w:val="nil"/>
              <w:bottom w:val="single" w:sz="4" w:space="0" w:color="auto"/>
              <w:right w:val="single" w:sz="4" w:space="0" w:color="auto"/>
            </w:tcBorders>
            <w:shd w:val="clear" w:color="auto" w:fill="auto"/>
            <w:noWrap/>
            <w:vAlign w:val="center"/>
            <w:hideMark/>
          </w:tcPr>
          <w:p w14:paraId="622DEFA1" w14:textId="5484A33C"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73562</w:t>
            </w:r>
          </w:p>
        </w:tc>
        <w:tc>
          <w:tcPr>
            <w:tcW w:w="669" w:type="dxa"/>
            <w:tcBorders>
              <w:top w:val="nil"/>
              <w:left w:val="nil"/>
              <w:bottom w:val="single" w:sz="4" w:space="0" w:color="auto"/>
              <w:right w:val="single" w:sz="4" w:space="0" w:color="auto"/>
            </w:tcBorders>
            <w:shd w:val="clear" w:color="auto" w:fill="auto"/>
            <w:noWrap/>
            <w:vAlign w:val="center"/>
          </w:tcPr>
          <w:p w14:paraId="174EDB31" w14:textId="7F770E55"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63493</w:t>
            </w:r>
          </w:p>
        </w:tc>
        <w:tc>
          <w:tcPr>
            <w:tcW w:w="669" w:type="dxa"/>
            <w:tcBorders>
              <w:top w:val="single" w:sz="4" w:space="0" w:color="auto"/>
              <w:left w:val="nil"/>
              <w:bottom w:val="single" w:sz="4" w:space="0" w:color="auto"/>
              <w:right w:val="single" w:sz="4" w:space="0" w:color="auto"/>
            </w:tcBorders>
            <w:vAlign w:val="center"/>
          </w:tcPr>
          <w:p w14:paraId="473BA943" w14:textId="156DD568" w:rsidR="00D64DE1" w:rsidRPr="0026532D"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28129</w:t>
            </w:r>
          </w:p>
        </w:tc>
        <w:tc>
          <w:tcPr>
            <w:tcW w:w="669" w:type="dxa"/>
            <w:tcBorders>
              <w:top w:val="single" w:sz="4" w:space="0" w:color="auto"/>
              <w:left w:val="single" w:sz="4" w:space="0" w:color="auto"/>
              <w:bottom w:val="single" w:sz="4" w:space="0" w:color="auto"/>
              <w:right w:val="single" w:sz="4" w:space="0" w:color="auto"/>
            </w:tcBorders>
            <w:vAlign w:val="center"/>
          </w:tcPr>
          <w:p w14:paraId="56D94D99" w14:textId="31A0BA4B" w:rsidR="00D64DE1" w:rsidRPr="0026532D"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2835</w:t>
            </w:r>
          </w:p>
        </w:tc>
        <w:tc>
          <w:tcPr>
            <w:tcW w:w="502" w:type="dxa"/>
            <w:tcBorders>
              <w:top w:val="single" w:sz="4" w:space="0" w:color="auto"/>
              <w:left w:val="single" w:sz="4" w:space="0" w:color="auto"/>
              <w:bottom w:val="single" w:sz="4" w:space="0" w:color="auto"/>
              <w:right w:val="single" w:sz="4" w:space="0" w:color="auto"/>
            </w:tcBorders>
            <w:vAlign w:val="center"/>
          </w:tcPr>
          <w:p w14:paraId="6982D3C0" w14:textId="7E179BF8" w:rsidR="00D64DE1" w:rsidRPr="0026532D"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2835</w:t>
            </w:r>
          </w:p>
        </w:tc>
        <w:tc>
          <w:tcPr>
            <w:tcW w:w="574" w:type="dxa"/>
            <w:tcBorders>
              <w:top w:val="single" w:sz="4" w:space="0" w:color="auto"/>
              <w:left w:val="single" w:sz="4" w:space="0" w:color="auto"/>
              <w:bottom w:val="single" w:sz="4" w:space="0" w:color="auto"/>
              <w:right w:val="single" w:sz="4" w:space="0" w:color="auto"/>
            </w:tcBorders>
            <w:vAlign w:val="center"/>
          </w:tcPr>
          <w:p w14:paraId="5B025F8A" w14:textId="3C1ED701" w:rsidR="00D64DE1" w:rsidRPr="0026532D" w:rsidRDefault="00D64DE1" w:rsidP="00D64DE1">
            <w:pPr>
              <w:jc w:val="center"/>
              <w:rPr>
                <w:rFonts w:ascii="华文细黑" w:eastAsia="华文细黑" w:hAnsi="华文细黑"/>
                <w:color w:val="000000"/>
                <w:sz w:val="13"/>
                <w:szCs w:val="13"/>
              </w:rPr>
            </w:pPr>
          </w:p>
        </w:tc>
        <w:tc>
          <w:tcPr>
            <w:tcW w:w="915" w:type="dxa"/>
            <w:tcBorders>
              <w:top w:val="nil"/>
              <w:left w:val="nil"/>
              <w:bottom w:val="single" w:sz="4" w:space="0" w:color="auto"/>
              <w:right w:val="single" w:sz="4" w:space="0" w:color="auto"/>
            </w:tcBorders>
            <w:shd w:val="clear" w:color="auto" w:fill="auto"/>
            <w:noWrap/>
            <w:vAlign w:val="center"/>
            <w:hideMark/>
          </w:tcPr>
          <w:p w14:paraId="48F53AA4" w14:textId="01852A5C"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458187</w:t>
            </w:r>
          </w:p>
        </w:tc>
      </w:tr>
      <w:tr w:rsidR="00D64DE1" w:rsidRPr="0009296A" w14:paraId="744DD87B" w14:textId="77777777" w:rsidTr="00D64DE1">
        <w:trPr>
          <w:trHeight w:val="340"/>
        </w:trPr>
        <w:tc>
          <w:tcPr>
            <w:tcW w:w="402" w:type="dxa"/>
            <w:tcBorders>
              <w:top w:val="nil"/>
              <w:left w:val="single" w:sz="4" w:space="0" w:color="auto"/>
              <w:bottom w:val="single" w:sz="4" w:space="0" w:color="auto"/>
              <w:right w:val="single" w:sz="4" w:space="0" w:color="auto"/>
            </w:tcBorders>
            <w:shd w:val="clear" w:color="auto" w:fill="auto"/>
            <w:noWrap/>
            <w:vAlign w:val="center"/>
            <w:hideMark/>
          </w:tcPr>
          <w:p w14:paraId="22CC8030" w14:textId="77777777" w:rsidR="00D64DE1" w:rsidRPr="0009296A" w:rsidRDefault="00D64DE1" w:rsidP="007B3231">
            <w:pPr>
              <w:jc w:val="both"/>
              <w:rPr>
                <w:rFonts w:ascii="华文细黑" w:eastAsia="华文细黑" w:hAnsi="华文细黑"/>
                <w:color w:val="000000"/>
                <w:sz w:val="13"/>
                <w:szCs w:val="13"/>
              </w:rPr>
            </w:pPr>
            <w:r>
              <w:rPr>
                <w:rFonts w:ascii="华文细黑" w:eastAsia="华文细黑" w:hAnsi="华文细黑" w:hint="eastAsia"/>
                <w:color w:val="000000"/>
                <w:sz w:val="13"/>
                <w:szCs w:val="13"/>
              </w:rPr>
              <w:t>4</w:t>
            </w:r>
          </w:p>
        </w:tc>
        <w:tc>
          <w:tcPr>
            <w:tcW w:w="1480" w:type="dxa"/>
            <w:tcBorders>
              <w:top w:val="nil"/>
              <w:left w:val="nil"/>
              <w:bottom w:val="single" w:sz="4" w:space="0" w:color="auto"/>
              <w:right w:val="single" w:sz="4" w:space="0" w:color="auto"/>
            </w:tcBorders>
            <w:shd w:val="clear" w:color="auto" w:fill="auto"/>
            <w:noWrap/>
            <w:vAlign w:val="center"/>
            <w:hideMark/>
          </w:tcPr>
          <w:p w14:paraId="1A5E7C12" w14:textId="77777777" w:rsidR="00D64DE1" w:rsidRPr="0009296A" w:rsidRDefault="00D64DE1" w:rsidP="007B3231">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筹资活动产生的现金来源</w:t>
            </w:r>
          </w:p>
        </w:tc>
        <w:tc>
          <w:tcPr>
            <w:tcW w:w="835" w:type="dxa"/>
            <w:tcBorders>
              <w:top w:val="nil"/>
              <w:left w:val="nil"/>
              <w:bottom w:val="single" w:sz="4" w:space="0" w:color="auto"/>
              <w:right w:val="single" w:sz="4" w:space="0" w:color="auto"/>
            </w:tcBorders>
            <w:shd w:val="clear" w:color="auto" w:fill="auto"/>
            <w:noWrap/>
            <w:vAlign w:val="center"/>
          </w:tcPr>
          <w:p w14:paraId="3578D31D" w14:textId="6EC6D9AA" w:rsidR="00D64DE1" w:rsidRPr="0009296A" w:rsidRDefault="00D64DE1" w:rsidP="007B323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7747CF41" w14:textId="7FD2344A"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125970</w:t>
            </w:r>
          </w:p>
        </w:tc>
        <w:tc>
          <w:tcPr>
            <w:tcW w:w="669" w:type="dxa"/>
            <w:tcBorders>
              <w:top w:val="nil"/>
              <w:left w:val="nil"/>
              <w:bottom w:val="single" w:sz="4" w:space="0" w:color="auto"/>
              <w:right w:val="single" w:sz="4" w:space="0" w:color="auto"/>
            </w:tcBorders>
            <w:shd w:val="clear" w:color="auto" w:fill="auto"/>
            <w:noWrap/>
            <w:vAlign w:val="center"/>
          </w:tcPr>
          <w:p w14:paraId="18E6FB02" w14:textId="3E2D01C1"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175700</w:t>
            </w:r>
          </w:p>
        </w:tc>
        <w:tc>
          <w:tcPr>
            <w:tcW w:w="669" w:type="dxa"/>
            <w:tcBorders>
              <w:top w:val="nil"/>
              <w:left w:val="nil"/>
              <w:bottom w:val="single" w:sz="4" w:space="0" w:color="auto"/>
              <w:right w:val="single" w:sz="4" w:space="0" w:color="auto"/>
            </w:tcBorders>
            <w:shd w:val="clear" w:color="auto" w:fill="auto"/>
            <w:noWrap/>
            <w:vAlign w:val="center"/>
          </w:tcPr>
          <w:p w14:paraId="70384215" w14:textId="5FA92127"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17669</w:t>
            </w:r>
          </w:p>
        </w:tc>
        <w:tc>
          <w:tcPr>
            <w:tcW w:w="836" w:type="dxa"/>
            <w:tcBorders>
              <w:top w:val="nil"/>
              <w:left w:val="nil"/>
              <w:bottom w:val="single" w:sz="4" w:space="0" w:color="auto"/>
              <w:right w:val="single" w:sz="4" w:space="0" w:color="auto"/>
            </w:tcBorders>
            <w:shd w:val="clear" w:color="auto" w:fill="auto"/>
            <w:noWrap/>
            <w:vAlign w:val="center"/>
          </w:tcPr>
          <w:p w14:paraId="394C0EF9" w14:textId="7669BF6A"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18930</w:t>
            </w:r>
          </w:p>
        </w:tc>
        <w:tc>
          <w:tcPr>
            <w:tcW w:w="836" w:type="dxa"/>
            <w:tcBorders>
              <w:top w:val="nil"/>
              <w:left w:val="nil"/>
              <w:bottom w:val="single" w:sz="4" w:space="0" w:color="auto"/>
              <w:right w:val="single" w:sz="4" w:space="0" w:color="auto"/>
            </w:tcBorders>
            <w:shd w:val="clear" w:color="auto" w:fill="auto"/>
            <w:noWrap/>
            <w:vAlign w:val="center"/>
          </w:tcPr>
          <w:p w14:paraId="35E73D26" w14:textId="51E13513"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13000</w:t>
            </w:r>
          </w:p>
        </w:tc>
        <w:tc>
          <w:tcPr>
            <w:tcW w:w="835" w:type="dxa"/>
            <w:tcBorders>
              <w:top w:val="nil"/>
              <w:left w:val="nil"/>
              <w:bottom w:val="single" w:sz="4" w:space="0" w:color="auto"/>
              <w:right w:val="single" w:sz="4" w:space="0" w:color="auto"/>
            </w:tcBorders>
            <w:shd w:val="clear" w:color="auto" w:fill="auto"/>
            <w:noWrap/>
            <w:vAlign w:val="center"/>
          </w:tcPr>
          <w:p w14:paraId="0321BAB8" w14:textId="5F6834F4"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4004C523" w14:textId="719C13E9"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120BB493" w14:textId="511950E5"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661B223F" w14:textId="179652B0" w:rsidR="00D64DE1" w:rsidRPr="0009296A" w:rsidRDefault="00D64DE1" w:rsidP="00D64DE1">
            <w:pPr>
              <w:jc w:val="center"/>
              <w:rPr>
                <w:rFonts w:ascii="华文细黑" w:eastAsia="华文细黑" w:hAnsi="华文细黑"/>
                <w:color w:val="000000"/>
                <w:sz w:val="13"/>
                <w:szCs w:val="13"/>
              </w:rPr>
            </w:pPr>
          </w:p>
        </w:tc>
        <w:tc>
          <w:tcPr>
            <w:tcW w:w="835" w:type="dxa"/>
            <w:tcBorders>
              <w:top w:val="nil"/>
              <w:left w:val="nil"/>
              <w:bottom w:val="single" w:sz="4" w:space="0" w:color="auto"/>
              <w:right w:val="single" w:sz="4" w:space="0" w:color="auto"/>
            </w:tcBorders>
            <w:shd w:val="clear" w:color="auto" w:fill="auto"/>
            <w:noWrap/>
            <w:vAlign w:val="center"/>
          </w:tcPr>
          <w:p w14:paraId="39FDC997" w14:textId="6FCA5CDC" w:rsidR="00D64DE1" w:rsidRPr="0009296A" w:rsidRDefault="00D64DE1" w:rsidP="00D64DE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582B859D" w14:textId="1985EDDC" w:rsidR="00D64DE1" w:rsidRPr="0009296A" w:rsidRDefault="00D64DE1" w:rsidP="00D64DE1">
            <w:pPr>
              <w:jc w:val="center"/>
              <w:rPr>
                <w:rFonts w:ascii="华文细黑" w:eastAsia="华文细黑" w:hAnsi="华文细黑"/>
                <w:color w:val="000000"/>
                <w:sz w:val="13"/>
                <w:szCs w:val="13"/>
              </w:rPr>
            </w:pPr>
          </w:p>
        </w:tc>
        <w:tc>
          <w:tcPr>
            <w:tcW w:w="669" w:type="dxa"/>
            <w:tcBorders>
              <w:top w:val="single" w:sz="4" w:space="0" w:color="auto"/>
              <w:left w:val="nil"/>
              <w:bottom w:val="single" w:sz="4" w:space="0" w:color="auto"/>
              <w:right w:val="single" w:sz="4" w:space="0" w:color="auto"/>
            </w:tcBorders>
            <w:vAlign w:val="center"/>
          </w:tcPr>
          <w:p w14:paraId="18B1B71F" w14:textId="30A4BD03" w:rsidR="00D64DE1" w:rsidRPr="0026532D" w:rsidRDefault="00D64DE1" w:rsidP="00D64DE1">
            <w:pPr>
              <w:jc w:val="center"/>
              <w:rPr>
                <w:rFonts w:ascii="华文细黑" w:eastAsia="华文细黑" w:hAnsi="华文细黑"/>
                <w:color w:val="000000"/>
                <w:sz w:val="13"/>
                <w:szCs w:val="13"/>
              </w:rPr>
            </w:pPr>
          </w:p>
        </w:tc>
        <w:tc>
          <w:tcPr>
            <w:tcW w:w="669" w:type="dxa"/>
            <w:tcBorders>
              <w:top w:val="single" w:sz="4" w:space="0" w:color="auto"/>
              <w:left w:val="single" w:sz="4" w:space="0" w:color="auto"/>
              <w:bottom w:val="single" w:sz="4" w:space="0" w:color="auto"/>
              <w:right w:val="single" w:sz="4" w:space="0" w:color="auto"/>
            </w:tcBorders>
            <w:vAlign w:val="center"/>
          </w:tcPr>
          <w:p w14:paraId="74CAE6FE" w14:textId="59290297" w:rsidR="00D64DE1" w:rsidRPr="0026532D" w:rsidRDefault="00D64DE1" w:rsidP="00D64DE1">
            <w:pPr>
              <w:jc w:val="center"/>
              <w:rPr>
                <w:rFonts w:ascii="华文细黑" w:eastAsia="华文细黑" w:hAnsi="华文细黑"/>
                <w:color w:val="000000"/>
                <w:sz w:val="13"/>
                <w:szCs w:val="13"/>
              </w:rPr>
            </w:pPr>
          </w:p>
        </w:tc>
        <w:tc>
          <w:tcPr>
            <w:tcW w:w="502" w:type="dxa"/>
            <w:tcBorders>
              <w:top w:val="single" w:sz="4" w:space="0" w:color="auto"/>
              <w:left w:val="single" w:sz="4" w:space="0" w:color="auto"/>
              <w:bottom w:val="single" w:sz="4" w:space="0" w:color="auto"/>
              <w:right w:val="single" w:sz="4" w:space="0" w:color="auto"/>
            </w:tcBorders>
            <w:vAlign w:val="center"/>
          </w:tcPr>
          <w:p w14:paraId="270C8A19" w14:textId="5EF080AF" w:rsidR="00D64DE1" w:rsidRPr="0026532D" w:rsidRDefault="00D64DE1" w:rsidP="00D64DE1">
            <w:pPr>
              <w:jc w:val="center"/>
              <w:rPr>
                <w:rFonts w:ascii="华文细黑" w:eastAsia="华文细黑" w:hAnsi="华文细黑"/>
                <w:color w:val="000000"/>
                <w:sz w:val="13"/>
                <w:szCs w:val="13"/>
              </w:rPr>
            </w:pPr>
          </w:p>
        </w:tc>
        <w:tc>
          <w:tcPr>
            <w:tcW w:w="574" w:type="dxa"/>
            <w:tcBorders>
              <w:top w:val="single" w:sz="4" w:space="0" w:color="auto"/>
              <w:left w:val="single" w:sz="4" w:space="0" w:color="auto"/>
              <w:bottom w:val="single" w:sz="4" w:space="0" w:color="auto"/>
              <w:right w:val="single" w:sz="4" w:space="0" w:color="auto"/>
            </w:tcBorders>
            <w:vAlign w:val="center"/>
          </w:tcPr>
          <w:p w14:paraId="271AA33F" w14:textId="5DECF19E" w:rsidR="00D64DE1" w:rsidRPr="0026532D" w:rsidRDefault="00D64DE1" w:rsidP="00D64DE1">
            <w:pPr>
              <w:jc w:val="center"/>
              <w:rPr>
                <w:rFonts w:ascii="华文细黑" w:eastAsia="华文细黑" w:hAnsi="华文细黑"/>
                <w:color w:val="000000"/>
                <w:sz w:val="13"/>
                <w:szCs w:val="13"/>
              </w:rPr>
            </w:pPr>
          </w:p>
        </w:tc>
        <w:tc>
          <w:tcPr>
            <w:tcW w:w="915" w:type="dxa"/>
            <w:tcBorders>
              <w:top w:val="nil"/>
              <w:left w:val="nil"/>
              <w:bottom w:val="single" w:sz="4" w:space="0" w:color="auto"/>
              <w:right w:val="single" w:sz="4" w:space="0" w:color="auto"/>
            </w:tcBorders>
            <w:shd w:val="clear" w:color="auto" w:fill="auto"/>
            <w:noWrap/>
            <w:vAlign w:val="center"/>
            <w:hideMark/>
          </w:tcPr>
          <w:p w14:paraId="4C8DBB0E" w14:textId="724D661A"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351269</w:t>
            </w:r>
          </w:p>
        </w:tc>
      </w:tr>
      <w:tr w:rsidR="00D64DE1" w:rsidRPr="0009296A" w14:paraId="4A39EA2D" w14:textId="77777777" w:rsidTr="00D64DE1">
        <w:trPr>
          <w:trHeight w:val="340"/>
        </w:trPr>
        <w:tc>
          <w:tcPr>
            <w:tcW w:w="402" w:type="dxa"/>
            <w:tcBorders>
              <w:top w:val="nil"/>
              <w:left w:val="single" w:sz="4" w:space="0" w:color="auto"/>
              <w:bottom w:val="single" w:sz="4" w:space="0" w:color="auto"/>
              <w:right w:val="single" w:sz="4" w:space="0" w:color="auto"/>
            </w:tcBorders>
            <w:shd w:val="clear" w:color="auto" w:fill="auto"/>
            <w:noWrap/>
            <w:vAlign w:val="center"/>
            <w:hideMark/>
          </w:tcPr>
          <w:p w14:paraId="6976E310" w14:textId="77777777" w:rsidR="00D64DE1" w:rsidRPr="0009296A" w:rsidRDefault="00D64DE1" w:rsidP="007B3231">
            <w:pPr>
              <w:jc w:val="both"/>
              <w:rPr>
                <w:rFonts w:ascii="华文细黑" w:eastAsia="华文细黑" w:hAnsi="华文细黑"/>
                <w:color w:val="000000"/>
                <w:sz w:val="13"/>
                <w:szCs w:val="13"/>
              </w:rPr>
            </w:pPr>
            <w:r>
              <w:rPr>
                <w:rFonts w:ascii="华文细黑" w:eastAsia="华文细黑" w:hAnsi="华文细黑" w:hint="eastAsia"/>
                <w:color w:val="000000"/>
                <w:sz w:val="13"/>
                <w:szCs w:val="13"/>
              </w:rPr>
              <w:t>5</w:t>
            </w:r>
          </w:p>
        </w:tc>
        <w:tc>
          <w:tcPr>
            <w:tcW w:w="1480" w:type="dxa"/>
            <w:tcBorders>
              <w:top w:val="nil"/>
              <w:left w:val="nil"/>
              <w:bottom w:val="single" w:sz="4" w:space="0" w:color="auto"/>
              <w:right w:val="single" w:sz="4" w:space="0" w:color="auto"/>
            </w:tcBorders>
            <w:shd w:val="clear" w:color="auto" w:fill="auto"/>
            <w:noWrap/>
            <w:vAlign w:val="center"/>
            <w:hideMark/>
          </w:tcPr>
          <w:p w14:paraId="10F1CABC" w14:textId="77777777" w:rsidR="00D64DE1" w:rsidRPr="0009296A" w:rsidRDefault="00D64DE1" w:rsidP="007B3231">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其中：自有资金</w:t>
            </w:r>
          </w:p>
        </w:tc>
        <w:tc>
          <w:tcPr>
            <w:tcW w:w="835" w:type="dxa"/>
            <w:tcBorders>
              <w:top w:val="nil"/>
              <w:left w:val="nil"/>
              <w:bottom w:val="single" w:sz="4" w:space="0" w:color="auto"/>
              <w:right w:val="single" w:sz="4" w:space="0" w:color="auto"/>
            </w:tcBorders>
            <w:shd w:val="clear" w:color="auto" w:fill="auto"/>
            <w:noWrap/>
            <w:vAlign w:val="center"/>
          </w:tcPr>
          <w:p w14:paraId="12C61BB2" w14:textId="77777777" w:rsidR="00D64DE1" w:rsidRPr="0009296A" w:rsidRDefault="00D64DE1" w:rsidP="007B323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55213B34" w14:textId="1E52EC28"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1020</w:t>
            </w:r>
          </w:p>
        </w:tc>
        <w:tc>
          <w:tcPr>
            <w:tcW w:w="669" w:type="dxa"/>
            <w:tcBorders>
              <w:top w:val="nil"/>
              <w:left w:val="nil"/>
              <w:bottom w:val="single" w:sz="4" w:space="0" w:color="auto"/>
              <w:right w:val="single" w:sz="4" w:space="0" w:color="auto"/>
            </w:tcBorders>
            <w:shd w:val="clear" w:color="auto" w:fill="auto"/>
            <w:noWrap/>
            <w:vAlign w:val="center"/>
          </w:tcPr>
          <w:p w14:paraId="76E914ED" w14:textId="106FBCEA" w:rsidR="00D64DE1" w:rsidRPr="0009296A" w:rsidRDefault="00D64DE1" w:rsidP="00D64DE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66D4BC89" w14:textId="1AB9E119"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0A51B7F4" w14:textId="6A71F869"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7C0AB97E" w14:textId="0784F9E5" w:rsidR="00D64DE1" w:rsidRPr="0009296A" w:rsidRDefault="00D64DE1" w:rsidP="00D64DE1">
            <w:pPr>
              <w:jc w:val="center"/>
              <w:rPr>
                <w:rFonts w:ascii="华文细黑" w:eastAsia="华文细黑" w:hAnsi="华文细黑"/>
                <w:color w:val="000000"/>
                <w:sz w:val="13"/>
                <w:szCs w:val="13"/>
              </w:rPr>
            </w:pPr>
          </w:p>
        </w:tc>
        <w:tc>
          <w:tcPr>
            <w:tcW w:w="835" w:type="dxa"/>
            <w:tcBorders>
              <w:top w:val="nil"/>
              <w:left w:val="nil"/>
              <w:bottom w:val="single" w:sz="4" w:space="0" w:color="auto"/>
              <w:right w:val="single" w:sz="4" w:space="0" w:color="auto"/>
            </w:tcBorders>
            <w:shd w:val="clear" w:color="auto" w:fill="auto"/>
            <w:noWrap/>
            <w:vAlign w:val="center"/>
          </w:tcPr>
          <w:p w14:paraId="427B1D45" w14:textId="3F26C2BB"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081EBBB5" w14:textId="02CE4B2E"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1E13C7DA" w14:textId="42B05C36"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77E6B967" w14:textId="6E68B9E4" w:rsidR="00D64DE1" w:rsidRPr="0009296A" w:rsidRDefault="00D64DE1" w:rsidP="00D64DE1">
            <w:pPr>
              <w:jc w:val="center"/>
              <w:rPr>
                <w:rFonts w:ascii="华文细黑" w:eastAsia="华文细黑" w:hAnsi="华文细黑"/>
                <w:color w:val="000000"/>
                <w:sz w:val="13"/>
                <w:szCs w:val="13"/>
              </w:rPr>
            </w:pPr>
          </w:p>
        </w:tc>
        <w:tc>
          <w:tcPr>
            <w:tcW w:w="835" w:type="dxa"/>
            <w:tcBorders>
              <w:top w:val="nil"/>
              <w:left w:val="nil"/>
              <w:bottom w:val="single" w:sz="4" w:space="0" w:color="auto"/>
              <w:right w:val="single" w:sz="4" w:space="0" w:color="auto"/>
            </w:tcBorders>
            <w:shd w:val="clear" w:color="auto" w:fill="auto"/>
            <w:noWrap/>
            <w:vAlign w:val="center"/>
          </w:tcPr>
          <w:p w14:paraId="6963A1FF" w14:textId="0528198C" w:rsidR="00D64DE1" w:rsidRPr="0009296A" w:rsidRDefault="00D64DE1" w:rsidP="00D64DE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2E4A9DF6" w14:textId="72536A76" w:rsidR="00D64DE1" w:rsidRPr="0009296A" w:rsidRDefault="00D64DE1" w:rsidP="00D64DE1">
            <w:pPr>
              <w:jc w:val="center"/>
              <w:rPr>
                <w:rFonts w:ascii="华文细黑" w:eastAsia="华文细黑" w:hAnsi="华文细黑"/>
                <w:color w:val="000000"/>
                <w:sz w:val="13"/>
                <w:szCs w:val="13"/>
              </w:rPr>
            </w:pPr>
          </w:p>
        </w:tc>
        <w:tc>
          <w:tcPr>
            <w:tcW w:w="669" w:type="dxa"/>
            <w:tcBorders>
              <w:top w:val="single" w:sz="4" w:space="0" w:color="auto"/>
              <w:left w:val="nil"/>
              <w:bottom w:val="single" w:sz="4" w:space="0" w:color="auto"/>
              <w:right w:val="single" w:sz="4" w:space="0" w:color="auto"/>
            </w:tcBorders>
            <w:vAlign w:val="center"/>
          </w:tcPr>
          <w:p w14:paraId="7F9AB689" w14:textId="456C99C1" w:rsidR="00D64DE1" w:rsidRPr="0009296A" w:rsidRDefault="00D64DE1" w:rsidP="00D64DE1">
            <w:pPr>
              <w:jc w:val="center"/>
              <w:rPr>
                <w:rFonts w:ascii="华文细黑" w:eastAsia="华文细黑" w:hAnsi="华文细黑"/>
                <w:color w:val="000000"/>
                <w:sz w:val="13"/>
                <w:szCs w:val="13"/>
              </w:rPr>
            </w:pPr>
          </w:p>
        </w:tc>
        <w:tc>
          <w:tcPr>
            <w:tcW w:w="669" w:type="dxa"/>
            <w:tcBorders>
              <w:top w:val="single" w:sz="4" w:space="0" w:color="auto"/>
              <w:left w:val="single" w:sz="4" w:space="0" w:color="auto"/>
              <w:bottom w:val="single" w:sz="4" w:space="0" w:color="auto"/>
              <w:right w:val="single" w:sz="4" w:space="0" w:color="auto"/>
            </w:tcBorders>
            <w:vAlign w:val="center"/>
          </w:tcPr>
          <w:p w14:paraId="6D59B39B" w14:textId="28BF13F0" w:rsidR="00D64DE1" w:rsidRPr="0009296A" w:rsidRDefault="00D64DE1" w:rsidP="00D64DE1">
            <w:pPr>
              <w:jc w:val="center"/>
              <w:rPr>
                <w:rFonts w:ascii="华文细黑" w:eastAsia="华文细黑" w:hAnsi="华文细黑"/>
                <w:color w:val="000000"/>
                <w:sz w:val="13"/>
                <w:szCs w:val="13"/>
              </w:rPr>
            </w:pPr>
          </w:p>
        </w:tc>
        <w:tc>
          <w:tcPr>
            <w:tcW w:w="502" w:type="dxa"/>
            <w:tcBorders>
              <w:top w:val="single" w:sz="4" w:space="0" w:color="auto"/>
              <w:left w:val="single" w:sz="4" w:space="0" w:color="auto"/>
              <w:bottom w:val="single" w:sz="4" w:space="0" w:color="auto"/>
              <w:right w:val="single" w:sz="4" w:space="0" w:color="auto"/>
            </w:tcBorders>
            <w:vAlign w:val="center"/>
          </w:tcPr>
          <w:p w14:paraId="254C3BAB" w14:textId="7A339A9B" w:rsidR="00D64DE1" w:rsidRPr="0009296A" w:rsidRDefault="00D64DE1" w:rsidP="00D64DE1">
            <w:pPr>
              <w:jc w:val="center"/>
              <w:rPr>
                <w:rFonts w:ascii="华文细黑" w:eastAsia="华文细黑" w:hAnsi="华文细黑"/>
                <w:color w:val="000000"/>
                <w:sz w:val="13"/>
                <w:szCs w:val="13"/>
              </w:rPr>
            </w:pPr>
          </w:p>
        </w:tc>
        <w:tc>
          <w:tcPr>
            <w:tcW w:w="574" w:type="dxa"/>
            <w:tcBorders>
              <w:top w:val="single" w:sz="4" w:space="0" w:color="auto"/>
              <w:left w:val="single" w:sz="4" w:space="0" w:color="auto"/>
              <w:bottom w:val="single" w:sz="4" w:space="0" w:color="auto"/>
              <w:right w:val="single" w:sz="4" w:space="0" w:color="auto"/>
            </w:tcBorders>
            <w:vAlign w:val="center"/>
          </w:tcPr>
          <w:p w14:paraId="7899DA6C" w14:textId="3BC47119" w:rsidR="00D64DE1" w:rsidRPr="0009296A" w:rsidRDefault="00D64DE1" w:rsidP="00D64DE1">
            <w:pPr>
              <w:jc w:val="center"/>
              <w:rPr>
                <w:rFonts w:ascii="华文细黑" w:eastAsia="华文细黑" w:hAnsi="华文细黑"/>
                <w:color w:val="000000"/>
                <w:sz w:val="13"/>
                <w:szCs w:val="13"/>
              </w:rPr>
            </w:pPr>
          </w:p>
        </w:tc>
        <w:tc>
          <w:tcPr>
            <w:tcW w:w="915" w:type="dxa"/>
            <w:tcBorders>
              <w:top w:val="nil"/>
              <w:left w:val="nil"/>
              <w:bottom w:val="single" w:sz="4" w:space="0" w:color="auto"/>
              <w:right w:val="single" w:sz="4" w:space="0" w:color="auto"/>
            </w:tcBorders>
            <w:shd w:val="clear" w:color="auto" w:fill="auto"/>
            <w:noWrap/>
            <w:vAlign w:val="center"/>
          </w:tcPr>
          <w:p w14:paraId="7AA294F8" w14:textId="160090D9"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1020</w:t>
            </w:r>
          </w:p>
        </w:tc>
      </w:tr>
      <w:tr w:rsidR="00D64DE1" w:rsidRPr="0009296A" w14:paraId="63EF5E3F" w14:textId="77777777" w:rsidTr="00D64DE1">
        <w:trPr>
          <w:trHeight w:val="340"/>
        </w:trPr>
        <w:tc>
          <w:tcPr>
            <w:tcW w:w="402" w:type="dxa"/>
            <w:tcBorders>
              <w:top w:val="nil"/>
              <w:left w:val="single" w:sz="4" w:space="0" w:color="auto"/>
              <w:bottom w:val="single" w:sz="4" w:space="0" w:color="auto"/>
              <w:right w:val="single" w:sz="4" w:space="0" w:color="auto"/>
            </w:tcBorders>
            <w:shd w:val="clear" w:color="auto" w:fill="auto"/>
            <w:noWrap/>
            <w:vAlign w:val="center"/>
            <w:hideMark/>
          </w:tcPr>
          <w:p w14:paraId="2AD99265" w14:textId="77777777" w:rsidR="00D64DE1" w:rsidRPr="0009296A" w:rsidRDefault="00D64DE1" w:rsidP="007B3231">
            <w:pPr>
              <w:jc w:val="both"/>
              <w:rPr>
                <w:rFonts w:ascii="华文细黑" w:eastAsia="华文细黑" w:hAnsi="华文细黑"/>
                <w:color w:val="000000"/>
                <w:sz w:val="13"/>
                <w:szCs w:val="13"/>
              </w:rPr>
            </w:pPr>
            <w:r>
              <w:rPr>
                <w:rFonts w:ascii="华文细黑" w:eastAsia="华文细黑" w:hAnsi="华文细黑" w:hint="eastAsia"/>
                <w:color w:val="000000"/>
                <w:sz w:val="13"/>
                <w:szCs w:val="13"/>
              </w:rPr>
              <w:t>6</w:t>
            </w:r>
          </w:p>
        </w:tc>
        <w:tc>
          <w:tcPr>
            <w:tcW w:w="1480" w:type="dxa"/>
            <w:tcBorders>
              <w:top w:val="nil"/>
              <w:left w:val="nil"/>
              <w:bottom w:val="single" w:sz="4" w:space="0" w:color="auto"/>
              <w:right w:val="single" w:sz="4" w:space="0" w:color="auto"/>
            </w:tcBorders>
            <w:shd w:val="clear" w:color="auto" w:fill="auto"/>
            <w:noWrap/>
            <w:vAlign w:val="center"/>
            <w:hideMark/>
          </w:tcPr>
          <w:p w14:paraId="77D2028E" w14:textId="5C8C35E2" w:rsidR="00D64DE1" w:rsidRPr="0009296A" w:rsidRDefault="00D64DE1" w:rsidP="00D64DE1">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五矿信托权益性出资</w:t>
            </w:r>
          </w:p>
        </w:tc>
        <w:tc>
          <w:tcPr>
            <w:tcW w:w="835" w:type="dxa"/>
            <w:tcBorders>
              <w:top w:val="nil"/>
              <w:left w:val="nil"/>
              <w:bottom w:val="single" w:sz="4" w:space="0" w:color="auto"/>
              <w:right w:val="single" w:sz="4" w:space="0" w:color="auto"/>
            </w:tcBorders>
            <w:shd w:val="clear" w:color="auto" w:fill="auto"/>
            <w:noWrap/>
            <w:vAlign w:val="center"/>
          </w:tcPr>
          <w:p w14:paraId="2B722987" w14:textId="5D993795" w:rsidR="00D64DE1" w:rsidRPr="0009296A" w:rsidRDefault="00D64DE1" w:rsidP="007B323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55AFE161" w14:textId="2F090E00" w:rsidR="00D64DE1" w:rsidRPr="0009296A" w:rsidRDefault="00D64DE1" w:rsidP="00D64DE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57662F10" w14:textId="5268E6EE"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980</w:t>
            </w:r>
          </w:p>
        </w:tc>
        <w:tc>
          <w:tcPr>
            <w:tcW w:w="669" w:type="dxa"/>
            <w:tcBorders>
              <w:top w:val="nil"/>
              <w:left w:val="nil"/>
              <w:bottom w:val="single" w:sz="4" w:space="0" w:color="auto"/>
              <w:right w:val="single" w:sz="4" w:space="0" w:color="auto"/>
            </w:tcBorders>
            <w:shd w:val="clear" w:color="auto" w:fill="auto"/>
            <w:noWrap/>
            <w:vAlign w:val="center"/>
          </w:tcPr>
          <w:p w14:paraId="06285713" w14:textId="72F7600C"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54A13AB5" w14:textId="1A3C527C"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4856248B" w14:textId="29AF1222" w:rsidR="00D64DE1" w:rsidRPr="0009296A" w:rsidRDefault="00D64DE1" w:rsidP="00D64DE1">
            <w:pPr>
              <w:jc w:val="center"/>
              <w:rPr>
                <w:rFonts w:ascii="华文细黑" w:eastAsia="华文细黑" w:hAnsi="华文细黑"/>
                <w:color w:val="000000"/>
                <w:sz w:val="13"/>
                <w:szCs w:val="13"/>
              </w:rPr>
            </w:pPr>
          </w:p>
        </w:tc>
        <w:tc>
          <w:tcPr>
            <w:tcW w:w="835" w:type="dxa"/>
            <w:tcBorders>
              <w:top w:val="nil"/>
              <w:left w:val="nil"/>
              <w:bottom w:val="single" w:sz="4" w:space="0" w:color="auto"/>
              <w:right w:val="single" w:sz="4" w:space="0" w:color="auto"/>
            </w:tcBorders>
            <w:shd w:val="clear" w:color="auto" w:fill="auto"/>
            <w:noWrap/>
            <w:vAlign w:val="center"/>
          </w:tcPr>
          <w:p w14:paraId="2BC4CCD4" w14:textId="1FF9C6C8"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37F29CCF" w14:textId="2D5138B8"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71768916" w14:textId="2989FA39"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6B7613AA" w14:textId="1372789E" w:rsidR="00D64DE1" w:rsidRPr="0009296A" w:rsidRDefault="00D64DE1" w:rsidP="00D64DE1">
            <w:pPr>
              <w:jc w:val="center"/>
              <w:rPr>
                <w:rFonts w:ascii="华文细黑" w:eastAsia="华文细黑" w:hAnsi="华文细黑"/>
                <w:color w:val="000000"/>
                <w:sz w:val="13"/>
                <w:szCs w:val="13"/>
              </w:rPr>
            </w:pPr>
          </w:p>
        </w:tc>
        <w:tc>
          <w:tcPr>
            <w:tcW w:w="835" w:type="dxa"/>
            <w:tcBorders>
              <w:top w:val="nil"/>
              <w:left w:val="nil"/>
              <w:bottom w:val="single" w:sz="4" w:space="0" w:color="auto"/>
              <w:right w:val="single" w:sz="4" w:space="0" w:color="auto"/>
            </w:tcBorders>
            <w:shd w:val="clear" w:color="auto" w:fill="auto"/>
            <w:noWrap/>
            <w:vAlign w:val="center"/>
          </w:tcPr>
          <w:p w14:paraId="2BDD5892" w14:textId="2326680D" w:rsidR="00D64DE1" w:rsidRPr="0009296A" w:rsidRDefault="00D64DE1" w:rsidP="00D64DE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659B9D99" w14:textId="0C6F413D" w:rsidR="00D64DE1" w:rsidRPr="0009296A" w:rsidRDefault="00D64DE1" w:rsidP="00D64DE1">
            <w:pPr>
              <w:jc w:val="center"/>
              <w:rPr>
                <w:rFonts w:ascii="华文细黑" w:eastAsia="华文细黑" w:hAnsi="华文细黑"/>
                <w:color w:val="000000"/>
                <w:sz w:val="13"/>
                <w:szCs w:val="13"/>
              </w:rPr>
            </w:pPr>
          </w:p>
        </w:tc>
        <w:tc>
          <w:tcPr>
            <w:tcW w:w="669" w:type="dxa"/>
            <w:tcBorders>
              <w:top w:val="single" w:sz="4" w:space="0" w:color="auto"/>
              <w:left w:val="nil"/>
              <w:bottom w:val="single" w:sz="4" w:space="0" w:color="auto"/>
              <w:right w:val="single" w:sz="4" w:space="0" w:color="auto"/>
            </w:tcBorders>
            <w:vAlign w:val="center"/>
          </w:tcPr>
          <w:p w14:paraId="1DF9D824" w14:textId="7A899D94" w:rsidR="00D64DE1" w:rsidRPr="0026532D" w:rsidRDefault="00D64DE1" w:rsidP="00D64DE1">
            <w:pPr>
              <w:jc w:val="center"/>
              <w:rPr>
                <w:rFonts w:ascii="华文细黑" w:eastAsia="华文细黑" w:hAnsi="华文细黑"/>
                <w:color w:val="000000"/>
                <w:sz w:val="13"/>
                <w:szCs w:val="13"/>
              </w:rPr>
            </w:pPr>
          </w:p>
        </w:tc>
        <w:tc>
          <w:tcPr>
            <w:tcW w:w="669" w:type="dxa"/>
            <w:tcBorders>
              <w:top w:val="single" w:sz="4" w:space="0" w:color="auto"/>
              <w:left w:val="single" w:sz="4" w:space="0" w:color="auto"/>
              <w:bottom w:val="single" w:sz="4" w:space="0" w:color="auto"/>
              <w:right w:val="single" w:sz="4" w:space="0" w:color="auto"/>
            </w:tcBorders>
            <w:vAlign w:val="center"/>
          </w:tcPr>
          <w:p w14:paraId="14E5A397" w14:textId="05ADE07C" w:rsidR="00D64DE1" w:rsidRPr="0026532D" w:rsidRDefault="00D64DE1" w:rsidP="00D64DE1">
            <w:pPr>
              <w:jc w:val="center"/>
              <w:rPr>
                <w:rFonts w:ascii="华文细黑" w:eastAsia="华文细黑" w:hAnsi="华文细黑"/>
                <w:color w:val="000000"/>
                <w:sz w:val="13"/>
                <w:szCs w:val="13"/>
              </w:rPr>
            </w:pPr>
          </w:p>
        </w:tc>
        <w:tc>
          <w:tcPr>
            <w:tcW w:w="502" w:type="dxa"/>
            <w:tcBorders>
              <w:top w:val="single" w:sz="4" w:space="0" w:color="auto"/>
              <w:left w:val="single" w:sz="4" w:space="0" w:color="auto"/>
              <w:bottom w:val="single" w:sz="4" w:space="0" w:color="auto"/>
              <w:right w:val="single" w:sz="4" w:space="0" w:color="auto"/>
            </w:tcBorders>
            <w:vAlign w:val="center"/>
          </w:tcPr>
          <w:p w14:paraId="48C18869" w14:textId="7BEB1C69" w:rsidR="00D64DE1" w:rsidRPr="0026532D" w:rsidRDefault="00D64DE1" w:rsidP="00D64DE1">
            <w:pPr>
              <w:jc w:val="center"/>
              <w:rPr>
                <w:rFonts w:ascii="华文细黑" w:eastAsia="华文细黑" w:hAnsi="华文细黑"/>
                <w:color w:val="000000"/>
                <w:sz w:val="13"/>
                <w:szCs w:val="13"/>
              </w:rPr>
            </w:pPr>
          </w:p>
        </w:tc>
        <w:tc>
          <w:tcPr>
            <w:tcW w:w="574" w:type="dxa"/>
            <w:tcBorders>
              <w:top w:val="single" w:sz="4" w:space="0" w:color="auto"/>
              <w:left w:val="single" w:sz="4" w:space="0" w:color="auto"/>
              <w:bottom w:val="single" w:sz="4" w:space="0" w:color="auto"/>
              <w:right w:val="single" w:sz="4" w:space="0" w:color="auto"/>
            </w:tcBorders>
            <w:vAlign w:val="center"/>
          </w:tcPr>
          <w:p w14:paraId="439AF298" w14:textId="4D09616B" w:rsidR="00D64DE1" w:rsidRPr="0026532D" w:rsidRDefault="00D64DE1" w:rsidP="00D64DE1">
            <w:pPr>
              <w:jc w:val="center"/>
              <w:rPr>
                <w:rFonts w:ascii="华文细黑" w:eastAsia="华文细黑" w:hAnsi="华文细黑"/>
                <w:color w:val="000000"/>
                <w:sz w:val="13"/>
                <w:szCs w:val="13"/>
              </w:rPr>
            </w:pPr>
          </w:p>
        </w:tc>
        <w:tc>
          <w:tcPr>
            <w:tcW w:w="915" w:type="dxa"/>
            <w:tcBorders>
              <w:top w:val="nil"/>
              <w:left w:val="nil"/>
              <w:bottom w:val="single" w:sz="4" w:space="0" w:color="auto"/>
              <w:right w:val="single" w:sz="4" w:space="0" w:color="auto"/>
            </w:tcBorders>
            <w:shd w:val="clear" w:color="auto" w:fill="auto"/>
            <w:noWrap/>
            <w:vAlign w:val="center"/>
            <w:hideMark/>
          </w:tcPr>
          <w:p w14:paraId="66EE6D98" w14:textId="0112D025"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980</w:t>
            </w:r>
          </w:p>
        </w:tc>
      </w:tr>
      <w:tr w:rsidR="00D64DE1" w:rsidRPr="0009296A" w14:paraId="5D160078" w14:textId="77777777" w:rsidTr="00D64DE1">
        <w:trPr>
          <w:trHeight w:val="340"/>
        </w:trPr>
        <w:tc>
          <w:tcPr>
            <w:tcW w:w="402" w:type="dxa"/>
            <w:tcBorders>
              <w:top w:val="nil"/>
              <w:left w:val="single" w:sz="4" w:space="0" w:color="auto"/>
              <w:bottom w:val="single" w:sz="4" w:space="0" w:color="auto"/>
              <w:right w:val="single" w:sz="4" w:space="0" w:color="auto"/>
            </w:tcBorders>
            <w:shd w:val="clear" w:color="auto" w:fill="auto"/>
            <w:noWrap/>
            <w:vAlign w:val="center"/>
            <w:hideMark/>
          </w:tcPr>
          <w:p w14:paraId="70FF84A7" w14:textId="77777777" w:rsidR="00D64DE1" w:rsidRPr="0009296A" w:rsidRDefault="00D64DE1" w:rsidP="007B3231">
            <w:pPr>
              <w:jc w:val="both"/>
              <w:rPr>
                <w:rFonts w:ascii="华文细黑" w:eastAsia="华文细黑" w:hAnsi="华文细黑"/>
                <w:color w:val="000000"/>
                <w:sz w:val="13"/>
                <w:szCs w:val="13"/>
              </w:rPr>
            </w:pPr>
            <w:r>
              <w:rPr>
                <w:rFonts w:ascii="华文细黑" w:eastAsia="华文细黑" w:hAnsi="华文细黑" w:hint="eastAsia"/>
                <w:color w:val="000000"/>
                <w:sz w:val="13"/>
                <w:szCs w:val="13"/>
              </w:rPr>
              <w:t>7</w:t>
            </w:r>
          </w:p>
        </w:tc>
        <w:tc>
          <w:tcPr>
            <w:tcW w:w="1480" w:type="dxa"/>
            <w:tcBorders>
              <w:top w:val="nil"/>
              <w:left w:val="nil"/>
              <w:bottom w:val="single" w:sz="4" w:space="0" w:color="auto"/>
              <w:right w:val="single" w:sz="4" w:space="0" w:color="auto"/>
            </w:tcBorders>
            <w:shd w:val="clear" w:color="auto" w:fill="auto"/>
            <w:noWrap/>
            <w:vAlign w:val="center"/>
            <w:hideMark/>
          </w:tcPr>
          <w:p w14:paraId="1590FED8" w14:textId="09FBFA71" w:rsidR="00D64DE1" w:rsidRPr="0009296A" w:rsidRDefault="00D64DE1" w:rsidP="007B3231">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五矿信托股东借款</w:t>
            </w:r>
          </w:p>
        </w:tc>
        <w:tc>
          <w:tcPr>
            <w:tcW w:w="835" w:type="dxa"/>
            <w:tcBorders>
              <w:top w:val="nil"/>
              <w:left w:val="nil"/>
              <w:bottom w:val="single" w:sz="4" w:space="0" w:color="auto"/>
              <w:right w:val="single" w:sz="4" w:space="0" w:color="auto"/>
            </w:tcBorders>
            <w:shd w:val="clear" w:color="auto" w:fill="auto"/>
            <w:noWrap/>
            <w:vAlign w:val="center"/>
          </w:tcPr>
          <w:p w14:paraId="29D5152C" w14:textId="59F62D76" w:rsidR="00D64DE1" w:rsidRPr="0009296A" w:rsidRDefault="00D64DE1" w:rsidP="007B323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6E99F4B3" w14:textId="096AE5E1" w:rsidR="00D64DE1" w:rsidRPr="0009296A" w:rsidRDefault="00D64DE1" w:rsidP="00D64DE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234D6E51" w14:textId="11A1BBD0"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174720</w:t>
            </w:r>
          </w:p>
        </w:tc>
        <w:tc>
          <w:tcPr>
            <w:tcW w:w="669" w:type="dxa"/>
            <w:tcBorders>
              <w:top w:val="nil"/>
              <w:left w:val="nil"/>
              <w:bottom w:val="single" w:sz="4" w:space="0" w:color="auto"/>
              <w:right w:val="single" w:sz="4" w:space="0" w:color="auto"/>
            </w:tcBorders>
            <w:shd w:val="clear" w:color="auto" w:fill="auto"/>
            <w:noWrap/>
            <w:vAlign w:val="center"/>
          </w:tcPr>
          <w:p w14:paraId="6C8DD37E" w14:textId="307FB9D6"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17F78036" w14:textId="26A8B049"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0CFE5FA0" w14:textId="172CA453" w:rsidR="00D64DE1" w:rsidRPr="0009296A" w:rsidRDefault="00D64DE1" w:rsidP="00D64DE1">
            <w:pPr>
              <w:jc w:val="center"/>
              <w:rPr>
                <w:rFonts w:ascii="华文细黑" w:eastAsia="华文细黑" w:hAnsi="华文细黑"/>
                <w:color w:val="000000"/>
                <w:sz w:val="13"/>
                <w:szCs w:val="13"/>
              </w:rPr>
            </w:pPr>
          </w:p>
        </w:tc>
        <w:tc>
          <w:tcPr>
            <w:tcW w:w="835" w:type="dxa"/>
            <w:tcBorders>
              <w:top w:val="nil"/>
              <w:left w:val="nil"/>
              <w:bottom w:val="single" w:sz="4" w:space="0" w:color="auto"/>
              <w:right w:val="single" w:sz="4" w:space="0" w:color="auto"/>
            </w:tcBorders>
            <w:shd w:val="clear" w:color="auto" w:fill="auto"/>
            <w:noWrap/>
            <w:vAlign w:val="center"/>
          </w:tcPr>
          <w:p w14:paraId="15A745F5" w14:textId="3D991FFD"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4D3390C2" w14:textId="5FF10D53"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4E454AA0" w14:textId="041620B2"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534CC865" w14:textId="21563AAF" w:rsidR="00D64DE1" w:rsidRPr="0009296A" w:rsidRDefault="00D64DE1" w:rsidP="00D64DE1">
            <w:pPr>
              <w:jc w:val="center"/>
              <w:rPr>
                <w:rFonts w:ascii="华文细黑" w:eastAsia="华文细黑" w:hAnsi="华文细黑"/>
                <w:color w:val="000000"/>
                <w:sz w:val="13"/>
                <w:szCs w:val="13"/>
              </w:rPr>
            </w:pPr>
          </w:p>
        </w:tc>
        <w:tc>
          <w:tcPr>
            <w:tcW w:w="835" w:type="dxa"/>
            <w:tcBorders>
              <w:top w:val="nil"/>
              <w:left w:val="nil"/>
              <w:bottom w:val="single" w:sz="4" w:space="0" w:color="auto"/>
              <w:right w:val="single" w:sz="4" w:space="0" w:color="auto"/>
            </w:tcBorders>
            <w:shd w:val="clear" w:color="auto" w:fill="auto"/>
            <w:noWrap/>
            <w:vAlign w:val="center"/>
          </w:tcPr>
          <w:p w14:paraId="43B0B697" w14:textId="543571A9" w:rsidR="00D64DE1" w:rsidRPr="0009296A" w:rsidRDefault="00D64DE1" w:rsidP="00D64DE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6D5987E8" w14:textId="6D28E065" w:rsidR="00D64DE1" w:rsidRPr="0009296A" w:rsidRDefault="00D64DE1" w:rsidP="00D64DE1">
            <w:pPr>
              <w:jc w:val="center"/>
              <w:rPr>
                <w:rFonts w:ascii="华文细黑" w:eastAsia="华文细黑" w:hAnsi="华文细黑"/>
                <w:color w:val="000000"/>
                <w:sz w:val="13"/>
                <w:szCs w:val="13"/>
              </w:rPr>
            </w:pPr>
          </w:p>
        </w:tc>
        <w:tc>
          <w:tcPr>
            <w:tcW w:w="669" w:type="dxa"/>
            <w:tcBorders>
              <w:top w:val="single" w:sz="4" w:space="0" w:color="auto"/>
              <w:left w:val="nil"/>
              <w:bottom w:val="single" w:sz="4" w:space="0" w:color="auto"/>
              <w:right w:val="single" w:sz="4" w:space="0" w:color="auto"/>
            </w:tcBorders>
            <w:vAlign w:val="center"/>
          </w:tcPr>
          <w:p w14:paraId="1EBFD34F" w14:textId="4857D8E7" w:rsidR="00D64DE1" w:rsidRPr="0026532D" w:rsidRDefault="00D64DE1" w:rsidP="00D64DE1">
            <w:pPr>
              <w:jc w:val="center"/>
              <w:rPr>
                <w:rFonts w:ascii="华文细黑" w:eastAsia="华文细黑" w:hAnsi="华文细黑"/>
                <w:color w:val="000000"/>
                <w:sz w:val="13"/>
                <w:szCs w:val="13"/>
              </w:rPr>
            </w:pPr>
          </w:p>
        </w:tc>
        <w:tc>
          <w:tcPr>
            <w:tcW w:w="669" w:type="dxa"/>
            <w:tcBorders>
              <w:top w:val="single" w:sz="4" w:space="0" w:color="auto"/>
              <w:left w:val="single" w:sz="4" w:space="0" w:color="auto"/>
              <w:bottom w:val="single" w:sz="4" w:space="0" w:color="auto"/>
              <w:right w:val="single" w:sz="4" w:space="0" w:color="auto"/>
            </w:tcBorders>
            <w:vAlign w:val="center"/>
          </w:tcPr>
          <w:p w14:paraId="401A3320" w14:textId="444C90B2" w:rsidR="00D64DE1" w:rsidRPr="0026532D" w:rsidRDefault="00D64DE1" w:rsidP="00D64DE1">
            <w:pPr>
              <w:jc w:val="center"/>
              <w:rPr>
                <w:rFonts w:ascii="华文细黑" w:eastAsia="华文细黑" w:hAnsi="华文细黑"/>
                <w:color w:val="000000"/>
                <w:sz w:val="13"/>
                <w:szCs w:val="13"/>
              </w:rPr>
            </w:pPr>
          </w:p>
        </w:tc>
        <w:tc>
          <w:tcPr>
            <w:tcW w:w="502" w:type="dxa"/>
            <w:tcBorders>
              <w:top w:val="single" w:sz="4" w:space="0" w:color="auto"/>
              <w:left w:val="single" w:sz="4" w:space="0" w:color="auto"/>
              <w:bottom w:val="single" w:sz="4" w:space="0" w:color="auto"/>
              <w:right w:val="single" w:sz="4" w:space="0" w:color="auto"/>
            </w:tcBorders>
            <w:vAlign w:val="center"/>
          </w:tcPr>
          <w:p w14:paraId="482819A8" w14:textId="1069C238" w:rsidR="00D64DE1" w:rsidRPr="0026532D" w:rsidRDefault="00D64DE1" w:rsidP="00D64DE1">
            <w:pPr>
              <w:jc w:val="center"/>
              <w:rPr>
                <w:rFonts w:ascii="华文细黑" w:eastAsia="华文细黑" w:hAnsi="华文细黑"/>
                <w:color w:val="000000"/>
                <w:sz w:val="13"/>
                <w:szCs w:val="13"/>
              </w:rPr>
            </w:pPr>
          </w:p>
        </w:tc>
        <w:tc>
          <w:tcPr>
            <w:tcW w:w="574" w:type="dxa"/>
            <w:tcBorders>
              <w:top w:val="single" w:sz="4" w:space="0" w:color="auto"/>
              <w:left w:val="single" w:sz="4" w:space="0" w:color="auto"/>
              <w:bottom w:val="single" w:sz="4" w:space="0" w:color="auto"/>
              <w:right w:val="single" w:sz="4" w:space="0" w:color="auto"/>
            </w:tcBorders>
            <w:vAlign w:val="center"/>
          </w:tcPr>
          <w:p w14:paraId="456D235D" w14:textId="4C4BBBA0" w:rsidR="00D64DE1" w:rsidRPr="0026532D" w:rsidRDefault="00D64DE1" w:rsidP="00D64DE1">
            <w:pPr>
              <w:jc w:val="center"/>
              <w:rPr>
                <w:rFonts w:ascii="华文细黑" w:eastAsia="华文细黑" w:hAnsi="华文细黑"/>
                <w:color w:val="000000"/>
                <w:sz w:val="13"/>
                <w:szCs w:val="13"/>
              </w:rPr>
            </w:pPr>
          </w:p>
        </w:tc>
        <w:tc>
          <w:tcPr>
            <w:tcW w:w="915" w:type="dxa"/>
            <w:tcBorders>
              <w:top w:val="nil"/>
              <w:left w:val="nil"/>
              <w:bottom w:val="single" w:sz="4" w:space="0" w:color="auto"/>
              <w:right w:val="single" w:sz="4" w:space="0" w:color="auto"/>
            </w:tcBorders>
            <w:shd w:val="clear" w:color="auto" w:fill="auto"/>
            <w:noWrap/>
            <w:vAlign w:val="center"/>
            <w:hideMark/>
          </w:tcPr>
          <w:p w14:paraId="1C5AA91A" w14:textId="299AC145"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174720</w:t>
            </w:r>
          </w:p>
        </w:tc>
      </w:tr>
      <w:tr w:rsidR="00D64DE1" w:rsidRPr="0009296A" w14:paraId="4B3D1B6D" w14:textId="77777777" w:rsidTr="00D64DE1">
        <w:trPr>
          <w:trHeight w:val="340"/>
        </w:trPr>
        <w:tc>
          <w:tcPr>
            <w:tcW w:w="402" w:type="dxa"/>
            <w:tcBorders>
              <w:top w:val="nil"/>
              <w:left w:val="single" w:sz="4" w:space="0" w:color="auto"/>
              <w:bottom w:val="single" w:sz="4" w:space="0" w:color="auto"/>
              <w:right w:val="single" w:sz="4" w:space="0" w:color="auto"/>
            </w:tcBorders>
            <w:shd w:val="clear" w:color="auto" w:fill="auto"/>
            <w:noWrap/>
            <w:vAlign w:val="center"/>
            <w:hideMark/>
          </w:tcPr>
          <w:p w14:paraId="301CD403" w14:textId="77777777" w:rsidR="00D64DE1" w:rsidRPr="0009296A" w:rsidRDefault="00D64DE1" w:rsidP="007B3231">
            <w:pPr>
              <w:jc w:val="both"/>
              <w:rPr>
                <w:rFonts w:ascii="华文细黑" w:eastAsia="华文细黑" w:hAnsi="华文细黑"/>
                <w:color w:val="000000"/>
                <w:sz w:val="13"/>
                <w:szCs w:val="13"/>
              </w:rPr>
            </w:pPr>
            <w:r>
              <w:rPr>
                <w:rFonts w:ascii="华文细黑" w:eastAsia="华文细黑" w:hAnsi="华文细黑" w:hint="eastAsia"/>
                <w:color w:val="000000"/>
                <w:sz w:val="13"/>
                <w:szCs w:val="13"/>
              </w:rPr>
              <w:t>8</w:t>
            </w:r>
          </w:p>
        </w:tc>
        <w:tc>
          <w:tcPr>
            <w:tcW w:w="1480" w:type="dxa"/>
            <w:tcBorders>
              <w:top w:val="nil"/>
              <w:left w:val="nil"/>
              <w:bottom w:val="single" w:sz="4" w:space="0" w:color="auto"/>
              <w:right w:val="single" w:sz="4" w:space="0" w:color="auto"/>
            </w:tcBorders>
            <w:shd w:val="clear" w:color="auto" w:fill="auto"/>
            <w:noWrap/>
            <w:vAlign w:val="center"/>
            <w:hideMark/>
          </w:tcPr>
          <w:p w14:paraId="5CFE3774" w14:textId="22C384A3" w:rsidR="00D64DE1" w:rsidRPr="0009296A" w:rsidRDefault="00D64DE1" w:rsidP="007B3231">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集团股东借款</w:t>
            </w:r>
          </w:p>
        </w:tc>
        <w:tc>
          <w:tcPr>
            <w:tcW w:w="835" w:type="dxa"/>
            <w:tcBorders>
              <w:top w:val="nil"/>
              <w:left w:val="nil"/>
              <w:bottom w:val="single" w:sz="4" w:space="0" w:color="auto"/>
              <w:right w:val="single" w:sz="4" w:space="0" w:color="auto"/>
            </w:tcBorders>
            <w:shd w:val="clear" w:color="auto" w:fill="auto"/>
            <w:noWrap/>
            <w:vAlign w:val="center"/>
          </w:tcPr>
          <w:p w14:paraId="2D4F2AEB" w14:textId="543AFC01" w:rsidR="00D64DE1" w:rsidRPr="0009296A" w:rsidRDefault="00D64DE1" w:rsidP="007B323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512E3B4F" w14:textId="30F544B1"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124950</w:t>
            </w:r>
          </w:p>
        </w:tc>
        <w:tc>
          <w:tcPr>
            <w:tcW w:w="669" w:type="dxa"/>
            <w:tcBorders>
              <w:top w:val="nil"/>
              <w:left w:val="nil"/>
              <w:bottom w:val="single" w:sz="4" w:space="0" w:color="auto"/>
              <w:right w:val="single" w:sz="4" w:space="0" w:color="auto"/>
            </w:tcBorders>
            <w:shd w:val="clear" w:color="auto" w:fill="auto"/>
            <w:noWrap/>
            <w:vAlign w:val="center"/>
          </w:tcPr>
          <w:p w14:paraId="75A6198B" w14:textId="456B096B" w:rsidR="00D64DE1" w:rsidRPr="0009296A" w:rsidRDefault="00D64DE1" w:rsidP="00D64DE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002ECD28" w14:textId="0D361F7B"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17669</w:t>
            </w:r>
          </w:p>
        </w:tc>
        <w:tc>
          <w:tcPr>
            <w:tcW w:w="836" w:type="dxa"/>
            <w:tcBorders>
              <w:top w:val="nil"/>
              <w:left w:val="nil"/>
              <w:bottom w:val="single" w:sz="4" w:space="0" w:color="auto"/>
              <w:right w:val="single" w:sz="4" w:space="0" w:color="auto"/>
            </w:tcBorders>
            <w:shd w:val="clear" w:color="auto" w:fill="auto"/>
            <w:noWrap/>
            <w:vAlign w:val="center"/>
          </w:tcPr>
          <w:p w14:paraId="1E811AFA" w14:textId="70627830"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13930</w:t>
            </w:r>
          </w:p>
        </w:tc>
        <w:tc>
          <w:tcPr>
            <w:tcW w:w="836" w:type="dxa"/>
            <w:tcBorders>
              <w:top w:val="nil"/>
              <w:left w:val="nil"/>
              <w:bottom w:val="single" w:sz="4" w:space="0" w:color="auto"/>
              <w:right w:val="single" w:sz="4" w:space="0" w:color="auto"/>
            </w:tcBorders>
            <w:shd w:val="clear" w:color="auto" w:fill="auto"/>
            <w:noWrap/>
            <w:vAlign w:val="center"/>
          </w:tcPr>
          <w:p w14:paraId="59F49913" w14:textId="36552DB5" w:rsidR="00D64DE1" w:rsidRPr="0009296A" w:rsidRDefault="00D64DE1" w:rsidP="00D64DE1">
            <w:pPr>
              <w:jc w:val="center"/>
              <w:rPr>
                <w:rFonts w:ascii="华文细黑" w:eastAsia="华文细黑" w:hAnsi="华文细黑"/>
                <w:color w:val="000000"/>
                <w:sz w:val="13"/>
                <w:szCs w:val="13"/>
              </w:rPr>
            </w:pPr>
          </w:p>
        </w:tc>
        <w:tc>
          <w:tcPr>
            <w:tcW w:w="835" w:type="dxa"/>
            <w:tcBorders>
              <w:top w:val="nil"/>
              <w:left w:val="nil"/>
              <w:bottom w:val="single" w:sz="4" w:space="0" w:color="auto"/>
              <w:right w:val="single" w:sz="4" w:space="0" w:color="auto"/>
            </w:tcBorders>
            <w:shd w:val="clear" w:color="auto" w:fill="auto"/>
            <w:noWrap/>
            <w:vAlign w:val="center"/>
          </w:tcPr>
          <w:p w14:paraId="17A1553B" w14:textId="79AC2C64"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234F7E6B" w14:textId="3E4BB6AF"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3BB19B60" w14:textId="668959ED"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27A276D0" w14:textId="451C377C" w:rsidR="00D64DE1" w:rsidRPr="0009296A" w:rsidRDefault="00D64DE1" w:rsidP="00D64DE1">
            <w:pPr>
              <w:jc w:val="center"/>
              <w:rPr>
                <w:rFonts w:ascii="华文细黑" w:eastAsia="华文细黑" w:hAnsi="华文细黑"/>
                <w:color w:val="000000"/>
                <w:sz w:val="13"/>
                <w:szCs w:val="13"/>
              </w:rPr>
            </w:pPr>
          </w:p>
        </w:tc>
        <w:tc>
          <w:tcPr>
            <w:tcW w:w="835" w:type="dxa"/>
            <w:tcBorders>
              <w:top w:val="nil"/>
              <w:left w:val="nil"/>
              <w:bottom w:val="single" w:sz="4" w:space="0" w:color="auto"/>
              <w:right w:val="single" w:sz="4" w:space="0" w:color="auto"/>
            </w:tcBorders>
            <w:shd w:val="clear" w:color="auto" w:fill="auto"/>
            <w:noWrap/>
            <w:vAlign w:val="center"/>
          </w:tcPr>
          <w:p w14:paraId="1EB4C13D" w14:textId="08872ED4" w:rsidR="00D64DE1" w:rsidRPr="0009296A" w:rsidRDefault="00D64DE1" w:rsidP="00D64DE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1765F311" w14:textId="3B7166F2" w:rsidR="00D64DE1" w:rsidRPr="0009296A" w:rsidRDefault="00D64DE1" w:rsidP="00D64DE1">
            <w:pPr>
              <w:jc w:val="center"/>
              <w:rPr>
                <w:rFonts w:ascii="华文细黑" w:eastAsia="华文细黑" w:hAnsi="华文细黑"/>
                <w:color w:val="000000"/>
                <w:sz w:val="13"/>
                <w:szCs w:val="13"/>
              </w:rPr>
            </w:pPr>
          </w:p>
        </w:tc>
        <w:tc>
          <w:tcPr>
            <w:tcW w:w="669" w:type="dxa"/>
            <w:tcBorders>
              <w:top w:val="single" w:sz="4" w:space="0" w:color="auto"/>
              <w:left w:val="nil"/>
              <w:bottom w:val="single" w:sz="4" w:space="0" w:color="auto"/>
              <w:right w:val="single" w:sz="4" w:space="0" w:color="auto"/>
            </w:tcBorders>
            <w:vAlign w:val="center"/>
          </w:tcPr>
          <w:p w14:paraId="3D2A859A" w14:textId="2E5985DE" w:rsidR="00D64DE1" w:rsidRPr="0026532D" w:rsidRDefault="00D64DE1" w:rsidP="00D64DE1">
            <w:pPr>
              <w:jc w:val="center"/>
              <w:rPr>
                <w:rFonts w:ascii="华文细黑" w:eastAsia="华文细黑" w:hAnsi="华文细黑"/>
                <w:color w:val="000000"/>
                <w:sz w:val="13"/>
                <w:szCs w:val="13"/>
              </w:rPr>
            </w:pPr>
          </w:p>
        </w:tc>
        <w:tc>
          <w:tcPr>
            <w:tcW w:w="669" w:type="dxa"/>
            <w:tcBorders>
              <w:top w:val="single" w:sz="4" w:space="0" w:color="auto"/>
              <w:left w:val="single" w:sz="4" w:space="0" w:color="auto"/>
              <w:bottom w:val="single" w:sz="4" w:space="0" w:color="auto"/>
              <w:right w:val="single" w:sz="4" w:space="0" w:color="auto"/>
            </w:tcBorders>
            <w:vAlign w:val="center"/>
          </w:tcPr>
          <w:p w14:paraId="23544827" w14:textId="7037F907" w:rsidR="00D64DE1" w:rsidRPr="0026532D" w:rsidRDefault="00D64DE1" w:rsidP="00D64DE1">
            <w:pPr>
              <w:jc w:val="center"/>
              <w:rPr>
                <w:rFonts w:ascii="华文细黑" w:eastAsia="华文细黑" w:hAnsi="华文细黑"/>
                <w:color w:val="000000"/>
                <w:sz w:val="13"/>
                <w:szCs w:val="13"/>
              </w:rPr>
            </w:pPr>
          </w:p>
        </w:tc>
        <w:tc>
          <w:tcPr>
            <w:tcW w:w="502" w:type="dxa"/>
            <w:tcBorders>
              <w:top w:val="single" w:sz="4" w:space="0" w:color="auto"/>
              <w:left w:val="single" w:sz="4" w:space="0" w:color="auto"/>
              <w:bottom w:val="single" w:sz="4" w:space="0" w:color="auto"/>
              <w:right w:val="single" w:sz="4" w:space="0" w:color="auto"/>
            </w:tcBorders>
            <w:vAlign w:val="center"/>
          </w:tcPr>
          <w:p w14:paraId="7360C686" w14:textId="10217FFE" w:rsidR="00D64DE1" w:rsidRPr="0026532D" w:rsidRDefault="00D64DE1" w:rsidP="00D64DE1">
            <w:pPr>
              <w:jc w:val="center"/>
              <w:rPr>
                <w:rFonts w:ascii="华文细黑" w:eastAsia="华文细黑" w:hAnsi="华文细黑"/>
                <w:color w:val="000000"/>
                <w:sz w:val="13"/>
                <w:szCs w:val="13"/>
              </w:rPr>
            </w:pPr>
          </w:p>
        </w:tc>
        <w:tc>
          <w:tcPr>
            <w:tcW w:w="574" w:type="dxa"/>
            <w:tcBorders>
              <w:top w:val="single" w:sz="4" w:space="0" w:color="auto"/>
              <w:left w:val="single" w:sz="4" w:space="0" w:color="auto"/>
              <w:bottom w:val="single" w:sz="4" w:space="0" w:color="auto"/>
              <w:right w:val="single" w:sz="4" w:space="0" w:color="auto"/>
            </w:tcBorders>
            <w:vAlign w:val="center"/>
          </w:tcPr>
          <w:p w14:paraId="62ACF205" w14:textId="366D09E6" w:rsidR="00D64DE1" w:rsidRPr="0026532D" w:rsidRDefault="00D64DE1" w:rsidP="00D64DE1">
            <w:pPr>
              <w:jc w:val="center"/>
              <w:rPr>
                <w:rFonts w:ascii="华文细黑" w:eastAsia="华文细黑" w:hAnsi="华文细黑"/>
                <w:color w:val="000000"/>
                <w:sz w:val="13"/>
                <w:szCs w:val="13"/>
              </w:rPr>
            </w:pPr>
          </w:p>
        </w:tc>
        <w:tc>
          <w:tcPr>
            <w:tcW w:w="915" w:type="dxa"/>
            <w:tcBorders>
              <w:top w:val="nil"/>
              <w:left w:val="nil"/>
              <w:bottom w:val="single" w:sz="4" w:space="0" w:color="auto"/>
              <w:right w:val="single" w:sz="4" w:space="0" w:color="auto"/>
            </w:tcBorders>
            <w:shd w:val="clear" w:color="auto" w:fill="auto"/>
            <w:noWrap/>
            <w:vAlign w:val="center"/>
            <w:hideMark/>
          </w:tcPr>
          <w:p w14:paraId="7B60CA48" w14:textId="7AEEDEEF"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156549</w:t>
            </w:r>
          </w:p>
        </w:tc>
      </w:tr>
      <w:tr w:rsidR="00D64DE1" w:rsidRPr="0009296A" w14:paraId="2F7551F8" w14:textId="77777777" w:rsidTr="00D64DE1">
        <w:trPr>
          <w:trHeight w:val="340"/>
        </w:trPr>
        <w:tc>
          <w:tcPr>
            <w:tcW w:w="402" w:type="dxa"/>
            <w:tcBorders>
              <w:top w:val="nil"/>
              <w:left w:val="single" w:sz="4" w:space="0" w:color="auto"/>
              <w:bottom w:val="single" w:sz="4" w:space="0" w:color="auto"/>
              <w:right w:val="single" w:sz="4" w:space="0" w:color="auto"/>
            </w:tcBorders>
            <w:shd w:val="clear" w:color="auto" w:fill="auto"/>
            <w:noWrap/>
            <w:vAlign w:val="center"/>
            <w:hideMark/>
          </w:tcPr>
          <w:p w14:paraId="0251F466" w14:textId="77777777" w:rsidR="00D64DE1" w:rsidRPr="0009296A" w:rsidRDefault="00D64DE1" w:rsidP="007B3231">
            <w:pPr>
              <w:jc w:val="both"/>
              <w:rPr>
                <w:rFonts w:ascii="华文细黑" w:eastAsia="华文细黑" w:hAnsi="华文细黑"/>
                <w:color w:val="000000"/>
                <w:sz w:val="13"/>
                <w:szCs w:val="13"/>
              </w:rPr>
            </w:pPr>
            <w:r>
              <w:rPr>
                <w:rFonts w:ascii="华文细黑" w:eastAsia="华文细黑" w:hAnsi="华文细黑" w:hint="eastAsia"/>
                <w:color w:val="000000"/>
                <w:sz w:val="13"/>
                <w:szCs w:val="13"/>
              </w:rPr>
              <w:t>9</w:t>
            </w:r>
          </w:p>
        </w:tc>
        <w:tc>
          <w:tcPr>
            <w:tcW w:w="1480" w:type="dxa"/>
            <w:tcBorders>
              <w:top w:val="nil"/>
              <w:left w:val="nil"/>
              <w:bottom w:val="single" w:sz="4" w:space="0" w:color="auto"/>
              <w:right w:val="single" w:sz="4" w:space="0" w:color="auto"/>
            </w:tcBorders>
            <w:shd w:val="clear" w:color="auto" w:fill="auto"/>
            <w:noWrap/>
            <w:vAlign w:val="center"/>
            <w:hideMark/>
          </w:tcPr>
          <w:p w14:paraId="1D19B1B1" w14:textId="73BE6AD6" w:rsidR="00D64DE1" w:rsidRPr="0009296A" w:rsidRDefault="00D64DE1" w:rsidP="007B3231">
            <w:pPr>
              <w:jc w:val="both"/>
              <w:rPr>
                <w:rFonts w:ascii="华文细黑" w:eastAsia="华文细黑" w:hAnsi="华文细黑"/>
                <w:color w:val="000000"/>
                <w:sz w:val="13"/>
                <w:szCs w:val="13"/>
              </w:rPr>
            </w:pPr>
            <w:r>
              <w:rPr>
                <w:rFonts w:ascii="华文细黑" w:eastAsia="华文细黑" w:hAnsi="华文细黑" w:hint="eastAsia"/>
                <w:color w:val="000000"/>
                <w:sz w:val="13"/>
                <w:szCs w:val="13"/>
              </w:rPr>
              <w:t>银行</w:t>
            </w:r>
            <w:r w:rsidRPr="0009296A">
              <w:rPr>
                <w:rFonts w:ascii="华文细黑" w:eastAsia="华文细黑" w:hAnsi="华文细黑" w:hint="eastAsia"/>
                <w:color w:val="000000"/>
                <w:sz w:val="13"/>
                <w:szCs w:val="13"/>
              </w:rPr>
              <w:t>开发贷款</w:t>
            </w:r>
          </w:p>
        </w:tc>
        <w:tc>
          <w:tcPr>
            <w:tcW w:w="835" w:type="dxa"/>
            <w:tcBorders>
              <w:top w:val="nil"/>
              <w:left w:val="nil"/>
              <w:bottom w:val="single" w:sz="4" w:space="0" w:color="auto"/>
              <w:right w:val="single" w:sz="4" w:space="0" w:color="auto"/>
            </w:tcBorders>
            <w:shd w:val="clear" w:color="auto" w:fill="auto"/>
            <w:noWrap/>
            <w:vAlign w:val="center"/>
          </w:tcPr>
          <w:p w14:paraId="2CECCF9F" w14:textId="77777777" w:rsidR="00D64DE1" w:rsidRPr="0009296A" w:rsidRDefault="00D64DE1" w:rsidP="007B323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13E5D511" w14:textId="7B173C23" w:rsidR="00D64DE1" w:rsidRPr="0009296A" w:rsidRDefault="00D64DE1" w:rsidP="00D64DE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732B9988" w14:textId="73F1BA25" w:rsidR="00D64DE1" w:rsidRPr="0009296A" w:rsidRDefault="00D64DE1" w:rsidP="00D64DE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6AADE4A0" w14:textId="65018DFA"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2C28AF75" w14:textId="253FF715"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5000</w:t>
            </w:r>
          </w:p>
        </w:tc>
        <w:tc>
          <w:tcPr>
            <w:tcW w:w="836" w:type="dxa"/>
            <w:tcBorders>
              <w:top w:val="nil"/>
              <w:left w:val="nil"/>
              <w:bottom w:val="single" w:sz="4" w:space="0" w:color="auto"/>
              <w:right w:val="single" w:sz="4" w:space="0" w:color="auto"/>
            </w:tcBorders>
            <w:shd w:val="clear" w:color="auto" w:fill="auto"/>
            <w:noWrap/>
            <w:vAlign w:val="center"/>
          </w:tcPr>
          <w:p w14:paraId="2FDFF379" w14:textId="21F69C20"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13000</w:t>
            </w:r>
          </w:p>
        </w:tc>
        <w:tc>
          <w:tcPr>
            <w:tcW w:w="835" w:type="dxa"/>
            <w:tcBorders>
              <w:top w:val="nil"/>
              <w:left w:val="nil"/>
              <w:bottom w:val="single" w:sz="4" w:space="0" w:color="auto"/>
              <w:right w:val="single" w:sz="4" w:space="0" w:color="auto"/>
            </w:tcBorders>
            <w:shd w:val="clear" w:color="auto" w:fill="auto"/>
            <w:noWrap/>
            <w:vAlign w:val="center"/>
          </w:tcPr>
          <w:p w14:paraId="3D8C25E0" w14:textId="2A07C7B3"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4495CFB3" w14:textId="06208E82"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424DF140" w14:textId="5BA5E3C9"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432CFB51" w14:textId="4A9BF229" w:rsidR="00D64DE1" w:rsidRPr="0009296A" w:rsidRDefault="00D64DE1" w:rsidP="00D64DE1">
            <w:pPr>
              <w:jc w:val="center"/>
              <w:rPr>
                <w:rFonts w:ascii="华文细黑" w:eastAsia="华文细黑" w:hAnsi="华文细黑"/>
                <w:color w:val="000000"/>
                <w:sz w:val="13"/>
                <w:szCs w:val="13"/>
              </w:rPr>
            </w:pPr>
          </w:p>
        </w:tc>
        <w:tc>
          <w:tcPr>
            <w:tcW w:w="835" w:type="dxa"/>
            <w:tcBorders>
              <w:top w:val="nil"/>
              <w:left w:val="nil"/>
              <w:bottom w:val="single" w:sz="4" w:space="0" w:color="auto"/>
              <w:right w:val="single" w:sz="4" w:space="0" w:color="auto"/>
            </w:tcBorders>
            <w:shd w:val="clear" w:color="auto" w:fill="auto"/>
            <w:noWrap/>
            <w:vAlign w:val="center"/>
          </w:tcPr>
          <w:p w14:paraId="2FB22ED0" w14:textId="6A0E889E" w:rsidR="00D64DE1" w:rsidRPr="0009296A" w:rsidRDefault="00D64DE1" w:rsidP="00D64DE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61BAB9FA" w14:textId="06A4599D" w:rsidR="00D64DE1" w:rsidRPr="0009296A" w:rsidRDefault="00D64DE1" w:rsidP="00D64DE1">
            <w:pPr>
              <w:jc w:val="center"/>
              <w:rPr>
                <w:rFonts w:ascii="华文细黑" w:eastAsia="华文细黑" w:hAnsi="华文细黑"/>
                <w:color w:val="000000"/>
                <w:sz w:val="13"/>
                <w:szCs w:val="13"/>
              </w:rPr>
            </w:pPr>
          </w:p>
        </w:tc>
        <w:tc>
          <w:tcPr>
            <w:tcW w:w="669" w:type="dxa"/>
            <w:tcBorders>
              <w:top w:val="single" w:sz="4" w:space="0" w:color="auto"/>
              <w:left w:val="nil"/>
              <w:bottom w:val="single" w:sz="4" w:space="0" w:color="auto"/>
              <w:right w:val="single" w:sz="4" w:space="0" w:color="auto"/>
            </w:tcBorders>
            <w:vAlign w:val="center"/>
          </w:tcPr>
          <w:p w14:paraId="537D928C" w14:textId="42385868" w:rsidR="00D64DE1" w:rsidRPr="0009296A" w:rsidRDefault="00D64DE1" w:rsidP="00D64DE1">
            <w:pPr>
              <w:jc w:val="center"/>
              <w:rPr>
                <w:rFonts w:ascii="华文细黑" w:eastAsia="华文细黑" w:hAnsi="华文细黑"/>
                <w:color w:val="000000"/>
                <w:sz w:val="13"/>
                <w:szCs w:val="13"/>
              </w:rPr>
            </w:pPr>
          </w:p>
        </w:tc>
        <w:tc>
          <w:tcPr>
            <w:tcW w:w="669" w:type="dxa"/>
            <w:tcBorders>
              <w:top w:val="single" w:sz="4" w:space="0" w:color="auto"/>
              <w:left w:val="single" w:sz="4" w:space="0" w:color="auto"/>
              <w:bottom w:val="single" w:sz="4" w:space="0" w:color="auto"/>
              <w:right w:val="single" w:sz="4" w:space="0" w:color="auto"/>
            </w:tcBorders>
            <w:vAlign w:val="center"/>
          </w:tcPr>
          <w:p w14:paraId="136BDFD3" w14:textId="128CE4F5" w:rsidR="00D64DE1" w:rsidRPr="0009296A" w:rsidRDefault="00D64DE1" w:rsidP="00D64DE1">
            <w:pPr>
              <w:jc w:val="center"/>
              <w:rPr>
                <w:rFonts w:ascii="华文细黑" w:eastAsia="华文细黑" w:hAnsi="华文细黑"/>
                <w:color w:val="000000"/>
                <w:sz w:val="13"/>
                <w:szCs w:val="13"/>
              </w:rPr>
            </w:pPr>
          </w:p>
        </w:tc>
        <w:tc>
          <w:tcPr>
            <w:tcW w:w="502" w:type="dxa"/>
            <w:tcBorders>
              <w:top w:val="single" w:sz="4" w:space="0" w:color="auto"/>
              <w:left w:val="single" w:sz="4" w:space="0" w:color="auto"/>
              <w:bottom w:val="single" w:sz="4" w:space="0" w:color="auto"/>
              <w:right w:val="single" w:sz="4" w:space="0" w:color="auto"/>
            </w:tcBorders>
            <w:vAlign w:val="center"/>
          </w:tcPr>
          <w:p w14:paraId="2C7668C3" w14:textId="122AE481" w:rsidR="00D64DE1" w:rsidRPr="0009296A" w:rsidRDefault="00D64DE1" w:rsidP="00D64DE1">
            <w:pPr>
              <w:jc w:val="center"/>
              <w:rPr>
                <w:rFonts w:ascii="华文细黑" w:eastAsia="华文细黑" w:hAnsi="华文细黑"/>
                <w:color w:val="000000"/>
                <w:sz w:val="13"/>
                <w:szCs w:val="13"/>
              </w:rPr>
            </w:pPr>
          </w:p>
        </w:tc>
        <w:tc>
          <w:tcPr>
            <w:tcW w:w="574" w:type="dxa"/>
            <w:tcBorders>
              <w:top w:val="single" w:sz="4" w:space="0" w:color="auto"/>
              <w:left w:val="single" w:sz="4" w:space="0" w:color="auto"/>
              <w:bottom w:val="single" w:sz="4" w:space="0" w:color="auto"/>
              <w:right w:val="single" w:sz="4" w:space="0" w:color="auto"/>
            </w:tcBorders>
            <w:vAlign w:val="center"/>
          </w:tcPr>
          <w:p w14:paraId="559DC2C7" w14:textId="5D2FE9D8" w:rsidR="00D64DE1" w:rsidRPr="0009296A" w:rsidRDefault="00D64DE1" w:rsidP="00D64DE1">
            <w:pPr>
              <w:jc w:val="center"/>
              <w:rPr>
                <w:rFonts w:ascii="华文细黑" w:eastAsia="华文细黑" w:hAnsi="华文细黑"/>
                <w:color w:val="000000"/>
                <w:sz w:val="13"/>
                <w:szCs w:val="13"/>
              </w:rPr>
            </w:pPr>
          </w:p>
        </w:tc>
        <w:tc>
          <w:tcPr>
            <w:tcW w:w="915" w:type="dxa"/>
            <w:tcBorders>
              <w:top w:val="nil"/>
              <w:left w:val="nil"/>
              <w:bottom w:val="single" w:sz="4" w:space="0" w:color="auto"/>
              <w:right w:val="single" w:sz="4" w:space="0" w:color="auto"/>
            </w:tcBorders>
            <w:shd w:val="clear" w:color="auto" w:fill="auto"/>
            <w:noWrap/>
            <w:vAlign w:val="center"/>
          </w:tcPr>
          <w:p w14:paraId="25EDD0F0" w14:textId="0FE8F600"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18000</w:t>
            </w:r>
          </w:p>
        </w:tc>
      </w:tr>
      <w:tr w:rsidR="00D64DE1" w:rsidRPr="0009296A" w14:paraId="29748D13" w14:textId="77777777" w:rsidTr="00D64DE1">
        <w:trPr>
          <w:trHeight w:val="340"/>
        </w:trPr>
        <w:tc>
          <w:tcPr>
            <w:tcW w:w="402" w:type="dxa"/>
            <w:tcBorders>
              <w:top w:val="nil"/>
              <w:left w:val="single" w:sz="4" w:space="0" w:color="auto"/>
              <w:bottom w:val="single" w:sz="4" w:space="0" w:color="auto"/>
              <w:right w:val="single" w:sz="4" w:space="0" w:color="auto"/>
            </w:tcBorders>
            <w:shd w:val="clear" w:color="auto" w:fill="auto"/>
            <w:noWrap/>
            <w:vAlign w:val="center"/>
            <w:hideMark/>
          </w:tcPr>
          <w:p w14:paraId="42D65536" w14:textId="77777777" w:rsidR="00D64DE1" w:rsidRPr="0009296A" w:rsidRDefault="00D64DE1" w:rsidP="007B3231">
            <w:pPr>
              <w:jc w:val="both"/>
              <w:rPr>
                <w:rFonts w:ascii="华文细黑" w:eastAsia="华文细黑" w:hAnsi="华文细黑"/>
                <w:color w:val="000000"/>
                <w:sz w:val="13"/>
                <w:szCs w:val="13"/>
              </w:rPr>
            </w:pPr>
            <w:r>
              <w:rPr>
                <w:rFonts w:ascii="华文细黑" w:eastAsia="华文细黑" w:hAnsi="华文细黑" w:hint="eastAsia"/>
                <w:color w:val="000000"/>
                <w:sz w:val="13"/>
                <w:szCs w:val="13"/>
              </w:rPr>
              <w:t>10</w:t>
            </w:r>
          </w:p>
        </w:tc>
        <w:tc>
          <w:tcPr>
            <w:tcW w:w="1480" w:type="dxa"/>
            <w:tcBorders>
              <w:top w:val="nil"/>
              <w:left w:val="nil"/>
              <w:bottom w:val="single" w:sz="4" w:space="0" w:color="auto"/>
              <w:right w:val="single" w:sz="4" w:space="0" w:color="auto"/>
            </w:tcBorders>
            <w:shd w:val="clear" w:color="auto" w:fill="auto"/>
            <w:noWrap/>
            <w:vAlign w:val="center"/>
            <w:hideMark/>
          </w:tcPr>
          <w:p w14:paraId="338FC259" w14:textId="77777777" w:rsidR="00D64DE1" w:rsidRPr="0009296A" w:rsidRDefault="00D64DE1" w:rsidP="007B3231">
            <w:pPr>
              <w:jc w:val="both"/>
              <w:rPr>
                <w:rFonts w:ascii="华文细黑" w:eastAsia="华文细黑" w:hAnsi="华文细黑"/>
                <w:b/>
                <w:bCs/>
                <w:color w:val="000000"/>
                <w:sz w:val="13"/>
                <w:szCs w:val="13"/>
              </w:rPr>
            </w:pPr>
            <w:r w:rsidRPr="0009296A">
              <w:rPr>
                <w:rFonts w:ascii="华文细黑" w:eastAsia="华文细黑" w:hAnsi="华文细黑" w:hint="eastAsia"/>
                <w:b/>
                <w:bCs/>
                <w:color w:val="000000"/>
                <w:sz w:val="13"/>
                <w:szCs w:val="13"/>
              </w:rPr>
              <w:t>资金运用合计</w:t>
            </w:r>
          </w:p>
        </w:tc>
        <w:tc>
          <w:tcPr>
            <w:tcW w:w="835" w:type="dxa"/>
            <w:tcBorders>
              <w:top w:val="nil"/>
              <w:left w:val="nil"/>
              <w:bottom w:val="single" w:sz="4" w:space="0" w:color="auto"/>
              <w:right w:val="single" w:sz="4" w:space="0" w:color="auto"/>
            </w:tcBorders>
            <w:shd w:val="clear" w:color="auto" w:fill="auto"/>
            <w:noWrap/>
            <w:vAlign w:val="center"/>
          </w:tcPr>
          <w:p w14:paraId="31493D3F" w14:textId="75E2A108" w:rsidR="00D64DE1" w:rsidRPr="0009296A" w:rsidRDefault="00D64DE1" w:rsidP="007B323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hideMark/>
          </w:tcPr>
          <w:p w14:paraId="61BF644A" w14:textId="6595498D"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125970</w:t>
            </w:r>
          </w:p>
        </w:tc>
        <w:tc>
          <w:tcPr>
            <w:tcW w:w="669" w:type="dxa"/>
            <w:tcBorders>
              <w:top w:val="nil"/>
              <w:left w:val="nil"/>
              <w:bottom w:val="single" w:sz="4" w:space="0" w:color="auto"/>
              <w:right w:val="single" w:sz="4" w:space="0" w:color="auto"/>
            </w:tcBorders>
            <w:shd w:val="clear" w:color="auto" w:fill="auto"/>
            <w:noWrap/>
            <w:vAlign w:val="center"/>
            <w:hideMark/>
          </w:tcPr>
          <w:p w14:paraId="067752E3" w14:textId="2B338AB4"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141220</w:t>
            </w:r>
          </w:p>
        </w:tc>
        <w:tc>
          <w:tcPr>
            <w:tcW w:w="669" w:type="dxa"/>
            <w:tcBorders>
              <w:top w:val="nil"/>
              <w:left w:val="nil"/>
              <w:bottom w:val="single" w:sz="4" w:space="0" w:color="auto"/>
              <w:right w:val="single" w:sz="4" w:space="0" w:color="auto"/>
            </w:tcBorders>
            <w:shd w:val="clear" w:color="auto" w:fill="auto"/>
            <w:noWrap/>
            <w:vAlign w:val="center"/>
            <w:hideMark/>
          </w:tcPr>
          <w:p w14:paraId="2AB38670" w14:textId="735CE51E"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17669</w:t>
            </w:r>
          </w:p>
        </w:tc>
        <w:tc>
          <w:tcPr>
            <w:tcW w:w="836" w:type="dxa"/>
            <w:tcBorders>
              <w:top w:val="nil"/>
              <w:left w:val="nil"/>
              <w:bottom w:val="single" w:sz="4" w:space="0" w:color="auto"/>
              <w:right w:val="single" w:sz="4" w:space="0" w:color="auto"/>
            </w:tcBorders>
            <w:shd w:val="clear" w:color="auto" w:fill="auto"/>
            <w:noWrap/>
            <w:vAlign w:val="center"/>
            <w:hideMark/>
          </w:tcPr>
          <w:p w14:paraId="44394477" w14:textId="4DCEA5E9"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18930</w:t>
            </w:r>
          </w:p>
        </w:tc>
        <w:tc>
          <w:tcPr>
            <w:tcW w:w="836" w:type="dxa"/>
            <w:tcBorders>
              <w:top w:val="nil"/>
              <w:left w:val="nil"/>
              <w:bottom w:val="single" w:sz="4" w:space="0" w:color="auto"/>
              <w:right w:val="single" w:sz="4" w:space="0" w:color="auto"/>
            </w:tcBorders>
            <w:shd w:val="clear" w:color="auto" w:fill="auto"/>
            <w:noWrap/>
            <w:vAlign w:val="center"/>
            <w:hideMark/>
          </w:tcPr>
          <w:p w14:paraId="64045189" w14:textId="0BBFB8C9"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19763</w:t>
            </w:r>
          </w:p>
        </w:tc>
        <w:tc>
          <w:tcPr>
            <w:tcW w:w="835" w:type="dxa"/>
            <w:tcBorders>
              <w:top w:val="nil"/>
              <w:left w:val="nil"/>
              <w:bottom w:val="single" w:sz="4" w:space="0" w:color="auto"/>
              <w:right w:val="single" w:sz="4" w:space="0" w:color="auto"/>
            </w:tcBorders>
            <w:shd w:val="clear" w:color="auto" w:fill="auto"/>
            <w:noWrap/>
            <w:vAlign w:val="center"/>
            <w:hideMark/>
          </w:tcPr>
          <w:p w14:paraId="14B8D97A" w14:textId="5520A207"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23543</w:t>
            </w:r>
          </w:p>
        </w:tc>
        <w:tc>
          <w:tcPr>
            <w:tcW w:w="836" w:type="dxa"/>
            <w:tcBorders>
              <w:top w:val="nil"/>
              <w:left w:val="nil"/>
              <w:bottom w:val="single" w:sz="4" w:space="0" w:color="auto"/>
              <w:right w:val="single" w:sz="4" w:space="0" w:color="auto"/>
            </w:tcBorders>
            <w:shd w:val="clear" w:color="auto" w:fill="auto"/>
            <w:noWrap/>
            <w:vAlign w:val="center"/>
            <w:hideMark/>
          </w:tcPr>
          <w:p w14:paraId="127BD598" w14:textId="5FF4CA6C"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23218</w:t>
            </w:r>
          </w:p>
        </w:tc>
        <w:tc>
          <w:tcPr>
            <w:tcW w:w="836" w:type="dxa"/>
            <w:tcBorders>
              <w:top w:val="nil"/>
              <w:left w:val="nil"/>
              <w:bottom w:val="single" w:sz="4" w:space="0" w:color="auto"/>
              <w:right w:val="single" w:sz="4" w:space="0" w:color="auto"/>
            </w:tcBorders>
            <w:shd w:val="clear" w:color="auto" w:fill="auto"/>
            <w:noWrap/>
            <w:vAlign w:val="center"/>
            <w:hideMark/>
          </w:tcPr>
          <w:p w14:paraId="33BDEB81" w14:textId="4D066FF1"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22822</w:t>
            </w:r>
          </w:p>
        </w:tc>
        <w:tc>
          <w:tcPr>
            <w:tcW w:w="836" w:type="dxa"/>
            <w:tcBorders>
              <w:top w:val="nil"/>
              <w:left w:val="nil"/>
              <w:bottom w:val="single" w:sz="4" w:space="0" w:color="auto"/>
              <w:right w:val="single" w:sz="4" w:space="0" w:color="auto"/>
            </w:tcBorders>
            <w:shd w:val="clear" w:color="auto" w:fill="auto"/>
            <w:noWrap/>
            <w:vAlign w:val="center"/>
            <w:hideMark/>
          </w:tcPr>
          <w:p w14:paraId="1800920D" w14:textId="0B01612C"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21649</w:t>
            </w:r>
          </w:p>
        </w:tc>
        <w:tc>
          <w:tcPr>
            <w:tcW w:w="835" w:type="dxa"/>
            <w:tcBorders>
              <w:top w:val="nil"/>
              <w:left w:val="nil"/>
              <w:bottom w:val="single" w:sz="4" w:space="0" w:color="auto"/>
              <w:right w:val="single" w:sz="4" w:space="0" w:color="auto"/>
            </w:tcBorders>
            <w:shd w:val="clear" w:color="auto" w:fill="auto"/>
            <w:noWrap/>
            <w:vAlign w:val="center"/>
            <w:hideMark/>
          </w:tcPr>
          <w:p w14:paraId="68EFBC8F" w14:textId="4EF988AF"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18258</w:t>
            </w:r>
          </w:p>
        </w:tc>
        <w:tc>
          <w:tcPr>
            <w:tcW w:w="669" w:type="dxa"/>
            <w:tcBorders>
              <w:top w:val="nil"/>
              <w:left w:val="nil"/>
              <w:bottom w:val="single" w:sz="4" w:space="0" w:color="auto"/>
              <w:right w:val="single" w:sz="4" w:space="0" w:color="auto"/>
            </w:tcBorders>
            <w:shd w:val="clear" w:color="auto" w:fill="auto"/>
            <w:noWrap/>
            <w:vAlign w:val="center"/>
            <w:hideMark/>
          </w:tcPr>
          <w:p w14:paraId="5021B0DC" w14:textId="55FD8826"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16522</w:t>
            </w:r>
          </w:p>
        </w:tc>
        <w:tc>
          <w:tcPr>
            <w:tcW w:w="669" w:type="dxa"/>
            <w:tcBorders>
              <w:top w:val="single" w:sz="4" w:space="0" w:color="auto"/>
              <w:left w:val="nil"/>
              <w:bottom w:val="single" w:sz="4" w:space="0" w:color="auto"/>
              <w:right w:val="single" w:sz="4" w:space="0" w:color="auto"/>
            </w:tcBorders>
            <w:vAlign w:val="center"/>
          </w:tcPr>
          <w:p w14:paraId="378ACBE1" w14:textId="7A5D0D31" w:rsidR="00D64DE1" w:rsidRPr="0026532D"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10450</w:t>
            </w:r>
          </w:p>
        </w:tc>
        <w:tc>
          <w:tcPr>
            <w:tcW w:w="669" w:type="dxa"/>
            <w:tcBorders>
              <w:top w:val="single" w:sz="4" w:space="0" w:color="auto"/>
              <w:left w:val="single" w:sz="4" w:space="0" w:color="auto"/>
              <w:bottom w:val="single" w:sz="4" w:space="0" w:color="auto"/>
              <w:right w:val="single" w:sz="4" w:space="0" w:color="auto"/>
            </w:tcBorders>
            <w:vAlign w:val="center"/>
          </w:tcPr>
          <w:p w14:paraId="62BC360D" w14:textId="5ED00683" w:rsidR="00D64DE1" w:rsidRPr="0026532D"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311</w:t>
            </w:r>
          </w:p>
        </w:tc>
        <w:tc>
          <w:tcPr>
            <w:tcW w:w="502" w:type="dxa"/>
            <w:tcBorders>
              <w:top w:val="single" w:sz="4" w:space="0" w:color="auto"/>
              <w:left w:val="single" w:sz="4" w:space="0" w:color="auto"/>
              <w:bottom w:val="single" w:sz="4" w:space="0" w:color="auto"/>
              <w:right w:val="single" w:sz="4" w:space="0" w:color="auto"/>
            </w:tcBorders>
            <w:vAlign w:val="center"/>
          </w:tcPr>
          <w:p w14:paraId="69727D37" w14:textId="6D96B737" w:rsidR="00D64DE1" w:rsidRPr="0026532D"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267</w:t>
            </w:r>
          </w:p>
        </w:tc>
        <w:tc>
          <w:tcPr>
            <w:tcW w:w="574" w:type="dxa"/>
            <w:tcBorders>
              <w:top w:val="single" w:sz="4" w:space="0" w:color="auto"/>
              <w:left w:val="single" w:sz="4" w:space="0" w:color="auto"/>
              <w:bottom w:val="single" w:sz="4" w:space="0" w:color="auto"/>
              <w:right w:val="single" w:sz="4" w:space="0" w:color="auto"/>
            </w:tcBorders>
            <w:vAlign w:val="center"/>
          </w:tcPr>
          <w:p w14:paraId="683AA7C8" w14:textId="49FF9AD6" w:rsidR="00D64DE1" w:rsidRPr="0026532D"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-8298</w:t>
            </w:r>
          </w:p>
        </w:tc>
        <w:tc>
          <w:tcPr>
            <w:tcW w:w="915" w:type="dxa"/>
            <w:tcBorders>
              <w:top w:val="nil"/>
              <w:left w:val="nil"/>
              <w:bottom w:val="single" w:sz="4" w:space="0" w:color="auto"/>
              <w:right w:val="single" w:sz="4" w:space="0" w:color="auto"/>
            </w:tcBorders>
            <w:shd w:val="clear" w:color="auto" w:fill="auto"/>
            <w:noWrap/>
            <w:vAlign w:val="center"/>
            <w:hideMark/>
          </w:tcPr>
          <w:p w14:paraId="429356C5" w14:textId="6DE3E61F"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452294</w:t>
            </w:r>
          </w:p>
        </w:tc>
      </w:tr>
      <w:tr w:rsidR="00D64DE1" w:rsidRPr="0009296A" w14:paraId="23B4BC85" w14:textId="77777777" w:rsidTr="00D64DE1">
        <w:trPr>
          <w:trHeight w:val="340"/>
        </w:trPr>
        <w:tc>
          <w:tcPr>
            <w:tcW w:w="402" w:type="dxa"/>
            <w:tcBorders>
              <w:top w:val="nil"/>
              <w:left w:val="single" w:sz="4" w:space="0" w:color="auto"/>
              <w:bottom w:val="single" w:sz="4" w:space="0" w:color="auto"/>
              <w:right w:val="single" w:sz="4" w:space="0" w:color="auto"/>
            </w:tcBorders>
            <w:shd w:val="clear" w:color="auto" w:fill="auto"/>
            <w:noWrap/>
            <w:vAlign w:val="center"/>
            <w:hideMark/>
          </w:tcPr>
          <w:p w14:paraId="7754CCA5" w14:textId="77777777" w:rsidR="00D64DE1" w:rsidRPr="0009296A" w:rsidRDefault="00D64DE1" w:rsidP="007B3231">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1</w:t>
            </w:r>
            <w:r>
              <w:rPr>
                <w:rFonts w:ascii="华文细黑" w:eastAsia="华文细黑" w:hAnsi="华文细黑" w:hint="eastAsia"/>
                <w:color w:val="000000"/>
                <w:sz w:val="13"/>
                <w:szCs w:val="13"/>
              </w:rPr>
              <w:t>1</w:t>
            </w:r>
          </w:p>
        </w:tc>
        <w:tc>
          <w:tcPr>
            <w:tcW w:w="1480" w:type="dxa"/>
            <w:tcBorders>
              <w:top w:val="nil"/>
              <w:left w:val="nil"/>
              <w:bottom w:val="single" w:sz="4" w:space="0" w:color="auto"/>
              <w:right w:val="single" w:sz="4" w:space="0" w:color="auto"/>
            </w:tcBorders>
            <w:shd w:val="clear" w:color="auto" w:fill="auto"/>
            <w:noWrap/>
            <w:vAlign w:val="center"/>
            <w:hideMark/>
          </w:tcPr>
          <w:p w14:paraId="0B3BBF5E" w14:textId="77777777" w:rsidR="00D64DE1" w:rsidRPr="0009296A" w:rsidRDefault="00D64DE1" w:rsidP="007B3231">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项目经营成本</w:t>
            </w:r>
          </w:p>
        </w:tc>
        <w:tc>
          <w:tcPr>
            <w:tcW w:w="835" w:type="dxa"/>
            <w:tcBorders>
              <w:top w:val="nil"/>
              <w:left w:val="nil"/>
              <w:bottom w:val="single" w:sz="4" w:space="0" w:color="auto"/>
              <w:right w:val="single" w:sz="4" w:space="0" w:color="auto"/>
            </w:tcBorders>
            <w:shd w:val="clear" w:color="auto" w:fill="auto"/>
            <w:noWrap/>
            <w:vAlign w:val="center"/>
          </w:tcPr>
          <w:p w14:paraId="5FE92208" w14:textId="1248949D" w:rsidR="00D64DE1" w:rsidRPr="0009296A" w:rsidRDefault="00D64DE1" w:rsidP="007B323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hideMark/>
          </w:tcPr>
          <w:p w14:paraId="0DCB7E93" w14:textId="5B00200E"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125500</w:t>
            </w:r>
          </w:p>
        </w:tc>
        <w:tc>
          <w:tcPr>
            <w:tcW w:w="669" w:type="dxa"/>
            <w:tcBorders>
              <w:top w:val="nil"/>
              <w:left w:val="nil"/>
              <w:bottom w:val="single" w:sz="4" w:space="0" w:color="auto"/>
              <w:right w:val="single" w:sz="4" w:space="0" w:color="auto"/>
            </w:tcBorders>
            <w:shd w:val="clear" w:color="auto" w:fill="auto"/>
            <w:noWrap/>
            <w:vAlign w:val="center"/>
            <w:hideMark/>
          </w:tcPr>
          <w:p w14:paraId="52C395EF" w14:textId="2EDAAF66"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135386</w:t>
            </w:r>
          </w:p>
        </w:tc>
        <w:tc>
          <w:tcPr>
            <w:tcW w:w="669" w:type="dxa"/>
            <w:tcBorders>
              <w:top w:val="nil"/>
              <w:left w:val="nil"/>
              <w:bottom w:val="single" w:sz="4" w:space="0" w:color="auto"/>
              <w:right w:val="single" w:sz="4" w:space="0" w:color="auto"/>
            </w:tcBorders>
            <w:shd w:val="clear" w:color="auto" w:fill="auto"/>
            <w:noWrap/>
            <w:vAlign w:val="center"/>
            <w:hideMark/>
          </w:tcPr>
          <w:p w14:paraId="345BC512" w14:textId="1687AEA1"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11640</w:t>
            </w:r>
          </w:p>
        </w:tc>
        <w:tc>
          <w:tcPr>
            <w:tcW w:w="836" w:type="dxa"/>
            <w:tcBorders>
              <w:top w:val="nil"/>
              <w:left w:val="nil"/>
              <w:bottom w:val="single" w:sz="4" w:space="0" w:color="auto"/>
              <w:right w:val="single" w:sz="4" w:space="0" w:color="auto"/>
            </w:tcBorders>
            <w:shd w:val="clear" w:color="auto" w:fill="auto"/>
            <w:noWrap/>
            <w:vAlign w:val="center"/>
            <w:hideMark/>
          </w:tcPr>
          <w:p w14:paraId="3FA415D0" w14:textId="6E431068"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12516</w:t>
            </w:r>
          </w:p>
        </w:tc>
        <w:tc>
          <w:tcPr>
            <w:tcW w:w="836" w:type="dxa"/>
            <w:tcBorders>
              <w:top w:val="nil"/>
              <w:left w:val="nil"/>
              <w:bottom w:val="single" w:sz="4" w:space="0" w:color="auto"/>
              <w:right w:val="single" w:sz="4" w:space="0" w:color="auto"/>
            </w:tcBorders>
            <w:shd w:val="clear" w:color="auto" w:fill="auto"/>
            <w:noWrap/>
            <w:vAlign w:val="center"/>
            <w:hideMark/>
          </w:tcPr>
          <w:p w14:paraId="14E590FA" w14:textId="1DD94F48"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11778</w:t>
            </w:r>
          </w:p>
        </w:tc>
        <w:tc>
          <w:tcPr>
            <w:tcW w:w="835" w:type="dxa"/>
            <w:tcBorders>
              <w:top w:val="nil"/>
              <w:left w:val="nil"/>
              <w:bottom w:val="single" w:sz="4" w:space="0" w:color="auto"/>
              <w:right w:val="single" w:sz="4" w:space="0" w:color="auto"/>
            </w:tcBorders>
            <w:shd w:val="clear" w:color="auto" w:fill="auto"/>
            <w:noWrap/>
            <w:vAlign w:val="center"/>
            <w:hideMark/>
          </w:tcPr>
          <w:p w14:paraId="45F77414" w14:textId="34C34D68"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14179</w:t>
            </w:r>
          </w:p>
        </w:tc>
        <w:tc>
          <w:tcPr>
            <w:tcW w:w="836" w:type="dxa"/>
            <w:tcBorders>
              <w:top w:val="nil"/>
              <w:left w:val="nil"/>
              <w:bottom w:val="single" w:sz="4" w:space="0" w:color="auto"/>
              <w:right w:val="single" w:sz="4" w:space="0" w:color="auto"/>
            </w:tcBorders>
            <w:shd w:val="clear" w:color="auto" w:fill="auto"/>
            <w:noWrap/>
            <w:vAlign w:val="center"/>
            <w:hideMark/>
          </w:tcPr>
          <w:p w14:paraId="412CF204" w14:textId="437D56DD"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14668</w:t>
            </w:r>
          </w:p>
        </w:tc>
        <w:tc>
          <w:tcPr>
            <w:tcW w:w="836" w:type="dxa"/>
            <w:tcBorders>
              <w:top w:val="nil"/>
              <w:left w:val="nil"/>
              <w:bottom w:val="single" w:sz="4" w:space="0" w:color="auto"/>
              <w:right w:val="single" w:sz="4" w:space="0" w:color="auto"/>
            </w:tcBorders>
            <w:shd w:val="clear" w:color="auto" w:fill="auto"/>
            <w:noWrap/>
            <w:vAlign w:val="center"/>
            <w:hideMark/>
          </w:tcPr>
          <w:p w14:paraId="744D599E" w14:textId="3A7A2C16"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14720</w:t>
            </w:r>
          </w:p>
        </w:tc>
        <w:tc>
          <w:tcPr>
            <w:tcW w:w="836" w:type="dxa"/>
            <w:tcBorders>
              <w:top w:val="nil"/>
              <w:left w:val="nil"/>
              <w:bottom w:val="single" w:sz="4" w:space="0" w:color="auto"/>
              <w:right w:val="single" w:sz="4" w:space="0" w:color="auto"/>
            </w:tcBorders>
            <w:shd w:val="clear" w:color="auto" w:fill="auto"/>
            <w:noWrap/>
            <w:vAlign w:val="center"/>
            <w:hideMark/>
          </w:tcPr>
          <w:p w14:paraId="5673FE41" w14:textId="7BFA0CA0"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14282</w:t>
            </w:r>
          </w:p>
        </w:tc>
        <w:tc>
          <w:tcPr>
            <w:tcW w:w="835" w:type="dxa"/>
            <w:tcBorders>
              <w:top w:val="nil"/>
              <w:left w:val="nil"/>
              <w:bottom w:val="single" w:sz="4" w:space="0" w:color="auto"/>
              <w:right w:val="single" w:sz="4" w:space="0" w:color="auto"/>
            </w:tcBorders>
            <w:shd w:val="clear" w:color="auto" w:fill="auto"/>
            <w:noWrap/>
            <w:vAlign w:val="center"/>
            <w:hideMark/>
          </w:tcPr>
          <w:p w14:paraId="3AEDE732" w14:textId="42C33EA6"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12212</w:t>
            </w:r>
          </w:p>
        </w:tc>
        <w:tc>
          <w:tcPr>
            <w:tcW w:w="669" w:type="dxa"/>
            <w:tcBorders>
              <w:top w:val="nil"/>
              <w:left w:val="nil"/>
              <w:bottom w:val="single" w:sz="4" w:space="0" w:color="auto"/>
              <w:right w:val="single" w:sz="4" w:space="0" w:color="auto"/>
            </w:tcBorders>
            <w:shd w:val="clear" w:color="auto" w:fill="auto"/>
            <w:noWrap/>
            <w:vAlign w:val="center"/>
          </w:tcPr>
          <w:p w14:paraId="53CB2C00" w14:textId="57474F21"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12111</w:t>
            </w:r>
          </w:p>
        </w:tc>
        <w:tc>
          <w:tcPr>
            <w:tcW w:w="669" w:type="dxa"/>
            <w:tcBorders>
              <w:top w:val="single" w:sz="4" w:space="0" w:color="auto"/>
              <w:left w:val="nil"/>
              <w:bottom w:val="single" w:sz="4" w:space="0" w:color="auto"/>
              <w:right w:val="single" w:sz="4" w:space="0" w:color="auto"/>
            </w:tcBorders>
            <w:vAlign w:val="center"/>
          </w:tcPr>
          <w:p w14:paraId="3463D6BD" w14:textId="65B3833F" w:rsidR="00D64DE1" w:rsidRPr="0026532D"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8607</w:t>
            </w:r>
          </w:p>
        </w:tc>
        <w:tc>
          <w:tcPr>
            <w:tcW w:w="669" w:type="dxa"/>
            <w:tcBorders>
              <w:top w:val="single" w:sz="4" w:space="0" w:color="auto"/>
              <w:left w:val="single" w:sz="4" w:space="0" w:color="auto"/>
              <w:bottom w:val="single" w:sz="4" w:space="0" w:color="auto"/>
              <w:right w:val="single" w:sz="4" w:space="0" w:color="auto"/>
            </w:tcBorders>
            <w:vAlign w:val="center"/>
          </w:tcPr>
          <w:p w14:paraId="7531E939" w14:textId="32BEF50F" w:rsidR="00D64DE1" w:rsidRPr="0026532D"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28</w:t>
            </w:r>
          </w:p>
        </w:tc>
        <w:tc>
          <w:tcPr>
            <w:tcW w:w="502" w:type="dxa"/>
            <w:tcBorders>
              <w:top w:val="single" w:sz="4" w:space="0" w:color="auto"/>
              <w:left w:val="single" w:sz="4" w:space="0" w:color="auto"/>
              <w:bottom w:val="single" w:sz="4" w:space="0" w:color="auto"/>
              <w:right w:val="single" w:sz="4" w:space="0" w:color="auto"/>
            </w:tcBorders>
            <w:vAlign w:val="center"/>
          </w:tcPr>
          <w:p w14:paraId="16CD2460" w14:textId="62CC0CE0" w:rsidR="00D64DE1" w:rsidRPr="0026532D"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29</w:t>
            </w:r>
          </w:p>
        </w:tc>
        <w:tc>
          <w:tcPr>
            <w:tcW w:w="574" w:type="dxa"/>
            <w:tcBorders>
              <w:top w:val="single" w:sz="4" w:space="0" w:color="auto"/>
              <w:left w:val="single" w:sz="4" w:space="0" w:color="auto"/>
              <w:bottom w:val="single" w:sz="4" w:space="0" w:color="auto"/>
              <w:right w:val="single" w:sz="4" w:space="0" w:color="auto"/>
            </w:tcBorders>
            <w:vAlign w:val="center"/>
          </w:tcPr>
          <w:p w14:paraId="56F9234E" w14:textId="65925DFC" w:rsidR="00D64DE1" w:rsidRPr="0026532D" w:rsidRDefault="00D64DE1" w:rsidP="00D64DE1">
            <w:pPr>
              <w:jc w:val="center"/>
              <w:rPr>
                <w:rFonts w:ascii="华文细黑" w:eastAsia="华文细黑" w:hAnsi="华文细黑"/>
                <w:color w:val="000000"/>
                <w:sz w:val="13"/>
                <w:szCs w:val="13"/>
              </w:rPr>
            </w:pPr>
          </w:p>
        </w:tc>
        <w:tc>
          <w:tcPr>
            <w:tcW w:w="915" w:type="dxa"/>
            <w:tcBorders>
              <w:top w:val="nil"/>
              <w:left w:val="nil"/>
              <w:bottom w:val="single" w:sz="4" w:space="0" w:color="auto"/>
              <w:right w:val="single" w:sz="4" w:space="0" w:color="auto"/>
            </w:tcBorders>
            <w:shd w:val="clear" w:color="auto" w:fill="auto"/>
            <w:noWrap/>
            <w:vAlign w:val="center"/>
            <w:hideMark/>
          </w:tcPr>
          <w:p w14:paraId="6AC1B11E" w14:textId="0B77C88D"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387656</w:t>
            </w:r>
          </w:p>
        </w:tc>
      </w:tr>
      <w:tr w:rsidR="00D64DE1" w:rsidRPr="0009296A" w14:paraId="51C2B487" w14:textId="77777777" w:rsidTr="00D64DE1">
        <w:trPr>
          <w:trHeight w:val="340"/>
        </w:trPr>
        <w:tc>
          <w:tcPr>
            <w:tcW w:w="402" w:type="dxa"/>
            <w:tcBorders>
              <w:top w:val="nil"/>
              <w:left w:val="single" w:sz="4" w:space="0" w:color="auto"/>
              <w:bottom w:val="single" w:sz="4" w:space="0" w:color="auto"/>
              <w:right w:val="single" w:sz="4" w:space="0" w:color="auto"/>
            </w:tcBorders>
            <w:shd w:val="clear" w:color="auto" w:fill="auto"/>
            <w:noWrap/>
            <w:vAlign w:val="center"/>
            <w:hideMark/>
          </w:tcPr>
          <w:p w14:paraId="67B0EE04" w14:textId="77777777" w:rsidR="00D64DE1" w:rsidRPr="0009296A" w:rsidRDefault="00D64DE1" w:rsidP="007B3231">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1</w:t>
            </w:r>
            <w:r>
              <w:rPr>
                <w:rFonts w:ascii="华文细黑" w:eastAsia="华文细黑" w:hAnsi="华文细黑" w:hint="eastAsia"/>
                <w:color w:val="000000"/>
                <w:sz w:val="13"/>
                <w:szCs w:val="13"/>
              </w:rPr>
              <w:t>2</w:t>
            </w:r>
          </w:p>
        </w:tc>
        <w:tc>
          <w:tcPr>
            <w:tcW w:w="1480" w:type="dxa"/>
            <w:tcBorders>
              <w:top w:val="nil"/>
              <w:left w:val="nil"/>
              <w:bottom w:val="single" w:sz="4" w:space="0" w:color="auto"/>
              <w:right w:val="single" w:sz="4" w:space="0" w:color="auto"/>
            </w:tcBorders>
            <w:shd w:val="clear" w:color="auto" w:fill="auto"/>
            <w:noWrap/>
            <w:vAlign w:val="center"/>
            <w:hideMark/>
          </w:tcPr>
          <w:p w14:paraId="09A7F609" w14:textId="77777777" w:rsidR="00D64DE1" w:rsidRPr="0009296A" w:rsidRDefault="00D64DE1" w:rsidP="007B3231">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增值税及附加</w:t>
            </w:r>
          </w:p>
        </w:tc>
        <w:tc>
          <w:tcPr>
            <w:tcW w:w="835" w:type="dxa"/>
            <w:tcBorders>
              <w:top w:val="nil"/>
              <w:left w:val="nil"/>
              <w:bottom w:val="single" w:sz="4" w:space="0" w:color="auto"/>
              <w:right w:val="single" w:sz="4" w:space="0" w:color="auto"/>
            </w:tcBorders>
            <w:shd w:val="clear" w:color="auto" w:fill="auto"/>
            <w:noWrap/>
            <w:vAlign w:val="center"/>
          </w:tcPr>
          <w:p w14:paraId="229E692D" w14:textId="77777777" w:rsidR="00D64DE1" w:rsidRPr="0009296A" w:rsidRDefault="00D64DE1" w:rsidP="007B323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3235A489" w14:textId="392F45B7" w:rsidR="00D64DE1" w:rsidRPr="0009296A" w:rsidRDefault="00D64DE1" w:rsidP="00D64DE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4EF5F6A8" w14:textId="3061F636" w:rsidR="00D64DE1" w:rsidRPr="0009296A" w:rsidRDefault="00D64DE1" w:rsidP="00D64DE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4D047188" w14:textId="3E006651"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3E845AD4" w14:textId="1866E232"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hideMark/>
          </w:tcPr>
          <w:p w14:paraId="769D4A7C" w14:textId="73D5423D"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931</w:t>
            </w:r>
          </w:p>
        </w:tc>
        <w:tc>
          <w:tcPr>
            <w:tcW w:w="835" w:type="dxa"/>
            <w:tcBorders>
              <w:top w:val="nil"/>
              <w:left w:val="nil"/>
              <w:bottom w:val="single" w:sz="4" w:space="0" w:color="auto"/>
              <w:right w:val="single" w:sz="4" w:space="0" w:color="auto"/>
            </w:tcBorders>
            <w:shd w:val="clear" w:color="auto" w:fill="auto"/>
            <w:noWrap/>
            <w:vAlign w:val="center"/>
            <w:hideMark/>
          </w:tcPr>
          <w:p w14:paraId="0B3F5E3A" w14:textId="575B0F27"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1862</w:t>
            </w:r>
          </w:p>
        </w:tc>
        <w:tc>
          <w:tcPr>
            <w:tcW w:w="836" w:type="dxa"/>
            <w:tcBorders>
              <w:top w:val="nil"/>
              <w:left w:val="nil"/>
              <w:bottom w:val="single" w:sz="4" w:space="0" w:color="auto"/>
              <w:right w:val="single" w:sz="4" w:space="0" w:color="auto"/>
            </w:tcBorders>
            <w:shd w:val="clear" w:color="auto" w:fill="auto"/>
            <w:noWrap/>
            <w:vAlign w:val="center"/>
            <w:hideMark/>
          </w:tcPr>
          <w:p w14:paraId="190E8F32" w14:textId="5B6121B5"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1862</w:t>
            </w:r>
          </w:p>
        </w:tc>
        <w:tc>
          <w:tcPr>
            <w:tcW w:w="836" w:type="dxa"/>
            <w:tcBorders>
              <w:top w:val="nil"/>
              <w:left w:val="nil"/>
              <w:bottom w:val="single" w:sz="4" w:space="0" w:color="auto"/>
              <w:right w:val="single" w:sz="4" w:space="0" w:color="auto"/>
            </w:tcBorders>
            <w:shd w:val="clear" w:color="auto" w:fill="auto"/>
            <w:noWrap/>
            <w:vAlign w:val="center"/>
            <w:hideMark/>
          </w:tcPr>
          <w:p w14:paraId="5E982683" w14:textId="38571517"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2021</w:t>
            </w:r>
          </w:p>
        </w:tc>
        <w:tc>
          <w:tcPr>
            <w:tcW w:w="836" w:type="dxa"/>
            <w:tcBorders>
              <w:top w:val="nil"/>
              <w:left w:val="nil"/>
              <w:bottom w:val="single" w:sz="4" w:space="0" w:color="auto"/>
              <w:right w:val="single" w:sz="4" w:space="0" w:color="auto"/>
            </w:tcBorders>
            <w:shd w:val="clear" w:color="auto" w:fill="auto"/>
            <w:noWrap/>
            <w:vAlign w:val="center"/>
            <w:hideMark/>
          </w:tcPr>
          <w:p w14:paraId="0E0A5605" w14:textId="7FD0E240"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2180</w:t>
            </w:r>
          </w:p>
        </w:tc>
        <w:tc>
          <w:tcPr>
            <w:tcW w:w="835" w:type="dxa"/>
            <w:tcBorders>
              <w:top w:val="nil"/>
              <w:left w:val="nil"/>
              <w:bottom w:val="single" w:sz="4" w:space="0" w:color="auto"/>
              <w:right w:val="single" w:sz="4" w:space="0" w:color="auto"/>
            </w:tcBorders>
            <w:shd w:val="clear" w:color="auto" w:fill="auto"/>
            <w:noWrap/>
            <w:vAlign w:val="center"/>
            <w:hideMark/>
          </w:tcPr>
          <w:p w14:paraId="3D92BCE8" w14:textId="0B84BBB9"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2269</w:t>
            </w:r>
          </w:p>
        </w:tc>
        <w:tc>
          <w:tcPr>
            <w:tcW w:w="669" w:type="dxa"/>
            <w:tcBorders>
              <w:top w:val="nil"/>
              <w:left w:val="nil"/>
              <w:bottom w:val="single" w:sz="4" w:space="0" w:color="auto"/>
              <w:right w:val="single" w:sz="4" w:space="0" w:color="auto"/>
            </w:tcBorders>
            <w:shd w:val="clear" w:color="auto" w:fill="auto"/>
            <w:noWrap/>
            <w:vAlign w:val="center"/>
          </w:tcPr>
          <w:p w14:paraId="4165E7DF" w14:textId="7E224F17"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1957</w:t>
            </w:r>
          </w:p>
        </w:tc>
        <w:tc>
          <w:tcPr>
            <w:tcW w:w="669" w:type="dxa"/>
            <w:tcBorders>
              <w:top w:val="single" w:sz="4" w:space="0" w:color="auto"/>
              <w:left w:val="nil"/>
              <w:bottom w:val="single" w:sz="4" w:space="0" w:color="auto"/>
              <w:right w:val="single" w:sz="4" w:space="0" w:color="auto"/>
            </w:tcBorders>
            <w:vAlign w:val="center"/>
          </w:tcPr>
          <w:p w14:paraId="7D7D3CCF" w14:textId="05412FFA" w:rsidR="00D64DE1" w:rsidRPr="0026532D"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866</w:t>
            </w:r>
          </w:p>
        </w:tc>
        <w:tc>
          <w:tcPr>
            <w:tcW w:w="669" w:type="dxa"/>
            <w:tcBorders>
              <w:top w:val="single" w:sz="4" w:space="0" w:color="auto"/>
              <w:left w:val="single" w:sz="4" w:space="0" w:color="auto"/>
              <w:bottom w:val="single" w:sz="4" w:space="0" w:color="auto"/>
              <w:right w:val="single" w:sz="4" w:space="0" w:color="auto"/>
            </w:tcBorders>
            <w:vAlign w:val="center"/>
          </w:tcPr>
          <w:p w14:paraId="4892D97E" w14:textId="30DA3EA5" w:rsidR="00D64DE1" w:rsidRPr="0026532D"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87</w:t>
            </w:r>
          </w:p>
        </w:tc>
        <w:tc>
          <w:tcPr>
            <w:tcW w:w="502" w:type="dxa"/>
            <w:tcBorders>
              <w:top w:val="single" w:sz="4" w:space="0" w:color="auto"/>
              <w:left w:val="single" w:sz="4" w:space="0" w:color="auto"/>
              <w:bottom w:val="single" w:sz="4" w:space="0" w:color="auto"/>
              <w:right w:val="single" w:sz="4" w:space="0" w:color="auto"/>
            </w:tcBorders>
            <w:vAlign w:val="center"/>
          </w:tcPr>
          <w:p w14:paraId="44AEA033" w14:textId="3FA21BF4" w:rsidR="00D64DE1" w:rsidRPr="0026532D"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87</w:t>
            </w:r>
          </w:p>
        </w:tc>
        <w:tc>
          <w:tcPr>
            <w:tcW w:w="574" w:type="dxa"/>
            <w:tcBorders>
              <w:top w:val="single" w:sz="4" w:space="0" w:color="auto"/>
              <w:left w:val="single" w:sz="4" w:space="0" w:color="auto"/>
              <w:bottom w:val="single" w:sz="4" w:space="0" w:color="auto"/>
              <w:right w:val="single" w:sz="4" w:space="0" w:color="auto"/>
            </w:tcBorders>
            <w:vAlign w:val="center"/>
          </w:tcPr>
          <w:p w14:paraId="7A448DCE" w14:textId="3B2C8AF4" w:rsidR="00D64DE1" w:rsidRPr="0026532D" w:rsidRDefault="00D64DE1" w:rsidP="00D64DE1">
            <w:pPr>
              <w:jc w:val="center"/>
              <w:rPr>
                <w:rFonts w:ascii="华文细黑" w:eastAsia="华文细黑" w:hAnsi="华文细黑"/>
                <w:color w:val="000000"/>
                <w:sz w:val="13"/>
                <w:szCs w:val="13"/>
              </w:rPr>
            </w:pPr>
          </w:p>
        </w:tc>
        <w:tc>
          <w:tcPr>
            <w:tcW w:w="915" w:type="dxa"/>
            <w:tcBorders>
              <w:top w:val="nil"/>
              <w:left w:val="nil"/>
              <w:bottom w:val="single" w:sz="4" w:space="0" w:color="auto"/>
              <w:right w:val="single" w:sz="4" w:space="0" w:color="auto"/>
            </w:tcBorders>
            <w:shd w:val="clear" w:color="auto" w:fill="auto"/>
            <w:noWrap/>
            <w:vAlign w:val="center"/>
            <w:hideMark/>
          </w:tcPr>
          <w:p w14:paraId="781827FB" w14:textId="1B5571BD"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14122</w:t>
            </w:r>
          </w:p>
        </w:tc>
      </w:tr>
      <w:tr w:rsidR="00D64DE1" w:rsidRPr="0009296A" w14:paraId="61B39A49" w14:textId="77777777" w:rsidTr="00D64DE1">
        <w:trPr>
          <w:trHeight w:val="340"/>
        </w:trPr>
        <w:tc>
          <w:tcPr>
            <w:tcW w:w="402" w:type="dxa"/>
            <w:tcBorders>
              <w:top w:val="nil"/>
              <w:left w:val="single" w:sz="4" w:space="0" w:color="auto"/>
              <w:bottom w:val="single" w:sz="4" w:space="0" w:color="auto"/>
              <w:right w:val="single" w:sz="4" w:space="0" w:color="auto"/>
            </w:tcBorders>
            <w:shd w:val="clear" w:color="auto" w:fill="auto"/>
            <w:noWrap/>
            <w:vAlign w:val="center"/>
            <w:hideMark/>
          </w:tcPr>
          <w:p w14:paraId="359491E9" w14:textId="77777777" w:rsidR="00D64DE1" w:rsidRPr="0009296A" w:rsidRDefault="00D64DE1" w:rsidP="007B3231">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1</w:t>
            </w:r>
            <w:r>
              <w:rPr>
                <w:rFonts w:ascii="华文细黑" w:eastAsia="华文细黑" w:hAnsi="华文细黑" w:hint="eastAsia"/>
                <w:color w:val="000000"/>
                <w:sz w:val="13"/>
                <w:szCs w:val="13"/>
              </w:rPr>
              <w:t>3</w:t>
            </w:r>
          </w:p>
        </w:tc>
        <w:tc>
          <w:tcPr>
            <w:tcW w:w="1480" w:type="dxa"/>
            <w:tcBorders>
              <w:top w:val="nil"/>
              <w:left w:val="nil"/>
              <w:bottom w:val="single" w:sz="4" w:space="0" w:color="auto"/>
              <w:right w:val="single" w:sz="4" w:space="0" w:color="auto"/>
            </w:tcBorders>
            <w:shd w:val="clear" w:color="auto" w:fill="auto"/>
            <w:noWrap/>
            <w:vAlign w:val="center"/>
            <w:hideMark/>
          </w:tcPr>
          <w:p w14:paraId="1FAE5C95" w14:textId="77777777" w:rsidR="00D64DE1" w:rsidRPr="0009296A" w:rsidRDefault="00D64DE1" w:rsidP="007B3231">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财务费用</w:t>
            </w:r>
          </w:p>
        </w:tc>
        <w:tc>
          <w:tcPr>
            <w:tcW w:w="835" w:type="dxa"/>
            <w:tcBorders>
              <w:top w:val="nil"/>
              <w:left w:val="nil"/>
              <w:bottom w:val="single" w:sz="4" w:space="0" w:color="auto"/>
              <w:right w:val="single" w:sz="4" w:space="0" w:color="auto"/>
            </w:tcBorders>
            <w:shd w:val="clear" w:color="auto" w:fill="auto"/>
            <w:noWrap/>
            <w:vAlign w:val="center"/>
          </w:tcPr>
          <w:p w14:paraId="685ACBBC" w14:textId="057A034F" w:rsidR="00D64DE1" w:rsidRPr="0009296A" w:rsidRDefault="00D64DE1" w:rsidP="007B323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hideMark/>
          </w:tcPr>
          <w:p w14:paraId="7E46EA72" w14:textId="37F91263"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470</w:t>
            </w:r>
          </w:p>
        </w:tc>
        <w:tc>
          <w:tcPr>
            <w:tcW w:w="669" w:type="dxa"/>
            <w:tcBorders>
              <w:top w:val="nil"/>
              <w:left w:val="nil"/>
              <w:bottom w:val="single" w:sz="4" w:space="0" w:color="auto"/>
              <w:right w:val="single" w:sz="4" w:space="0" w:color="auto"/>
            </w:tcBorders>
            <w:shd w:val="clear" w:color="auto" w:fill="auto"/>
            <w:noWrap/>
            <w:vAlign w:val="center"/>
            <w:hideMark/>
          </w:tcPr>
          <w:p w14:paraId="019D20FD" w14:textId="694338AE"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5834</w:t>
            </w:r>
          </w:p>
        </w:tc>
        <w:tc>
          <w:tcPr>
            <w:tcW w:w="669" w:type="dxa"/>
            <w:tcBorders>
              <w:top w:val="nil"/>
              <w:left w:val="nil"/>
              <w:bottom w:val="single" w:sz="4" w:space="0" w:color="auto"/>
              <w:right w:val="single" w:sz="4" w:space="0" w:color="auto"/>
            </w:tcBorders>
            <w:shd w:val="clear" w:color="auto" w:fill="auto"/>
            <w:noWrap/>
            <w:vAlign w:val="center"/>
            <w:hideMark/>
          </w:tcPr>
          <w:p w14:paraId="040729E9" w14:textId="52E24772"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6029</w:t>
            </w:r>
          </w:p>
        </w:tc>
        <w:tc>
          <w:tcPr>
            <w:tcW w:w="836" w:type="dxa"/>
            <w:tcBorders>
              <w:top w:val="nil"/>
              <w:left w:val="nil"/>
              <w:bottom w:val="single" w:sz="4" w:space="0" w:color="auto"/>
              <w:right w:val="single" w:sz="4" w:space="0" w:color="auto"/>
            </w:tcBorders>
            <w:shd w:val="clear" w:color="auto" w:fill="auto"/>
            <w:noWrap/>
            <w:vAlign w:val="center"/>
          </w:tcPr>
          <w:p w14:paraId="21DF7244" w14:textId="4DDBD141"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6414</w:t>
            </w:r>
          </w:p>
        </w:tc>
        <w:tc>
          <w:tcPr>
            <w:tcW w:w="836" w:type="dxa"/>
            <w:tcBorders>
              <w:top w:val="nil"/>
              <w:left w:val="nil"/>
              <w:bottom w:val="single" w:sz="4" w:space="0" w:color="auto"/>
              <w:right w:val="single" w:sz="4" w:space="0" w:color="auto"/>
            </w:tcBorders>
            <w:shd w:val="clear" w:color="auto" w:fill="auto"/>
            <w:noWrap/>
            <w:vAlign w:val="center"/>
          </w:tcPr>
          <w:p w14:paraId="142F5689" w14:textId="04F79996"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6450</w:t>
            </w:r>
          </w:p>
        </w:tc>
        <w:tc>
          <w:tcPr>
            <w:tcW w:w="835" w:type="dxa"/>
            <w:tcBorders>
              <w:top w:val="nil"/>
              <w:left w:val="nil"/>
              <w:bottom w:val="single" w:sz="4" w:space="0" w:color="auto"/>
              <w:right w:val="single" w:sz="4" w:space="0" w:color="auto"/>
            </w:tcBorders>
            <w:shd w:val="clear" w:color="auto" w:fill="auto"/>
            <w:noWrap/>
            <w:vAlign w:val="center"/>
          </w:tcPr>
          <w:p w14:paraId="77178DF6" w14:textId="29CBC358"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6294</w:t>
            </w:r>
          </w:p>
        </w:tc>
        <w:tc>
          <w:tcPr>
            <w:tcW w:w="836" w:type="dxa"/>
            <w:tcBorders>
              <w:top w:val="nil"/>
              <w:left w:val="nil"/>
              <w:bottom w:val="single" w:sz="4" w:space="0" w:color="auto"/>
              <w:right w:val="single" w:sz="4" w:space="0" w:color="auto"/>
            </w:tcBorders>
            <w:shd w:val="clear" w:color="auto" w:fill="auto"/>
            <w:noWrap/>
            <w:vAlign w:val="center"/>
          </w:tcPr>
          <w:p w14:paraId="5DAE03CC" w14:textId="0911D51F"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5480</w:t>
            </w:r>
          </w:p>
        </w:tc>
        <w:tc>
          <w:tcPr>
            <w:tcW w:w="836" w:type="dxa"/>
            <w:tcBorders>
              <w:top w:val="nil"/>
              <w:left w:val="nil"/>
              <w:bottom w:val="single" w:sz="4" w:space="0" w:color="auto"/>
              <w:right w:val="single" w:sz="4" w:space="0" w:color="auto"/>
            </w:tcBorders>
            <w:shd w:val="clear" w:color="auto" w:fill="auto"/>
            <w:noWrap/>
            <w:vAlign w:val="center"/>
          </w:tcPr>
          <w:p w14:paraId="77D4A111" w14:textId="0C29CB0D"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4666</w:t>
            </w:r>
          </w:p>
        </w:tc>
        <w:tc>
          <w:tcPr>
            <w:tcW w:w="836" w:type="dxa"/>
            <w:tcBorders>
              <w:top w:val="nil"/>
              <w:left w:val="nil"/>
              <w:bottom w:val="single" w:sz="4" w:space="0" w:color="auto"/>
              <w:right w:val="single" w:sz="4" w:space="0" w:color="auto"/>
            </w:tcBorders>
            <w:shd w:val="clear" w:color="auto" w:fill="auto"/>
            <w:noWrap/>
            <w:vAlign w:val="center"/>
          </w:tcPr>
          <w:p w14:paraId="333401F6" w14:textId="3A5F5B75"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3566</w:t>
            </w:r>
          </w:p>
        </w:tc>
        <w:tc>
          <w:tcPr>
            <w:tcW w:w="835" w:type="dxa"/>
            <w:tcBorders>
              <w:top w:val="nil"/>
              <w:left w:val="nil"/>
              <w:bottom w:val="single" w:sz="4" w:space="0" w:color="auto"/>
              <w:right w:val="single" w:sz="4" w:space="0" w:color="auto"/>
            </w:tcBorders>
            <w:shd w:val="clear" w:color="auto" w:fill="auto"/>
            <w:noWrap/>
            <w:vAlign w:val="center"/>
          </w:tcPr>
          <w:p w14:paraId="6D3C0CB6" w14:textId="77447802"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2043</w:t>
            </w:r>
          </w:p>
        </w:tc>
        <w:tc>
          <w:tcPr>
            <w:tcW w:w="669" w:type="dxa"/>
            <w:tcBorders>
              <w:top w:val="nil"/>
              <w:left w:val="nil"/>
              <w:bottom w:val="single" w:sz="4" w:space="0" w:color="auto"/>
              <w:right w:val="single" w:sz="4" w:space="0" w:color="auto"/>
            </w:tcBorders>
            <w:shd w:val="clear" w:color="auto" w:fill="auto"/>
            <w:noWrap/>
            <w:vAlign w:val="center"/>
          </w:tcPr>
          <w:p w14:paraId="33C093DC" w14:textId="18BCE322"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921</w:t>
            </w:r>
          </w:p>
        </w:tc>
        <w:tc>
          <w:tcPr>
            <w:tcW w:w="669" w:type="dxa"/>
            <w:tcBorders>
              <w:top w:val="single" w:sz="4" w:space="0" w:color="auto"/>
              <w:left w:val="nil"/>
              <w:bottom w:val="single" w:sz="4" w:space="0" w:color="auto"/>
              <w:right w:val="single" w:sz="4" w:space="0" w:color="auto"/>
            </w:tcBorders>
            <w:vAlign w:val="center"/>
          </w:tcPr>
          <w:p w14:paraId="7DF52E6B" w14:textId="21625350" w:rsidR="00D64DE1" w:rsidRPr="0026532D"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255</w:t>
            </w:r>
          </w:p>
        </w:tc>
        <w:tc>
          <w:tcPr>
            <w:tcW w:w="669" w:type="dxa"/>
            <w:tcBorders>
              <w:top w:val="single" w:sz="4" w:space="0" w:color="auto"/>
              <w:left w:val="single" w:sz="4" w:space="0" w:color="auto"/>
              <w:bottom w:val="single" w:sz="4" w:space="0" w:color="auto"/>
              <w:right w:val="single" w:sz="4" w:space="0" w:color="auto"/>
            </w:tcBorders>
            <w:vAlign w:val="center"/>
          </w:tcPr>
          <w:p w14:paraId="4202B45C" w14:textId="5422F43C" w:rsidR="00D64DE1" w:rsidRPr="0026532D"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83</w:t>
            </w:r>
          </w:p>
        </w:tc>
        <w:tc>
          <w:tcPr>
            <w:tcW w:w="502" w:type="dxa"/>
            <w:tcBorders>
              <w:top w:val="single" w:sz="4" w:space="0" w:color="auto"/>
              <w:left w:val="single" w:sz="4" w:space="0" w:color="auto"/>
              <w:bottom w:val="single" w:sz="4" w:space="0" w:color="auto"/>
              <w:right w:val="single" w:sz="4" w:space="0" w:color="auto"/>
            </w:tcBorders>
            <w:vAlign w:val="center"/>
          </w:tcPr>
          <w:p w14:paraId="7CCE0010" w14:textId="5C008945" w:rsidR="00D64DE1" w:rsidRPr="0026532D"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38</w:t>
            </w:r>
          </w:p>
        </w:tc>
        <w:tc>
          <w:tcPr>
            <w:tcW w:w="574" w:type="dxa"/>
            <w:tcBorders>
              <w:top w:val="single" w:sz="4" w:space="0" w:color="auto"/>
              <w:left w:val="single" w:sz="4" w:space="0" w:color="auto"/>
              <w:bottom w:val="single" w:sz="4" w:space="0" w:color="auto"/>
              <w:right w:val="single" w:sz="4" w:space="0" w:color="auto"/>
            </w:tcBorders>
            <w:vAlign w:val="center"/>
          </w:tcPr>
          <w:p w14:paraId="05E5736E" w14:textId="1B9F165A" w:rsidR="00D64DE1" w:rsidRPr="0026532D"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8</w:t>
            </w:r>
          </w:p>
        </w:tc>
        <w:tc>
          <w:tcPr>
            <w:tcW w:w="915" w:type="dxa"/>
            <w:tcBorders>
              <w:top w:val="nil"/>
              <w:left w:val="nil"/>
              <w:bottom w:val="single" w:sz="4" w:space="0" w:color="auto"/>
              <w:right w:val="single" w:sz="4" w:space="0" w:color="auto"/>
            </w:tcBorders>
            <w:shd w:val="clear" w:color="auto" w:fill="auto"/>
            <w:noWrap/>
            <w:vAlign w:val="center"/>
            <w:hideMark/>
          </w:tcPr>
          <w:p w14:paraId="43DF1EF6" w14:textId="41293EF5"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48551</w:t>
            </w:r>
          </w:p>
        </w:tc>
      </w:tr>
      <w:tr w:rsidR="00D64DE1" w:rsidRPr="0009296A" w14:paraId="3D359D9F" w14:textId="77777777" w:rsidTr="00D64DE1">
        <w:trPr>
          <w:trHeight w:val="340"/>
        </w:trPr>
        <w:tc>
          <w:tcPr>
            <w:tcW w:w="402" w:type="dxa"/>
            <w:tcBorders>
              <w:top w:val="nil"/>
              <w:left w:val="single" w:sz="4" w:space="0" w:color="auto"/>
              <w:bottom w:val="single" w:sz="4" w:space="0" w:color="auto"/>
              <w:right w:val="single" w:sz="4" w:space="0" w:color="auto"/>
            </w:tcBorders>
            <w:shd w:val="clear" w:color="auto" w:fill="auto"/>
            <w:noWrap/>
            <w:vAlign w:val="center"/>
            <w:hideMark/>
          </w:tcPr>
          <w:p w14:paraId="4232BC6F" w14:textId="77777777" w:rsidR="00D64DE1" w:rsidRPr="0009296A" w:rsidRDefault="00D64DE1" w:rsidP="007B3231">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1</w:t>
            </w:r>
            <w:r>
              <w:rPr>
                <w:rFonts w:ascii="华文细黑" w:eastAsia="华文细黑" w:hAnsi="华文细黑" w:hint="eastAsia"/>
                <w:color w:val="000000"/>
                <w:sz w:val="13"/>
                <w:szCs w:val="13"/>
              </w:rPr>
              <w:t>4</w:t>
            </w:r>
          </w:p>
        </w:tc>
        <w:tc>
          <w:tcPr>
            <w:tcW w:w="1480" w:type="dxa"/>
            <w:tcBorders>
              <w:top w:val="nil"/>
              <w:left w:val="nil"/>
              <w:bottom w:val="single" w:sz="4" w:space="0" w:color="auto"/>
              <w:right w:val="single" w:sz="4" w:space="0" w:color="auto"/>
            </w:tcBorders>
            <w:shd w:val="clear" w:color="auto" w:fill="auto"/>
            <w:noWrap/>
            <w:vAlign w:val="center"/>
            <w:hideMark/>
          </w:tcPr>
          <w:p w14:paraId="2F73C6F7" w14:textId="77777777" w:rsidR="00D64DE1" w:rsidRPr="0009296A" w:rsidRDefault="00D64DE1" w:rsidP="007B3231">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土地增值税</w:t>
            </w:r>
          </w:p>
        </w:tc>
        <w:tc>
          <w:tcPr>
            <w:tcW w:w="835" w:type="dxa"/>
            <w:tcBorders>
              <w:top w:val="nil"/>
              <w:left w:val="nil"/>
              <w:bottom w:val="single" w:sz="4" w:space="0" w:color="auto"/>
              <w:right w:val="single" w:sz="4" w:space="0" w:color="auto"/>
            </w:tcBorders>
            <w:shd w:val="clear" w:color="auto" w:fill="auto"/>
            <w:noWrap/>
            <w:vAlign w:val="center"/>
          </w:tcPr>
          <w:p w14:paraId="57731999" w14:textId="77777777" w:rsidR="00D64DE1" w:rsidRPr="0009296A" w:rsidRDefault="00D64DE1" w:rsidP="007B323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75A9F12C" w14:textId="7DE0FD12" w:rsidR="00D64DE1" w:rsidRPr="0009296A" w:rsidRDefault="00D64DE1" w:rsidP="00D64DE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13962916" w14:textId="35404698" w:rsidR="00D64DE1" w:rsidRPr="0009296A" w:rsidRDefault="00D64DE1" w:rsidP="00D64DE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02B2ED77" w14:textId="7F1A767B"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254C91C0" w14:textId="1C5EE240"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hideMark/>
          </w:tcPr>
          <w:p w14:paraId="058029FA" w14:textId="55C68EC8"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604</w:t>
            </w:r>
          </w:p>
        </w:tc>
        <w:tc>
          <w:tcPr>
            <w:tcW w:w="835" w:type="dxa"/>
            <w:tcBorders>
              <w:top w:val="nil"/>
              <w:left w:val="nil"/>
              <w:bottom w:val="single" w:sz="4" w:space="0" w:color="auto"/>
              <w:right w:val="single" w:sz="4" w:space="0" w:color="auto"/>
            </w:tcBorders>
            <w:shd w:val="clear" w:color="auto" w:fill="auto"/>
            <w:noWrap/>
            <w:vAlign w:val="center"/>
            <w:hideMark/>
          </w:tcPr>
          <w:p w14:paraId="20D72148" w14:textId="3D606D24"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1208</w:t>
            </w:r>
          </w:p>
        </w:tc>
        <w:tc>
          <w:tcPr>
            <w:tcW w:w="836" w:type="dxa"/>
            <w:tcBorders>
              <w:top w:val="nil"/>
              <w:left w:val="nil"/>
              <w:bottom w:val="single" w:sz="4" w:space="0" w:color="auto"/>
              <w:right w:val="single" w:sz="4" w:space="0" w:color="auto"/>
            </w:tcBorders>
            <w:shd w:val="clear" w:color="auto" w:fill="auto"/>
            <w:noWrap/>
            <w:vAlign w:val="center"/>
            <w:hideMark/>
          </w:tcPr>
          <w:p w14:paraId="7824893D" w14:textId="3747D9CB"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1208</w:t>
            </w:r>
          </w:p>
        </w:tc>
        <w:tc>
          <w:tcPr>
            <w:tcW w:w="836" w:type="dxa"/>
            <w:tcBorders>
              <w:top w:val="nil"/>
              <w:left w:val="nil"/>
              <w:bottom w:val="single" w:sz="4" w:space="0" w:color="auto"/>
              <w:right w:val="single" w:sz="4" w:space="0" w:color="auto"/>
            </w:tcBorders>
            <w:shd w:val="clear" w:color="auto" w:fill="auto"/>
            <w:noWrap/>
            <w:vAlign w:val="center"/>
            <w:hideMark/>
          </w:tcPr>
          <w:p w14:paraId="2CB1F14E" w14:textId="5A7B00CF"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1415</w:t>
            </w:r>
          </w:p>
        </w:tc>
        <w:tc>
          <w:tcPr>
            <w:tcW w:w="836" w:type="dxa"/>
            <w:tcBorders>
              <w:top w:val="nil"/>
              <w:left w:val="nil"/>
              <w:bottom w:val="single" w:sz="4" w:space="0" w:color="auto"/>
              <w:right w:val="single" w:sz="4" w:space="0" w:color="auto"/>
            </w:tcBorders>
            <w:shd w:val="clear" w:color="auto" w:fill="auto"/>
            <w:noWrap/>
            <w:vAlign w:val="center"/>
            <w:hideMark/>
          </w:tcPr>
          <w:p w14:paraId="418318D3" w14:textId="3BDAEAA7"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1621</w:t>
            </w:r>
          </w:p>
        </w:tc>
        <w:tc>
          <w:tcPr>
            <w:tcW w:w="835" w:type="dxa"/>
            <w:tcBorders>
              <w:top w:val="nil"/>
              <w:left w:val="nil"/>
              <w:bottom w:val="single" w:sz="4" w:space="0" w:color="auto"/>
              <w:right w:val="single" w:sz="4" w:space="0" w:color="auto"/>
            </w:tcBorders>
            <w:shd w:val="clear" w:color="auto" w:fill="auto"/>
            <w:noWrap/>
            <w:vAlign w:val="center"/>
            <w:hideMark/>
          </w:tcPr>
          <w:p w14:paraId="5D5C282C" w14:textId="5868E042"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1734</w:t>
            </w:r>
          </w:p>
        </w:tc>
        <w:tc>
          <w:tcPr>
            <w:tcW w:w="669" w:type="dxa"/>
            <w:tcBorders>
              <w:top w:val="nil"/>
              <w:left w:val="nil"/>
              <w:bottom w:val="single" w:sz="4" w:space="0" w:color="auto"/>
              <w:right w:val="single" w:sz="4" w:space="0" w:color="auto"/>
            </w:tcBorders>
            <w:shd w:val="clear" w:color="auto" w:fill="auto"/>
            <w:noWrap/>
            <w:vAlign w:val="center"/>
          </w:tcPr>
          <w:p w14:paraId="337E11CD" w14:textId="4A702AC7"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1533</w:t>
            </w:r>
          </w:p>
        </w:tc>
        <w:tc>
          <w:tcPr>
            <w:tcW w:w="669" w:type="dxa"/>
            <w:tcBorders>
              <w:top w:val="single" w:sz="4" w:space="0" w:color="auto"/>
              <w:left w:val="nil"/>
              <w:bottom w:val="single" w:sz="4" w:space="0" w:color="auto"/>
              <w:right w:val="single" w:sz="4" w:space="0" w:color="auto"/>
            </w:tcBorders>
            <w:vAlign w:val="center"/>
          </w:tcPr>
          <w:p w14:paraId="067DBBF2" w14:textId="4C25F639" w:rsidR="00D64DE1" w:rsidRPr="0026532D"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722</w:t>
            </w:r>
          </w:p>
        </w:tc>
        <w:tc>
          <w:tcPr>
            <w:tcW w:w="669" w:type="dxa"/>
            <w:tcBorders>
              <w:top w:val="single" w:sz="4" w:space="0" w:color="auto"/>
              <w:left w:val="single" w:sz="4" w:space="0" w:color="auto"/>
              <w:bottom w:val="single" w:sz="4" w:space="0" w:color="auto"/>
              <w:right w:val="single" w:sz="4" w:space="0" w:color="auto"/>
            </w:tcBorders>
            <w:vAlign w:val="center"/>
          </w:tcPr>
          <w:p w14:paraId="209FD78E" w14:textId="6763D20E" w:rsidR="00D64DE1" w:rsidRPr="0026532D"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113</w:t>
            </w:r>
          </w:p>
        </w:tc>
        <w:tc>
          <w:tcPr>
            <w:tcW w:w="502" w:type="dxa"/>
            <w:tcBorders>
              <w:top w:val="single" w:sz="4" w:space="0" w:color="auto"/>
              <w:left w:val="single" w:sz="4" w:space="0" w:color="auto"/>
              <w:bottom w:val="single" w:sz="4" w:space="0" w:color="auto"/>
              <w:right w:val="single" w:sz="4" w:space="0" w:color="auto"/>
            </w:tcBorders>
            <w:vAlign w:val="center"/>
          </w:tcPr>
          <w:p w14:paraId="2F1D359C" w14:textId="7B7E4BC2" w:rsidR="00D64DE1" w:rsidRPr="0026532D"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113</w:t>
            </w:r>
          </w:p>
        </w:tc>
        <w:tc>
          <w:tcPr>
            <w:tcW w:w="574" w:type="dxa"/>
            <w:tcBorders>
              <w:top w:val="single" w:sz="4" w:space="0" w:color="auto"/>
              <w:left w:val="single" w:sz="4" w:space="0" w:color="auto"/>
              <w:bottom w:val="single" w:sz="4" w:space="0" w:color="auto"/>
              <w:right w:val="single" w:sz="4" w:space="0" w:color="auto"/>
            </w:tcBorders>
            <w:vAlign w:val="center"/>
          </w:tcPr>
          <w:p w14:paraId="0E9E5F0B" w14:textId="372D482A" w:rsidR="00D64DE1" w:rsidRPr="0026532D"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-10271</w:t>
            </w:r>
          </w:p>
        </w:tc>
        <w:tc>
          <w:tcPr>
            <w:tcW w:w="915" w:type="dxa"/>
            <w:tcBorders>
              <w:top w:val="nil"/>
              <w:left w:val="nil"/>
              <w:bottom w:val="single" w:sz="4" w:space="0" w:color="auto"/>
              <w:right w:val="single" w:sz="4" w:space="0" w:color="auto"/>
            </w:tcBorders>
            <w:shd w:val="clear" w:color="auto" w:fill="auto"/>
            <w:noWrap/>
            <w:vAlign w:val="center"/>
            <w:hideMark/>
          </w:tcPr>
          <w:p w14:paraId="754D9AB9" w14:textId="0EAAA745" w:rsidR="00D64DE1" w:rsidRPr="0009296A" w:rsidRDefault="00D64DE1" w:rsidP="00D64DE1">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0</w:t>
            </w:r>
          </w:p>
        </w:tc>
      </w:tr>
      <w:tr w:rsidR="00D64DE1" w:rsidRPr="0009296A" w14:paraId="3E32E952" w14:textId="77777777" w:rsidTr="00D64DE1">
        <w:trPr>
          <w:trHeight w:val="340"/>
        </w:trPr>
        <w:tc>
          <w:tcPr>
            <w:tcW w:w="402" w:type="dxa"/>
            <w:tcBorders>
              <w:top w:val="nil"/>
              <w:left w:val="single" w:sz="4" w:space="0" w:color="auto"/>
              <w:bottom w:val="single" w:sz="4" w:space="0" w:color="auto"/>
              <w:right w:val="single" w:sz="4" w:space="0" w:color="auto"/>
            </w:tcBorders>
            <w:shd w:val="clear" w:color="auto" w:fill="auto"/>
            <w:noWrap/>
            <w:vAlign w:val="center"/>
            <w:hideMark/>
          </w:tcPr>
          <w:p w14:paraId="4CECC4B0" w14:textId="77777777" w:rsidR="00D64DE1" w:rsidRPr="0009296A" w:rsidRDefault="00D64DE1" w:rsidP="007B3231">
            <w:pPr>
              <w:jc w:val="both"/>
              <w:rPr>
                <w:rFonts w:ascii="华文细黑" w:eastAsia="华文细黑" w:hAnsi="华文细黑"/>
                <w:color w:val="000000"/>
                <w:sz w:val="13"/>
                <w:szCs w:val="13"/>
              </w:rPr>
            </w:pPr>
            <w:r>
              <w:rPr>
                <w:rFonts w:ascii="华文细黑" w:eastAsia="华文细黑" w:hAnsi="华文细黑" w:hint="eastAsia"/>
                <w:color w:val="000000"/>
                <w:sz w:val="13"/>
                <w:szCs w:val="13"/>
              </w:rPr>
              <w:t>15</w:t>
            </w:r>
          </w:p>
        </w:tc>
        <w:tc>
          <w:tcPr>
            <w:tcW w:w="1480" w:type="dxa"/>
            <w:tcBorders>
              <w:top w:val="nil"/>
              <w:left w:val="nil"/>
              <w:bottom w:val="single" w:sz="4" w:space="0" w:color="auto"/>
              <w:right w:val="single" w:sz="4" w:space="0" w:color="auto"/>
            </w:tcBorders>
            <w:shd w:val="clear" w:color="auto" w:fill="auto"/>
            <w:noWrap/>
            <w:vAlign w:val="center"/>
            <w:hideMark/>
          </w:tcPr>
          <w:p w14:paraId="32426B4E" w14:textId="77777777" w:rsidR="00D64DE1" w:rsidRPr="0009296A" w:rsidRDefault="00D64DE1" w:rsidP="007B3231">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所得税</w:t>
            </w:r>
          </w:p>
        </w:tc>
        <w:tc>
          <w:tcPr>
            <w:tcW w:w="835" w:type="dxa"/>
            <w:tcBorders>
              <w:top w:val="nil"/>
              <w:left w:val="nil"/>
              <w:bottom w:val="single" w:sz="4" w:space="0" w:color="auto"/>
              <w:right w:val="single" w:sz="4" w:space="0" w:color="auto"/>
            </w:tcBorders>
            <w:shd w:val="clear" w:color="auto" w:fill="auto"/>
            <w:noWrap/>
            <w:vAlign w:val="center"/>
          </w:tcPr>
          <w:p w14:paraId="6A6E02BA" w14:textId="77777777" w:rsidR="00D64DE1" w:rsidRPr="0009296A" w:rsidRDefault="00D64DE1" w:rsidP="007B323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196B81CC" w14:textId="0CB6BA63" w:rsidR="00D64DE1" w:rsidRPr="0009296A" w:rsidRDefault="00D64DE1" w:rsidP="00D64DE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4C5F3BFC" w14:textId="25280E3B" w:rsidR="00D64DE1" w:rsidRPr="0009296A" w:rsidRDefault="00D64DE1" w:rsidP="00D64DE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7C8D1A52" w14:textId="78D52CE4"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4C37AB95" w14:textId="3B59A329"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0EBE4D45" w14:textId="1B1EFBB2" w:rsidR="00D64DE1" w:rsidRPr="0009296A" w:rsidRDefault="00D64DE1" w:rsidP="00D64DE1">
            <w:pPr>
              <w:jc w:val="center"/>
              <w:rPr>
                <w:rFonts w:ascii="华文细黑" w:eastAsia="华文细黑" w:hAnsi="华文细黑"/>
                <w:color w:val="000000"/>
                <w:sz w:val="13"/>
                <w:szCs w:val="13"/>
              </w:rPr>
            </w:pPr>
          </w:p>
        </w:tc>
        <w:tc>
          <w:tcPr>
            <w:tcW w:w="835" w:type="dxa"/>
            <w:tcBorders>
              <w:top w:val="nil"/>
              <w:left w:val="nil"/>
              <w:bottom w:val="single" w:sz="4" w:space="0" w:color="auto"/>
              <w:right w:val="single" w:sz="4" w:space="0" w:color="auto"/>
            </w:tcBorders>
            <w:shd w:val="clear" w:color="auto" w:fill="auto"/>
            <w:noWrap/>
            <w:vAlign w:val="center"/>
          </w:tcPr>
          <w:p w14:paraId="35A71740" w14:textId="5ACA39F9"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6633BB27" w14:textId="080FA218"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699FBD41" w14:textId="36E4F173"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302C4AA5" w14:textId="09024385" w:rsidR="00D64DE1" w:rsidRPr="0009296A" w:rsidRDefault="00D64DE1" w:rsidP="00D64DE1">
            <w:pPr>
              <w:jc w:val="center"/>
              <w:rPr>
                <w:rFonts w:ascii="华文细黑" w:eastAsia="华文细黑" w:hAnsi="华文细黑"/>
                <w:color w:val="000000"/>
                <w:sz w:val="13"/>
                <w:szCs w:val="13"/>
              </w:rPr>
            </w:pPr>
          </w:p>
        </w:tc>
        <w:tc>
          <w:tcPr>
            <w:tcW w:w="835" w:type="dxa"/>
            <w:tcBorders>
              <w:top w:val="nil"/>
              <w:left w:val="nil"/>
              <w:bottom w:val="single" w:sz="4" w:space="0" w:color="auto"/>
              <w:right w:val="single" w:sz="4" w:space="0" w:color="auto"/>
            </w:tcBorders>
            <w:shd w:val="clear" w:color="auto" w:fill="auto"/>
            <w:noWrap/>
            <w:vAlign w:val="center"/>
          </w:tcPr>
          <w:p w14:paraId="2E38623A" w14:textId="6FC8E4E6" w:rsidR="00D64DE1" w:rsidRPr="0009296A" w:rsidRDefault="00D64DE1" w:rsidP="00D64DE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441D0D15" w14:textId="33697561" w:rsidR="00D64DE1" w:rsidRPr="0009296A" w:rsidRDefault="00D64DE1" w:rsidP="00D64DE1">
            <w:pPr>
              <w:jc w:val="center"/>
              <w:rPr>
                <w:rFonts w:ascii="华文细黑" w:eastAsia="华文细黑" w:hAnsi="华文细黑"/>
                <w:color w:val="000000"/>
                <w:sz w:val="13"/>
                <w:szCs w:val="13"/>
              </w:rPr>
            </w:pPr>
          </w:p>
        </w:tc>
        <w:tc>
          <w:tcPr>
            <w:tcW w:w="669" w:type="dxa"/>
            <w:tcBorders>
              <w:top w:val="single" w:sz="4" w:space="0" w:color="auto"/>
              <w:left w:val="nil"/>
              <w:bottom w:val="single" w:sz="4" w:space="0" w:color="auto"/>
              <w:right w:val="single" w:sz="4" w:space="0" w:color="auto"/>
            </w:tcBorders>
            <w:vAlign w:val="center"/>
          </w:tcPr>
          <w:p w14:paraId="298BB972" w14:textId="30D9ED18" w:rsidR="00D64DE1" w:rsidRPr="0026532D" w:rsidRDefault="00D64DE1" w:rsidP="00D64DE1">
            <w:pPr>
              <w:jc w:val="center"/>
              <w:rPr>
                <w:rFonts w:ascii="华文细黑" w:eastAsia="华文细黑" w:hAnsi="华文细黑"/>
                <w:color w:val="000000"/>
                <w:sz w:val="13"/>
                <w:szCs w:val="13"/>
              </w:rPr>
            </w:pPr>
          </w:p>
        </w:tc>
        <w:tc>
          <w:tcPr>
            <w:tcW w:w="669" w:type="dxa"/>
            <w:tcBorders>
              <w:top w:val="single" w:sz="4" w:space="0" w:color="auto"/>
              <w:left w:val="single" w:sz="4" w:space="0" w:color="auto"/>
              <w:bottom w:val="single" w:sz="4" w:space="0" w:color="auto"/>
              <w:right w:val="single" w:sz="4" w:space="0" w:color="auto"/>
            </w:tcBorders>
            <w:vAlign w:val="center"/>
          </w:tcPr>
          <w:p w14:paraId="70560395" w14:textId="36608BA4" w:rsidR="00D64DE1" w:rsidRPr="0026532D" w:rsidRDefault="00D64DE1" w:rsidP="00D64DE1">
            <w:pPr>
              <w:jc w:val="center"/>
              <w:rPr>
                <w:rFonts w:ascii="华文细黑" w:eastAsia="华文细黑" w:hAnsi="华文细黑"/>
                <w:color w:val="000000"/>
                <w:sz w:val="13"/>
                <w:szCs w:val="13"/>
              </w:rPr>
            </w:pPr>
          </w:p>
        </w:tc>
        <w:tc>
          <w:tcPr>
            <w:tcW w:w="502" w:type="dxa"/>
            <w:tcBorders>
              <w:top w:val="single" w:sz="4" w:space="0" w:color="auto"/>
              <w:left w:val="single" w:sz="4" w:space="0" w:color="auto"/>
              <w:bottom w:val="single" w:sz="4" w:space="0" w:color="auto"/>
              <w:right w:val="single" w:sz="4" w:space="0" w:color="auto"/>
            </w:tcBorders>
            <w:vAlign w:val="center"/>
          </w:tcPr>
          <w:p w14:paraId="2ED45BAC" w14:textId="59193058" w:rsidR="00D64DE1" w:rsidRPr="0026532D" w:rsidRDefault="00D64DE1" w:rsidP="00D64DE1">
            <w:pPr>
              <w:jc w:val="center"/>
              <w:rPr>
                <w:rFonts w:ascii="华文细黑" w:eastAsia="华文细黑" w:hAnsi="华文细黑"/>
                <w:color w:val="000000"/>
                <w:sz w:val="13"/>
                <w:szCs w:val="13"/>
              </w:rPr>
            </w:pPr>
          </w:p>
        </w:tc>
        <w:tc>
          <w:tcPr>
            <w:tcW w:w="574" w:type="dxa"/>
            <w:tcBorders>
              <w:top w:val="single" w:sz="4" w:space="0" w:color="auto"/>
              <w:left w:val="single" w:sz="4" w:space="0" w:color="auto"/>
              <w:bottom w:val="single" w:sz="4" w:space="0" w:color="auto"/>
              <w:right w:val="single" w:sz="4" w:space="0" w:color="auto"/>
            </w:tcBorders>
            <w:vAlign w:val="center"/>
          </w:tcPr>
          <w:p w14:paraId="23CDA895" w14:textId="569380E4" w:rsidR="00D64DE1" w:rsidRPr="0026532D"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1965</w:t>
            </w:r>
          </w:p>
        </w:tc>
        <w:tc>
          <w:tcPr>
            <w:tcW w:w="915" w:type="dxa"/>
            <w:tcBorders>
              <w:top w:val="nil"/>
              <w:left w:val="nil"/>
              <w:bottom w:val="single" w:sz="4" w:space="0" w:color="auto"/>
              <w:right w:val="single" w:sz="4" w:space="0" w:color="auto"/>
            </w:tcBorders>
            <w:shd w:val="clear" w:color="auto" w:fill="auto"/>
            <w:noWrap/>
            <w:vAlign w:val="center"/>
            <w:hideMark/>
          </w:tcPr>
          <w:p w14:paraId="58FEB357" w14:textId="73C498BF"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1965</w:t>
            </w:r>
          </w:p>
        </w:tc>
      </w:tr>
      <w:tr w:rsidR="00D64DE1" w:rsidRPr="0009296A" w14:paraId="6BD78B34" w14:textId="77777777" w:rsidTr="00D64DE1">
        <w:trPr>
          <w:trHeight w:val="340"/>
        </w:trPr>
        <w:tc>
          <w:tcPr>
            <w:tcW w:w="402" w:type="dxa"/>
            <w:tcBorders>
              <w:top w:val="nil"/>
              <w:left w:val="single" w:sz="4" w:space="0" w:color="auto"/>
              <w:bottom w:val="single" w:sz="4" w:space="0" w:color="auto"/>
              <w:right w:val="single" w:sz="4" w:space="0" w:color="auto"/>
            </w:tcBorders>
            <w:shd w:val="clear" w:color="auto" w:fill="auto"/>
            <w:noWrap/>
            <w:vAlign w:val="center"/>
            <w:hideMark/>
          </w:tcPr>
          <w:p w14:paraId="422DCB07" w14:textId="77777777" w:rsidR="00D64DE1" w:rsidRPr="0009296A" w:rsidRDefault="00D64DE1" w:rsidP="007B3231">
            <w:pPr>
              <w:jc w:val="both"/>
              <w:rPr>
                <w:rFonts w:ascii="华文细黑" w:eastAsia="华文细黑" w:hAnsi="华文细黑"/>
                <w:color w:val="000000"/>
                <w:sz w:val="13"/>
                <w:szCs w:val="13"/>
              </w:rPr>
            </w:pPr>
            <w:r>
              <w:rPr>
                <w:rFonts w:ascii="华文细黑" w:eastAsia="华文细黑" w:hAnsi="华文细黑" w:hint="eastAsia"/>
                <w:color w:val="000000"/>
                <w:sz w:val="13"/>
                <w:szCs w:val="13"/>
              </w:rPr>
              <w:t>16</w:t>
            </w:r>
          </w:p>
        </w:tc>
        <w:tc>
          <w:tcPr>
            <w:tcW w:w="1480" w:type="dxa"/>
            <w:tcBorders>
              <w:top w:val="nil"/>
              <w:left w:val="nil"/>
              <w:bottom w:val="single" w:sz="4" w:space="0" w:color="auto"/>
              <w:right w:val="single" w:sz="4" w:space="0" w:color="auto"/>
            </w:tcBorders>
            <w:shd w:val="clear" w:color="auto" w:fill="auto"/>
            <w:noWrap/>
            <w:vAlign w:val="center"/>
            <w:hideMark/>
          </w:tcPr>
          <w:p w14:paraId="71D29605" w14:textId="77777777" w:rsidR="00D64DE1" w:rsidRPr="0009296A" w:rsidRDefault="00D64DE1" w:rsidP="007B3231">
            <w:pPr>
              <w:jc w:val="both"/>
              <w:rPr>
                <w:rFonts w:ascii="华文细黑" w:eastAsia="华文细黑" w:hAnsi="华文细黑"/>
                <w:b/>
                <w:bCs/>
                <w:color w:val="000000"/>
                <w:sz w:val="13"/>
                <w:szCs w:val="13"/>
              </w:rPr>
            </w:pPr>
            <w:r w:rsidRPr="0009296A">
              <w:rPr>
                <w:rFonts w:ascii="华文细黑" w:eastAsia="华文细黑" w:hAnsi="华文细黑" w:hint="eastAsia"/>
                <w:b/>
                <w:bCs/>
                <w:color w:val="000000"/>
                <w:sz w:val="13"/>
                <w:szCs w:val="13"/>
              </w:rPr>
              <w:t>盈余资金</w:t>
            </w:r>
          </w:p>
        </w:tc>
        <w:tc>
          <w:tcPr>
            <w:tcW w:w="835" w:type="dxa"/>
            <w:tcBorders>
              <w:top w:val="nil"/>
              <w:left w:val="nil"/>
              <w:bottom w:val="single" w:sz="4" w:space="0" w:color="auto"/>
              <w:right w:val="single" w:sz="4" w:space="0" w:color="auto"/>
            </w:tcBorders>
            <w:shd w:val="clear" w:color="auto" w:fill="auto"/>
            <w:noWrap/>
            <w:vAlign w:val="center"/>
          </w:tcPr>
          <w:p w14:paraId="380CF54F" w14:textId="2D418FCC" w:rsidR="00D64DE1" w:rsidRPr="0009296A" w:rsidRDefault="00D64DE1" w:rsidP="00D64DE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642BACD1" w14:textId="74B24B0E" w:rsidR="00D64DE1" w:rsidRPr="0009296A" w:rsidRDefault="00D64DE1" w:rsidP="00D64DE1">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0</w:t>
            </w:r>
          </w:p>
        </w:tc>
        <w:tc>
          <w:tcPr>
            <w:tcW w:w="669" w:type="dxa"/>
            <w:tcBorders>
              <w:top w:val="nil"/>
              <w:left w:val="nil"/>
              <w:bottom w:val="single" w:sz="4" w:space="0" w:color="auto"/>
              <w:right w:val="single" w:sz="4" w:space="0" w:color="auto"/>
            </w:tcBorders>
            <w:shd w:val="clear" w:color="auto" w:fill="auto"/>
            <w:noWrap/>
            <w:vAlign w:val="center"/>
            <w:hideMark/>
          </w:tcPr>
          <w:p w14:paraId="7A91B4F3" w14:textId="109925B5"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34480</w:t>
            </w:r>
          </w:p>
        </w:tc>
        <w:tc>
          <w:tcPr>
            <w:tcW w:w="669" w:type="dxa"/>
            <w:tcBorders>
              <w:top w:val="nil"/>
              <w:left w:val="nil"/>
              <w:bottom w:val="single" w:sz="4" w:space="0" w:color="auto"/>
              <w:right w:val="single" w:sz="4" w:space="0" w:color="auto"/>
            </w:tcBorders>
            <w:shd w:val="clear" w:color="auto" w:fill="auto"/>
            <w:noWrap/>
            <w:vAlign w:val="center"/>
          </w:tcPr>
          <w:p w14:paraId="42D7C51D" w14:textId="4A9287A3" w:rsidR="00D64DE1" w:rsidRPr="0009296A" w:rsidRDefault="00D64DE1" w:rsidP="00D64DE1">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0</w:t>
            </w:r>
          </w:p>
        </w:tc>
        <w:tc>
          <w:tcPr>
            <w:tcW w:w="836" w:type="dxa"/>
            <w:tcBorders>
              <w:top w:val="nil"/>
              <w:left w:val="nil"/>
              <w:bottom w:val="single" w:sz="4" w:space="0" w:color="auto"/>
              <w:right w:val="single" w:sz="4" w:space="0" w:color="auto"/>
            </w:tcBorders>
            <w:shd w:val="clear" w:color="auto" w:fill="auto"/>
            <w:noWrap/>
            <w:vAlign w:val="center"/>
          </w:tcPr>
          <w:p w14:paraId="6AB1C685" w14:textId="726A57AC" w:rsidR="00D64DE1" w:rsidRPr="0009296A" w:rsidRDefault="00D64DE1" w:rsidP="00D64DE1">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0</w:t>
            </w:r>
          </w:p>
        </w:tc>
        <w:tc>
          <w:tcPr>
            <w:tcW w:w="836" w:type="dxa"/>
            <w:tcBorders>
              <w:top w:val="nil"/>
              <w:left w:val="nil"/>
              <w:bottom w:val="single" w:sz="4" w:space="0" w:color="auto"/>
              <w:right w:val="single" w:sz="4" w:space="0" w:color="auto"/>
            </w:tcBorders>
            <w:shd w:val="clear" w:color="auto" w:fill="auto"/>
            <w:noWrap/>
            <w:vAlign w:val="center"/>
            <w:hideMark/>
          </w:tcPr>
          <w:p w14:paraId="4119C61E" w14:textId="0A5A910A"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23444</w:t>
            </w:r>
          </w:p>
        </w:tc>
        <w:tc>
          <w:tcPr>
            <w:tcW w:w="835" w:type="dxa"/>
            <w:tcBorders>
              <w:top w:val="nil"/>
              <w:left w:val="nil"/>
              <w:bottom w:val="single" w:sz="4" w:space="0" w:color="auto"/>
              <w:right w:val="single" w:sz="4" w:space="0" w:color="auto"/>
            </w:tcBorders>
            <w:shd w:val="clear" w:color="auto" w:fill="auto"/>
            <w:noWrap/>
            <w:vAlign w:val="center"/>
            <w:hideMark/>
          </w:tcPr>
          <w:p w14:paraId="14D232A9" w14:textId="4F7AF28A"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36871</w:t>
            </w:r>
          </w:p>
        </w:tc>
        <w:tc>
          <w:tcPr>
            <w:tcW w:w="836" w:type="dxa"/>
            <w:tcBorders>
              <w:top w:val="nil"/>
              <w:left w:val="nil"/>
              <w:bottom w:val="single" w:sz="4" w:space="0" w:color="auto"/>
              <w:right w:val="single" w:sz="4" w:space="0" w:color="auto"/>
            </w:tcBorders>
            <w:shd w:val="clear" w:color="auto" w:fill="auto"/>
            <w:noWrap/>
            <w:vAlign w:val="center"/>
            <w:hideMark/>
          </w:tcPr>
          <w:p w14:paraId="5EEE34FD" w14:textId="3AB78408"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37196</w:t>
            </w:r>
          </w:p>
        </w:tc>
        <w:tc>
          <w:tcPr>
            <w:tcW w:w="836" w:type="dxa"/>
            <w:tcBorders>
              <w:top w:val="nil"/>
              <w:left w:val="nil"/>
              <w:bottom w:val="single" w:sz="4" w:space="0" w:color="auto"/>
              <w:right w:val="single" w:sz="4" w:space="0" w:color="auto"/>
            </w:tcBorders>
            <w:shd w:val="clear" w:color="auto" w:fill="auto"/>
            <w:noWrap/>
            <w:vAlign w:val="center"/>
            <w:hideMark/>
          </w:tcPr>
          <w:p w14:paraId="7373C591" w14:textId="2D50EFF6"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42749</w:t>
            </w:r>
          </w:p>
        </w:tc>
        <w:tc>
          <w:tcPr>
            <w:tcW w:w="836" w:type="dxa"/>
            <w:tcBorders>
              <w:top w:val="nil"/>
              <w:left w:val="nil"/>
              <w:bottom w:val="single" w:sz="4" w:space="0" w:color="auto"/>
              <w:right w:val="single" w:sz="4" w:space="0" w:color="auto"/>
            </w:tcBorders>
            <w:shd w:val="clear" w:color="auto" w:fill="auto"/>
            <w:noWrap/>
            <w:vAlign w:val="center"/>
            <w:hideMark/>
          </w:tcPr>
          <w:p w14:paraId="3B6F4EF3" w14:textId="15128E08"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49078</w:t>
            </w:r>
          </w:p>
        </w:tc>
        <w:tc>
          <w:tcPr>
            <w:tcW w:w="835" w:type="dxa"/>
            <w:tcBorders>
              <w:top w:val="nil"/>
              <w:left w:val="nil"/>
              <w:bottom w:val="single" w:sz="4" w:space="0" w:color="auto"/>
              <w:right w:val="single" w:sz="4" w:space="0" w:color="auto"/>
            </w:tcBorders>
            <w:shd w:val="clear" w:color="auto" w:fill="auto"/>
            <w:noWrap/>
            <w:vAlign w:val="center"/>
            <w:hideMark/>
          </w:tcPr>
          <w:p w14:paraId="3834A31C" w14:textId="03DF7E56"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55304</w:t>
            </w:r>
          </w:p>
        </w:tc>
        <w:tc>
          <w:tcPr>
            <w:tcW w:w="669" w:type="dxa"/>
            <w:tcBorders>
              <w:top w:val="nil"/>
              <w:left w:val="nil"/>
              <w:bottom w:val="single" w:sz="4" w:space="0" w:color="auto"/>
              <w:right w:val="single" w:sz="4" w:space="0" w:color="auto"/>
            </w:tcBorders>
            <w:shd w:val="clear" w:color="auto" w:fill="auto"/>
            <w:noWrap/>
            <w:vAlign w:val="center"/>
            <w:hideMark/>
          </w:tcPr>
          <w:p w14:paraId="5662330D" w14:textId="2FFE49EA"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46971</w:t>
            </w:r>
          </w:p>
        </w:tc>
        <w:tc>
          <w:tcPr>
            <w:tcW w:w="669" w:type="dxa"/>
            <w:tcBorders>
              <w:top w:val="single" w:sz="4" w:space="0" w:color="auto"/>
              <w:left w:val="nil"/>
              <w:bottom w:val="single" w:sz="4" w:space="0" w:color="auto"/>
              <w:right w:val="single" w:sz="4" w:space="0" w:color="auto"/>
            </w:tcBorders>
            <w:vAlign w:val="center"/>
          </w:tcPr>
          <w:p w14:paraId="104D5750" w14:textId="496650FA" w:rsidR="00D64DE1" w:rsidRPr="0026532D"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17679</w:t>
            </w:r>
          </w:p>
        </w:tc>
        <w:tc>
          <w:tcPr>
            <w:tcW w:w="669" w:type="dxa"/>
            <w:tcBorders>
              <w:top w:val="single" w:sz="4" w:space="0" w:color="auto"/>
              <w:left w:val="single" w:sz="4" w:space="0" w:color="auto"/>
              <w:bottom w:val="single" w:sz="4" w:space="0" w:color="auto"/>
              <w:right w:val="single" w:sz="4" w:space="0" w:color="auto"/>
            </w:tcBorders>
            <w:vAlign w:val="center"/>
          </w:tcPr>
          <w:p w14:paraId="021B4686" w14:textId="753D5EC9" w:rsidR="00D64DE1" w:rsidRPr="0026532D"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2524</w:t>
            </w:r>
          </w:p>
        </w:tc>
        <w:tc>
          <w:tcPr>
            <w:tcW w:w="502" w:type="dxa"/>
            <w:tcBorders>
              <w:top w:val="single" w:sz="4" w:space="0" w:color="auto"/>
              <w:left w:val="single" w:sz="4" w:space="0" w:color="auto"/>
              <w:bottom w:val="single" w:sz="4" w:space="0" w:color="auto"/>
              <w:right w:val="single" w:sz="4" w:space="0" w:color="auto"/>
            </w:tcBorders>
            <w:vAlign w:val="center"/>
          </w:tcPr>
          <w:p w14:paraId="6B6D2778" w14:textId="4E6A284D" w:rsidR="00D64DE1" w:rsidRPr="0026532D"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2568</w:t>
            </w:r>
          </w:p>
        </w:tc>
        <w:tc>
          <w:tcPr>
            <w:tcW w:w="574" w:type="dxa"/>
            <w:tcBorders>
              <w:top w:val="single" w:sz="4" w:space="0" w:color="auto"/>
              <w:left w:val="single" w:sz="4" w:space="0" w:color="auto"/>
              <w:bottom w:val="single" w:sz="4" w:space="0" w:color="auto"/>
              <w:right w:val="single" w:sz="4" w:space="0" w:color="auto"/>
            </w:tcBorders>
            <w:vAlign w:val="center"/>
          </w:tcPr>
          <w:p w14:paraId="5590078D" w14:textId="5998DF5F" w:rsidR="00D64DE1" w:rsidRPr="0026532D"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8298</w:t>
            </w:r>
          </w:p>
        </w:tc>
        <w:tc>
          <w:tcPr>
            <w:tcW w:w="915" w:type="dxa"/>
            <w:tcBorders>
              <w:top w:val="nil"/>
              <w:left w:val="nil"/>
              <w:bottom w:val="single" w:sz="4" w:space="0" w:color="auto"/>
              <w:right w:val="single" w:sz="4" w:space="0" w:color="auto"/>
            </w:tcBorders>
            <w:shd w:val="clear" w:color="auto" w:fill="auto"/>
            <w:noWrap/>
            <w:vAlign w:val="center"/>
            <w:hideMark/>
          </w:tcPr>
          <w:p w14:paraId="18A422CB" w14:textId="58BE31B4"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357162</w:t>
            </w:r>
          </w:p>
        </w:tc>
      </w:tr>
    </w:tbl>
    <w:p w14:paraId="47043257" w14:textId="77777777" w:rsidR="0053025C" w:rsidRPr="00E05368" w:rsidRDefault="0053025C" w:rsidP="0053025C">
      <w:pPr>
        <w:spacing w:line="240" w:lineRule="exact"/>
        <w:rPr>
          <w:rFonts w:ascii="华文细黑" w:eastAsia="华文细黑" w:hAnsi="华文细黑"/>
          <w:bCs/>
          <w:color w:val="000000"/>
          <w:sz w:val="15"/>
          <w:szCs w:val="15"/>
        </w:rPr>
      </w:pPr>
      <w:r w:rsidRPr="00E05368">
        <w:rPr>
          <w:rFonts w:ascii="华文细黑" w:eastAsia="华文细黑" w:hAnsi="华文细黑" w:hint="eastAsia"/>
          <w:bCs/>
          <w:color w:val="000000"/>
          <w:sz w:val="15"/>
          <w:szCs w:val="15"/>
        </w:rPr>
        <w:t>单位：万元</w:t>
      </w:r>
    </w:p>
    <w:p w14:paraId="070C1564" w14:textId="77777777" w:rsidR="0053025C" w:rsidRPr="00E05368" w:rsidRDefault="0053025C" w:rsidP="0053025C">
      <w:pPr>
        <w:spacing w:line="0" w:lineRule="atLeast"/>
        <w:rPr>
          <w:rFonts w:ascii="华文细黑" w:eastAsia="华文细黑" w:hAnsi="华文细黑"/>
          <w:bCs/>
          <w:color w:val="000000"/>
          <w:sz w:val="15"/>
          <w:szCs w:val="15"/>
        </w:rPr>
        <w:sectPr w:rsidR="0053025C" w:rsidRPr="00E05368" w:rsidSect="00C24A69">
          <w:headerReference w:type="even" r:id="rId71"/>
          <w:headerReference w:type="default" r:id="rId72"/>
          <w:headerReference w:type="first" r:id="rId73"/>
          <w:pgSz w:w="16838" w:h="11906" w:orient="landscape" w:code="9"/>
          <w:pgMar w:top="2041" w:right="1134" w:bottom="1134" w:left="1134" w:header="1304" w:footer="1020" w:gutter="0"/>
          <w:cols w:space="425"/>
          <w:titlePg/>
          <w:docGrid w:linePitch="312"/>
        </w:sectPr>
      </w:pPr>
    </w:p>
    <w:p w14:paraId="759D5260" w14:textId="77777777" w:rsidR="0053025C" w:rsidRDefault="0053025C" w:rsidP="0053025C">
      <w:pPr>
        <w:adjustRightInd w:val="0"/>
        <w:snapToGrid w:val="0"/>
        <w:spacing w:line="360" w:lineRule="auto"/>
        <w:rPr>
          <w:rFonts w:ascii="Arial" w:hAnsi="Arial" w:cs="Arial"/>
          <w:bCs/>
          <w:color w:val="000000"/>
          <w:sz w:val="21"/>
          <w:szCs w:val="21"/>
        </w:rPr>
      </w:pPr>
      <w:r w:rsidRPr="00E05368">
        <w:rPr>
          <w:rFonts w:ascii="Arial" w:eastAsia="仿宋_GB2312" w:hAnsi="Arial" w:cs="Arial" w:hint="eastAsia"/>
          <w:bCs/>
          <w:color w:val="000000"/>
          <w:sz w:val="21"/>
          <w:szCs w:val="21"/>
        </w:rPr>
        <w:lastRenderedPageBreak/>
        <w:t>（</w:t>
      </w:r>
      <w:r>
        <w:rPr>
          <w:rFonts w:ascii="Arial" w:eastAsia="仿宋_GB2312" w:hAnsi="Arial" w:cs="Arial" w:hint="eastAsia"/>
          <w:bCs/>
          <w:color w:val="000000"/>
          <w:sz w:val="21"/>
          <w:szCs w:val="21"/>
        </w:rPr>
        <w:t>5</w:t>
      </w:r>
      <w:r w:rsidRPr="00E05368">
        <w:rPr>
          <w:rFonts w:ascii="Arial" w:eastAsia="仿宋_GB2312" w:hAnsi="Arial" w:cs="Arial" w:hint="eastAsia"/>
          <w:bCs/>
          <w:color w:val="000000"/>
          <w:sz w:val="21"/>
          <w:szCs w:val="21"/>
        </w:rPr>
        <w:t>）</w:t>
      </w:r>
      <w:r w:rsidRPr="00E05368">
        <w:rPr>
          <w:rFonts w:ascii="Arial" w:hAnsi="Arial" w:cs="Arial"/>
          <w:bCs/>
          <w:color w:val="000000"/>
          <w:sz w:val="21"/>
          <w:szCs w:val="21"/>
        </w:rPr>
        <w:t>项目敏感性分析表（主表</w:t>
      </w:r>
      <w:r w:rsidRPr="00E05368">
        <w:rPr>
          <w:rFonts w:ascii="Arial" w:hAnsi="Arial" w:cs="Arial"/>
          <w:bCs/>
          <w:color w:val="000000"/>
          <w:sz w:val="21"/>
          <w:szCs w:val="21"/>
        </w:rPr>
        <w:t>4</w:t>
      </w:r>
      <w:r w:rsidRPr="00E05368">
        <w:rPr>
          <w:rFonts w:ascii="Arial" w:hAnsi="Arial" w:cs="Arial"/>
          <w:bCs/>
          <w:color w:val="000000"/>
          <w:sz w:val="21"/>
          <w:szCs w:val="21"/>
        </w:rPr>
        <w:t>）</w:t>
      </w:r>
    </w:p>
    <w:tbl>
      <w:tblPr>
        <w:tblW w:w="4600" w:type="pct"/>
        <w:jc w:val="center"/>
        <w:tblCellMar>
          <w:top w:w="57" w:type="dxa"/>
          <w:left w:w="57" w:type="dxa"/>
          <w:bottom w:w="57" w:type="dxa"/>
          <w:right w:w="57" w:type="dxa"/>
        </w:tblCellMar>
        <w:tblLook w:val="04A0" w:firstRow="1" w:lastRow="0" w:firstColumn="1" w:lastColumn="0" w:noHBand="0" w:noVBand="1"/>
      </w:tblPr>
      <w:tblGrid>
        <w:gridCol w:w="1574"/>
        <w:gridCol w:w="1576"/>
        <w:gridCol w:w="2754"/>
        <w:gridCol w:w="2755"/>
      </w:tblGrid>
      <w:tr w:rsidR="00D64DE1" w:rsidRPr="00E05368" w14:paraId="57023D91" w14:textId="77777777" w:rsidTr="00C15EEF">
        <w:trPr>
          <w:trHeight w:val="283"/>
          <w:tblHeader/>
          <w:jc w:val="center"/>
        </w:trPr>
        <w:tc>
          <w:tcPr>
            <w:tcW w:w="1819" w:type="pct"/>
            <w:gridSpan w:val="2"/>
            <w:tcBorders>
              <w:top w:val="single" w:sz="4" w:space="0" w:color="auto"/>
              <w:left w:val="single" w:sz="4" w:space="0" w:color="auto"/>
              <w:bottom w:val="single" w:sz="4" w:space="0" w:color="auto"/>
              <w:right w:val="nil"/>
            </w:tcBorders>
            <w:shd w:val="clear" w:color="auto" w:fill="FFFFFF"/>
            <w:noWrap/>
            <w:vAlign w:val="center"/>
            <w:hideMark/>
          </w:tcPr>
          <w:p w14:paraId="211102C8" w14:textId="77777777" w:rsidR="00D64DE1" w:rsidRPr="00E05368" w:rsidRDefault="00D64DE1" w:rsidP="00C15EEF">
            <w:pPr>
              <w:jc w:val="both"/>
              <w:rPr>
                <w:rFonts w:ascii="Arial" w:eastAsia="华文细黑" w:hAnsi="Arial" w:cs="Arial"/>
                <w:b/>
                <w:sz w:val="18"/>
                <w:szCs w:val="18"/>
              </w:rPr>
            </w:pPr>
            <w:r w:rsidRPr="00E05368">
              <w:rPr>
                <w:rFonts w:ascii="Arial" w:eastAsia="华文细黑" w:hAnsi="Arial" w:cs="Arial"/>
                <w:b/>
                <w:sz w:val="18"/>
                <w:szCs w:val="18"/>
              </w:rPr>
              <w:t>敏感性变化因素</w:t>
            </w:r>
          </w:p>
        </w:tc>
        <w:tc>
          <w:tcPr>
            <w:tcW w:w="3181"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24A48800" w14:textId="77777777" w:rsidR="00D64DE1" w:rsidRPr="00E05368" w:rsidRDefault="00D64DE1" w:rsidP="00C15EEF">
            <w:pPr>
              <w:jc w:val="both"/>
              <w:rPr>
                <w:rFonts w:ascii="Arial" w:eastAsia="华文细黑" w:hAnsi="Arial" w:cs="Arial"/>
                <w:b/>
                <w:sz w:val="18"/>
                <w:szCs w:val="18"/>
              </w:rPr>
            </w:pPr>
            <w:r w:rsidRPr="00E05368">
              <w:rPr>
                <w:rFonts w:ascii="Arial" w:eastAsia="华文细黑" w:hAnsi="Arial" w:cs="Arial"/>
                <w:b/>
                <w:sz w:val="18"/>
                <w:szCs w:val="18"/>
              </w:rPr>
              <w:t>敏感性分析结果</w:t>
            </w:r>
          </w:p>
        </w:tc>
      </w:tr>
      <w:tr w:rsidR="00D64DE1" w:rsidRPr="00E05368" w14:paraId="4B29E761" w14:textId="77777777" w:rsidTr="00C15EEF">
        <w:trPr>
          <w:trHeight w:val="283"/>
          <w:tblHeader/>
          <w:jc w:val="center"/>
        </w:trPr>
        <w:tc>
          <w:tcPr>
            <w:tcW w:w="909" w:type="pct"/>
            <w:tcBorders>
              <w:top w:val="nil"/>
              <w:left w:val="single" w:sz="4" w:space="0" w:color="auto"/>
              <w:bottom w:val="single" w:sz="4" w:space="0" w:color="auto"/>
              <w:right w:val="single" w:sz="4" w:space="0" w:color="auto"/>
            </w:tcBorders>
            <w:shd w:val="clear" w:color="auto" w:fill="FFFFFF"/>
            <w:noWrap/>
            <w:vAlign w:val="center"/>
            <w:hideMark/>
          </w:tcPr>
          <w:p w14:paraId="0C00CE27" w14:textId="77777777" w:rsidR="00D64DE1" w:rsidRPr="00E05368" w:rsidRDefault="00D64DE1" w:rsidP="00C15EEF">
            <w:pPr>
              <w:jc w:val="both"/>
              <w:rPr>
                <w:rFonts w:ascii="Arial" w:eastAsia="华文细黑" w:hAnsi="Arial" w:cs="Arial"/>
                <w:sz w:val="18"/>
                <w:szCs w:val="18"/>
              </w:rPr>
            </w:pPr>
            <w:r w:rsidRPr="00E05368">
              <w:rPr>
                <w:rFonts w:ascii="Arial" w:eastAsia="华文细黑" w:hAnsi="Arial" w:cs="Arial"/>
                <w:sz w:val="18"/>
                <w:szCs w:val="18"/>
              </w:rPr>
              <w:t>变化因素</w:t>
            </w:r>
          </w:p>
        </w:tc>
        <w:tc>
          <w:tcPr>
            <w:tcW w:w="910" w:type="pct"/>
            <w:shd w:val="clear" w:color="auto" w:fill="FFFFFF"/>
            <w:noWrap/>
            <w:vAlign w:val="center"/>
            <w:hideMark/>
          </w:tcPr>
          <w:p w14:paraId="15F165EB" w14:textId="77777777" w:rsidR="00D64DE1" w:rsidRPr="00E05368" w:rsidRDefault="00D64DE1" w:rsidP="00C15EEF">
            <w:pPr>
              <w:jc w:val="both"/>
              <w:rPr>
                <w:rFonts w:ascii="Arial" w:eastAsia="华文细黑" w:hAnsi="Arial" w:cs="Arial"/>
                <w:sz w:val="18"/>
                <w:szCs w:val="18"/>
              </w:rPr>
            </w:pPr>
            <w:r w:rsidRPr="00E05368">
              <w:rPr>
                <w:rFonts w:ascii="Arial" w:eastAsia="华文细黑" w:hAnsi="Arial" w:cs="Arial"/>
                <w:sz w:val="18"/>
                <w:szCs w:val="18"/>
              </w:rPr>
              <w:t>变化幅度</w:t>
            </w:r>
          </w:p>
        </w:tc>
        <w:tc>
          <w:tcPr>
            <w:tcW w:w="1590" w:type="pct"/>
            <w:tcBorders>
              <w:top w:val="nil"/>
              <w:left w:val="single" w:sz="4" w:space="0" w:color="auto"/>
              <w:bottom w:val="single" w:sz="4" w:space="0" w:color="auto"/>
              <w:right w:val="single" w:sz="4" w:space="0" w:color="auto"/>
            </w:tcBorders>
            <w:shd w:val="clear" w:color="auto" w:fill="FFFFFF"/>
            <w:noWrap/>
            <w:vAlign w:val="center"/>
            <w:hideMark/>
          </w:tcPr>
          <w:p w14:paraId="68DFA13D" w14:textId="77777777" w:rsidR="00D64DE1" w:rsidRPr="00E05368" w:rsidRDefault="00D64DE1" w:rsidP="00C15EEF">
            <w:pPr>
              <w:widowControl w:val="0"/>
              <w:jc w:val="both"/>
              <w:rPr>
                <w:rFonts w:ascii="Arial" w:eastAsia="华文细黑" w:hAnsi="Arial" w:cs="Arial"/>
                <w:sz w:val="18"/>
                <w:szCs w:val="18"/>
              </w:rPr>
            </w:pPr>
            <w:r w:rsidRPr="00E05368">
              <w:rPr>
                <w:rFonts w:ascii="Arial" w:eastAsia="华文细黑" w:hAnsi="Arial" w:cs="Arial"/>
                <w:sz w:val="18"/>
                <w:szCs w:val="18"/>
              </w:rPr>
              <w:t>财务净现值</w:t>
            </w:r>
          </w:p>
        </w:tc>
        <w:tc>
          <w:tcPr>
            <w:tcW w:w="1591" w:type="pct"/>
            <w:tcBorders>
              <w:top w:val="nil"/>
              <w:left w:val="nil"/>
              <w:bottom w:val="single" w:sz="4" w:space="0" w:color="auto"/>
              <w:right w:val="single" w:sz="4" w:space="0" w:color="auto"/>
            </w:tcBorders>
            <w:shd w:val="clear" w:color="auto" w:fill="FFFFFF"/>
            <w:noWrap/>
            <w:vAlign w:val="center"/>
            <w:hideMark/>
          </w:tcPr>
          <w:p w14:paraId="66399C31" w14:textId="77777777" w:rsidR="00D64DE1" w:rsidRPr="00E05368" w:rsidRDefault="00D64DE1" w:rsidP="00C15EEF">
            <w:pPr>
              <w:widowControl w:val="0"/>
              <w:jc w:val="both"/>
              <w:rPr>
                <w:rFonts w:ascii="Arial" w:eastAsia="华文细黑" w:hAnsi="Arial" w:cs="Arial"/>
                <w:sz w:val="18"/>
                <w:szCs w:val="18"/>
              </w:rPr>
            </w:pPr>
            <w:r w:rsidRPr="00E05368">
              <w:rPr>
                <w:rFonts w:ascii="Arial" w:eastAsia="华文细黑" w:hAnsi="Arial" w:cs="Arial"/>
                <w:sz w:val="18"/>
                <w:szCs w:val="18"/>
              </w:rPr>
              <w:t>财务内部收益率</w:t>
            </w:r>
          </w:p>
        </w:tc>
      </w:tr>
      <w:tr w:rsidR="00D64DE1" w:rsidRPr="00E05368" w14:paraId="3F488FAC" w14:textId="77777777" w:rsidTr="00C15EEF">
        <w:trPr>
          <w:trHeight w:val="283"/>
          <w:jc w:val="center"/>
        </w:trPr>
        <w:tc>
          <w:tcPr>
            <w:tcW w:w="909" w:type="pct"/>
            <w:tcBorders>
              <w:top w:val="nil"/>
              <w:left w:val="single" w:sz="4" w:space="0" w:color="auto"/>
              <w:bottom w:val="single" w:sz="4" w:space="0" w:color="auto"/>
              <w:right w:val="single" w:sz="4" w:space="0" w:color="auto"/>
            </w:tcBorders>
            <w:shd w:val="clear" w:color="auto" w:fill="FFFFFF"/>
            <w:noWrap/>
            <w:vAlign w:val="center"/>
            <w:hideMark/>
          </w:tcPr>
          <w:p w14:paraId="219E5D71" w14:textId="77777777" w:rsidR="00D64DE1" w:rsidRPr="00E05368" w:rsidRDefault="00D64DE1" w:rsidP="00C15EEF">
            <w:pPr>
              <w:widowControl w:val="0"/>
              <w:jc w:val="both"/>
              <w:rPr>
                <w:rFonts w:ascii="Arial" w:eastAsia="华文细黑" w:hAnsi="Arial" w:cs="Arial"/>
                <w:kern w:val="2"/>
                <w:sz w:val="18"/>
                <w:szCs w:val="18"/>
              </w:rPr>
            </w:pPr>
            <w:r w:rsidRPr="00E05368">
              <w:rPr>
                <w:rFonts w:ascii="Arial" w:eastAsia="华文细黑" w:hAnsi="Arial" w:cs="Arial"/>
                <w:sz w:val="18"/>
                <w:szCs w:val="18"/>
              </w:rPr>
              <w:t>基本方案</w:t>
            </w:r>
          </w:p>
        </w:tc>
        <w:tc>
          <w:tcPr>
            <w:tcW w:w="910" w:type="pct"/>
            <w:tcBorders>
              <w:top w:val="single" w:sz="4" w:space="0" w:color="auto"/>
              <w:left w:val="nil"/>
              <w:bottom w:val="single" w:sz="4" w:space="0" w:color="auto"/>
              <w:right w:val="single" w:sz="4" w:space="0" w:color="auto"/>
            </w:tcBorders>
            <w:shd w:val="clear" w:color="auto" w:fill="FFFFFF"/>
            <w:noWrap/>
            <w:vAlign w:val="center"/>
            <w:hideMark/>
          </w:tcPr>
          <w:p w14:paraId="53736C6D" w14:textId="77777777" w:rsidR="00D64DE1" w:rsidRPr="00E05368" w:rsidRDefault="00D64DE1" w:rsidP="00C15EEF">
            <w:pPr>
              <w:widowControl w:val="0"/>
              <w:jc w:val="both"/>
              <w:rPr>
                <w:rFonts w:ascii="Arial" w:eastAsia="华文细黑" w:hAnsi="Arial" w:cs="Arial"/>
                <w:kern w:val="2"/>
                <w:sz w:val="18"/>
                <w:szCs w:val="18"/>
              </w:rPr>
            </w:pPr>
            <w:r w:rsidRPr="00E05368">
              <w:rPr>
                <w:rFonts w:ascii="Arial" w:eastAsia="华文细黑" w:hAnsi="Arial" w:cs="Arial"/>
                <w:sz w:val="18"/>
                <w:szCs w:val="18"/>
              </w:rPr>
              <w:t xml:space="preserve">　</w:t>
            </w:r>
          </w:p>
        </w:tc>
        <w:tc>
          <w:tcPr>
            <w:tcW w:w="1590" w:type="pct"/>
            <w:tcBorders>
              <w:top w:val="nil"/>
              <w:left w:val="single" w:sz="4" w:space="0" w:color="auto"/>
              <w:bottom w:val="single" w:sz="4" w:space="0" w:color="auto"/>
              <w:right w:val="single" w:sz="4" w:space="0" w:color="auto"/>
            </w:tcBorders>
            <w:shd w:val="clear" w:color="auto" w:fill="FFFFFF"/>
            <w:noWrap/>
            <w:vAlign w:val="center"/>
            <w:hideMark/>
          </w:tcPr>
          <w:p w14:paraId="0E136A2B" w14:textId="77777777" w:rsidR="00D64DE1" w:rsidRPr="00E05368" w:rsidRDefault="00D64DE1" w:rsidP="00C15EEF">
            <w:pPr>
              <w:adjustRightInd w:val="0"/>
              <w:snapToGrid w:val="0"/>
              <w:jc w:val="both"/>
              <w:rPr>
                <w:rFonts w:ascii="Arial" w:eastAsia="华文细黑" w:hAnsi="Arial" w:cs="Arial"/>
                <w:sz w:val="18"/>
                <w:szCs w:val="18"/>
              </w:rPr>
            </w:pPr>
            <w:r w:rsidRPr="00C479B1">
              <w:rPr>
                <w:rFonts w:ascii="Arial" w:eastAsia="华文细黑" w:hAnsi="Arial" w:cs="Arial"/>
                <w:sz w:val="18"/>
                <w:szCs w:val="18"/>
              </w:rPr>
              <w:t xml:space="preserve">1456 </w:t>
            </w:r>
          </w:p>
        </w:tc>
        <w:tc>
          <w:tcPr>
            <w:tcW w:w="1591" w:type="pct"/>
            <w:tcBorders>
              <w:top w:val="nil"/>
              <w:left w:val="nil"/>
              <w:bottom w:val="single" w:sz="4" w:space="0" w:color="auto"/>
              <w:right w:val="single" w:sz="4" w:space="0" w:color="auto"/>
            </w:tcBorders>
            <w:shd w:val="clear" w:color="auto" w:fill="FFFFFF"/>
            <w:noWrap/>
            <w:vAlign w:val="center"/>
            <w:hideMark/>
          </w:tcPr>
          <w:p w14:paraId="19DC9B8F" w14:textId="77777777" w:rsidR="00D64DE1" w:rsidRPr="00E05368" w:rsidRDefault="00D64DE1" w:rsidP="00C15EEF">
            <w:pPr>
              <w:adjustRightInd w:val="0"/>
              <w:snapToGrid w:val="0"/>
              <w:jc w:val="both"/>
              <w:rPr>
                <w:rFonts w:ascii="Arial" w:eastAsia="华文细黑" w:hAnsi="Arial" w:cs="Arial"/>
                <w:sz w:val="18"/>
                <w:szCs w:val="18"/>
              </w:rPr>
            </w:pPr>
            <w:r w:rsidRPr="00C479B1">
              <w:rPr>
                <w:rFonts w:ascii="Arial" w:eastAsia="华文细黑" w:hAnsi="Arial" w:cs="Arial"/>
                <w:sz w:val="18"/>
                <w:szCs w:val="18"/>
              </w:rPr>
              <w:t>10.34%</w:t>
            </w:r>
          </w:p>
        </w:tc>
      </w:tr>
      <w:tr w:rsidR="00D64DE1" w:rsidRPr="00E05368" w14:paraId="2BA511E7" w14:textId="77777777" w:rsidTr="00C15EEF">
        <w:trPr>
          <w:trHeight w:val="283"/>
          <w:jc w:val="center"/>
        </w:trPr>
        <w:tc>
          <w:tcPr>
            <w:tcW w:w="909" w:type="pct"/>
            <w:tcBorders>
              <w:top w:val="nil"/>
              <w:left w:val="single" w:sz="4" w:space="0" w:color="auto"/>
              <w:right w:val="single" w:sz="4" w:space="0" w:color="auto"/>
            </w:tcBorders>
            <w:shd w:val="clear" w:color="auto" w:fill="FFFFFF"/>
            <w:noWrap/>
            <w:vAlign w:val="center"/>
            <w:hideMark/>
          </w:tcPr>
          <w:p w14:paraId="5DBC8157" w14:textId="77777777" w:rsidR="00D64DE1" w:rsidRPr="00E05368" w:rsidRDefault="00D64DE1" w:rsidP="00C15EEF">
            <w:pPr>
              <w:widowControl w:val="0"/>
              <w:jc w:val="both"/>
              <w:rPr>
                <w:rFonts w:ascii="Arial" w:eastAsia="华文细黑" w:hAnsi="Arial" w:cs="Arial"/>
                <w:kern w:val="2"/>
                <w:sz w:val="18"/>
                <w:szCs w:val="18"/>
              </w:rPr>
            </w:pPr>
            <w:r w:rsidRPr="00E05368">
              <w:rPr>
                <w:rFonts w:ascii="Arial" w:eastAsia="华文细黑" w:hAnsi="Arial" w:cs="Arial"/>
                <w:sz w:val="18"/>
                <w:szCs w:val="18"/>
              </w:rPr>
              <w:t>项目总投资</w:t>
            </w:r>
          </w:p>
        </w:tc>
        <w:tc>
          <w:tcPr>
            <w:tcW w:w="910" w:type="pct"/>
            <w:tcBorders>
              <w:top w:val="nil"/>
              <w:left w:val="nil"/>
              <w:bottom w:val="single" w:sz="4" w:space="0" w:color="auto"/>
              <w:right w:val="single" w:sz="4" w:space="0" w:color="auto"/>
            </w:tcBorders>
            <w:shd w:val="clear" w:color="auto" w:fill="FFFFFF"/>
            <w:noWrap/>
            <w:vAlign w:val="center"/>
            <w:hideMark/>
          </w:tcPr>
          <w:p w14:paraId="23BAC7DD" w14:textId="77777777" w:rsidR="00D64DE1" w:rsidRPr="00E05368" w:rsidRDefault="00D64DE1" w:rsidP="00C15EEF">
            <w:pPr>
              <w:widowControl w:val="0"/>
              <w:jc w:val="both"/>
              <w:rPr>
                <w:rFonts w:ascii="Arial" w:eastAsia="华文细黑" w:hAnsi="Arial" w:cs="Arial"/>
                <w:kern w:val="2"/>
                <w:sz w:val="18"/>
                <w:szCs w:val="18"/>
              </w:rPr>
            </w:pPr>
            <w:r>
              <w:rPr>
                <w:rFonts w:ascii="Arial" w:eastAsia="华文细黑" w:hAnsi="Arial" w:cs="Arial" w:hint="eastAsia"/>
                <w:sz w:val="18"/>
                <w:szCs w:val="18"/>
              </w:rPr>
              <w:t>1</w:t>
            </w:r>
            <w:r w:rsidRPr="00E05368">
              <w:rPr>
                <w:rFonts w:ascii="Arial" w:eastAsia="华文细黑" w:hAnsi="Arial" w:cs="Arial"/>
                <w:sz w:val="18"/>
                <w:szCs w:val="18"/>
              </w:rPr>
              <w:t>%</w:t>
            </w:r>
          </w:p>
        </w:tc>
        <w:tc>
          <w:tcPr>
            <w:tcW w:w="1590" w:type="pct"/>
            <w:tcBorders>
              <w:top w:val="nil"/>
              <w:left w:val="single" w:sz="4" w:space="0" w:color="auto"/>
              <w:bottom w:val="single" w:sz="4" w:space="0" w:color="auto"/>
              <w:right w:val="single" w:sz="4" w:space="0" w:color="auto"/>
            </w:tcBorders>
            <w:shd w:val="clear" w:color="auto" w:fill="FFFFFF"/>
            <w:noWrap/>
            <w:vAlign w:val="center"/>
            <w:hideMark/>
          </w:tcPr>
          <w:p w14:paraId="4F923A48" w14:textId="77777777" w:rsidR="00D64DE1" w:rsidRPr="00E05368" w:rsidRDefault="00D64DE1" w:rsidP="00C15EEF">
            <w:pPr>
              <w:adjustRightInd w:val="0"/>
              <w:snapToGrid w:val="0"/>
              <w:jc w:val="both"/>
              <w:rPr>
                <w:rFonts w:ascii="Arial" w:eastAsia="华文细黑" w:hAnsi="Arial" w:cs="Arial"/>
                <w:sz w:val="18"/>
                <w:szCs w:val="18"/>
              </w:rPr>
            </w:pPr>
            <w:r w:rsidRPr="00C479B1">
              <w:rPr>
                <w:rFonts w:ascii="Arial" w:eastAsia="华文细黑" w:hAnsi="Arial" w:cs="Arial"/>
                <w:sz w:val="18"/>
                <w:szCs w:val="18"/>
              </w:rPr>
              <w:t xml:space="preserve">-1447 </w:t>
            </w:r>
          </w:p>
        </w:tc>
        <w:tc>
          <w:tcPr>
            <w:tcW w:w="1591" w:type="pct"/>
            <w:tcBorders>
              <w:top w:val="nil"/>
              <w:left w:val="nil"/>
              <w:bottom w:val="single" w:sz="4" w:space="0" w:color="auto"/>
              <w:right w:val="single" w:sz="4" w:space="0" w:color="auto"/>
            </w:tcBorders>
            <w:shd w:val="clear" w:color="auto" w:fill="FFFFFF"/>
            <w:noWrap/>
            <w:vAlign w:val="center"/>
            <w:hideMark/>
          </w:tcPr>
          <w:p w14:paraId="37D2C38F" w14:textId="77777777" w:rsidR="00D64DE1" w:rsidRPr="00E05368" w:rsidRDefault="00D64DE1" w:rsidP="00C15EEF">
            <w:pPr>
              <w:adjustRightInd w:val="0"/>
              <w:snapToGrid w:val="0"/>
              <w:jc w:val="both"/>
              <w:rPr>
                <w:rFonts w:ascii="Arial" w:eastAsia="华文细黑" w:hAnsi="Arial" w:cs="Arial"/>
                <w:sz w:val="18"/>
                <w:szCs w:val="18"/>
              </w:rPr>
            </w:pPr>
            <w:r w:rsidRPr="00C479B1">
              <w:rPr>
                <w:rFonts w:ascii="Arial" w:eastAsia="华文细黑" w:hAnsi="Arial" w:cs="Arial"/>
                <w:sz w:val="18"/>
                <w:szCs w:val="18"/>
              </w:rPr>
              <w:t>9.69%</w:t>
            </w:r>
          </w:p>
        </w:tc>
      </w:tr>
      <w:tr w:rsidR="00D64DE1" w:rsidRPr="00E05368" w14:paraId="08B34400" w14:textId="77777777" w:rsidTr="00C15EEF">
        <w:trPr>
          <w:trHeight w:val="283"/>
          <w:jc w:val="center"/>
        </w:trPr>
        <w:tc>
          <w:tcPr>
            <w:tcW w:w="909" w:type="pct"/>
            <w:tcBorders>
              <w:top w:val="single" w:sz="4" w:space="0" w:color="auto"/>
              <w:left w:val="single" w:sz="4" w:space="0" w:color="auto"/>
              <w:right w:val="single" w:sz="4" w:space="0" w:color="auto"/>
            </w:tcBorders>
            <w:shd w:val="clear" w:color="auto" w:fill="FFFFFF"/>
            <w:noWrap/>
            <w:vAlign w:val="center"/>
            <w:hideMark/>
          </w:tcPr>
          <w:p w14:paraId="76AC934C" w14:textId="77777777" w:rsidR="00D64DE1" w:rsidRPr="00E05368" w:rsidRDefault="00D64DE1" w:rsidP="00C15EEF">
            <w:pPr>
              <w:widowControl w:val="0"/>
              <w:jc w:val="both"/>
              <w:rPr>
                <w:rFonts w:ascii="Arial" w:eastAsia="华文细黑" w:hAnsi="Arial" w:cs="Arial"/>
                <w:kern w:val="2"/>
                <w:sz w:val="18"/>
                <w:szCs w:val="18"/>
              </w:rPr>
            </w:pPr>
            <w:r w:rsidRPr="00E05368">
              <w:rPr>
                <w:rFonts w:ascii="Arial" w:eastAsia="华文细黑" w:hAnsi="Arial" w:cs="Arial"/>
                <w:sz w:val="18"/>
                <w:szCs w:val="18"/>
              </w:rPr>
              <w:t>租售价格</w:t>
            </w:r>
          </w:p>
        </w:tc>
        <w:tc>
          <w:tcPr>
            <w:tcW w:w="910" w:type="pct"/>
            <w:tcBorders>
              <w:top w:val="nil"/>
              <w:left w:val="nil"/>
              <w:bottom w:val="single" w:sz="4" w:space="0" w:color="auto"/>
              <w:right w:val="single" w:sz="4" w:space="0" w:color="auto"/>
            </w:tcBorders>
            <w:shd w:val="clear" w:color="auto" w:fill="FFFFFF"/>
            <w:noWrap/>
            <w:vAlign w:val="center"/>
            <w:hideMark/>
          </w:tcPr>
          <w:p w14:paraId="559BB648" w14:textId="77777777" w:rsidR="00D64DE1" w:rsidRPr="00E05368" w:rsidRDefault="00D64DE1" w:rsidP="00C15EEF">
            <w:pPr>
              <w:widowControl w:val="0"/>
              <w:jc w:val="both"/>
              <w:rPr>
                <w:rFonts w:ascii="Arial" w:eastAsia="华文细黑" w:hAnsi="Arial" w:cs="Arial"/>
                <w:kern w:val="2"/>
                <w:sz w:val="18"/>
                <w:szCs w:val="18"/>
              </w:rPr>
            </w:pPr>
            <w:r w:rsidRPr="00E05368">
              <w:rPr>
                <w:rFonts w:ascii="Arial" w:eastAsia="华文细黑" w:hAnsi="Arial" w:cs="Arial"/>
                <w:sz w:val="18"/>
                <w:szCs w:val="18"/>
              </w:rPr>
              <w:t>-</w:t>
            </w:r>
            <w:r>
              <w:rPr>
                <w:rFonts w:ascii="Arial" w:eastAsia="华文细黑" w:hAnsi="Arial" w:cs="Arial" w:hint="eastAsia"/>
                <w:sz w:val="18"/>
                <w:szCs w:val="18"/>
              </w:rPr>
              <w:t>1</w:t>
            </w:r>
            <w:r w:rsidRPr="00E05368">
              <w:rPr>
                <w:rFonts w:ascii="Arial" w:eastAsia="华文细黑" w:hAnsi="Arial" w:cs="Arial"/>
                <w:sz w:val="18"/>
                <w:szCs w:val="18"/>
              </w:rPr>
              <w:t>%</w:t>
            </w:r>
          </w:p>
        </w:tc>
        <w:tc>
          <w:tcPr>
            <w:tcW w:w="1590" w:type="pct"/>
            <w:tcBorders>
              <w:top w:val="nil"/>
              <w:left w:val="single" w:sz="4" w:space="0" w:color="auto"/>
              <w:bottom w:val="single" w:sz="4" w:space="0" w:color="auto"/>
              <w:right w:val="single" w:sz="4" w:space="0" w:color="auto"/>
            </w:tcBorders>
            <w:shd w:val="clear" w:color="auto" w:fill="FFFFFF"/>
            <w:noWrap/>
            <w:vAlign w:val="center"/>
            <w:hideMark/>
          </w:tcPr>
          <w:p w14:paraId="51ACC2BE" w14:textId="77777777" w:rsidR="00D64DE1" w:rsidRPr="00E05368" w:rsidRDefault="00D64DE1" w:rsidP="00C15EEF">
            <w:pPr>
              <w:adjustRightInd w:val="0"/>
              <w:snapToGrid w:val="0"/>
              <w:jc w:val="both"/>
              <w:rPr>
                <w:rFonts w:ascii="Arial" w:eastAsia="华文细黑" w:hAnsi="Arial" w:cs="Arial"/>
                <w:sz w:val="18"/>
                <w:szCs w:val="18"/>
              </w:rPr>
            </w:pPr>
            <w:r w:rsidRPr="00C479B1">
              <w:rPr>
                <w:rFonts w:ascii="Arial" w:eastAsia="华文细黑" w:hAnsi="Arial" w:cs="Arial"/>
                <w:sz w:val="18"/>
                <w:szCs w:val="18"/>
              </w:rPr>
              <w:t xml:space="preserve">-1348 </w:t>
            </w:r>
          </w:p>
        </w:tc>
        <w:tc>
          <w:tcPr>
            <w:tcW w:w="1591" w:type="pct"/>
            <w:tcBorders>
              <w:top w:val="nil"/>
              <w:left w:val="nil"/>
              <w:bottom w:val="single" w:sz="4" w:space="0" w:color="auto"/>
              <w:right w:val="single" w:sz="4" w:space="0" w:color="auto"/>
            </w:tcBorders>
            <w:shd w:val="clear" w:color="auto" w:fill="FFFFFF"/>
            <w:noWrap/>
            <w:vAlign w:val="center"/>
            <w:hideMark/>
          </w:tcPr>
          <w:p w14:paraId="6BB7E403" w14:textId="77777777" w:rsidR="00D64DE1" w:rsidRPr="00E05368" w:rsidRDefault="00D64DE1" w:rsidP="00C15EEF">
            <w:pPr>
              <w:adjustRightInd w:val="0"/>
              <w:snapToGrid w:val="0"/>
              <w:jc w:val="both"/>
              <w:rPr>
                <w:rFonts w:ascii="Arial" w:eastAsia="华文细黑" w:hAnsi="Arial" w:cs="Arial"/>
                <w:sz w:val="18"/>
                <w:szCs w:val="18"/>
              </w:rPr>
            </w:pPr>
            <w:r w:rsidRPr="00C479B1">
              <w:rPr>
                <w:rFonts w:ascii="Arial" w:eastAsia="华文细黑" w:hAnsi="Arial" w:cs="Arial"/>
                <w:sz w:val="18"/>
                <w:szCs w:val="18"/>
              </w:rPr>
              <w:t>9.69%</w:t>
            </w:r>
          </w:p>
        </w:tc>
      </w:tr>
      <w:tr w:rsidR="00D64DE1" w:rsidRPr="00E05368" w14:paraId="3559D909" w14:textId="77777777" w:rsidTr="00C15EEF">
        <w:trPr>
          <w:trHeight w:val="283"/>
          <w:jc w:val="center"/>
        </w:trPr>
        <w:tc>
          <w:tcPr>
            <w:tcW w:w="1819"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0445FAE" w14:textId="77777777" w:rsidR="00D64DE1" w:rsidRPr="00E05368" w:rsidRDefault="00D64DE1" w:rsidP="00C15EEF">
            <w:pPr>
              <w:jc w:val="both"/>
              <w:rPr>
                <w:rFonts w:ascii="Arial" w:eastAsia="华文细黑" w:hAnsi="Arial" w:cs="Arial"/>
                <w:b/>
                <w:sz w:val="18"/>
                <w:szCs w:val="18"/>
              </w:rPr>
            </w:pPr>
            <w:r w:rsidRPr="00E05368">
              <w:rPr>
                <w:rFonts w:ascii="Arial" w:eastAsia="华文细黑" w:hAnsi="Arial" w:cs="Arial"/>
                <w:b/>
                <w:sz w:val="18"/>
                <w:szCs w:val="18"/>
              </w:rPr>
              <w:t>盈亏平衡分析</w:t>
            </w:r>
          </w:p>
        </w:tc>
        <w:tc>
          <w:tcPr>
            <w:tcW w:w="3181" w:type="pct"/>
            <w:gridSpan w:val="2"/>
            <w:tcBorders>
              <w:top w:val="single" w:sz="4" w:space="0" w:color="auto"/>
              <w:left w:val="nil"/>
              <w:bottom w:val="single" w:sz="4" w:space="0" w:color="auto"/>
              <w:right w:val="single" w:sz="4" w:space="0" w:color="auto"/>
            </w:tcBorders>
            <w:shd w:val="clear" w:color="auto" w:fill="FFFFFF"/>
            <w:vAlign w:val="center"/>
            <w:hideMark/>
          </w:tcPr>
          <w:p w14:paraId="3A179271" w14:textId="77777777" w:rsidR="00D64DE1" w:rsidRPr="00E05368" w:rsidRDefault="00D64DE1" w:rsidP="00C15EEF">
            <w:pPr>
              <w:widowControl w:val="0"/>
              <w:jc w:val="both"/>
              <w:rPr>
                <w:rFonts w:ascii="Arial" w:eastAsia="华文细黑" w:hAnsi="Arial" w:cs="Arial"/>
                <w:sz w:val="18"/>
                <w:szCs w:val="18"/>
              </w:rPr>
            </w:pPr>
            <w:r w:rsidRPr="00E05368">
              <w:rPr>
                <w:rFonts w:ascii="Arial" w:eastAsia="华文细黑" w:hAnsi="Arial" w:cs="Arial"/>
                <w:sz w:val="18"/>
                <w:szCs w:val="18"/>
              </w:rPr>
              <w:t>盈亏平衡分析结果</w:t>
            </w:r>
          </w:p>
        </w:tc>
      </w:tr>
      <w:tr w:rsidR="00D64DE1" w:rsidRPr="00E05368" w14:paraId="1E0E2AAF" w14:textId="77777777" w:rsidTr="00C15EEF">
        <w:trPr>
          <w:trHeight w:val="283"/>
          <w:jc w:val="center"/>
        </w:trPr>
        <w:tc>
          <w:tcPr>
            <w:tcW w:w="1819"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2E7FBE5" w14:textId="77777777" w:rsidR="00D64DE1" w:rsidRPr="00E05368" w:rsidRDefault="00D64DE1" w:rsidP="00C15EEF">
            <w:pPr>
              <w:jc w:val="both"/>
              <w:rPr>
                <w:rFonts w:ascii="Arial" w:eastAsia="华文细黑" w:hAnsi="Arial" w:cs="Arial"/>
                <w:sz w:val="18"/>
                <w:szCs w:val="18"/>
              </w:rPr>
            </w:pPr>
            <w:r w:rsidRPr="00E05368">
              <w:rPr>
                <w:rFonts w:ascii="Arial" w:eastAsia="华文细黑" w:hAnsi="Arial" w:cs="Arial"/>
                <w:sz w:val="18"/>
                <w:szCs w:val="18"/>
              </w:rPr>
              <w:t>盈亏平衡点</w:t>
            </w:r>
          </w:p>
        </w:tc>
        <w:tc>
          <w:tcPr>
            <w:tcW w:w="3181" w:type="pct"/>
            <w:gridSpan w:val="2"/>
            <w:tcBorders>
              <w:top w:val="single" w:sz="4" w:space="0" w:color="auto"/>
              <w:left w:val="nil"/>
              <w:bottom w:val="single" w:sz="4" w:space="0" w:color="auto"/>
              <w:right w:val="single" w:sz="4" w:space="0" w:color="auto"/>
            </w:tcBorders>
            <w:shd w:val="clear" w:color="auto" w:fill="FFFFFF"/>
            <w:vAlign w:val="center"/>
            <w:hideMark/>
          </w:tcPr>
          <w:p w14:paraId="28B760ED" w14:textId="77777777" w:rsidR="00D64DE1" w:rsidRPr="00E05368" w:rsidRDefault="00D64DE1" w:rsidP="00C15EEF">
            <w:pPr>
              <w:widowControl w:val="0"/>
              <w:jc w:val="both"/>
              <w:rPr>
                <w:rFonts w:ascii="Arial" w:eastAsia="华文细黑" w:hAnsi="Arial" w:cs="Arial"/>
                <w:sz w:val="18"/>
                <w:szCs w:val="18"/>
              </w:rPr>
            </w:pPr>
            <w:r w:rsidRPr="00C479B1">
              <w:rPr>
                <w:rFonts w:ascii="Arial" w:eastAsia="华文细黑" w:hAnsi="Arial" w:cs="Arial"/>
                <w:sz w:val="18"/>
                <w:szCs w:val="18"/>
              </w:rPr>
              <w:t>98.23%</w:t>
            </w:r>
          </w:p>
        </w:tc>
      </w:tr>
    </w:tbl>
    <w:p w14:paraId="55776106" w14:textId="77777777" w:rsidR="0053025C" w:rsidRDefault="0053025C" w:rsidP="0053025C">
      <w:pPr>
        <w:adjustRightInd w:val="0"/>
        <w:snapToGrid w:val="0"/>
        <w:spacing w:line="360" w:lineRule="auto"/>
        <w:rPr>
          <w:rFonts w:ascii="Arial" w:hAnsi="Arial" w:cs="Arial"/>
          <w:bCs/>
          <w:color w:val="000000"/>
          <w:sz w:val="21"/>
          <w:szCs w:val="21"/>
        </w:rPr>
      </w:pPr>
    </w:p>
    <w:p w14:paraId="5FD1FDD7" w14:textId="77777777" w:rsidR="0053025C" w:rsidRPr="00E05368" w:rsidRDefault="0053025C" w:rsidP="0053025C">
      <w:pPr>
        <w:adjustRightInd w:val="0"/>
        <w:snapToGrid w:val="0"/>
        <w:spacing w:line="360" w:lineRule="auto"/>
        <w:rPr>
          <w:rFonts w:ascii="Arial" w:hAnsi="Arial" w:cs="Arial"/>
          <w:bCs/>
          <w:color w:val="000000"/>
          <w:szCs w:val="21"/>
        </w:rPr>
      </w:pPr>
    </w:p>
    <w:p w14:paraId="12A4CAAF" w14:textId="77777777" w:rsidR="0053025C" w:rsidRPr="00E05368" w:rsidRDefault="0053025C" w:rsidP="0053025C">
      <w:pPr>
        <w:adjustRightInd w:val="0"/>
        <w:snapToGrid w:val="0"/>
        <w:spacing w:line="360" w:lineRule="auto"/>
        <w:rPr>
          <w:rFonts w:ascii="Arial" w:eastAsia="仿宋_GB2312" w:hAnsi="Arial" w:cs="Arial"/>
          <w:bCs/>
          <w:color w:val="000000"/>
          <w:szCs w:val="21"/>
        </w:rPr>
      </w:pPr>
    </w:p>
    <w:sectPr w:rsidR="0053025C" w:rsidRPr="00E05368" w:rsidSect="0076593F">
      <w:headerReference w:type="even" r:id="rId74"/>
      <w:headerReference w:type="first" r:id="rId75"/>
      <w:pgSz w:w="11906" w:h="16838" w:code="9"/>
      <w:pgMar w:top="1843" w:right="1304" w:bottom="1134" w:left="1304" w:header="1134" w:footer="907" w:gutter="0"/>
      <w:cols w:space="425"/>
      <w:titlePg/>
      <w:docGrid w:linePitch="312"/>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3416B40F" w15:done="0"/>
  <w15:commentEx w15:paraId="72511D65" w15:done="0"/>
  <w15:commentEx w15:paraId="0DF667AA" w15:done="0"/>
  <w15:commentEx w15:paraId="51D11AD3" w15:done="0"/>
  <w15:commentEx w15:paraId="034E12C7" w15:done="0"/>
  <w15:commentEx w15:paraId="306B74E8" w15:done="0"/>
  <w15:commentEx w15:paraId="67A78B68" w15:done="0"/>
  <w15:commentEx w15:paraId="0D82AEC0"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6D2F55" w16cex:dateUtc="2021-06-10T16:3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416B40F" w16cid:durableId="246D2F55"/>
  <w16cid:commentId w16cid:paraId="72511D65" w16cid:durableId="246D0EC1"/>
  <w16cid:commentId w16cid:paraId="0DF667AA" w16cid:durableId="246D0EC2"/>
  <w16cid:commentId w16cid:paraId="51D11AD3" w16cid:durableId="246D0EC3"/>
  <w16cid:commentId w16cid:paraId="034E12C7" w16cid:durableId="246D0EC4"/>
  <w16cid:commentId w16cid:paraId="306B74E8" w16cid:durableId="246D0EC5"/>
  <w16cid:commentId w16cid:paraId="67A78B68" w16cid:durableId="246D0EC6"/>
  <w16cid:commentId w16cid:paraId="0D82AEC0" w16cid:durableId="246D0EC7"/>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828C2ED" w14:textId="77777777" w:rsidR="00A544A3" w:rsidRDefault="00A544A3">
      <w:r>
        <w:separator/>
      </w:r>
    </w:p>
  </w:endnote>
  <w:endnote w:type="continuationSeparator" w:id="0">
    <w:p w14:paraId="74721EE3" w14:textId="77777777" w:rsidR="00A544A3" w:rsidRDefault="00A544A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080E0000" w:usb2="00000010" w:usb3="00000000" w:csb0="00040001" w:csb1="00000000"/>
  </w:font>
  <w:font w:name="Arial">
    <w:panose1 w:val="020B0604020202020204"/>
    <w:charset w:val="00"/>
    <w:family w:val="swiss"/>
    <w:pitch w:val="variable"/>
    <w:sig w:usb0="20002A87" w:usb1="80000000" w:usb2="00000008" w:usb3="00000000" w:csb0="000001FF" w:csb1="00000000"/>
  </w:font>
  <w:font w:name="黑体">
    <w:altName w:val="SimHei"/>
    <w:panose1 w:val="02010600030101010101"/>
    <w:charset w:val="86"/>
    <w:family w:val="auto"/>
    <w:pitch w:val="variable"/>
    <w:sig w:usb0="00000001" w:usb1="080E0000" w:usb2="00000010" w:usb3="00000000" w:csb0="00040000" w:csb1="00000000"/>
  </w:font>
  <w:font w:name="楷体_GB2312">
    <w:panose1 w:val="02010609030101010101"/>
    <w:charset w:val="86"/>
    <w:family w:val="modern"/>
    <w:pitch w:val="fixed"/>
    <w:sig w:usb0="00000001" w:usb1="080E0000" w:usb2="00000010" w:usb3="00000000" w:csb0="00040000" w:csb1="00000000"/>
  </w:font>
  <w:font w:name="仿宋_GB2312">
    <w:panose1 w:val="02010609030101010101"/>
    <w:charset w:val="86"/>
    <w:family w:val="modern"/>
    <w:pitch w:val="fixed"/>
    <w:sig w:usb0="00000001" w:usb1="080E0000" w:usb2="00000010" w:usb3="00000000" w:csb0="00040000" w:csb1="00000000"/>
  </w:font>
  <w:font w:name="GungsuhChe">
    <w:charset w:val="81"/>
    <w:family w:val="modern"/>
    <w:pitch w:val="fixed"/>
    <w:sig w:usb0="B00002AF" w:usb1="69D77CFB" w:usb2="00000030" w:usb3="00000000" w:csb0="0008009F" w:csb1="00000000"/>
  </w:font>
  <w:font w:name="方正剪纸简体">
    <w:altName w:val="宋体"/>
    <w:panose1 w:val="00000000000000000000"/>
    <w:charset w:val="86"/>
    <w:family w:val="roman"/>
    <w:notTrueType/>
    <w:pitch w:val="default"/>
    <w:sig w:usb0="00000001" w:usb1="080E0000" w:usb2="00000010" w:usb3="00000000" w:csb0="00040000" w:csb1="00000000"/>
  </w:font>
  <w:font w:name="Arial Unicode MS">
    <w:panose1 w:val="020B0604020202020204"/>
    <w:charset w:val="86"/>
    <w:family w:val="swiss"/>
    <w:pitch w:val="variable"/>
    <w:sig w:usb0="F7FFAFFF" w:usb1="E9DFFFFF" w:usb2="0000003F" w:usb3="00000000" w:csb0="003F01FF" w:csb1="00000000"/>
  </w:font>
  <w:font w:name="Courier New">
    <w:panose1 w:val="02070309020205020404"/>
    <w:charset w:val="00"/>
    <w:family w:val="modern"/>
    <w:pitch w:val="fixed"/>
    <w:sig w:usb0="20002A87" w:usb1="80000000" w:usb2="00000008" w:usb3="00000000" w:csb0="000001FF" w:csb1="00000000"/>
  </w:font>
  <w:font w:name="新宋体">
    <w:panose1 w:val="02010609030101010101"/>
    <w:charset w:val="86"/>
    <w:family w:val="modern"/>
    <w:pitch w:val="fixed"/>
    <w:sig w:usb0="00000003" w:usb1="080E0000" w:usb2="00000010" w:usb3="00000000" w:csb0="00040001" w:csb1="00000000"/>
  </w:font>
  <w:font w:name="Webdings">
    <w:panose1 w:val="05030102010509060703"/>
    <w:charset w:val="02"/>
    <w:family w:val="roman"/>
    <w:pitch w:val="variable"/>
    <w:sig w:usb0="00000000" w:usb1="10000000" w:usb2="00000000" w:usb3="00000000" w:csb0="80000000" w:csb1="00000000"/>
  </w:font>
  <w:font w:name="Tahoma">
    <w:panose1 w:val="020B0604030504040204"/>
    <w:charset w:val="00"/>
    <w:family w:val="swiss"/>
    <w:pitch w:val="variable"/>
    <w:sig w:usb0="61002A87" w:usb1="80000000" w:usb2="00000008" w:usb3="00000000" w:csb0="0001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微软雅黑">
    <w:panose1 w:val="020B0503020204020204"/>
    <w:charset w:val="86"/>
    <w:family w:val="swiss"/>
    <w:pitch w:val="variable"/>
    <w:sig w:usb0="80000287" w:usb1="280F3C52" w:usb2="00000016" w:usb3="00000000" w:csb0="0004001F" w:csb1="00000000"/>
  </w:font>
  <w:font w:name="隶书">
    <w:panose1 w:val="02010509060101010101"/>
    <w:charset w:val="86"/>
    <w:family w:val="modern"/>
    <w:pitch w:val="fixed"/>
    <w:sig w:usb0="00000001" w:usb1="080E0000" w:usb2="00000010" w:usb3="00000000" w:csb0="00040000" w:csb1="00000000"/>
  </w:font>
  <w:font w:name="Adobe 黑体 Std R">
    <w:altName w:val="Arial Unicode MS"/>
    <w:panose1 w:val="00000000000000000000"/>
    <w:charset w:val="86"/>
    <w:family w:val="swiss"/>
    <w:notTrueType/>
    <w:pitch w:val="variable"/>
    <w:sig w:usb0="00000000" w:usb1="0A0F1810" w:usb2="00000016" w:usb3="00000000" w:csb0="00060007" w:csb1="00000000"/>
  </w:font>
  <w:font w:name="方正黑体简体">
    <w:altName w:val="Arial Unicode MS"/>
    <w:charset w:val="86"/>
    <w:family w:val="auto"/>
    <w:pitch w:val="variable"/>
    <w:sig w:usb0="00000000" w:usb1="080E0000" w:usb2="00000010" w:usb3="00000000" w:csb0="00040000" w:csb1="00000000"/>
  </w:font>
  <w:font w:name="等线">
    <w:altName w:val="Arial Unicode MS"/>
    <w:charset w:val="86"/>
    <w:family w:val="auto"/>
    <w:pitch w:val="variable"/>
    <w:sig w:usb0="00000000" w:usb1="38CF7CFA" w:usb2="00000016" w:usb3="00000000" w:csb0="0004000F" w:csb1="00000000"/>
  </w:font>
  <w:font w:name="华文细黑">
    <w:panose1 w:val="02010600040101010101"/>
    <w:charset w:val="86"/>
    <w:family w:val="auto"/>
    <w:pitch w:val="variable"/>
    <w:sig w:usb0="00000287" w:usb1="080F0000" w:usb2="00000010" w:usb3="00000000" w:csb0="0004009F" w:csb1="00000000"/>
  </w:font>
  <w:font w:name="等线 Light">
    <w:altName w:val="Arial Unicode MS"/>
    <w:charset w:val="86"/>
    <w:family w:val="auto"/>
    <w:pitch w:val="variable"/>
    <w:sig w:usb0="00000000"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8CE139" w14:textId="77777777" w:rsidR="000C2A44" w:rsidRDefault="000C2A44">
    <w:pPr>
      <w:pStyle w:val="a3"/>
      <w:pBdr>
        <w:bottom w:val="none" w:sz="0" w:space="0" w:color="auto"/>
      </w:pBdr>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655482" w14:textId="77777777" w:rsidR="000C2A44" w:rsidRDefault="000C2A44">
    <w:pPr>
      <w:pStyle w:val="a3"/>
      <w:pBdr>
        <w:bottom w:val="none" w:sz="0" w:space="0" w:color="auto"/>
      </w:pBdr>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AD290B" w14:textId="77777777" w:rsidR="000C2A44" w:rsidRPr="005B21CF" w:rsidRDefault="000C2A44" w:rsidP="009B0B0F">
    <w:pPr>
      <w:pStyle w:val="a3"/>
      <w:pBdr>
        <w:top w:val="single" w:sz="4" w:space="1" w:color="auto"/>
        <w:bottom w:val="none" w:sz="0" w:space="0" w:color="auto"/>
      </w:pBdr>
      <w:jc w:val="center"/>
      <w:rPr>
        <w:rFonts w:ascii="Arial" w:hAnsi="Arial" w:cs="Arial"/>
      </w:rPr>
    </w:pPr>
    <w:r w:rsidRPr="005B21CF">
      <w:rPr>
        <w:rStyle w:val="a4"/>
        <w:rFonts w:ascii="Arial" w:hAnsi="Arial" w:cs="Arial"/>
      </w:rPr>
      <w:fldChar w:fldCharType="begin"/>
    </w:r>
    <w:r w:rsidRPr="005B21CF">
      <w:rPr>
        <w:rStyle w:val="a4"/>
        <w:rFonts w:ascii="Arial" w:hAnsi="Arial" w:cs="Arial"/>
      </w:rPr>
      <w:instrText xml:space="preserve"> PAGE </w:instrText>
    </w:r>
    <w:r w:rsidRPr="005B21CF">
      <w:rPr>
        <w:rStyle w:val="a4"/>
        <w:rFonts w:ascii="Arial" w:hAnsi="Arial" w:cs="Arial"/>
      </w:rPr>
      <w:fldChar w:fldCharType="separate"/>
    </w:r>
    <w:r w:rsidR="00656B5D">
      <w:rPr>
        <w:rStyle w:val="a4"/>
        <w:rFonts w:ascii="Arial" w:hAnsi="Arial" w:cs="Arial"/>
        <w:noProof/>
      </w:rPr>
      <w:t>2</w:t>
    </w:r>
    <w:r w:rsidRPr="005B21CF">
      <w:rPr>
        <w:rStyle w:val="a4"/>
        <w:rFonts w:ascii="Arial" w:hAnsi="Arial" w:cs="Arial"/>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2E2E5C" w14:textId="77777777" w:rsidR="000C2A44" w:rsidRPr="006D7B2E" w:rsidRDefault="000C2A44" w:rsidP="009B0B0F">
    <w:pPr>
      <w:pStyle w:val="a3"/>
      <w:pBdr>
        <w:top w:val="single" w:sz="4" w:space="1" w:color="auto"/>
        <w:bottom w:val="none" w:sz="0" w:space="0" w:color="auto"/>
      </w:pBdr>
      <w:jc w:val="center"/>
      <w:rPr>
        <w:rFonts w:ascii="Arial" w:hAnsi="Arial" w:cs="Arial"/>
      </w:rPr>
    </w:pPr>
    <w:r w:rsidRPr="006D7B2E">
      <w:rPr>
        <w:rStyle w:val="a4"/>
        <w:rFonts w:ascii="Arial" w:hAnsi="Arial" w:cs="Arial"/>
      </w:rPr>
      <w:fldChar w:fldCharType="begin"/>
    </w:r>
    <w:r w:rsidRPr="006D7B2E">
      <w:rPr>
        <w:rStyle w:val="a4"/>
        <w:rFonts w:ascii="Arial" w:hAnsi="Arial" w:cs="Arial"/>
      </w:rPr>
      <w:instrText xml:space="preserve"> PAGE </w:instrText>
    </w:r>
    <w:r w:rsidRPr="006D7B2E">
      <w:rPr>
        <w:rStyle w:val="a4"/>
        <w:rFonts w:ascii="Arial" w:hAnsi="Arial" w:cs="Arial"/>
      </w:rPr>
      <w:fldChar w:fldCharType="separate"/>
    </w:r>
    <w:r w:rsidR="00656B5D">
      <w:rPr>
        <w:rStyle w:val="a4"/>
        <w:rFonts w:ascii="Arial" w:hAnsi="Arial" w:cs="Arial"/>
        <w:noProof/>
      </w:rPr>
      <w:t>1</w:t>
    </w:r>
    <w:r w:rsidRPr="006D7B2E">
      <w:rPr>
        <w:rStyle w:val="a4"/>
        <w:rFonts w:ascii="Arial" w:hAnsi="Arial" w:cs="Arial"/>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FE8805C" w14:textId="77777777" w:rsidR="00A544A3" w:rsidRDefault="00A544A3">
      <w:r>
        <w:separator/>
      </w:r>
    </w:p>
  </w:footnote>
  <w:footnote w:type="continuationSeparator" w:id="0">
    <w:p w14:paraId="6EF3B133" w14:textId="77777777" w:rsidR="00A544A3" w:rsidRDefault="00A544A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573E81" w14:textId="00EC158A" w:rsidR="000C2A44" w:rsidRDefault="000C2A44">
    <w:pPr>
      <w:pStyle w:val="a5"/>
    </w:pPr>
    <w:r>
      <w:rPr>
        <w:noProof/>
      </w:rPr>
      <w:pict w14:anchorId="3E3135D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21844" o:spid="_x0000_s2050" type="#_x0000_t136" style="position:absolute;left:0;text-align:left;margin-left:0;margin-top:0;width:436.95pt;height:218.45pt;rotation:315;z-index:-251670016;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14C0F2" w14:textId="77777777" w:rsidR="000C2A44" w:rsidRPr="00500171" w:rsidRDefault="000C2A44" w:rsidP="009B0B0F">
    <w:pPr>
      <w:pStyle w:val="a5"/>
      <w:pBdr>
        <w:bottom w:val="none" w:sz="0" w:space="0" w:color="auto"/>
      </w:pBdr>
    </w:pPr>
    <w:r>
      <w:rPr>
        <w:noProof/>
      </w:rPr>
      <w:pict w14:anchorId="4443CCA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21852" o:spid="_x0000_s2076" type="#_x0000_t136" style="position:absolute;left:0;text-align:left;margin-left:0;margin-top:0;width:436.95pt;height:218.45pt;rotation:315;z-index:-251659776;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r>
      <w:rPr>
        <w:noProof/>
      </w:rPr>
      <w:drawing>
        <wp:inline distT="0" distB="0" distL="0" distR="0" wp14:anchorId="36BEA242" wp14:editId="4A63A095">
          <wp:extent cx="5899785" cy="286385"/>
          <wp:effectExtent l="0" t="0" r="5715" b="0"/>
          <wp:docPr id="5176" name="图片 5176"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60FAAC" w14:textId="77777777" w:rsidR="000C2A44" w:rsidRDefault="000C2A44">
    <w:pPr>
      <w:pStyle w:val="a5"/>
    </w:pPr>
    <w:r>
      <w:rPr>
        <w:noProof/>
      </w:rPr>
      <w:pict w14:anchorId="1B70F94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79" type="#_x0000_t136" style="position:absolute;left:0;text-align:left;margin-left:0;margin-top:0;width:436.95pt;height:218.45pt;rotation:315;z-index:-251656704;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r>
      <w:rPr>
        <w:noProof/>
      </w:rPr>
      <mc:AlternateContent>
        <mc:Choice Requires="wps">
          <w:drawing>
            <wp:anchor distT="0" distB="0" distL="114300" distR="114300" simplePos="0" relativeHeight="251659264" behindDoc="1" locked="0" layoutInCell="0" allowOverlap="1" wp14:anchorId="3B461728" wp14:editId="0AF33732">
              <wp:simplePos x="0" y="0"/>
              <wp:positionH relativeFrom="margin">
                <wp:align>center</wp:align>
              </wp:positionH>
              <wp:positionV relativeFrom="margin">
                <wp:align>center</wp:align>
              </wp:positionV>
              <wp:extent cx="5549265" cy="2774315"/>
              <wp:effectExtent l="0" t="1066800" r="0" b="997585"/>
              <wp:wrapNone/>
              <wp:docPr id="5190" name="WordArt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549265" cy="27743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3C15216" w14:textId="77777777" w:rsidR="000C2A44" w:rsidRDefault="000C2A44" w:rsidP="007D1F59">
                          <w:pPr>
                            <w:jc w:val="center"/>
                          </w:pPr>
                          <w:r>
                            <w:rPr>
                              <w:rFonts w:hint="eastAsia"/>
                              <w:color w:val="C0C0C0"/>
                              <w:sz w:val="2"/>
                              <w:szCs w:val="2"/>
                              <w14:textFill>
                                <w14:solidFill>
                                  <w14:srgbClr w14:val="C0C0C0">
                                    <w14:alpha w14:val="50000"/>
                                  </w14:srgbClr>
                                </w14:solidFill>
                              </w14:textFill>
                            </w:rPr>
                            <w:t>初稿</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WordArt 23" o:spid="_x0000_s1026" type="#_x0000_t202" style="position:absolute;left:0;text-align:left;margin-left:0;margin-top:0;width:436.95pt;height:218.45pt;rotation:-45;z-index:-25165721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" o:allowincell="f" filled="f" stroked="f">
              <v:stroke joinstyle="round"/>
              <o:lock v:ext="edit" text="t" shapetype="t"/>
              <v:textbox style="mso-fit-shape-to-text:t">
                <w:txbxContent>
                  <w:p w14:paraId="13C15216" w14:textId="77777777" w:rsidR="000C2A44" w:rsidRDefault="000C2A44" w:rsidP="007D1F59">
                    <w:pPr>
                      <w:jc w:val="center"/>
                    </w:pPr>
                    <w:r>
                      <w:rPr>
                        <w:rFonts w:hint="eastAsia"/>
                        <w:color w:val="C0C0C0"/>
                        <w:sz w:val="2"/>
                        <w:szCs w:val="2"/>
                        <w14:textFill>
                          <w14:solidFill>
                            <w14:srgbClr w14:val="C0C0C0">
                              <w14:alpha w14:val="50000"/>
                            </w14:srgbClr>
                          </w14:solidFill>
                        </w14:textFill>
                      </w:rPr>
                      <w:t>初稿</w:t>
                    </w:r>
                  </w:p>
                </w:txbxContent>
              </v:textbox>
              <w10:wrap anchorx="margin" anchory="margin"/>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6F6DA2" w14:textId="77777777" w:rsidR="000C2A44" w:rsidRDefault="000C2A44">
    <w:pPr>
      <w:pStyle w:val="a5"/>
    </w:pPr>
    <w:r>
      <w:rPr>
        <w:noProof/>
      </w:rPr>
      <w:pict w14:anchorId="5817CD9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80" type="#_x0000_t136" style="position:absolute;left:0;text-align:left;margin-left:0;margin-top:0;width:436.95pt;height:218.45pt;rotation:315;z-index:-251655680;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r>
      <w:rPr>
        <w:noProof/>
      </w:rPr>
      <w:drawing>
        <wp:inline distT="0" distB="0" distL="0" distR="0" wp14:anchorId="2F992E97" wp14:editId="229D1DE4">
          <wp:extent cx="5899785" cy="286385"/>
          <wp:effectExtent l="0" t="0" r="5715" b="0"/>
          <wp:docPr id="5177" name="图片 5177"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2DEC63" w14:textId="77777777" w:rsidR="000C2A44" w:rsidRPr="00500171" w:rsidRDefault="000C2A44" w:rsidP="007D1F59">
    <w:pPr>
      <w:pStyle w:val="a5"/>
      <w:pBdr>
        <w:bottom w:val="none" w:sz="0" w:space="0" w:color="auto"/>
      </w:pBdr>
    </w:pPr>
    <w:r>
      <w:rPr>
        <w:noProof/>
      </w:rPr>
      <w:pict w14:anchorId="2438026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78" type="#_x0000_t136" style="position:absolute;left:0;text-align:left;margin-left:0;margin-top:0;width:436.95pt;height:218.45pt;rotation:315;z-index:-251657728;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r>
      <w:rPr>
        <w:noProof/>
      </w:rPr>
      <w:drawing>
        <wp:inline distT="0" distB="0" distL="0" distR="0" wp14:anchorId="00906ECD" wp14:editId="3FF76013">
          <wp:extent cx="5899785" cy="286385"/>
          <wp:effectExtent l="0" t="0" r="5715" b="0"/>
          <wp:docPr id="5178" name="图片 5178"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D9E2AE" w14:textId="36CC50A3" w:rsidR="000C2A44" w:rsidRDefault="000C2A44">
    <w:pPr>
      <w:pStyle w:val="a5"/>
    </w:pPr>
    <w:r>
      <w:rPr>
        <w:noProof/>
      </w:rPr>
      <w:pict w14:anchorId="4D22456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21856" o:spid="_x0000_s2062" type="#_x0000_t136" style="position:absolute;left:0;text-align:left;margin-left:0;margin-top:0;width:436.95pt;height:218.45pt;rotation:315;z-index:-251661824;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r>
      <w:rPr>
        <w:noProof/>
      </w:rPr>
      <mc:AlternateContent>
        <mc:Choice Requires="wps">
          <w:drawing>
            <wp:anchor distT="0" distB="0" distL="114300" distR="114300" simplePos="0" relativeHeight="251656192" behindDoc="1" locked="0" layoutInCell="0" allowOverlap="1" wp14:anchorId="15595575" wp14:editId="1F301CD5">
              <wp:simplePos x="0" y="0"/>
              <wp:positionH relativeFrom="margin">
                <wp:align>center</wp:align>
              </wp:positionH>
              <wp:positionV relativeFrom="margin">
                <wp:align>center</wp:align>
              </wp:positionV>
              <wp:extent cx="5549265" cy="2774315"/>
              <wp:effectExtent l="0" t="1066800" r="0" b="997585"/>
              <wp:wrapNone/>
              <wp:docPr id="5" name="WordArt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549265" cy="27743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F376E12" w14:textId="77777777" w:rsidR="000C2A44" w:rsidRDefault="000C2A44" w:rsidP="007D1F59">
                          <w:pPr>
                            <w:jc w:val="center"/>
                          </w:pPr>
                          <w:r>
                            <w:rPr>
                              <w:rFonts w:hint="eastAsia"/>
                              <w:color w:val="C0C0C0"/>
                              <w:sz w:val="2"/>
                              <w:szCs w:val="2"/>
                              <w14:textFill>
                                <w14:solidFill>
                                  <w14:srgbClr w14:val="C0C0C0">
                                    <w14:alpha w14:val="50000"/>
                                  </w14:srgbClr>
                                </w14:solidFill>
                              </w14:textFill>
                            </w:rPr>
                            <w:t>初稿</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27" type="#_x0000_t202" style="position:absolute;left:0;text-align:left;margin-left:0;margin-top:0;width:436.95pt;height:218.45pt;rotation:-45;z-index:-25166028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" o:allowincell="f" filled="f" stroked="f">
              <v:stroke joinstyle="round"/>
              <o:lock v:ext="edit" text="t" shapetype="t"/>
              <v:textbox style="mso-fit-shape-to-text:t">
                <w:txbxContent>
                  <w:p w14:paraId="5F376E12" w14:textId="77777777" w:rsidR="000C2A44" w:rsidRDefault="000C2A44" w:rsidP="007D1F59">
                    <w:pPr>
                      <w:jc w:val="center"/>
                    </w:pPr>
                    <w:r>
                      <w:rPr>
                        <w:rFonts w:hint="eastAsia"/>
                        <w:color w:val="C0C0C0"/>
                        <w:sz w:val="2"/>
                        <w:szCs w:val="2"/>
                        <w14:textFill>
                          <w14:solidFill>
                            <w14:srgbClr w14:val="C0C0C0">
                              <w14:alpha w14:val="50000"/>
                            </w14:srgbClr>
                          </w14:solidFill>
                        </w14:textFill>
                      </w:rPr>
                      <w:t>初稿</w:t>
                    </w:r>
                  </w:p>
                </w:txbxContent>
              </v:textbox>
              <w10:wrap anchorx="margin" anchory="margin"/>
            </v:shap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A79BF5" w14:textId="29E00EB5" w:rsidR="000C2A44" w:rsidRDefault="000C2A44">
    <w:pPr>
      <w:pStyle w:val="a5"/>
    </w:pPr>
    <w:r>
      <w:rPr>
        <w:noProof/>
      </w:rPr>
      <w:pict w14:anchorId="7E915E6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21857" o:spid="_x0000_s2063" type="#_x0000_t136" style="position:absolute;left:0;text-align:left;margin-left:0;margin-top:0;width:436.95pt;height:218.45pt;rotation:315;z-index:-251660800;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r>
      <w:rPr>
        <w:noProof/>
      </w:rPr>
      <w:drawing>
        <wp:inline distT="0" distB="0" distL="0" distR="0" wp14:anchorId="13CEDB1E" wp14:editId="01B8C92C">
          <wp:extent cx="5899785" cy="286385"/>
          <wp:effectExtent l="0" t="0" r="5715" b="0"/>
          <wp:docPr id="5179" name="图片 5179"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E6DB08" w14:textId="327C87A4" w:rsidR="000C2A44" w:rsidRPr="00500171" w:rsidRDefault="000C2A44" w:rsidP="007D1F59">
    <w:pPr>
      <w:pStyle w:val="a5"/>
      <w:pBdr>
        <w:bottom w:val="none" w:sz="0" w:space="0" w:color="auto"/>
      </w:pBdr>
    </w:pPr>
    <w:r>
      <w:rPr>
        <w:noProof/>
      </w:rPr>
      <w:pict w14:anchorId="0DBD4E9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21855" o:spid="_x0000_s2061" type="#_x0000_t136" style="position:absolute;left:0;text-align:left;margin-left:0;margin-top:0;width:436.95pt;height:218.45pt;rotation:315;z-index:-251662848;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r>
      <w:rPr>
        <w:noProof/>
      </w:rPr>
      <w:drawing>
        <wp:inline distT="0" distB="0" distL="0" distR="0" wp14:anchorId="290A4419" wp14:editId="09E345E2">
          <wp:extent cx="5899785" cy="286385"/>
          <wp:effectExtent l="0" t="0" r="5715" b="0"/>
          <wp:docPr id="5180" name="图片 5180"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A83F01" w14:textId="77777777" w:rsidR="000C2A44" w:rsidRDefault="000C2A44">
    <w:pPr>
      <w:pStyle w:val="a5"/>
    </w:pPr>
    <w:r>
      <w:rPr>
        <w:noProof/>
      </w:rPr>
      <w:pict w14:anchorId="7D6EED2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21859" o:spid="_x0000_s2092" type="#_x0000_t136" style="position:absolute;left:0;text-align:left;margin-left:0;margin-top:0;width:436.95pt;height:218.45pt;rotation:315;z-index:-251648512;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499B6F" w14:textId="77777777" w:rsidR="000C2A44" w:rsidRPr="00500171" w:rsidRDefault="000C2A44" w:rsidP="009B0B0F">
    <w:pPr>
      <w:pStyle w:val="a5"/>
      <w:pBdr>
        <w:bottom w:val="none" w:sz="0" w:space="0" w:color="auto"/>
      </w:pBdr>
    </w:pPr>
    <w:r>
      <w:rPr>
        <w:noProof/>
      </w:rPr>
      <w:pict w14:anchorId="238C849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21858" o:spid="_x0000_s2091" type="#_x0000_t136" style="position:absolute;left:0;text-align:left;margin-left:0;margin-top:0;width:436.95pt;height:218.45pt;rotation:315;z-index:-251649536;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r>
      <w:rPr>
        <w:noProof/>
      </w:rPr>
      <w:drawing>
        <wp:inline distT="0" distB="0" distL="0" distR="0" wp14:anchorId="6F2E566D" wp14:editId="5FB69020">
          <wp:extent cx="5899785" cy="286385"/>
          <wp:effectExtent l="0" t="0" r="5715" b="0"/>
          <wp:docPr id="5172" name="图片 5172"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8743B0" w14:textId="77777777" w:rsidR="000C2A44" w:rsidRDefault="000C2A44">
    <w:pPr>
      <w:pStyle w:val="a5"/>
    </w:pPr>
    <w:r>
      <w:rPr>
        <w:noProof/>
      </w:rPr>
      <w:pict w14:anchorId="60C6D70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21862" o:spid="_x0000_s2094" type="#_x0000_t136" style="position:absolute;left:0;text-align:left;margin-left:0;margin-top:0;width:436.95pt;height:218.45pt;rotation:315;z-index:-251646464;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866234" w14:textId="68138F3F" w:rsidR="000C2A44" w:rsidRPr="00D3274A" w:rsidRDefault="000C2A44" w:rsidP="009B0B0F">
    <w:pPr>
      <w:pStyle w:val="a5"/>
      <w:pBdr>
        <w:bottom w:val="none" w:sz="0" w:space="0" w:color="auto"/>
      </w:pBdr>
      <w:rPr>
        <w:b/>
        <w:bCs/>
        <w:sz w:val="24"/>
      </w:rPr>
    </w:pPr>
    <w:r>
      <w:rPr>
        <w:noProof/>
      </w:rPr>
      <w:pict w14:anchorId="399D716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21845" o:spid="_x0000_s2051" type="#_x0000_t136" style="position:absolute;left:0;text-align:left;margin-left:0;margin-top:0;width:436.95pt;height:218.45pt;rotation:315;z-index:-251668992;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r>
      <w:rPr>
        <w:noProof/>
      </w:rPr>
      <w:drawing>
        <wp:inline distT="0" distB="0" distL="0" distR="0" wp14:anchorId="425BFFA9" wp14:editId="5E6BBB2D">
          <wp:extent cx="5899785" cy="286385"/>
          <wp:effectExtent l="0" t="0" r="5715" b="0"/>
          <wp:docPr id="20" name="图片 20"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25536F" w14:textId="77777777" w:rsidR="000C2A44" w:rsidRPr="00D3274A" w:rsidRDefault="000C2A44" w:rsidP="009B0B0F">
    <w:pPr>
      <w:pStyle w:val="a5"/>
      <w:pBdr>
        <w:bottom w:val="none" w:sz="0" w:space="0" w:color="auto"/>
      </w:pBdr>
      <w:rPr>
        <w:b/>
        <w:bCs/>
        <w:sz w:val="24"/>
      </w:rPr>
    </w:pPr>
    <w:r>
      <w:rPr>
        <w:noProof/>
      </w:rPr>
      <w:pict w14:anchorId="47347A1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21863" o:spid="_x0000_s2095" type="#_x0000_t136" style="position:absolute;left:0;text-align:left;margin-left:0;margin-top:0;width:436.95pt;height:218.45pt;rotation:315;z-index:-251645440;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r>
      <w:rPr>
        <w:noProof/>
      </w:rPr>
      <w:drawing>
        <wp:inline distT="0" distB="0" distL="0" distR="0" wp14:anchorId="79C4177A" wp14:editId="72C5AD30">
          <wp:extent cx="5899785" cy="286385"/>
          <wp:effectExtent l="0" t="0" r="5715" b="0"/>
          <wp:docPr id="33" name="图片 33"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3CDCAB" w14:textId="77777777" w:rsidR="000C2A44" w:rsidRDefault="000C2A44">
    <w:pPr>
      <w:pStyle w:val="a5"/>
    </w:pPr>
    <w:r>
      <w:rPr>
        <w:noProof/>
      </w:rPr>
      <w:pict w14:anchorId="433CADE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21861" o:spid="_x0000_s2093" type="#_x0000_t136" style="position:absolute;left:0;text-align:left;margin-left:0;margin-top:0;width:436.95pt;height:218.45pt;rotation:315;z-index:-251647488;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4442D0" w14:textId="77777777" w:rsidR="000C2A44" w:rsidRDefault="000C2A44">
    <w:pPr>
      <w:pStyle w:val="a5"/>
    </w:pPr>
    <w:r>
      <w:rPr>
        <w:noProof/>
      </w:rPr>
      <w:pict w14:anchorId="1818C6D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21868" o:spid="_x0000_s2090" type="#_x0000_t136" style="position:absolute;left:0;text-align:left;margin-left:0;margin-top:0;width:436.95pt;height:218.45pt;rotation:315;z-index:-251651584;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257F1E" w14:textId="77777777" w:rsidR="000C2A44" w:rsidRPr="00500171" w:rsidRDefault="000C2A44" w:rsidP="009B0B0F">
    <w:pPr>
      <w:pStyle w:val="a5"/>
      <w:pBdr>
        <w:bottom w:val="none" w:sz="0" w:space="0" w:color="auto"/>
      </w:pBdr>
    </w:pPr>
    <w:r>
      <w:rPr>
        <w:noProof/>
      </w:rPr>
      <w:pict w14:anchorId="2A70038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21867" o:spid="_x0000_s2089" type="#_x0000_t136" style="position:absolute;left:0;text-align:left;margin-left:0;margin-top:0;width:436.95pt;height:218.45pt;rotation:315;z-index:-251653632;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r>
      <w:rPr>
        <w:noProof/>
      </w:rPr>
      <w:drawing>
        <wp:inline distT="0" distB="0" distL="0" distR="0" wp14:anchorId="4F5AA094" wp14:editId="62CF376A">
          <wp:extent cx="5899785" cy="286385"/>
          <wp:effectExtent l="0" t="0" r="5715" b="0"/>
          <wp:docPr id="3" name="图片 0"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0"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32C7A6" w14:textId="5DE43962" w:rsidR="000C2A44" w:rsidRPr="009B0B0F" w:rsidRDefault="000C2A44" w:rsidP="009B0B0F">
    <w:pPr>
      <w:pStyle w:val="a5"/>
      <w:pBdr>
        <w:bottom w:val="none" w:sz="0" w:space="0" w:color="auto"/>
      </w:pBdr>
    </w:pPr>
    <w:r>
      <w:rPr>
        <w:noProof/>
      </w:rPr>
      <w:pict w14:anchorId="655DE34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21843" o:spid="_x0000_s2049" type="#_x0000_t136" style="position:absolute;left:0;text-align:left;margin-left:0;margin-top:0;width:436.95pt;height:218.45pt;rotation:315;z-index:-251671040;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9D93B5" w14:textId="28FB6991" w:rsidR="000C2A44" w:rsidRDefault="000C2A44">
    <w:pPr>
      <w:pStyle w:val="a5"/>
    </w:pPr>
    <w:r>
      <w:rPr>
        <w:noProof/>
      </w:rPr>
      <w:pict w14:anchorId="1242D53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21847" o:spid="_x0000_s2053" type="#_x0000_t136" style="position:absolute;left:0;text-align:left;margin-left:0;margin-top:0;width:436.95pt;height:218.45pt;rotation:315;z-index:-251666944;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614579" w14:textId="42BE8CE6" w:rsidR="000C2A44" w:rsidRPr="00B82767" w:rsidRDefault="000C2A44" w:rsidP="009B0B0F">
    <w:pPr>
      <w:pStyle w:val="a5"/>
      <w:pBdr>
        <w:bottom w:val="none" w:sz="0" w:space="0" w:color="auto"/>
      </w:pBdr>
      <w:rPr>
        <w:b/>
        <w:bCs/>
        <w:sz w:val="24"/>
      </w:rPr>
    </w:pPr>
    <w:r>
      <w:rPr>
        <w:noProof/>
      </w:rPr>
      <w:pict w14:anchorId="1A978B0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21846" o:spid="_x0000_s2052" type="#_x0000_t136" style="position:absolute;left:0;text-align:left;margin-left:0;margin-top:0;width:436.95pt;height:218.45pt;rotation:315;z-index:-251667968;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r>
      <w:rPr>
        <w:noProof/>
      </w:rPr>
      <w:drawing>
        <wp:inline distT="0" distB="0" distL="0" distR="0" wp14:anchorId="65F8A3CF" wp14:editId="0EB11CB6">
          <wp:extent cx="5899785" cy="286385"/>
          <wp:effectExtent l="0" t="0" r="5715" b="0"/>
          <wp:docPr id="5173" name="图片 5173"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042485" w14:textId="5FCF90C3" w:rsidR="000C2A44" w:rsidRDefault="000C2A44">
    <w:pPr>
      <w:pStyle w:val="a5"/>
    </w:pPr>
    <w:r>
      <w:rPr>
        <w:noProof/>
      </w:rPr>
      <w:pict w14:anchorId="5959A9A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21850" o:spid="_x0000_s2056" type="#_x0000_t136" style="position:absolute;left:0;text-align:left;margin-left:0;margin-top:0;width:436.95pt;height:218.45pt;rotation:315;z-index:-251664896;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A825E7" w14:textId="6221E7F3" w:rsidR="000C2A44" w:rsidRDefault="000C2A44">
    <w:pPr>
      <w:pStyle w:val="a5"/>
    </w:pPr>
    <w:r>
      <w:rPr>
        <w:noProof/>
      </w:rPr>
      <w:drawing>
        <wp:inline distT="0" distB="0" distL="0" distR="0" wp14:anchorId="49CC4931" wp14:editId="3D20B691">
          <wp:extent cx="5899785" cy="286385"/>
          <wp:effectExtent l="0" t="0" r="5715" b="0"/>
          <wp:docPr id="5174" name="图片 5174"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r>
      <w:rPr>
        <w:noProof/>
      </w:rPr>
      <w:pict w14:anchorId="36072BF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21851" o:spid="_x0000_s2057" type="#_x0000_t136" style="position:absolute;left:0;text-align:left;margin-left:0;margin-top:0;width:436.95pt;height:218.45pt;rotation:315;z-index:-251663872;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E0DC41" w14:textId="5010014B" w:rsidR="000C2A44" w:rsidRDefault="000C2A44">
    <w:pPr>
      <w:pStyle w:val="a5"/>
    </w:pPr>
    <w:r>
      <w:rPr>
        <w:noProof/>
      </w:rPr>
      <w:drawing>
        <wp:inline distT="0" distB="0" distL="0" distR="0" wp14:anchorId="110E834C" wp14:editId="74CFC768">
          <wp:extent cx="5899785" cy="286385"/>
          <wp:effectExtent l="0" t="0" r="5715" b="0"/>
          <wp:docPr id="5175" name="图片 5175"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r>
      <w:rPr>
        <w:noProof/>
      </w:rPr>
      <w:pict w14:anchorId="69DF3D9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21849" o:spid="_x0000_s2055" type="#_x0000_t136" style="position:absolute;left:0;text-align:left;margin-left:0;margin-top:0;width:436.95pt;height:218.45pt;rotation:315;z-index:-251665920;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103242" w14:textId="77777777" w:rsidR="000C2A44" w:rsidRDefault="000C2A44">
    <w:pPr>
      <w:pStyle w:val="a5"/>
    </w:pPr>
    <w:r>
      <w:rPr>
        <w:noProof/>
      </w:rPr>
      <w:pict w14:anchorId="0A2839F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21853" o:spid="_x0000_s2077" type="#_x0000_t136" style="position:absolute;left:0;text-align:left;margin-left:0;margin-top:0;width:436.95pt;height:218.45pt;rotation:315;z-index:-251658752;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034DCD"/>
    <w:multiLevelType w:val="hybridMultilevel"/>
    <w:tmpl w:val="D56E7F90"/>
    <w:lvl w:ilvl="0" w:tplc="C986A83C">
      <w:start w:val="6"/>
      <w:numFmt w:val="decimal"/>
      <w:lvlText w:val="（%1）"/>
      <w:lvlJc w:val="left"/>
      <w:pPr>
        <w:ind w:left="1140" w:hanging="7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
    <w:nsid w:val="08136656"/>
    <w:multiLevelType w:val="hybridMultilevel"/>
    <w:tmpl w:val="67EA1C30"/>
    <w:lvl w:ilvl="0" w:tplc="04090009">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
    <w:nsid w:val="0D7742A4"/>
    <w:multiLevelType w:val="hybridMultilevel"/>
    <w:tmpl w:val="97F641AA"/>
    <w:lvl w:ilvl="0" w:tplc="EA649548">
      <w:start w:val="1"/>
      <w:numFmt w:val="decimalEnclosedCircle"/>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3">
    <w:nsid w:val="12FC7B19"/>
    <w:multiLevelType w:val="hybridMultilevel"/>
    <w:tmpl w:val="C332E5AE"/>
    <w:lvl w:ilvl="0" w:tplc="ADCAAD52">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4">
    <w:nsid w:val="213946DA"/>
    <w:multiLevelType w:val="hybridMultilevel"/>
    <w:tmpl w:val="C332E5AE"/>
    <w:lvl w:ilvl="0" w:tplc="ADCAAD52">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5">
    <w:nsid w:val="30C35B10"/>
    <w:multiLevelType w:val="hybridMultilevel"/>
    <w:tmpl w:val="BD82C8CE"/>
    <w:lvl w:ilvl="0" w:tplc="B1EE62FC">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6">
    <w:nsid w:val="36F816A6"/>
    <w:multiLevelType w:val="multilevel"/>
    <w:tmpl w:val="3C1ECA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3BCE0746"/>
    <w:multiLevelType w:val="hybridMultilevel"/>
    <w:tmpl w:val="5C4645D0"/>
    <w:lvl w:ilvl="0" w:tplc="D99E40D4">
      <w:start w:val="1"/>
      <w:numFmt w:val="decimal"/>
      <w:lvlText w:val="（%1）"/>
      <w:lvlJc w:val="left"/>
      <w:pPr>
        <w:ind w:left="1140" w:hanging="720"/>
      </w:pPr>
      <w:rPr>
        <w:rFonts w:hint="default"/>
        <w:color w:val="auto"/>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8">
    <w:nsid w:val="441D4777"/>
    <w:multiLevelType w:val="multilevel"/>
    <w:tmpl w:val="441D4777"/>
    <w:lvl w:ilvl="0">
      <w:start w:val="1"/>
      <w:numFmt w:val="decimal"/>
      <w:lvlText w:val="（%1）"/>
      <w:lvlJc w:val="left"/>
      <w:pPr>
        <w:ind w:left="1200" w:hanging="72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9">
    <w:nsid w:val="47606396"/>
    <w:multiLevelType w:val="hybridMultilevel"/>
    <w:tmpl w:val="A392C8D4"/>
    <w:lvl w:ilvl="0" w:tplc="04090009">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0">
    <w:nsid w:val="4A2C3515"/>
    <w:multiLevelType w:val="hybridMultilevel"/>
    <w:tmpl w:val="A0CC64CC"/>
    <w:lvl w:ilvl="0" w:tplc="C986A83C">
      <w:start w:val="8"/>
      <w:numFmt w:val="decimal"/>
      <w:lvlText w:val="（%1）"/>
      <w:lvlJc w:val="left"/>
      <w:pPr>
        <w:ind w:left="1140" w:hanging="7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1">
    <w:nsid w:val="4AAB55D4"/>
    <w:multiLevelType w:val="hybridMultilevel"/>
    <w:tmpl w:val="00AC397C"/>
    <w:lvl w:ilvl="0" w:tplc="066E25EA">
      <w:start w:val="2"/>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2">
    <w:nsid w:val="4B5F3B9C"/>
    <w:multiLevelType w:val="hybridMultilevel"/>
    <w:tmpl w:val="C332E5AE"/>
    <w:lvl w:ilvl="0" w:tplc="ADCAAD52">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3">
    <w:nsid w:val="51393E2A"/>
    <w:multiLevelType w:val="hybridMultilevel"/>
    <w:tmpl w:val="EE92036E"/>
    <w:lvl w:ilvl="0" w:tplc="0409000B">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4">
    <w:nsid w:val="546F7345"/>
    <w:multiLevelType w:val="hybridMultilevel"/>
    <w:tmpl w:val="20A01450"/>
    <w:lvl w:ilvl="0" w:tplc="97FE5974">
      <w:start w:val="1"/>
      <w:numFmt w:val="decimal"/>
      <w:lvlText w:val="%1."/>
      <w:lvlJc w:val="left"/>
      <w:pPr>
        <w:ind w:left="928" w:hanging="360"/>
      </w:pPr>
      <w:rPr>
        <w:rFonts w:hint="default"/>
      </w:rPr>
    </w:lvl>
    <w:lvl w:ilvl="1" w:tplc="04090019" w:tentative="1">
      <w:start w:val="1"/>
      <w:numFmt w:val="lowerLetter"/>
      <w:lvlText w:val="%2)"/>
      <w:lvlJc w:val="left"/>
      <w:pPr>
        <w:ind w:left="1401" w:hanging="420"/>
      </w:pPr>
    </w:lvl>
    <w:lvl w:ilvl="2" w:tplc="0409001B" w:tentative="1">
      <w:start w:val="1"/>
      <w:numFmt w:val="lowerRoman"/>
      <w:lvlText w:val="%3."/>
      <w:lvlJc w:val="right"/>
      <w:pPr>
        <w:ind w:left="1821" w:hanging="420"/>
      </w:pPr>
    </w:lvl>
    <w:lvl w:ilvl="3" w:tplc="0409000F" w:tentative="1">
      <w:start w:val="1"/>
      <w:numFmt w:val="decimal"/>
      <w:lvlText w:val="%4."/>
      <w:lvlJc w:val="left"/>
      <w:pPr>
        <w:ind w:left="2241" w:hanging="420"/>
      </w:pPr>
    </w:lvl>
    <w:lvl w:ilvl="4" w:tplc="04090019" w:tentative="1">
      <w:start w:val="1"/>
      <w:numFmt w:val="lowerLetter"/>
      <w:lvlText w:val="%5)"/>
      <w:lvlJc w:val="left"/>
      <w:pPr>
        <w:ind w:left="2661" w:hanging="420"/>
      </w:pPr>
    </w:lvl>
    <w:lvl w:ilvl="5" w:tplc="0409001B" w:tentative="1">
      <w:start w:val="1"/>
      <w:numFmt w:val="lowerRoman"/>
      <w:lvlText w:val="%6."/>
      <w:lvlJc w:val="right"/>
      <w:pPr>
        <w:ind w:left="3081" w:hanging="420"/>
      </w:pPr>
    </w:lvl>
    <w:lvl w:ilvl="6" w:tplc="0409000F" w:tentative="1">
      <w:start w:val="1"/>
      <w:numFmt w:val="decimal"/>
      <w:lvlText w:val="%7."/>
      <w:lvlJc w:val="left"/>
      <w:pPr>
        <w:ind w:left="3501" w:hanging="420"/>
      </w:pPr>
    </w:lvl>
    <w:lvl w:ilvl="7" w:tplc="04090019" w:tentative="1">
      <w:start w:val="1"/>
      <w:numFmt w:val="lowerLetter"/>
      <w:lvlText w:val="%8)"/>
      <w:lvlJc w:val="left"/>
      <w:pPr>
        <w:ind w:left="3921" w:hanging="420"/>
      </w:pPr>
    </w:lvl>
    <w:lvl w:ilvl="8" w:tplc="0409001B" w:tentative="1">
      <w:start w:val="1"/>
      <w:numFmt w:val="lowerRoman"/>
      <w:lvlText w:val="%9."/>
      <w:lvlJc w:val="right"/>
      <w:pPr>
        <w:ind w:left="4341" w:hanging="420"/>
      </w:pPr>
    </w:lvl>
  </w:abstractNum>
  <w:abstractNum w:abstractNumId="15">
    <w:nsid w:val="5E2F05D9"/>
    <w:multiLevelType w:val="hybridMultilevel"/>
    <w:tmpl w:val="2D8C9D04"/>
    <w:lvl w:ilvl="0" w:tplc="6F58FA7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nsid w:val="5F0B6C66"/>
    <w:multiLevelType w:val="hybridMultilevel"/>
    <w:tmpl w:val="3A02BBCC"/>
    <w:lvl w:ilvl="0" w:tplc="23C82FB2">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7">
    <w:nsid w:val="62EB1E03"/>
    <w:multiLevelType w:val="hybridMultilevel"/>
    <w:tmpl w:val="268E817E"/>
    <w:lvl w:ilvl="0" w:tplc="4AB43808">
      <w:start w:val="1"/>
      <w:numFmt w:val="bullet"/>
      <w:lvlText w:val="l"/>
      <w:lvlJc w:val="left"/>
      <w:pPr>
        <w:tabs>
          <w:tab w:val="num" w:pos="720"/>
        </w:tabs>
        <w:ind w:left="720" w:hanging="360"/>
      </w:pPr>
      <w:rPr>
        <w:rFonts w:ascii="Wingdings" w:hAnsi="Wingdings" w:hint="default"/>
      </w:rPr>
    </w:lvl>
    <w:lvl w:ilvl="1" w:tplc="DACEA2CE" w:tentative="1">
      <w:start w:val="1"/>
      <w:numFmt w:val="bullet"/>
      <w:lvlText w:val="l"/>
      <w:lvlJc w:val="left"/>
      <w:pPr>
        <w:tabs>
          <w:tab w:val="num" w:pos="1440"/>
        </w:tabs>
        <w:ind w:left="1440" w:hanging="360"/>
      </w:pPr>
      <w:rPr>
        <w:rFonts w:ascii="Wingdings" w:hAnsi="Wingdings" w:hint="default"/>
      </w:rPr>
    </w:lvl>
    <w:lvl w:ilvl="2" w:tplc="5D001E6C" w:tentative="1">
      <w:start w:val="1"/>
      <w:numFmt w:val="bullet"/>
      <w:lvlText w:val="l"/>
      <w:lvlJc w:val="left"/>
      <w:pPr>
        <w:tabs>
          <w:tab w:val="num" w:pos="2160"/>
        </w:tabs>
        <w:ind w:left="2160" w:hanging="360"/>
      </w:pPr>
      <w:rPr>
        <w:rFonts w:ascii="Wingdings" w:hAnsi="Wingdings" w:hint="default"/>
      </w:rPr>
    </w:lvl>
    <w:lvl w:ilvl="3" w:tplc="8B7C9920" w:tentative="1">
      <w:start w:val="1"/>
      <w:numFmt w:val="bullet"/>
      <w:lvlText w:val="l"/>
      <w:lvlJc w:val="left"/>
      <w:pPr>
        <w:tabs>
          <w:tab w:val="num" w:pos="2880"/>
        </w:tabs>
        <w:ind w:left="2880" w:hanging="360"/>
      </w:pPr>
      <w:rPr>
        <w:rFonts w:ascii="Wingdings" w:hAnsi="Wingdings" w:hint="default"/>
      </w:rPr>
    </w:lvl>
    <w:lvl w:ilvl="4" w:tplc="F1E80222" w:tentative="1">
      <w:start w:val="1"/>
      <w:numFmt w:val="bullet"/>
      <w:lvlText w:val="l"/>
      <w:lvlJc w:val="left"/>
      <w:pPr>
        <w:tabs>
          <w:tab w:val="num" w:pos="3600"/>
        </w:tabs>
        <w:ind w:left="3600" w:hanging="360"/>
      </w:pPr>
      <w:rPr>
        <w:rFonts w:ascii="Wingdings" w:hAnsi="Wingdings" w:hint="default"/>
      </w:rPr>
    </w:lvl>
    <w:lvl w:ilvl="5" w:tplc="093CA95E" w:tentative="1">
      <w:start w:val="1"/>
      <w:numFmt w:val="bullet"/>
      <w:lvlText w:val="l"/>
      <w:lvlJc w:val="left"/>
      <w:pPr>
        <w:tabs>
          <w:tab w:val="num" w:pos="4320"/>
        </w:tabs>
        <w:ind w:left="4320" w:hanging="360"/>
      </w:pPr>
      <w:rPr>
        <w:rFonts w:ascii="Wingdings" w:hAnsi="Wingdings" w:hint="default"/>
      </w:rPr>
    </w:lvl>
    <w:lvl w:ilvl="6" w:tplc="F80C965E" w:tentative="1">
      <w:start w:val="1"/>
      <w:numFmt w:val="bullet"/>
      <w:lvlText w:val="l"/>
      <w:lvlJc w:val="left"/>
      <w:pPr>
        <w:tabs>
          <w:tab w:val="num" w:pos="5040"/>
        </w:tabs>
        <w:ind w:left="5040" w:hanging="360"/>
      </w:pPr>
      <w:rPr>
        <w:rFonts w:ascii="Wingdings" w:hAnsi="Wingdings" w:hint="default"/>
      </w:rPr>
    </w:lvl>
    <w:lvl w:ilvl="7" w:tplc="02EECE8C" w:tentative="1">
      <w:start w:val="1"/>
      <w:numFmt w:val="bullet"/>
      <w:lvlText w:val="l"/>
      <w:lvlJc w:val="left"/>
      <w:pPr>
        <w:tabs>
          <w:tab w:val="num" w:pos="5760"/>
        </w:tabs>
        <w:ind w:left="5760" w:hanging="360"/>
      </w:pPr>
      <w:rPr>
        <w:rFonts w:ascii="Wingdings" w:hAnsi="Wingdings" w:hint="default"/>
      </w:rPr>
    </w:lvl>
    <w:lvl w:ilvl="8" w:tplc="47F851C0" w:tentative="1">
      <w:start w:val="1"/>
      <w:numFmt w:val="bullet"/>
      <w:lvlText w:val="l"/>
      <w:lvlJc w:val="left"/>
      <w:pPr>
        <w:tabs>
          <w:tab w:val="num" w:pos="6480"/>
        </w:tabs>
        <w:ind w:left="6480" w:hanging="360"/>
      </w:pPr>
      <w:rPr>
        <w:rFonts w:ascii="Wingdings" w:hAnsi="Wingdings" w:hint="default"/>
      </w:rPr>
    </w:lvl>
  </w:abstractNum>
  <w:abstractNum w:abstractNumId="18">
    <w:nsid w:val="6B072E86"/>
    <w:multiLevelType w:val="multilevel"/>
    <w:tmpl w:val="039E3BC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70D97887"/>
    <w:multiLevelType w:val="multilevel"/>
    <w:tmpl w:val="AE26943C"/>
    <w:lvl w:ilvl="0">
      <w:start w:val="1"/>
      <w:numFmt w:val="chineseCountingThousand"/>
      <w:suff w:val="nothing"/>
      <w:lvlText w:val="第%1章"/>
      <w:lvlJc w:val="left"/>
      <w:pPr>
        <w:ind w:left="0" w:firstLine="288"/>
      </w:pPr>
      <w:rPr>
        <w:rFonts w:hint="eastAsia"/>
      </w:rPr>
    </w:lvl>
    <w:lvl w:ilvl="1">
      <w:start w:val="1"/>
      <w:numFmt w:val="none"/>
      <w:suff w:val="nothing"/>
      <w:lvlText w:val=""/>
      <w:lvlJc w:val="left"/>
      <w:pPr>
        <w:ind w:left="0" w:firstLine="0"/>
      </w:pPr>
      <w:rPr>
        <w:rFonts w:hint="eastAsia"/>
      </w:rPr>
    </w:lvl>
    <w:lvl w:ilvl="2">
      <w:start w:val="1"/>
      <w:numFmt w:val="none"/>
      <w:suff w:val="nothing"/>
      <w:lvlText w:val=""/>
      <w:lvlJc w:val="left"/>
      <w:pPr>
        <w:ind w:left="0" w:firstLine="0"/>
      </w:pPr>
      <w:rPr>
        <w:rFonts w:hint="eastAsia"/>
      </w:rPr>
    </w:lvl>
    <w:lvl w:ilvl="3">
      <w:start w:val="1"/>
      <w:numFmt w:val="none"/>
      <w:pStyle w:val="4"/>
      <w:suff w:val="nothing"/>
      <w:lvlText w:val=""/>
      <w:lvlJc w:val="left"/>
      <w:pPr>
        <w:ind w:left="0" w:firstLine="0"/>
      </w:pPr>
      <w:rPr>
        <w:rFonts w:hint="eastAsia"/>
      </w:rPr>
    </w:lvl>
    <w:lvl w:ilvl="4">
      <w:start w:val="1"/>
      <w:numFmt w:val="none"/>
      <w:pStyle w:val="5"/>
      <w:suff w:val="nothing"/>
      <w:lvlText w:val=""/>
      <w:lvlJc w:val="left"/>
      <w:pPr>
        <w:ind w:left="0" w:firstLine="0"/>
      </w:pPr>
      <w:rPr>
        <w:rFonts w:hint="eastAsia"/>
      </w:rPr>
    </w:lvl>
    <w:lvl w:ilvl="5">
      <w:start w:val="1"/>
      <w:numFmt w:val="none"/>
      <w:pStyle w:val="6"/>
      <w:suff w:val="nothing"/>
      <w:lvlText w:val=""/>
      <w:lvlJc w:val="left"/>
      <w:pPr>
        <w:ind w:left="0" w:firstLine="0"/>
      </w:pPr>
      <w:rPr>
        <w:rFonts w:hint="eastAsia"/>
      </w:rPr>
    </w:lvl>
    <w:lvl w:ilvl="6">
      <w:start w:val="1"/>
      <w:numFmt w:val="none"/>
      <w:pStyle w:val="7"/>
      <w:suff w:val="nothing"/>
      <w:lvlText w:val=""/>
      <w:lvlJc w:val="left"/>
      <w:pPr>
        <w:ind w:left="0" w:firstLine="0"/>
      </w:pPr>
      <w:rPr>
        <w:rFonts w:hint="eastAsia"/>
      </w:rPr>
    </w:lvl>
    <w:lvl w:ilvl="7">
      <w:start w:val="1"/>
      <w:numFmt w:val="none"/>
      <w:pStyle w:val="8"/>
      <w:suff w:val="nothing"/>
      <w:lvlText w:val=""/>
      <w:lvlJc w:val="left"/>
      <w:pPr>
        <w:ind w:left="0" w:firstLine="0"/>
      </w:pPr>
      <w:rPr>
        <w:rFonts w:hint="eastAsia"/>
      </w:rPr>
    </w:lvl>
    <w:lvl w:ilvl="8">
      <w:start w:val="1"/>
      <w:numFmt w:val="none"/>
      <w:pStyle w:val="9"/>
      <w:suff w:val="nothing"/>
      <w:lvlText w:val=""/>
      <w:lvlJc w:val="left"/>
      <w:pPr>
        <w:ind w:left="0" w:firstLine="0"/>
      </w:pPr>
      <w:rPr>
        <w:rFonts w:hint="eastAsia"/>
      </w:rPr>
    </w:lvl>
  </w:abstractNum>
  <w:abstractNum w:abstractNumId="20">
    <w:nsid w:val="793367A1"/>
    <w:multiLevelType w:val="hybridMultilevel"/>
    <w:tmpl w:val="30CA437C"/>
    <w:lvl w:ilvl="0" w:tplc="974A7BA0">
      <w:start w:val="1"/>
      <w:numFmt w:val="decimal"/>
      <w:lvlText w:val="（%1）"/>
      <w:lvlJc w:val="left"/>
      <w:pPr>
        <w:ind w:left="1140" w:hanging="7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1">
    <w:nsid w:val="7A1C44C0"/>
    <w:multiLevelType w:val="hybridMultilevel"/>
    <w:tmpl w:val="08C2359C"/>
    <w:lvl w:ilvl="0" w:tplc="5B7AC076">
      <w:start w:val="1"/>
      <w:numFmt w:val="decimalEnclosedCircle"/>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num w:numId="1">
    <w:abstractNumId w:val="19"/>
  </w:num>
  <w:num w:numId="2">
    <w:abstractNumId w:val="3"/>
  </w:num>
  <w:num w:numId="3">
    <w:abstractNumId w:val="12"/>
  </w:num>
  <w:num w:numId="4">
    <w:abstractNumId w:val="4"/>
  </w:num>
  <w:num w:numId="5">
    <w:abstractNumId w:val="5"/>
  </w:num>
  <w:num w:numId="6">
    <w:abstractNumId w:val="6"/>
  </w:num>
  <w:num w:numId="7">
    <w:abstractNumId w:val="18"/>
  </w:num>
  <w:num w:numId="8">
    <w:abstractNumId w:val="11"/>
  </w:num>
  <w:num w:numId="9">
    <w:abstractNumId w:val="17"/>
  </w:num>
  <w:num w:numId="10">
    <w:abstractNumId w:val="14"/>
  </w:num>
  <w:num w:numId="11">
    <w:abstractNumId w:val="10"/>
  </w:num>
  <w:num w:numId="12">
    <w:abstractNumId w:val="0"/>
  </w:num>
  <w:num w:numId="13">
    <w:abstractNumId w:val="13"/>
  </w:num>
  <w:num w:numId="14">
    <w:abstractNumId w:val="16"/>
  </w:num>
  <w:num w:numId="15">
    <w:abstractNumId w:val="7"/>
  </w:num>
  <w:num w:numId="16">
    <w:abstractNumId w:val="21"/>
  </w:num>
  <w:num w:numId="17">
    <w:abstractNumId w:val="2"/>
  </w:num>
  <w:num w:numId="18">
    <w:abstractNumId w:val="20"/>
  </w:num>
  <w:num w:numId="19">
    <w:abstractNumId w:val="15"/>
  </w:num>
  <w:num w:numId="20">
    <w:abstractNumId w:val="1"/>
  </w:num>
  <w:num w:numId="21">
    <w:abstractNumId w:val="9"/>
  </w:num>
  <w:num w:numId="22">
    <w:abstractNumId w:val="8"/>
  </w:num>
  <w:numIdMacAtCleanup w:val="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邢轲">
    <w15:presenceInfo w15:providerId="Windows Live" w15:userId="4beed050717774f8"/>
  </w15:person>
  <w15:person w15:author="huangmeng">
    <w15:presenceInfo w15:providerId="AD" w15:userId="S-1-5-21-963328495-2441503316-2980050850-470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hideSpelling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formatting="1" w:enforcement="0"/>
  <w:defaultTabStop w:val="420"/>
  <w:drawingGridHorizontalSpacing w:val="120"/>
  <w:drawingGridVerticalSpacing w:val="163"/>
  <w:displayHorizontalDrawingGridEvery w:val="0"/>
  <w:displayVerticalDrawingGridEvery w:val="2"/>
  <w:characterSpacingControl w:val="compressPunctuation"/>
  <w:hdrShapeDefaults>
    <o:shapedefaults v:ext="edit" spidmax="2096"/>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E33E1"/>
    <w:rsid w:val="000002C5"/>
    <w:rsid w:val="00000424"/>
    <w:rsid w:val="000004B4"/>
    <w:rsid w:val="00000CCF"/>
    <w:rsid w:val="00001189"/>
    <w:rsid w:val="00001676"/>
    <w:rsid w:val="00001E8E"/>
    <w:rsid w:val="00001F90"/>
    <w:rsid w:val="0000203F"/>
    <w:rsid w:val="00002DCA"/>
    <w:rsid w:val="000035EF"/>
    <w:rsid w:val="0000370A"/>
    <w:rsid w:val="00003FE6"/>
    <w:rsid w:val="0000468C"/>
    <w:rsid w:val="0000529D"/>
    <w:rsid w:val="00005A03"/>
    <w:rsid w:val="00007423"/>
    <w:rsid w:val="00007472"/>
    <w:rsid w:val="000075D4"/>
    <w:rsid w:val="00007E5A"/>
    <w:rsid w:val="00007F2A"/>
    <w:rsid w:val="0001066F"/>
    <w:rsid w:val="00010751"/>
    <w:rsid w:val="00010B76"/>
    <w:rsid w:val="00011127"/>
    <w:rsid w:val="00011420"/>
    <w:rsid w:val="00011462"/>
    <w:rsid w:val="00012196"/>
    <w:rsid w:val="00012414"/>
    <w:rsid w:val="000127AA"/>
    <w:rsid w:val="0001375E"/>
    <w:rsid w:val="00014124"/>
    <w:rsid w:val="000142E0"/>
    <w:rsid w:val="00014499"/>
    <w:rsid w:val="000145B9"/>
    <w:rsid w:val="00014905"/>
    <w:rsid w:val="00014AA0"/>
    <w:rsid w:val="00014BD4"/>
    <w:rsid w:val="000151DF"/>
    <w:rsid w:val="00015F39"/>
    <w:rsid w:val="0001628F"/>
    <w:rsid w:val="00016C1E"/>
    <w:rsid w:val="00020450"/>
    <w:rsid w:val="0002047B"/>
    <w:rsid w:val="000209F4"/>
    <w:rsid w:val="00020C0A"/>
    <w:rsid w:val="00020C20"/>
    <w:rsid w:val="00020DD3"/>
    <w:rsid w:val="000212E2"/>
    <w:rsid w:val="00021525"/>
    <w:rsid w:val="0002178F"/>
    <w:rsid w:val="00021EBD"/>
    <w:rsid w:val="00022525"/>
    <w:rsid w:val="00023918"/>
    <w:rsid w:val="00023B24"/>
    <w:rsid w:val="00023DE8"/>
    <w:rsid w:val="00023F98"/>
    <w:rsid w:val="000242AC"/>
    <w:rsid w:val="0002439D"/>
    <w:rsid w:val="000247C0"/>
    <w:rsid w:val="00025942"/>
    <w:rsid w:val="00025FB0"/>
    <w:rsid w:val="000260EC"/>
    <w:rsid w:val="00026174"/>
    <w:rsid w:val="0002622F"/>
    <w:rsid w:val="0002666D"/>
    <w:rsid w:val="0002667B"/>
    <w:rsid w:val="00026B61"/>
    <w:rsid w:val="0002728F"/>
    <w:rsid w:val="000278F9"/>
    <w:rsid w:val="0003009E"/>
    <w:rsid w:val="000309BC"/>
    <w:rsid w:val="00030A9A"/>
    <w:rsid w:val="00030ABE"/>
    <w:rsid w:val="00030F6C"/>
    <w:rsid w:val="000314AC"/>
    <w:rsid w:val="00031A7F"/>
    <w:rsid w:val="00032562"/>
    <w:rsid w:val="00032628"/>
    <w:rsid w:val="00032A89"/>
    <w:rsid w:val="00032BB6"/>
    <w:rsid w:val="00032BC4"/>
    <w:rsid w:val="0003394A"/>
    <w:rsid w:val="0003423C"/>
    <w:rsid w:val="00034629"/>
    <w:rsid w:val="000346A4"/>
    <w:rsid w:val="00034D11"/>
    <w:rsid w:val="000350FA"/>
    <w:rsid w:val="00035628"/>
    <w:rsid w:val="0003619E"/>
    <w:rsid w:val="00036A09"/>
    <w:rsid w:val="00036D83"/>
    <w:rsid w:val="00037AD4"/>
    <w:rsid w:val="00037E4A"/>
    <w:rsid w:val="000407C1"/>
    <w:rsid w:val="00040C27"/>
    <w:rsid w:val="00040DD3"/>
    <w:rsid w:val="00040E94"/>
    <w:rsid w:val="00040F3F"/>
    <w:rsid w:val="00041196"/>
    <w:rsid w:val="000419CC"/>
    <w:rsid w:val="00042A62"/>
    <w:rsid w:val="00042DF1"/>
    <w:rsid w:val="000430BF"/>
    <w:rsid w:val="00043202"/>
    <w:rsid w:val="00043FD6"/>
    <w:rsid w:val="00044FCC"/>
    <w:rsid w:val="000452AF"/>
    <w:rsid w:val="00045525"/>
    <w:rsid w:val="00045B1D"/>
    <w:rsid w:val="00046072"/>
    <w:rsid w:val="0004642F"/>
    <w:rsid w:val="0004667F"/>
    <w:rsid w:val="00046870"/>
    <w:rsid w:val="00046D3B"/>
    <w:rsid w:val="00047018"/>
    <w:rsid w:val="0004711B"/>
    <w:rsid w:val="00047433"/>
    <w:rsid w:val="00047A13"/>
    <w:rsid w:val="00047C7E"/>
    <w:rsid w:val="000500E6"/>
    <w:rsid w:val="000506EB"/>
    <w:rsid w:val="00050972"/>
    <w:rsid w:val="00051B10"/>
    <w:rsid w:val="00051BC4"/>
    <w:rsid w:val="00051FF2"/>
    <w:rsid w:val="000525F8"/>
    <w:rsid w:val="000527AC"/>
    <w:rsid w:val="0005292F"/>
    <w:rsid w:val="00052B1D"/>
    <w:rsid w:val="00052E9B"/>
    <w:rsid w:val="00053A26"/>
    <w:rsid w:val="00053BDA"/>
    <w:rsid w:val="00053CD4"/>
    <w:rsid w:val="000540CB"/>
    <w:rsid w:val="00054195"/>
    <w:rsid w:val="000541F3"/>
    <w:rsid w:val="00054222"/>
    <w:rsid w:val="0005466B"/>
    <w:rsid w:val="00054AEC"/>
    <w:rsid w:val="00055316"/>
    <w:rsid w:val="000555A0"/>
    <w:rsid w:val="00055D83"/>
    <w:rsid w:val="0005622D"/>
    <w:rsid w:val="000567D4"/>
    <w:rsid w:val="000572EC"/>
    <w:rsid w:val="000576E8"/>
    <w:rsid w:val="00060E6D"/>
    <w:rsid w:val="000612E6"/>
    <w:rsid w:val="000616AD"/>
    <w:rsid w:val="00061849"/>
    <w:rsid w:val="00061DE9"/>
    <w:rsid w:val="00062446"/>
    <w:rsid w:val="0006291D"/>
    <w:rsid w:val="000629BF"/>
    <w:rsid w:val="000629DC"/>
    <w:rsid w:val="00062A00"/>
    <w:rsid w:val="000638BB"/>
    <w:rsid w:val="000638FC"/>
    <w:rsid w:val="0006391E"/>
    <w:rsid w:val="00063A43"/>
    <w:rsid w:val="00063C51"/>
    <w:rsid w:val="000641F2"/>
    <w:rsid w:val="0006425C"/>
    <w:rsid w:val="00064565"/>
    <w:rsid w:val="00064796"/>
    <w:rsid w:val="0006487E"/>
    <w:rsid w:val="00065363"/>
    <w:rsid w:val="00065499"/>
    <w:rsid w:val="00065616"/>
    <w:rsid w:val="00065656"/>
    <w:rsid w:val="00065DD4"/>
    <w:rsid w:val="00065FA9"/>
    <w:rsid w:val="00066E08"/>
    <w:rsid w:val="00067581"/>
    <w:rsid w:val="000705CC"/>
    <w:rsid w:val="000707B2"/>
    <w:rsid w:val="00070A93"/>
    <w:rsid w:val="00071684"/>
    <w:rsid w:val="00072331"/>
    <w:rsid w:val="00072D88"/>
    <w:rsid w:val="0007316F"/>
    <w:rsid w:val="000733B0"/>
    <w:rsid w:val="000737B4"/>
    <w:rsid w:val="00073B2B"/>
    <w:rsid w:val="000742FC"/>
    <w:rsid w:val="0007467C"/>
    <w:rsid w:val="00074EA7"/>
    <w:rsid w:val="0007521D"/>
    <w:rsid w:val="00075534"/>
    <w:rsid w:val="00075729"/>
    <w:rsid w:val="00075DE7"/>
    <w:rsid w:val="00076022"/>
    <w:rsid w:val="0007639A"/>
    <w:rsid w:val="0007663C"/>
    <w:rsid w:val="000767B6"/>
    <w:rsid w:val="000767C8"/>
    <w:rsid w:val="0007774B"/>
    <w:rsid w:val="0007798C"/>
    <w:rsid w:val="00077A4C"/>
    <w:rsid w:val="00077D15"/>
    <w:rsid w:val="00080199"/>
    <w:rsid w:val="000803D1"/>
    <w:rsid w:val="0008092B"/>
    <w:rsid w:val="000816A6"/>
    <w:rsid w:val="00081769"/>
    <w:rsid w:val="00081F3F"/>
    <w:rsid w:val="0008230F"/>
    <w:rsid w:val="000824DE"/>
    <w:rsid w:val="00082956"/>
    <w:rsid w:val="000835E4"/>
    <w:rsid w:val="00083B6A"/>
    <w:rsid w:val="00083DE7"/>
    <w:rsid w:val="00083F00"/>
    <w:rsid w:val="0008415D"/>
    <w:rsid w:val="0008443A"/>
    <w:rsid w:val="0008453F"/>
    <w:rsid w:val="00084FDD"/>
    <w:rsid w:val="0008550D"/>
    <w:rsid w:val="000864B1"/>
    <w:rsid w:val="00086543"/>
    <w:rsid w:val="0008780B"/>
    <w:rsid w:val="000878A8"/>
    <w:rsid w:val="00090AB1"/>
    <w:rsid w:val="00090D4C"/>
    <w:rsid w:val="00090F21"/>
    <w:rsid w:val="00091C43"/>
    <w:rsid w:val="00091CE3"/>
    <w:rsid w:val="0009256F"/>
    <w:rsid w:val="0009263F"/>
    <w:rsid w:val="0009296A"/>
    <w:rsid w:val="000929D8"/>
    <w:rsid w:val="00092C72"/>
    <w:rsid w:val="00093234"/>
    <w:rsid w:val="000933F9"/>
    <w:rsid w:val="00093627"/>
    <w:rsid w:val="0009444C"/>
    <w:rsid w:val="000944DF"/>
    <w:rsid w:val="00094602"/>
    <w:rsid w:val="000947A6"/>
    <w:rsid w:val="000948EB"/>
    <w:rsid w:val="00094955"/>
    <w:rsid w:val="000952ED"/>
    <w:rsid w:val="000966E8"/>
    <w:rsid w:val="00096862"/>
    <w:rsid w:val="00096F07"/>
    <w:rsid w:val="00097120"/>
    <w:rsid w:val="0009755D"/>
    <w:rsid w:val="00097BFE"/>
    <w:rsid w:val="000A026A"/>
    <w:rsid w:val="000A08C7"/>
    <w:rsid w:val="000A0990"/>
    <w:rsid w:val="000A0F5C"/>
    <w:rsid w:val="000A1A89"/>
    <w:rsid w:val="000A27E3"/>
    <w:rsid w:val="000A2E5B"/>
    <w:rsid w:val="000A30A9"/>
    <w:rsid w:val="000A334D"/>
    <w:rsid w:val="000A350F"/>
    <w:rsid w:val="000A361D"/>
    <w:rsid w:val="000A37AA"/>
    <w:rsid w:val="000A3A7B"/>
    <w:rsid w:val="000A3F1E"/>
    <w:rsid w:val="000A4781"/>
    <w:rsid w:val="000A530D"/>
    <w:rsid w:val="000A57D3"/>
    <w:rsid w:val="000A5AD5"/>
    <w:rsid w:val="000A5F96"/>
    <w:rsid w:val="000A62C6"/>
    <w:rsid w:val="000A6A49"/>
    <w:rsid w:val="000A6B90"/>
    <w:rsid w:val="000A6D60"/>
    <w:rsid w:val="000A729F"/>
    <w:rsid w:val="000A7548"/>
    <w:rsid w:val="000A7699"/>
    <w:rsid w:val="000A7E0E"/>
    <w:rsid w:val="000B035C"/>
    <w:rsid w:val="000B0F38"/>
    <w:rsid w:val="000B1126"/>
    <w:rsid w:val="000B159F"/>
    <w:rsid w:val="000B1946"/>
    <w:rsid w:val="000B21A8"/>
    <w:rsid w:val="000B2C2D"/>
    <w:rsid w:val="000B3841"/>
    <w:rsid w:val="000B3928"/>
    <w:rsid w:val="000B43EB"/>
    <w:rsid w:val="000B457B"/>
    <w:rsid w:val="000B4F63"/>
    <w:rsid w:val="000B6FD4"/>
    <w:rsid w:val="000B6FF7"/>
    <w:rsid w:val="000B7071"/>
    <w:rsid w:val="000C04AD"/>
    <w:rsid w:val="000C083C"/>
    <w:rsid w:val="000C0884"/>
    <w:rsid w:val="000C0C33"/>
    <w:rsid w:val="000C178A"/>
    <w:rsid w:val="000C1F97"/>
    <w:rsid w:val="000C23AD"/>
    <w:rsid w:val="000C2528"/>
    <w:rsid w:val="000C2A44"/>
    <w:rsid w:val="000C3504"/>
    <w:rsid w:val="000C3DF9"/>
    <w:rsid w:val="000C3F9E"/>
    <w:rsid w:val="000C44D8"/>
    <w:rsid w:val="000C4896"/>
    <w:rsid w:val="000C4D0F"/>
    <w:rsid w:val="000C4E68"/>
    <w:rsid w:val="000C4EB0"/>
    <w:rsid w:val="000C5694"/>
    <w:rsid w:val="000C587A"/>
    <w:rsid w:val="000C5995"/>
    <w:rsid w:val="000C5CC2"/>
    <w:rsid w:val="000C6487"/>
    <w:rsid w:val="000C731A"/>
    <w:rsid w:val="000C7329"/>
    <w:rsid w:val="000C7C26"/>
    <w:rsid w:val="000D0DCE"/>
    <w:rsid w:val="000D0E3A"/>
    <w:rsid w:val="000D0F68"/>
    <w:rsid w:val="000D106E"/>
    <w:rsid w:val="000D1252"/>
    <w:rsid w:val="000D1305"/>
    <w:rsid w:val="000D1803"/>
    <w:rsid w:val="000D188E"/>
    <w:rsid w:val="000D1CD5"/>
    <w:rsid w:val="000D2304"/>
    <w:rsid w:val="000D2F12"/>
    <w:rsid w:val="000D3871"/>
    <w:rsid w:val="000D38C8"/>
    <w:rsid w:val="000D4629"/>
    <w:rsid w:val="000D4B73"/>
    <w:rsid w:val="000D5139"/>
    <w:rsid w:val="000D5574"/>
    <w:rsid w:val="000D5721"/>
    <w:rsid w:val="000D5981"/>
    <w:rsid w:val="000D5F95"/>
    <w:rsid w:val="000D6279"/>
    <w:rsid w:val="000D6A74"/>
    <w:rsid w:val="000D6AF7"/>
    <w:rsid w:val="000D6D21"/>
    <w:rsid w:val="000D6FA7"/>
    <w:rsid w:val="000D71BB"/>
    <w:rsid w:val="000D71C8"/>
    <w:rsid w:val="000D72B7"/>
    <w:rsid w:val="000E0C20"/>
    <w:rsid w:val="000E0D23"/>
    <w:rsid w:val="000E1527"/>
    <w:rsid w:val="000E166D"/>
    <w:rsid w:val="000E187A"/>
    <w:rsid w:val="000E18F6"/>
    <w:rsid w:val="000E1D3E"/>
    <w:rsid w:val="000E2099"/>
    <w:rsid w:val="000E238C"/>
    <w:rsid w:val="000E27F6"/>
    <w:rsid w:val="000E31F9"/>
    <w:rsid w:val="000E3416"/>
    <w:rsid w:val="000E3484"/>
    <w:rsid w:val="000E371E"/>
    <w:rsid w:val="000E395C"/>
    <w:rsid w:val="000E3AF2"/>
    <w:rsid w:val="000E493A"/>
    <w:rsid w:val="000E52C2"/>
    <w:rsid w:val="000E642E"/>
    <w:rsid w:val="000E6693"/>
    <w:rsid w:val="000E69BA"/>
    <w:rsid w:val="000E775F"/>
    <w:rsid w:val="000E783B"/>
    <w:rsid w:val="000E7B77"/>
    <w:rsid w:val="000E7C1F"/>
    <w:rsid w:val="000E7E90"/>
    <w:rsid w:val="000F086C"/>
    <w:rsid w:val="000F0EC1"/>
    <w:rsid w:val="000F128D"/>
    <w:rsid w:val="000F13E7"/>
    <w:rsid w:val="000F17E5"/>
    <w:rsid w:val="000F23D3"/>
    <w:rsid w:val="000F256D"/>
    <w:rsid w:val="000F2DEA"/>
    <w:rsid w:val="000F30A8"/>
    <w:rsid w:val="000F3303"/>
    <w:rsid w:val="000F37C6"/>
    <w:rsid w:val="000F448D"/>
    <w:rsid w:val="000F4786"/>
    <w:rsid w:val="000F4878"/>
    <w:rsid w:val="000F488A"/>
    <w:rsid w:val="000F5F0A"/>
    <w:rsid w:val="000F6091"/>
    <w:rsid w:val="000F61C8"/>
    <w:rsid w:val="000F6617"/>
    <w:rsid w:val="000F6AA2"/>
    <w:rsid w:val="000F6F1D"/>
    <w:rsid w:val="000F7662"/>
    <w:rsid w:val="000F7A93"/>
    <w:rsid w:val="00100CD6"/>
    <w:rsid w:val="00100D4E"/>
    <w:rsid w:val="00101078"/>
    <w:rsid w:val="001016D6"/>
    <w:rsid w:val="00101996"/>
    <w:rsid w:val="001019D5"/>
    <w:rsid w:val="00101B0B"/>
    <w:rsid w:val="00101C22"/>
    <w:rsid w:val="00101D5D"/>
    <w:rsid w:val="00103670"/>
    <w:rsid w:val="001038D6"/>
    <w:rsid w:val="00104B95"/>
    <w:rsid w:val="00104F62"/>
    <w:rsid w:val="00105A74"/>
    <w:rsid w:val="00105DA2"/>
    <w:rsid w:val="00106152"/>
    <w:rsid w:val="001061A6"/>
    <w:rsid w:val="0010681F"/>
    <w:rsid w:val="00107646"/>
    <w:rsid w:val="001078B4"/>
    <w:rsid w:val="001106AA"/>
    <w:rsid w:val="00111B84"/>
    <w:rsid w:val="00111FF3"/>
    <w:rsid w:val="0011292D"/>
    <w:rsid w:val="001134C7"/>
    <w:rsid w:val="00113626"/>
    <w:rsid w:val="00113DFC"/>
    <w:rsid w:val="00114344"/>
    <w:rsid w:val="0011445C"/>
    <w:rsid w:val="00114894"/>
    <w:rsid w:val="00114CA0"/>
    <w:rsid w:val="00114DE1"/>
    <w:rsid w:val="00115160"/>
    <w:rsid w:val="001151F5"/>
    <w:rsid w:val="00115EA6"/>
    <w:rsid w:val="00116056"/>
    <w:rsid w:val="001160D1"/>
    <w:rsid w:val="00116409"/>
    <w:rsid w:val="00116749"/>
    <w:rsid w:val="00116AAB"/>
    <w:rsid w:val="00116B48"/>
    <w:rsid w:val="00116D3C"/>
    <w:rsid w:val="00117990"/>
    <w:rsid w:val="00117A37"/>
    <w:rsid w:val="00117C00"/>
    <w:rsid w:val="00117EB8"/>
    <w:rsid w:val="00120783"/>
    <w:rsid w:val="00121BB7"/>
    <w:rsid w:val="00121C8A"/>
    <w:rsid w:val="001221F7"/>
    <w:rsid w:val="0012276F"/>
    <w:rsid w:val="0012277F"/>
    <w:rsid w:val="00122CBC"/>
    <w:rsid w:val="0012340F"/>
    <w:rsid w:val="00123F51"/>
    <w:rsid w:val="00124BFC"/>
    <w:rsid w:val="00124CCA"/>
    <w:rsid w:val="00125331"/>
    <w:rsid w:val="00125409"/>
    <w:rsid w:val="001255BB"/>
    <w:rsid w:val="00125A12"/>
    <w:rsid w:val="00125AC7"/>
    <w:rsid w:val="00125C20"/>
    <w:rsid w:val="00125E7E"/>
    <w:rsid w:val="00126562"/>
    <w:rsid w:val="001266D3"/>
    <w:rsid w:val="0012683E"/>
    <w:rsid w:val="001269E4"/>
    <w:rsid w:val="00126A17"/>
    <w:rsid w:val="00126F76"/>
    <w:rsid w:val="001272E7"/>
    <w:rsid w:val="00127798"/>
    <w:rsid w:val="00127C21"/>
    <w:rsid w:val="00130315"/>
    <w:rsid w:val="00130326"/>
    <w:rsid w:val="00130A23"/>
    <w:rsid w:val="00130A78"/>
    <w:rsid w:val="00130E64"/>
    <w:rsid w:val="0013106B"/>
    <w:rsid w:val="00131AB8"/>
    <w:rsid w:val="00131D4A"/>
    <w:rsid w:val="001339AA"/>
    <w:rsid w:val="00134130"/>
    <w:rsid w:val="00134A52"/>
    <w:rsid w:val="00134B98"/>
    <w:rsid w:val="001354D8"/>
    <w:rsid w:val="00135A89"/>
    <w:rsid w:val="00135AA1"/>
    <w:rsid w:val="00135E67"/>
    <w:rsid w:val="00135FA9"/>
    <w:rsid w:val="00135FAE"/>
    <w:rsid w:val="001361BE"/>
    <w:rsid w:val="001362DE"/>
    <w:rsid w:val="001364AE"/>
    <w:rsid w:val="001367F2"/>
    <w:rsid w:val="001367F8"/>
    <w:rsid w:val="00136846"/>
    <w:rsid w:val="001369B2"/>
    <w:rsid w:val="00136E2D"/>
    <w:rsid w:val="0013757A"/>
    <w:rsid w:val="0013772C"/>
    <w:rsid w:val="00137880"/>
    <w:rsid w:val="00137E79"/>
    <w:rsid w:val="0014002D"/>
    <w:rsid w:val="001402BC"/>
    <w:rsid w:val="001403A9"/>
    <w:rsid w:val="0014064E"/>
    <w:rsid w:val="001410A6"/>
    <w:rsid w:val="001410AF"/>
    <w:rsid w:val="00141716"/>
    <w:rsid w:val="0014171A"/>
    <w:rsid w:val="00141A92"/>
    <w:rsid w:val="00141DD9"/>
    <w:rsid w:val="0014266D"/>
    <w:rsid w:val="00143157"/>
    <w:rsid w:val="00143475"/>
    <w:rsid w:val="0014424B"/>
    <w:rsid w:val="001447F5"/>
    <w:rsid w:val="0014547A"/>
    <w:rsid w:val="0014584F"/>
    <w:rsid w:val="00146360"/>
    <w:rsid w:val="0014665B"/>
    <w:rsid w:val="00146B86"/>
    <w:rsid w:val="00146B8F"/>
    <w:rsid w:val="00147250"/>
    <w:rsid w:val="001475E1"/>
    <w:rsid w:val="00150CC7"/>
    <w:rsid w:val="00150D48"/>
    <w:rsid w:val="00151F24"/>
    <w:rsid w:val="00151FA0"/>
    <w:rsid w:val="0015220A"/>
    <w:rsid w:val="00152567"/>
    <w:rsid w:val="001525F3"/>
    <w:rsid w:val="001526E1"/>
    <w:rsid w:val="00152865"/>
    <w:rsid w:val="00152E7D"/>
    <w:rsid w:val="00153969"/>
    <w:rsid w:val="0015420A"/>
    <w:rsid w:val="00154313"/>
    <w:rsid w:val="001547C5"/>
    <w:rsid w:val="00154A26"/>
    <w:rsid w:val="00155604"/>
    <w:rsid w:val="00156535"/>
    <w:rsid w:val="00156D8A"/>
    <w:rsid w:val="00157B69"/>
    <w:rsid w:val="00157FA6"/>
    <w:rsid w:val="0016021F"/>
    <w:rsid w:val="00160923"/>
    <w:rsid w:val="00160F3A"/>
    <w:rsid w:val="00161235"/>
    <w:rsid w:val="00161AFF"/>
    <w:rsid w:val="00161C87"/>
    <w:rsid w:val="00161FA4"/>
    <w:rsid w:val="0016244A"/>
    <w:rsid w:val="001628E5"/>
    <w:rsid w:val="00162E78"/>
    <w:rsid w:val="00162F44"/>
    <w:rsid w:val="0016334F"/>
    <w:rsid w:val="00164098"/>
    <w:rsid w:val="001641F1"/>
    <w:rsid w:val="001642B1"/>
    <w:rsid w:val="0016443F"/>
    <w:rsid w:val="0016448E"/>
    <w:rsid w:val="0016467E"/>
    <w:rsid w:val="00164C63"/>
    <w:rsid w:val="00165AB8"/>
    <w:rsid w:val="00165B61"/>
    <w:rsid w:val="00165CEF"/>
    <w:rsid w:val="00165E47"/>
    <w:rsid w:val="0016676A"/>
    <w:rsid w:val="00166C98"/>
    <w:rsid w:val="00166FE7"/>
    <w:rsid w:val="001670A7"/>
    <w:rsid w:val="00167B4E"/>
    <w:rsid w:val="00167BD9"/>
    <w:rsid w:val="00167CA7"/>
    <w:rsid w:val="00167DC9"/>
    <w:rsid w:val="001703E6"/>
    <w:rsid w:val="00170932"/>
    <w:rsid w:val="00170E11"/>
    <w:rsid w:val="00171301"/>
    <w:rsid w:val="00171632"/>
    <w:rsid w:val="001719BE"/>
    <w:rsid w:val="00172359"/>
    <w:rsid w:val="00172483"/>
    <w:rsid w:val="001725DB"/>
    <w:rsid w:val="001726EF"/>
    <w:rsid w:val="00172E78"/>
    <w:rsid w:val="00172FD6"/>
    <w:rsid w:val="0017327D"/>
    <w:rsid w:val="001735CA"/>
    <w:rsid w:val="00173921"/>
    <w:rsid w:val="001743AF"/>
    <w:rsid w:val="00174848"/>
    <w:rsid w:val="00174AE9"/>
    <w:rsid w:val="00174B3F"/>
    <w:rsid w:val="00174F1B"/>
    <w:rsid w:val="00174FD6"/>
    <w:rsid w:val="0017577D"/>
    <w:rsid w:val="001757B3"/>
    <w:rsid w:val="0017581F"/>
    <w:rsid w:val="00175B2F"/>
    <w:rsid w:val="001765CD"/>
    <w:rsid w:val="00176B49"/>
    <w:rsid w:val="00177553"/>
    <w:rsid w:val="00177671"/>
    <w:rsid w:val="0018016E"/>
    <w:rsid w:val="001805D5"/>
    <w:rsid w:val="0018130A"/>
    <w:rsid w:val="00181557"/>
    <w:rsid w:val="00181BA4"/>
    <w:rsid w:val="00181C42"/>
    <w:rsid w:val="0018264F"/>
    <w:rsid w:val="0018295F"/>
    <w:rsid w:val="00183032"/>
    <w:rsid w:val="00183347"/>
    <w:rsid w:val="001834AE"/>
    <w:rsid w:val="001835FE"/>
    <w:rsid w:val="001836A6"/>
    <w:rsid w:val="001837B5"/>
    <w:rsid w:val="00184671"/>
    <w:rsid w:val="00184C01"/>
    <w:rsid w:val="00186506"/>
    <w:rsid w:val="001865A1"/>
    <w:rsid w:val="00186637"/>
    <w:rsid w:val="00186CFC"/>
    <w:rsid w:val="001872ED"/>
    <w:rsid w:val="0018740B"/>
    <w:rsid w:val="00187439"/>
    <w:rsid w:val="00187CF8"/>
    <w:rsid w:val="00187EF5"/>
    <w:rsid w:val="00187F43"/>
    <w:rsid w:val="001918B3"/>
    <w:rsid w:val="001921AF"/>
    <w:rsid w:val="00192211"/>
    <w:rsid w:val="00192411"/>
    <w:rsid w:val="00192674"/>
    <w:rsid w:val="00192B83"/>
    <w:rsid w:val="00193396"/>
    <w:rsid w:val="00193414"/>
    <w:rsid w:val="00193BA5"/>
    <w:rsid w:val="00193D5F"/>
    <w:rsid w:val="00193F01"/>
    <w:rsid w:val="00194466"/>
    <w:rsid w:val="001945EF"/>
    <w:rsid w:val="00195032"/>
    <w:rsid w:val="00195102"/>
    <w:rsid w:val="00195702"/>
    <w:rsid w:val="00195DDF"/>
    <w:rsid w:val="001966A1"/>
    <w:rsid w:val="00196866"/>
    <w:rsid w:val="0019693A"/>
    <w:rsid w:val="00196AC7"/>
    <w:rsid w:val="0019702A"/>
    <w:rsid w:val="0019740C"/>
    <w:rsid w:val="00197508"/>
    <w:rsid w:val="00197570"/>
    <w:rsid w:val="00197F5C"/>
    <w:rsid w:val="001A020E"/>
    <w:rsid w:val="001A03EA"/>
    <w:rsid w:val="001A077B"/>
    <w:rsid w:val="001A0F27"/>
    <w:rsid w:val="001A1359"/>
    <w:rsid w:val="001A1480"/>
    <w:rsid w:val="001A18BD"/>
    <w:rsid w:val="001A1E42"/>
    <w:rsid w:val="001A1E76"/>
    <w:rsid w:val="001A1ECF"/>
    <w:rsid w:val="001A251C"/>
    <w:rsid w:val="001A2BDC"/>
    <w:rsid w:val="001A3967"/>
    <w:rsid w:val="001A3B57"/>
    <w:rsid w:val="001A3E4A"/>
    <w:rsid w:val="001A3E67"/>
    <w:rsid w:val="001A427B"/>
    <w:rsid w:val="001A44F1"/>
    <w:rsid w:val="001A4719"/>
    <w:rsid w:val="001A4C74"/>
    <w:rsid w:val="001A4E9C"/>
    <w:rsid w:val="001A6058"/>
    <w:rsid w:val="001A614C"/>
    <w:rsid w:val="001A6559"/>
    <w:rsid w:val="001A7150"/>
    <w:rsid w:val="001A7ADB"/>
    <w:rsid w:val="001B00B2"/>
    <w:rsid w:val="001B00FA"/>
    <w:rsid w:val="001B0117"/>
    <w:rsid w:val="001B0547"/>
    <w:rsid w:val="001B058A"/>
    <w:rsid w:val="001B08DF"/>
    <w:rsid w:val="001B0A7D"/>
    <w:rsid w:val="001B0EC8"/>
    <w:rsid w:val="001B139F"/>
    <w:rsid w:val="001B168C"/>
    <w:rsid w:val="001B18FF"/>
    <w:rsid w:val="001B1B00"/>
    <w:rsid w:val="001B28E8"/>
    <w:rsid w:val="001B2EA7"/>
    <w:rsid w:val="001B3874"/>
    <w:rsid w:val="001B3A65"/>
    <w:rsid w:val="001B3C28"/>
    <w:rsid w:val="001B3C2E"/>
    <w:rsid w:val="001B3ED0"/>
    <w:rsid w:val="001B3EFD"/>
    <w:rsid w:val="001B4097"/>
    <w:rsid w:val="001B4AC9"/>
    <w:rsid w:val="001B4C59"/>
    <w:rsid w:val="001B54A7"/>
    <w:rsid w:val="001B5BD4"/>
    <w:rsid w:val="001B5CF8"/>
    <w:rsid w:val="001B6482"/>
    <w:rsid w:val="001B67E8"/>
    <w:rsid w:val="001B6EC7"/>
    <w:rsid w:val="001B70BB"/>
    <w:rsid w:val="001B798D"/>
    <w:rsid w:val="001C00D6"/>
    <w:rsid w:val="001C037D"/>
    <w:rsid w:val="001C0B08"/>
    <w:rsid w:val="001C12BA"/>
    <w:rsid w:val="001C17BC"/>
    <w:rsid w:val="001C1A80"/>
    <w:rsid w:val="001C1BAA"/>
    <w:rsid w:val="001C1DBE"/>
    <w:rsid w:val="001C1E91"/>
    <w:rsid w:val="001C1EC0"/>
    <w:rsid w:val="001C204C"/>
    <w:rsid w:val="001C228B"/>
    <w:rsid w:val="001C235A"/>
    <w:rsid w:val="001C274F"/>
    <w:rsid w:val="001C2939"/>
    <w:rsid w:val="001C2B39"/>
    <w:rsid w:val="001C2C17"/>
    <w:rsid w:val="001C2CC8"/>
    <w:rsid w:val="001C4FFC"/>
    <w:rsid w:val="001C5FF3"/>
    <w:rsid w:val="001C6242"/>
    <w:rsid w:val="001C62EA"/>
    <w:rsid w:val="001C637A"/>
    <w:rsid w:val="001C66A5"/>
    <w:rsid w:val="001C6867"/>
    <w:rsid w:val="001C6C78"/>
    <w:rsid w:val="001C7D97"/>
    <w:rsid w:val="001D0B1C"/>
    <w:rsid w:val="001D1C1F"/>
    <w:rsid w:val="001D1EE4"/>
    <w:rsid w:val="001D2165"/>
    <w:rsid w:val="001D2CFF"/>
    <w:rsid w:val="001D2F88"/>
    <w:rsid w:val="001D35CC"/>
    <w:rsid w:val="001D362E"/>
    <w:rsid w:val="001D39E1"/>
    <w:rsid w:val="001D4315"/>
    <w:rsid w:val="001D43B2"/>
    <w:rsid w:val="001D4AF6"/>
    <w:rsid w:val="001D4B77"/>
    <w:rsid w:val="001D4C16"/>
    <w:rsid w:val="001D4DB5"/>
    <w:rsid w:val="001D4EE3"/>
    <w:rsid w:val="001D5F1C"/>
    <w:rsid w:val="001D6189"/>
    <w:rsid w:val="001D633E"/>
    <w:rsid w:val="001D63DF"/>
    <w:rsid w:val="001D63E1"/>
    <w:rsid w:val="001D6699"/>
    <w:rsid w:val="001D66B1"/>
    <w:rsid w:val="001D7092"/>
    <w:rsid w:val="001D773C"/>
    <w:rsid w:val="001E047B"/>
    <w:rsid w:val="001E0558"/>
    <w:rsid w:val="001E0F4A"/>
    <w:rsid w:val="001E129D"/>
    <w:rsid w:val="001E196C"/>
    <w:rsid w:val="001E1ABD"/>
    <w:rsid w:val="001E1B4D"/>
    <w:rsid w:val="001E1CBB"/>
    <w:rsid w:val="001E1D5A"/>
    <w:rsid w:val="001E2021"/>
    <w:rsid w:val="001E2811"/>
    <w:rsid w:val="001E3440"/>
    <w:rsid w:val="001E3F52"/>
    <w:rsid w:val="001E45C0"/>
    <w:rsid w:val="001E5916"/>
    <w:rsid w:val="001E5AA5"/>
    <w:rsid w:val="001E631E"/>
    <w:rsid w:val="001E636E"/>
    <w:rsid w:val="001E677D"/>
    <w:rsid w:val="001E6871"/>
    <w:rsid w:val="001E690E"/>
    <w:rsid w:val="001E6A63"/>
    <w:rsid w:val="001E6B89"/>
    <w:rsid w:val="001E703C"/>
    <w:rsid w:val="001E75CA"/>
    <w:rsid w:val="001E7620"/>
    <w:rsid w:val="001E7B03"/>
    <w:rsid w:val="001E7F52"/>
    <w:rsid w:val="001F0057"/>
    <w:rsid w:val="001F1341"/>
    <w:rsid w:val="001F15D9"/>
    <w:rsid w:val="001F17C3"/>
    <w:rsid w:val="001F2001"/>
    <w:rsid w:val="001F2B4C"/>
    <w:rsid w:val="001F34B1"/>
    <w:rsid w:val="001F38E6"/>
    <w:rsid w:val="001F3FF3"/>
    <w:rsid w:val="001F456C"/>
    <w:rsid w:val="001F4C99"/>
    <w:rsid w:val="001F5150"/>
    <w:rsid w:val="001F5179"/>
    <w:rsid w:val="001F6393"/>
    <w:rsid w:val="001F6C7C"/>
    <w:rsid w:val="001F7BF1"/>
    <w:rsid w:val="002009DF"/>
    <w:rsid w:val="00200D8B"/>
    <w:rsid w:val="00200DDF"/>
    <w:rsid w:val="00201585"/>
    <w:rsid w:val="00201B58"/>
    <w:rsid w:val="00202345"/>
    <w:rsid w:val="00202A60"/>
    <w:rsid w:val="00202DDC"/>
    <w:rsid w:val="00202FF6"/>
    <w:rsid w:val="0020310D"/>
    <w:rsid w:val="002034EE"/>
    <w:rsid w:val="00203CCD"/>
    <w:rsid w:val="00203FC9"/>
    <w:rsid w:val="00204284"/>
    <w:rsid w:val="00204285"/>
    <w:rsid w:val="00204BE9"/>
    <w:rsid w:val="002051AE"/>
    <w:rsid w:val="002053D2"/>
    <w:rsid w:val="00206119"/>
    <w:rsid w:val="00206309"/>
    <w:rsid w:val="00206699"/>
    <w:rsid w:val="00206860"/>
    <w:rsid w:val="0020686D"/>
    <w:rsid w:val="00206C31"/>
    <w:rsid w:val="00207214"/>
    <w:rsid w:val="002079CE"/>
    <w:rsid w:val="00207AB1"/>
    <w:rsid w:val="00207FB5"/>
    <w:rsid w:val="00210170"/>
    <w:rsid w:val="00210265"/>
    <w:rsid w:val="002106D5"/>
    <w:rsid w:val="00210CB4"/>
    <w:rsid w:val="00210D51"/>
    <w:rsid w:val="00211083"/>
    <w:rsid w:val="002111BD"/>
    <w:rsid w:val="002119B7"/>
    <w:rsid w:val="00211BA3"/>
    <w:rsid w:val="00211BEB"/>
    <w:rsid w:val="00211C95"/>
    <w:rsid w:val="00211C97"/>
    <w:rsid w:val="00211D00"/>
    <w:rsid w:val="00212211"/>
    <w:rsid w:val="00212559"/>
    <w:rsid w:val="002125AB"/>
    <w:rsid w:val="00212881"/>
    <w:rsid w:val="002128E3"/>
    <w:rsid w:val="002134A2"/>
    <w:rsid w:val="00213AE8"/>
    <w:rsid w:val="00213B6E"/>
    <w:rsid w:val="00214F38"/>
    <w:rsid w:val="002156DE"/>
    <w:rsid w:val="00216087"/>
    <w:rsid w:val="002164FF"/>
    <w:rsid w:val="00216ABF"/>
    <w:rsid w:val="00216B32"/>
    <w:rsid w:val="00216B7B"/>
    <w:rsid w:val="0021721B"/>
    <w:rsid w:val="00220202"/>
    <w:rsid w:val="00220736"/>
    <w:rsid w:val="002210AC"/>
    <w:rsid w:val="00221814"/>
    <w:rsid w:val="002220AA"/>
    <w:rsid w:val="002223E2"/>
    <w:rsid w:val="00222B12"/>
    <w:rsid w:val="00223382"/>
    <w:rsid w:val="0022340A"/>
    <w:rsid w:val="002235BA"/>
    <w:rsid w:val="00223918"/>
    <w:rsid w:val="00223AE9"/>
    <w:rsid w:val="002243A5"/>
    <w:rsid w:val="002245BD"/>
    <w:rsid w:val="00224EC2"/>
    <w:rsid w:val="002250EF"/>
    <w:rsid w:val="0022543D"/>
    <w:rsid w:val="002266D3"/>
    <w:rsid w:val="0022713F"/>
    <w:rsid w:val="0022739C"/>
    <w:rsid w:val="002275DA"/>
    <w:rsid w:val="002279C3"/>
    <w:rsid w:val="00227B27"/>
    <w:rsid w:val="00227C1F"/>
    <w:rsid w:val="00230D57"/>
    <w:rsid w:val="00231216"/>
    <w:rsid w:val="00231387"/>
    <w:rsid w:val="0023359B"/>
    <w:rsid w:val="002335D5"/>
    <w:rsid w:val="00233764"/>
    <w:rsid w:val="00233936"/>
    <w:rsid w:val="00233E84"/>
    <w:rsid w:val="002344C1"/>
    <w:rsid w:val="00234785"/>
    <w:rsid w:val="002351AD"/>
    <w:rsid w:val="0023591B"/>
    <w:rsid w:val="00235B5C"/>
    <w:rsid w:val="00236043"/>
    <w:rsid w:val="00236C32"/>
    <w:rsid w:val="0023735C"/>
    <w:rsid w:val="002375B2"/>
    <w:rsid w:val="0023794B"/>
    <w:rsid w:val="00237987"/>
    <w:rsid w:val="002405F3"/>
    <w:rsid w:val="002413C2"/>
    <w:rsid w:val="0024173B"/>
    <w:rsid w:val="00242273"/>
    <w:rsid w:val="002422FB"/>
    <w:rsid w:val="00242352"/>
    <w:rsid w:val="002426CD"/>
    <w:rsid w:val="00242771"/>
    <w:rsid w:val="0024388E"/>
    <w:rsid w:val="0024415F"/>
    <w:rsid w:val="00244196"/>
    <w:rsid w:val="00244514"/>
    <w:rsid w:val="00244804"/>
    <w:rsid w:val="00244882"/>
    <w:rsid w:val="00244A97"/>
    <w:rsid w:val="0024542A"/>
    <w:rsid w:val="00245A52"/>
    <w:rsid w:val="00245BED"/>
    <w:rsid w:val="00245D18"/>
    <w:rsid w:val="002463E3"/>
    <w:rsid w:val="00246B2C"/>
    <w:rsid w:val="00246D6A"/>
    <w:rsid w:val="00247672"/>
    <w:rsid w:val="0024782A"/>
    <w:rsid w:val="00250022"/>
    <w:rsid w:val="002500EF"/>
    <w:rsid w:val="00250154"/>
    <w:rsid w:val="0025027B"/>
    <w:rsid w:val="002505B1"/>
    <w:rsid w:val="002509D0"/>
    <w:rsid w:val="00251253"/>
    <w:rsid w:val="00251469"/>
    <w:rsid w:val="0025154D"/>
    <w:rsid w:val="002517EA"/>
    <w:rsid w:val="00251DA5"/>
    <w:rsid w:val="0025235A"/>
    <w:rsid w:val="00252616"/>
    <w:rsid w:val="00253128"/>
    <w:rsid w:val="002531DE"/>
    <w:rsid w:val="00253EFA"/>
    <w:rsid w:val="00254357"/>
    <w:rsid w:val="0025489A"/>
    <w:rsid w:val="00254AE1"/>
    <w:rsid w:val="002553F5"/>
    <w:rsid w:val="00255400"/>
    <w:rsid w:val="00255C9B"/>
    <w:rsid w:val="002565D6"/>
    <w:rsid w:val="00256AE0"/>
    <w:rsid w:val="0025736C"/>
    <w:rsid w:val="00257813"/>
    <w:rsid w:val="00257AFA"/>
    <w:rsid w:val="00257DF7"/>
    <w:rsid w:val="00261C1B"/>
    <w:rsid w:val="00262211"/>
    <w:rsid w:val="00262450"/>
    <w:rsid w:val="00262C30"/>
    <w:rsid w:val="00262D2D"/>
    <w:rsid w:val="002636F9"/>
    <w:rsid w:val="002638F2"/>
    <w:rsid w:val="00263D01"/>
    <w:rsid w:val="00263D38"/>
    <w:rsid w:val="0026418A"/>
    <w:rsid w:val="002641A4"/>
    <w:rsid w:val="002646C1"/>
    <w:rsid w:val="00264BC7"/>
    <w:rsid w:val="00264D08"/>
    <w:rsid w:val="00264DE9"/>
    <w:rsid w:val="0026532D"/>
    <w:rsid w:val="00265684"/>
    <w:rsid w:val="0026594B"/>
    <w:rsid w:val="00265ABE"/>
    <w:rsid w:val="002660B0"/>
    <w:rsid w:val="00266A1E"/>
    <w:rsid w:val="00267FAD"/>
    <w:rsid w:val="00270410"/>
    <w:rsid w:val="00270BE9"/>
    <w:rsid w:val="00270E61"/>
    <w:rsid w:val="00270EE1"/>
    <w:rsid w:val="00271913"/>
    <w:rsid w:val="00271ABC"/>
    <w:rsid w:val="002727AF"/>
    <w:rsid w:val="00272940"/>
    <w:rsid w:val="00272F39"/>
    <w:rsid w:val="002730C2"/>
    <w:rsid w:val="00274017"/>
    <w:rsid w:val="0027447B"/>
    <w:rsid w:val="002744C9"/>
    <w:rsid w:val="00274892"/>
    <w:rsid w:val="00275008"/>
    <w:rsid w:val="00275C97"/>
    <w:rsid w:val="0027633B"/>
    <w:rsid w:val="002763FE"/>
    <w:rsid w:val="002768AA"/>
    <w:rsid w:val="002769EF"/>
    <w:rsid w:val="00276FAE"/>
    <w:rsid w:val="0027722E"/>
    <w:rsid w:val="002775AA"/>
    <w:rsid w:val="00277834"/>
    <w:rsid w:val="00277884"/>
    <w:rsid w:val="0028059E"/>
    <w:rsid w:val="0028122D"/>
    <w:rsid w:val="00281252"/>
    <w:rsid w:val="002813E0"/>
    <w:rsid w:val="0028149A"/>
    <w:rsid w:val="00281B7F"/>
    <w:rsid w:val="00282056"/>
    <w:rsid w:val="00282207"/>
    <w:rsid w:val="002822C1"/>
    <w:rsid w:val="002823AC"/>
    <w:rsid w:val="002828C1"/>
    <w:rsid w:val="002829AA"/>
    <w:rsid w:val="00282A4A"/>
    <w:rsid w:val="00282AAF"/>
    <w:rsid w:val="00282DBE"/>
    <w:rsid w:val="00282EE0"/>
    <w:rsid w:val="0028332A"/>
    <w:rsid w:val="0028336A"/>
    <w:rsid w:val="00283713"/>
    <w:rsid w:val="00284BC9"/>
    <w:rsid w:val="00284C48"/>
    <w:rsid w:val="002851DC"/>
    <w:rsid w:val="00285301"/>
    <w:rsid w:val="002853B3"/>
    <w:rsid w:val="00285B2D"/>
    <w:rsid w:val="00285CB1"/>
    <w:rsid w:val="00285E99"/>
    <w:rsid w:val="0028622B"/>
    <w:rsid w:val="00286603"/>
    <w:rsid w:val="00286B0D"/>
    <w:rsid w:val="00286D58"/>
    <w:rsid w:val="00287F23"/>
    <w:rsid w:val="00290265"/>
    <w:rsid w:val="00290BC0"/>
    <w:rsid w:val="00291643"/>
    <w:rsid w:val="002916AD"/>
    <w:rsid w:val="002923D5"/>
    <w:rsid w:val="00292C43"/>
    <w:rsid w:val="00292EE6"/>
    <w:rsid w:val="002931A0"/>
    <w:rsid w:val="00293FFE"/>
    <w:rsid w:val="00294BAA"/>
    <w:rsid w:val="0029534F"/>
    <w:rsid w:val="00295483"/>
    <w:rsid w:val="002961DE"/>
    <w:rsid w:val="00296461"/>
    <w:rsid w:val="002966C3"/>
    <w:rsid w:val="00296804"/>
    <w:rsid w:val="00296C0E"/>
    <w:rsid w:val="00296D8D"/>
    <w:rsid w:val="00297541"/>
    <w:rsid w:val="00297795"/>
    <w:rsid w:val="00297A36"/>
    <w:rsid w:val="00297AF6"/>
    <w:rsid w:val="002A01F0"/>
    <w:rsid w:val="002A077E"/>
    <w:rsid w:val="002A0B8C"/>
    <w:rsid w:val="002A0BB3"/>
    <w:rsid w:val="002A0EAD"/>
    <w:rsid w:val="002A1743"/>
    <w:rsid w:val="002A17E3"/>
    <w:rsid w:val="002A1A4C"/>
    <w:rsid w:val="002A2704"/>
    <w:rsid w:val="002A289F"/>
    <w:rsid w:val="002A294A"/>
    <w:rsid w:val="002A35D5"/>
    <w:rsid w:val="002A3614"/>
    <w:rsid w:val="002A39D7"/>
    <w:rsid w:val="002A44A4"/>
    <w:rsid w:val="002A4510"/>
    <w:rsid w:val="002A4B49"/>
    <w:rsid w:val="002A65E2"/>
    <w:rsid w:val="002A6912"/>
    <w:rsid w:val="002A6D14"/>
    <w:rsid w:val="002A71C5"/>
    <w:rsid w:val="002A75F9"/>
    <w:rsid w:val="002A76AA"/>
    <w:rsid w:val="002B030B"/>
    <w:rsid w:val="002B0AAB"/>
    <w:rsid w:val="002B0F34"/>
    <w:rsid w:val="002B1D05"/>
    <w:rsid w:val="002B1FFC"/>
    <w:rsid w:val="002B284A"/>
    <w:rsid w:val="002B2942"/>
    <w:rsid w:val="002B2F98"/>
    <w:rsid w:val="002B3643"/>
    <w:rsid w:val="002B47CF"/>
    <w:rsid w:val="002B488A"/>
    <w:rsid w:val="002B4975"/>
    <w:rsid w:val="002B4B3D"/>
    <w:rsid w:val="002B4E57"/>
    <w:rsid w:val="002B4EB2"/>
    <w:rsid w:val="002B5217"/>
    <w:rsid w:val="002B533B"/>
    <w:rsid w:val="002B5445"/>
    <w:rsid w:val="002B5548"/>
    <w:rsid w:val="002B5B29"/>
    <w:rsid w:val="002B6580"/>
    <w:rsid w:val="002B6993"/>
    <w:rsid w:val="002B6BB0"/>
    <w:rsid w:val="002C004F"/>
    <w:rsid w:val="002C02E5"/>
    <w:rsid w:val="002C0BBD"/>
    <w:rsid w:val="002C0FE2"/>
    <w:rsid w:val="002C153B"/>
    <w:rsid w:val="002C1599"/>
    <w:rsid w:val="002C2037"/>
    <w:rsid w:val="002C210B"/>
    <w:rsid w:val="002C22A9"/>
    <w:rsid w:val="002C2588"/>
    <w:rsid w:val="002C2964"/>
    <w:rsid w:val="002C2A86"/>
    <w:rsid w:val="002C2FB0"/>
    <w:rsid w:val="002C3059"/>
    <w:rsid w:val="002C3202"/>
    <w:rsid w:val="002C3A0A"/>
    <w:rsid w:val="002C3AA2"/>
    <w:rsid w:val="002C3B14"/>
    <w:rsid w:val="002C4467"/>
    <w:rsid w:val="002C5076"/>
    <w:rsid w:val="002C54E2"/>
    <w:rsid w:val="002C6646"/>
    <w:rsid w:val="002C6866"/>
    <w:rsid w:val="002C6AD9"/>
    <w:rsid w:val="002C6E5D"/>
    <w:rsid w:val="002C73A9"/>
    <w:rsid w:val="002C745E"/>
    <w:rsid w:val="002D0926"/>
    <w:rsid w:val="002D0E10"/>
    <w:rsid w:val="002D1235"/>
    <w:rsid w:val="002D18C8"/>
    <w:rsid w:val="002D1C9E"/>
    <w:rsid w:val="002D1FD0"/>
    <w:rsid w:val="002D2363"/>
    <w:rsid w:val="002D256D"/>
    <w:rsid w:val="002D2C27"/>
    <w:rsid w:val="002D2F1E"/>
    <w:rsid w:val="002D39AE"/>
    <w:rsid w:val="002D3D0A"/>
    <w:rsid w:val="002D4A9C"/>
    <w:rsid w:val="002D4AF7"/>
    <w:rsid w:val="002D4BB4"/>
    <w:rsid w:val="002D4C99"/>
    <w:rsid w:val="002D5589"/>
    <w:rsid w:val="002D56C6"/>
    <w:rsid w:val="002D5AC7"/>
    <w:rsid w:val="002D5BE0"/>
    <w:rsid w:val="002D6084"/>
    <w:rsid w:val="002D6223"/>
    <w:rsid w:val="002D63F2"/>
    <w:rsid w:val="002D6720"/>
    <w:rsid w:val="002D7AA9"/>
    <w:rsid w:val="002E054E"/>
    <w:rsid w:val="002E0815"/>
    <w:rsid w:val="002E13EE"/>
    <w:rsid w:val="002E216D"/>
    <w:rsid w:val="002E22C1"/>
    <w:rsid w:val="002E2F46"/>
    <w:rsid w:val="002E387B"/>
    <w:rsid w:val="002E38CB"/>
    <w:rsid w:val="002E39D4"/>
    <w:rsid w:val="002E3CFC"/>
    <w:rsid w:val="002E4356"/>
    <w:rsid w:val="002E4366"/>
    <w:rsid w:val="002E45EF"/>
    <w:rsid w:val="002E4A2D"/>
    <w:rsid w:val="002E543B"/>
    <w:rsid w:val="002E54D7"/>
    <w:rsid w:val="002E5761"/>
    <w:rsid w:val="002E5DF6"/>
    <w:rsid w:val="002E5E51"/>
    <w:rsid w:val="002E600D"/>
    <w:rsid w:val="002E64D6"/>
    <w:rsid w:val="002F0164"/>
    <w:rsid w:val="002F03F8"/>
    <w:rsid w:val="002F04CE"/>
    <w:rsid w:val="002F05CA"/>
    <w:rsid w:val="002F0F05"/>
    <w:rsid w:val="002F120B"/>
    <w:rsid w:val="002F123A"/>
    <w:rsid w:val="002F1256"/>
    <w:rsid w:val="002F153A"/>
    <w:rsid w:val="002F1602"/>
    <w:rsid w:val="002F1B38"/>
    <w:rsid w:val="002F1CBB"/>
    <w:rsid w:val="002F1EAD"/>
    <w:rsid w:val="002F2008"/>
    <w:rsid w:val="002F2063"/>
    <w:rsid w:val="002F225B"/>
    <w:rsid w:val="002F2448"/>
    <w:rsid w:val="002F24C4"/>
    <w:rsid w:val="002F2872"/>
    <w:rsid w:val="002F322A"/>
    <w:rsid w:val="002F3920"/>
    <w:rsid w:val="002F3F30"/>
    <w:rsid w:val="002F445B"/>
    <w:rsid w:val="002F53AD"/>
    <w:rsid w:val="002F550D"/>
    <w:rsid w:val="002F5DD8"/>
    <w:rsid w:val="002F605F"/>
    <w:rsid w:val="002F6324"/>
    <w:rsid w:val="002F6E19"/>
    <w:rsid w:val="002F6E1A"/>
    <w:rsid w:val="002F6F20"/>
    <w:rsid w:val="002F73B7"/>
    <w:rsid w:val="002F79B6"/>
    <w:rsid w:val="002F7BDC"/>
    <w:rsid w:val="002F7DEE"/>
    <w:rsid w:val="002F7DFF"/>
    <w:rsid w:val="002F7EBE"/>
    <w:rsid w:val="003001AC"/>
    <w:rsid w:val="00300559"/>
    <w:rsid w:val="00300DDE"/>
    <w:rsid w:val="0030116B"/>
    <w:rsid w:val="00301415"/>
    <w:rsid w:val="00301570"/>
    <w:rsid w:val="00301706"/>
    <w:rsid w:val="00301923"/>
    <w:rsid w:val="00301AB4"/>
    <w:rsid w:val="003027BF"/>
    <w:rsid w:val="00302A8B"/>
    <w:rsid w:val="00302FD2"/>
    <w:rsid w:val="00303E52"/>
    <w:rsid w:val="00304338"/>
    <w:rsid w:val="003050A0"/>
    <w:rsid w:val="0030554B"/>
    <w:rsid w:val="00305FF4"/>
    <w:rsid w:val="003061FA"/>
    <w:rsid w:val="0030679C"/>
    <w:rsid w:val="003070CF"/>
    <w:rsid w:val="0030796B"/>
    <w:rsid w:val="00307C08"/>
    <w:rsid w:val="00307CE1"/>
    <w:rsid w:val="003103FB"/>
    <w:rsid w:val="003107B5"/>
    <w:rsid w:val="0031143E"/>
    <w:rsid w:val="003117AE"/>
    <w:rsid w:val="00311824"/>
    <w:rsid w:val="00311F92"/>
    <w:rsid w:val="00313AB1"/>
    <w:rsid w:val="00313BF2"/>
    <w:rsid w:val="00313CC1"/>
    <w:rsid w:val="00313D17"/>
    <w:rsid w:val="0031411F"/>
    <w:rsid w:val="00314FD0"/>
    <w:rsid w:val="0031525A"/>
    <w:rsid w:val="003162F0"/>
    <w:rsid w:val="00316A2D"/>
    <w:rsid w:val="00316B40"/>
    <w:rsid w:val="003174C0"/>
    <w:rsid w:val="003175F5"/>
    <w:rsid w:val="0031781F"/>
    <w:rsid w:val="00317A5A"/>
    <w:rsid w:val="00317C4F"/>
    <w:rsid w:val="00317C65"/>
    <w:rsid w:val="00317F8A"/>
    <w:rsid w:val="00320D28"/>
    <w:rsid w:val="0032131B"/>
    <w:rsid w:val="00321577"/>
    <w:rsid w:val="00322111"/>
    <w:rsid w:val="00322137"/>
    <w:rsid w:val="003222CD"/>
    <w:rsid w:val="00323AA5"/>
    <w:rsid w:val="00323DAA"/>
    <w:rsid w:val="00323EA4"/>
    <w:rsid w:val="00323FE3"/>
    <w:rsid w:val="0032409B"/>
    <w:rsid w:val="003243EA"/>
    <w:rsid w:val="0032461D"/>
    <w:rsid w:val="00324A8F"/>
    <w:rsid w:val="00325CA2"/>
    <w:rsid w:val="00325D95"/>
    <w:rsid w:val="003262C3"/>
    <w:rsid w:val="003266F4"/>
    <w:rsid w:val="00326707"/>
    <w:rsid w:val="00326A58"/>
    <w:rsid w:val="00326C5C"/>
    <w:rsid w:val="00327000"/>
    <w:rsid w:val="003278A2"/>
    <w:rsid w:val="003278C5"/>
    <w:rsid w:val="00327EC3"/>
    <w:rsid w:val="0033062A"/>
    <w:rsid w:val="003309C0"/>
    <w:rsid w:val="00331AE8"/>
    <w:rsid w:val="003320E6"/>
    <w:rsid w:val="0033213D"/>
    <w:rsid w:val="00332141"/>
    <w:rsid w:val="00332322"/>
    <w:rsid w:val="003323F1"/>
    <w:rsid w:val="00332788"/>
    <w:rsid w:val="00332BDF"/>
    <w:rsid w:val="00333530"/>
    <w:rsid w:val="00334366"/>
    <w:rsid w:val="003344C9"/>
    <w:rsid w:val="00334543"/>
    <w:rsid w:val="00334BB8"/>
    <w:rsid w:val="00334CB2"/>
    <w:rsid w:val="00334F63"/>
    <w:rsid w:val="0033560D"/>
    <w:rsid w:val="003359C3"/>
    <w:rsid w:val="00335E58"/>
    <w:rsid w:val="00336220"/>
    <w:rsid w:val="00336312"/>
    <w:rsid w:val="0033674D"/>
    <w:rsid w:val="00336814"/>
    <w:rsid w:val="00337048"/>
    <w:rsid w:val="0033705D"/>
    <w:rsid w:val="00337064"/>
    <w:rsid w:val="00337441"/>
    <w:rsid w:val="003376A1"/>
    <w:rsid w:val="00337DEC"/>
    <w:rsid w:val="00340946"/>
    <w:rsid w:val="00340DBE"/>
    <w:rsid w:val="00340F9E"/>
    <w:rsid w:val="003421A7"/>
    <w:rsid w:val="003421B3"/>
    <w:rsid w:val="00342844"/>
    <w:rsid w:val="00342B30"/>
    <w:rsid w:val="00343478"/>
    <w:rsid w:val="003439DA"/>
    <w:rsid w:val="00343FBC"/>
    <w:rsid w:val="00344A39"/>
    <w:rsid w:val="00345056"/>
    <w:rsid w:val="003463E9"/>
    <w:rsid w:val="0034654B"/>
    <w:rsid w:val="00347736"/>
    <w:rsid w:val="00347E7F"/>
    <w:rsid w:val="00350924"/>
    <w:rsid w:val="00350A93"/>
    <w:rsid w:val="00350D4E"/>
    <w:rsid w:val="003517C6"/>
    <w:rsid w:val="003519A0"/>
    <w:rsid w:val="0035303D"/>
    <w:rsid w:val="00353586"/>
    <w:rsid w:val="00353B00"/>
    <w:rsid w:val="00353F85"/>
    <w:rsid w:val="003541B9"/>
    <w:rsid w:val="003546E4"/>
    <w:rsid w:val="003548AB"/>
    <w:rsid w:val="00354B31"/>
    <w:rsid w:val="003555B9"/>
    <w:rsid w:val="00355775"/>
    <w:rsid w:val="00355830"/>
    <w:rsid w:val="0035629F"/>
    <w:rsid w:val="00356AF3"/>
    <w:rsid w:val="0035723F"/>
    <w:rsid w:val="00357A66"/>
    <w:rsid w:val="00357BE3"/>
    <w:rsid w:val="00357E55"/>
    <w:rsid w:val="003602F6"/>
    <w:rsid w:val="00361230"/>
    <w:rsid w:val="003617C1"/>
    <w:rsid w:val="00362443"/>
    <w:rsid w:val="00362A47"/>
    <w:rsid w:val="00362F29"/>
    <w:rsid w:val="00363095"/>
    <w:rsid w:val="00363AB9"/>
    <w:rsid w:val="00363AE6"/>
    <w:rsid w:val="00363B0B"/>
    <w:rsid w:val="00363D34"/>
    <w:rsid w:val="003643C3"/>
    <w:rsid w:val="00364A4C"/>
    <w:rsid w:val="003650AE"/>
    <w:rsid w:val="0036631B"/>
    <w:rsid w:val="0036690F"/>
    <w:rsid w:val="00366D92"/>
    <w:rsid w:val="00366E61"/>
    <w:rsid w:val="00366F2B"/>
    <w:rsid w:val="00367052"/>
    <w:rsid w:val="003673DF"/>
    <w:rsid w:val="00370B86"/>
    <w:rsid w:val="003716B1"/>
    <w:rsid w:val="00372557"/>
    <w:rsid w:val="003727D2"/>
    <w:rsid w:val="0037391A"/>
    <w:rsid w:val="003739FA"/>
    <w:rsid w:val="00373A54"/>
    <w:rsid w:val="00373DB5"/>
    <w:rsid w:val="003743A1"/>
    <w:rsid w:val="00376461"/>
    <w:rsid w:val="00376773"/>
    <w:rsid w:val="003770C9"/>
    <w:rsid w:val="00377441"/>
    <w:rsid w:val="003774C0"/>
    <w:rsid w:val="003775AB"/>
    <w:rsid w:val="00377730"/>
    <w:rsid w:val="00381158"/>
    <w:rsid w:val="003819AC"/>
    <w:rsid w:val="00381A93"/>
    <w:rsid w:val="003822CA"/>
    <w:rsid w:val="00382432"/>
    <w:rsid w:val="00382623"/>
    <w:rsid w:val="003829D9"/>
    <w:rsid w:val="00382A2F"/>
    <w:rsid w:val="00382B2B"/>
    <w:rsid w:val="00382F75"/>
    <w:rsid w:val="00383018"/>
    <w:rsid w:val="003832BB"/>
    <w:rsid w:val="003833B6"/>
    <w:rsid w:val="00383791"/>
    <w:rsid w:val="0038498F"/>
    <w:rsid w:val="003857C6"/>
    <w:rsid w:val="0038592D"/>
    <w:rsid w:val="003862C4"/>
    <w:rsid w:val="00386605"/>
    <w:rsid w:val="00386B12"/>
    <w:rsid w:val="003872A1"/>
    <w:rsid w:val="00387318"/>
    <w:rsid w:val="0038749D"/>
    <w:rsid w:val="0038757C"/>
    <w:rsid w:val="00387AA3"/>
    <w:rsid w:val="00387C33"/>
    <w:rsid w:val="003923F0"/>
    <w:rsid w:val="00392898"/>
    <w:rsid w:val="00393377"/>
    <w:rsid w:val="0039428A"/>
    <w:rsid w:val="00394A12"/>
    <w:rsid w:val="00395DA4"/>
    <w:rsid w:val="00395DCB"/>
    <w:rsid w:val="00396B39"/>
    <w:rsid w:val="00397424"/>
    <w:rsid w:val="003975E0"/>
    <w:rsid w:val="00397A28"/>
    <w:rsid w:val="00397CC8"/>
    <w:rsid w:val="003A0480"/>
    <w:rsid w:val="003A19B5"/>
    <w:rsid w:val="003A1EF6"/>
    <w:rsid w:val="003A2444"/>
    <w:rsid w:val="003A2BCE"/>
    <w:rsid w:val="003A2F6C"/>
    <w:rsid w:val="003A4333"/>
    <w:rsid w:val="003A47FD"/>
    <w:rsid w:val="003A4845"/>
    <w:rsid w:val="003A5255"/>
    <w:rsid w:val="003A540E"/>
    <w:rsid w:val="003A5F6D"/>
    <w:rsid w:val="003A5FBD"/>
    <w:rsid w:val="003A6C56"/>
    <w:rsid w:val="003A71BF"/>
    <w:rsid w:val="003A7605"/>
    <w:rsid w:val="003B08D9"/>
    <w:rsid w:val="003B1481"/>
    <w:rsid w:val="003B18B6"/>
    <w:rsid w:val="003B1E62"/>
    <w:rsid w:val="003B1EF0"/>
    <w:rsid w:val="003B2004"/>
    <w:rsid w:val="003B295C"/>
    <w:rsid w:val="003B2B09"/>
    <w:rsid w:val="003B2EB7"/>
    <w:rsid w:val="003B32F6"/>
    <w:rsid w:val="003B3639"/>
    <w:rsid w:val="003B3DDE"/>
    <w:rsid w:val="003B4385"/>
    <w:rsid w:val="003B594F"/>
    <w:rsid w:val="003B5B29"/>
    <w:rsid w:val="003B5CE8"/>
    <w:rsid w:val="003B6320"/>
    <w:rsid w:val="003B64EA"/>
    <w:rsid w:val="003B6550"/>
    <w:rsid w:val="003B66E3"/>
    <w:rsid w:val="003B7137"/>
    <w:rsid w:val="003B78B9"/>
    <w:rsid w:val="003B79B4"/>
    <w:rsid w:val="003B7B90"/>
    <w:rsid w:val="003B7BB6"/>
    <w:rsid w:val="003B7BB8"/>
    <w:rsid w:val="003C00DA"/>
    <w:rsid w:val="003C02DD"/>
    <w:rsid w:val="003C035F"/>
    <w:rsid w:val="003C085D"/>
    <w:rsid w:val="003C0E3B"/>
    <w:rsid w:val="003C0E71"/>
    <w:rsid w:val="003C106C"/>
    <w:rsid w:val="003C129C"/>
    <w:rsid w:val="003C12B8"/>
    <w:rsid w:val="003C2416"/>
    <w:rsid w:val="003C26F2"/>
    <w:rsid w:val="003C2B8C"/>
    <w:rsid w:val="003C3155"/>
    <w:rsid w:val="003C3204"/>
    <w:rsid w:val="003C3249"/>
    <w:rsid w:val="003C4AB2"/>
    <w:rsid w:val="003C4ED6"/>
    <w:rsid w:val="003C51E9"/>
    <w:rsid w:val="003C627B"/>
    <w:rsid w:val="003C695C"/>
    <w:rsid w:val="003C6E01"/>
    <w:rsid w:val="003C7F49"/>
    <w:rsid w:val="003C7F5E"/>
    <w:rsid w:val="003D0565"/>
    <w:rsid w:val="003D083F"/>
    <w:rsid w:val="003D1042"/>
    <w:rsid w:val="003D1471"/>
    <w:rsid w:val="003D1565"/>
    <w:rsid w:val="003D1B1A"/>
    <w:rsid w:val="003D1C10"/>
    <w:rsid w:val="003D1F5B"/>
    <w:rsid w:val="003D2233"/>
    <w:rsid w:val="003D2D3F"/>
    <w:rsid w:val="003D38C4"/>
    <w:rsid w:val="003D3AB6"/>
    <w:rsid w:val="003D3EAB"/>
    <w:rsid w:val="003D3F07"/>
    <w:rsid w:val="003D3FD5"/>
    <w:rsid w:val="003D474D"/>
    <w:rsid w:val="003D4992"/>
    <w:rsid w:val="003D4A88"/>
    <w:rsid w:val="003D532F"/>
    <w:rsid w:val="003D5CB1"/>
    <w:rsid w:val="003D5DFC"/>
    <w:rsid w:val="003D61F4"/>
    <w:rsid w:val="003D6618"/>
    <w:rsid w:val="003D6CC3"/>
    <w:rsid w:val="003D6D65"/>
    <w:rsid w:val="003D7579"/>
    <w:rsid w:val="003D78E8"/>
    <w:rsid w:val="003D7CCE"/>
    <w:rsid w:val="003D7DD7"/>
    <w:rsid w:val="003E00FD"/>
    <w:rsid w:val="003E094F"/>
    <w:rsid w:val="003E0DE4"/>
    <w:rsid w:val="003E0FC5"/>
    <w:rsid w:val="003E12C4"/>
    <w:rsid w:val="003E2401"/>
    <w:rsid w:val="003E2D83"/>
    <w:rsid w:val="003E36A6"/>
    <w:rsid w:val="003E3706"/>
    <w:rsid w:val="003E37FC"/>
    <w:rsid w:val="003E3FC3"/>
    <w:rsid w:val="003E3FDE"/>
    <w:rsid w:val="003E43E0"/>
    <w:rsid w:val="003E4775"/>
    <w:rsid w:val="003E4BDC"/>
    <w:rsid w:val="003E4D3C"/>
    <w:rsid w:val="003E4F86"/>
    <w:rsid w:val="003E59C2"/>
    <w:rsid w:val="003E5DFA"/>
    <w:rsid w:val="003E5FD1"/>
    <w:rsid w:val="003E608B"/>
    <w:rsid w:val="003E67ED"/>
    <w:rsid w:val="003E6A93"/>
    <w:rsid w:val="003E75AC"/>
    <w:rsid w:val="003E77A2"/>
    <w:rsid w:val="003F009D"/>
    <w:rsid w:val="003F022C"/>
    <w:rsid w:val="003F06CE"/>
    <w:rsid w:val="003F0B27"/>
    <w:rsid w:val="003F11E5"/>
    <w:rsid w:val="003F11F4"/>
    <w:rsid w:val="003F1331"/>
    <w:rsid w:val="003F197E"/>
    <w:rsid w:val="003F2404"/>
    <w:rsid w:val="003F25BA"/>
    <w:rsid w:val="003F2644"/>
    <w:rsid w:val="003F2AEB"/>
    <w:rsid w:val="003F2B29"/>
    <w:rsid w:val="003F3158"/>
    <w:rsid w:val="003F40A2"/>
    <w:rsid w:val="003F4216"/>
    <w:rsid w:val="003F4415"/>
    <w:rsid w:val="003F4496"/>
    <w:rsid w:val="003F4ACB"/>
    <w:rsid w:val="003F4EDC"/>
    <w:rsid w:val="003F50DE"/>
    <w:rsid w:val="003F51EA"/>
    <w:rsid w:val="003F5561"/>
    <w:rsid w:val="003F5574"/>
    <w:rsid w:val="003F5F7F"/>
    <w:rsid w:val="003F69CD"/>
    <w:rsid w:val="003F70DE"/>
    <w:rsid w:val="003F74DC"/>
    <w:rsid w:val="003F784C"/>
    <w:rsid w:val="003F7D97"/>
    <w:rsid w:val="004008EB"/>
    <w:rsid w:val="00400E95"/>
    <w:rsid w:val="00401166"/>
    <w:rsid w:val="00401342"/>
    <w:rsid w:val="0040146F"/>
    <w:rsid w:val="0040159E"/>
    <w:rsid w:val="004017E7"/>
    <w:rsid w:val="00401890"/>
    <w:rsid w:val="00401AE2"/>
    <w:rsid w:val="00401D4F"/>
    <w:rsid w:val="00402211"/>
    <w:rsid w:val="0040287A"/>
    <w:rsid w:val="00402B96"/>
    <w:rsid w:val="00402EA8"/>
    <w:rsid w:val="004032F9"/>
    <w:rsid w:val="004033AB"/>
    <w:rsid w:val="0040379B"/>
    <w:rsid w:val="004041CF"/>
    <w:rsid w:val="00404416"/>
    <w:rsid w:val="00404553"/>
    <w:rsid w:val="00404651"/>
    <w:rsid w:val="00405045"/>
    <w:rsid w:val="00405188"/>
    <w:rsid w:val="00405DB1"/>
    <w:rsid w:val="00405E51"/>
    <w:rsid w:val="004061C6"/>
    <w:rsid w:val="00407315"/>
    <w:rsid w:val="004078E6"/>
    <w:rsid w:val="00407B6A"/>
    <w:rsid w:val="00407CD4"/>
    <w:rsid w:val="004102E8"/>
    <w:rsid w:val="004107BA"/>
    <w:rsid w:val="00410D9E"/>
    <w:rsid w:val="00411EEC"/>
    <w:rsid w:val="004123B9"/>
    <w:rsid w:val="004125AE"/>
    <w:rsid w:val="0041265B"/>
    <w:rsid w:val="004126E9"/>
    <w:rsid w:val="00412EAC"/>
    <w:rsid w:val="004132C3"/>
    <w:rsid w:val="00413CF2"/>
    <w:rsid w:val="00413D32"/>
    <w:rsid w:val="00414421"/>
    <w:rsid w:val="00414D7E"/>
    <w:rsid w:val="00414DD8"/>
    <w:rsid w:val="00414E5F"/>
    <w:rsid w:val="00415DED"/>
    <w:rsid w:val="00416A6E"/>
    <w:rsid w:val="00416AE3"/>
    <w:rsid w:val="00416C62"/>
    <w:rsid w:val="00416C84"/>
    <w:rsid w:val="00417230"/>
    <w:rsid w:val="0041725C"/>
    <w:rsid w:val="0041779E"/>
    <w:rsid w:val="00417B4F"/>
    <w:rsid w:val="00417F5F"/>
    <w:rsid w:val="00420053"/>
    <w:rsid w:val="00420057"/>
    <w:rsid w:val="0042032A"/>
    <w:rsid w:val="004204A1"/>
    <w:rsid w:val="00420640"/>
    <w:rsid w:val="0042190C"/>
    <w:rsid w:val="00421974"/>
    <w:rsid w:val="00421E08"/>
    <w:rsid w:val="00421F6F"/>
    <w:rsid w:val="004222A2"/>
    <w:rsid w:val="00422312"/>
    <w:rsid w:val="00422689"/>
    <w:rsid w:val="004226A2"/>
    <w:rsid w:val="00423C87"/>
    <w:rsid w:val="00423F32"/>
    <w:rsid w:val="00423F69"/>
    <w:rsid w:val="00424497"/>
    <w:rsid w:val="00424639"/>
    <w:rsid w:val="004246FC"/>
    <w:rsid w:val="004248B2"/>
    <w:rsid w:val="00424A53"/>
    <w:rsid w:val="00425265"/>
    <w:rsid w:val="00425322"/>
    <w:rsid w:val="00425763"/>
    <w:rsid w:val="004257A5"/>
    <w:rsid w:val="004259AE"/>
    <w:rsid w:val="0042652C"/>
    <w:rsid w:val="00426DA3"/>
    <w:rsid w:val="00426DEC"/>
    <w:rsid w:val="00427F40"/>
    <w:rsid w:val="0043027C"/>
    <w:rsid w:val="00430EB8"/>
    <w:rsid w:val="00430F18"/>
    <w:rsid w:val="00431497"/>
    <w:rsid w:val="0043188B"/>
    <w:rsid w:val="00431C42"/>
    <w:rsid w:val="0043212C"/>
    <w:rsid w:val="004322A4"/>
    <w:rsid w:val="0043275B"/>
    <w:rsid w:val="00432EEC"/>
    <w:rsid w:val="004336D1"/>
    <w:rsid w:val="0043377A"/>
    <w:rsid w:val="00433AE7"/>
    <w:rsid w:val="00433AE8"/>
    <w:rsid w:val="00434566"/>
    <w:rsid w:val="00434840"/>
    <w:rsid w:val="0043530B"/>
    <w:rsid w:val="00435F7C"/>
    <w:rsid w:val="004361FD"/>
    <w:rsid w:val="00436482"/>
    <w:rsid w:val="004367DF"/>
    <w:rsid w:val="00436B8C"/>
    <w:rsid w:val="00436C39"/>
    <w:rsid w:val="00436F80"/>
    <w:rsid w:val="004370AB"/>
    <w:rsid w:val="004371F5"/>
    <w:rsid w:val="00437219"/>
    <w:rsid w:val="00437335"/>
    <w:rsid w:val="0043795D"/>
    <w:rsid w:val="00437F1C"/>
    <w:rsid w:val="004401EF"/>
    <w:rsid w:val="00440311"/>
    <w:rsid w:val="004405B0"/>
    <w:rsid w:val="00440C45"/>
    <w:rsid w:val="00440EA2"/>
    <w:rsid w:val="00440FB4"/>
    <w:rsid w:val="0044107B"/>
    <w:rsid w:val="004417F6"/>
    <w:rsid w:val="00441A7B"/>
    <w:rsid w:val="00442087"/>
    <w:rsid w:val="00443576"/>
    <w:rsid w:val="0044378F"/>
    <w:rsid w:val="00443F05"/>
    <w:rsid w:val="00444163"/>
    <w:rsid w:val="0044419C"/>
    <w:rsid w:val="00444420"/>
    <w:rsid w:val="0044510E"/>
    <w:rsid w:val="00445798"/>
    <w:rsid w:val="00445D11"/>
    <w:rsid w:val="0044646A"/>
    <w:rsid w:val="0044697A"/>
    <w:rsid w:val="00446BD0"/>
    <w:rsid w:val="00446E4E"/>
    <w:rsid w:val="00447873"/>
    <w:rsid w:val="00447C2B"/>
    <w:rsid w:val="00447C9F"/>
    <w:rsid w:val="00447D46"/>
    <w:rsid w:val="00447E01"/>
    <w:rsid w:val="00447E08"/>
    <w:rsid w:val="00447F62"/>
    <w:rsid w:val="004500C0"/>
    <w:rsid w:val="00450394"/>
    <w:rsid w:val="00450A92"/>
    <w:rsid w:val="00450E4E"/>
    <w:rsid w:val="00451B92"/>
    <w:rsid w:val="00452148"/>
    <w:rsid w:val="0045269D"/>
    <w:rsid w:val="00452EF7"/>
    <w:rsid w:val="00453036"/>
    <w:rsid w:val="00453185"/>
    <w:rsid w:val="00453287"/>
    <w:rsid w:val="004532E4"/>
    <w:rsid w:val="004534CE"/>
    <w:rsid w:val="004538BB"/>
    <w:rsid w:val="00453A51"/>
    <w:rsid w:val="00453C60"/>
    <w:rsid w:val="00453CD9"/>
    <w:rsid w:val="00453D37"/>
    <w:rsid w:val="00453E53"/>
    <w:rsid w:val="004540F9"/>
    <w:rsid w:val="00454583"/>
    <w:rsid w:val="004549FA"/>
    <w:rsid w:val="00454DA7"/>
    <w:rsid w:val="00454E4E"/>
    <w:rsid w:val="00455021"/>
    <w:rsid w:val="00455218"/>
    <w:rsid w:val="004552BC"/>
    <w:rsid w:val="0045588C"/>
    <w:rsid w:val="00455BA8"/>
    <w:rsid w:val="00455C59"/>
    <w:rsid w:val="004561E8"/>
    <w:rsid w:val="00456782"/>
    <w:rsid w:val="0045698B"/>
    <w:rsid w:val="00456B4E"/>
    <w:rsid w:val="0045782E"/>
    <w:rsid w:val="00457C31"/>
    <w:rsid w:val="00457C68"/>
    <w:rsid w:val="00457E53"/>
    <w:rsid w:val="00460257"/>
    <w:rsid w:val="004602A6"/>
    <w:rsid w:val="00460665"/>
    <w:rsid w:val="00460E73"/>
    <w:rsid w:val="004610AC"/>
    <w:rsid w:val="00461244"/>
    <w:rsid w:val="004612B6"/>
    <w:rsid w:val="00461504"/>
    <w:rsid w:val="00461CE7"/>
    <w:rsid w:val="00461D90"/>
    <w:rsid w:val="00462824"/>
    <w:rsid w:val="00462E1C"/>
    <w:rsid w:val="004631C7"/>
    <w:rsid w:val="00463529"/>
    <w:rsid w:val="00463BDC"/>
    <w:rsid w:val="00463F26"/>
    <w:rsid w:val="0046405A"/>
    <w:rsid w:val="0046405B"/>
    <w:rsid w:val="0046460D"/>
    <w:rsid w:val="004651D9"/>
    <w:rsid w:val="00465568"/>
    <w:rsid w:val="00465AB2"/>
    <w:rsid w:val="00465B4E"/>
    <w:rsid w:val="004664DF"/>
    <w:rsid w:val="00466515"/>
    <w:rsid w:val="00466AE2"/>
    <w:rsid w:val="00466DB2"/>
    <w:rsid w:val="00467510"/>
    <w:rsid w:val="0046756A"/>
    <w:rsid w:val="00467CD3"/>
    <w:rsid w:val="0047035F"/>
    <w:rsid w:val="00470CA4"/>
    <w:rsid w:val="00471A6E"/>
    <w:rsid w:val="00471BE0"/>
    <w:rsid w:val="004722EE"/>
    <w:rsid w:val="0047243C"/>
    <w:rsid w:val="004725CC"/>
    <w:rsid w:val="00472F2B"/>
    <w:rsid w:val="00473482"/>
    <w:rsid w:val="004737F8"/>
    <w:rsid w:val="00473F56"/>
    <w:rsid w:val="00474A2F"/>
    <w:rsid w:val="00474E13"/>
    <w:rsid w:val="00474F6A"/>
    <w:rsid w:val="00474FB1"/>
    <w:rsid w:val="004750F2"/>
    <w:rsid w:val="0047550B"/>
    <w:rsid w:val="00475A37"/>
    <w:rsid w:val="00475D7B"/>
    <w:rsid w:val="004760A8"/>
    <w:rsid w:val="00476BB2"/>
    <w:rsid w:val="00477A3D"/>
    <w:rsid w:val="004800E3"/>
    <w:rsid w:val="004813FF"/>
    <w:rsid w:val="00481543"/>
    <w:rsid w:val="0048183C"/>
    <w:rsid w:val="004823F1"/>
    <w:rsid w:val="0048240E"/>
    <w:rsid w:val="004829FC"/>
    <w:rsid w:val="00482F20"/>
    <w:rsid w:val="004836CA"/>
    <w:rsid w:val="004837D6"/>
    <w:rsid w:val="00483920"/>
    <w:rsid w:val="00483DB3"/>
    <w:rsid w:val="00485172"/>
    <w:rsid w:val="0048540E"/>
    <w:rsid w:val="00485C38"/>
    <w:rsid w:val="00485F42"/>
    <w:rsid w:val="004874F8"/>
    <w:rsid w:val="00487AA0"/>
    <w:rsid w:val="00487D9A"/>
    <w:rsid w:val="00491160"/>
    <w:rsid w:val="00491431"/>
    <w:rsid w:val="00491BE7"/>
    <w:rsid w:val="00491D60"/>
    <w:rsid w:val="004926B1"/>
    <w:rsid w:val="00492AF2"/>
    <w:rsid w:val="00492CA5"/>
    <w:rsid w:val="00493067"/>
    <w:rsid w:val="004930FB"/>
    <w:rsid w:val="00493288"/>
    <w:rsid w:val="00493963"/>
    <w:rsid w:val="00493D02"/>
    <w:rsid w:val="00494183"/>
    <w:rsid w:val="004942C8"/>
    <w:rsid w:val="00495181"/>
    <w:rsid w:val="00495678"/>
    <w:rsid w:val="004957BC"/>
    <w:rsid w:val="00495F9C"/>
    <w:rsid w:val="00496323"/>
    <w:rsid w:val="00496827"/>
    <w:rsid w:val="00496A8F"/>
    <w:rsid w:val="00496EA3"/>
    <w:rsid w:val="00497004"/>
    <w:rsid w:val="004977C2"/>
    <w:rsid w:val="00497826"/>
    <w:rsid w:val="00497D18"/>
    <w:rsid w:val="00497F64"/>
    <w:rsid w:val="004A06ED"/>
    <w:rsid w:val="004A0A33"/>
    <w:rsid w:val="004A0E2A"/>
    <w:rsid w:val="004A11C4"/>
    <w:rsid w:val="004A1359"/>
    <w:rsid w:val="004A19AE"/>
    <w:rsid w:val="004A1B30"/>
    <w:rsid w:val="004A1ED6"/>
    <w:rsid w:val="004A20EA"/>
    <w:rsid w:val="004A2185"/>
    <w:rsid w:val="004A2BE5"/>
    <w:rsid w:val="004A34C9"/>
    <w:rsid w:val="004A3E04"/>
    <w:rsid w:val="004A40AF"/>
    <w:rsid w:val="004A4381"/>
    <w:rsid w:val="004A5367"/>
    <w:rsid w:val="004A580C"/>
    <w:rsid w:val="004A61BB"/>
    <w:rsid w:val="004A6700"/>
    <w:rsid w:val="004A6E14"/>
    <w:rsid w:val="004A6E9B"/>
    <w:rsid w:val="004A718A"/>
    <w:rsid w:val="004A7A07"/>
    <w:rsid w:val="004B0389"/>
    <w:rsid w:val="004B03E2"/>
    <w:rsid w:val="004B0C0D"/>
    <w:rsid w:val="004B132E"/>
    <w:rsid w:val="004B168B"/>
    <w:rsid w:val="004B1874"/>
    <w:rsid w:val="004B1B29"/>
    <w:rsid w:val="004B1EBE"/>
    <w:rsid w:val="004B2931"/>
    <w:rsid w:val="004B2C78"/>
    <w:rsid w:val="004B2F4B"/>
    <w:rsid w:val="004B32F9"/>
    <w:rsid w:val="004B38A6"/>
    <w:rsid w:val="004B3991"/>
    <w:rsid w:val="004B482E"/>
    <w:rsid w:val="004B4AE3"/>
    <w:rsid w:val="004B4FF7"/>
    <w:rsid w:val="004B5B4F"/>
    <w:rsid w:val="004B6341"/>
    <w:rsid w:val="004B6F68"/>
    <w:rsid w:val="004B7C6B"/>
    <w:rsid w:val="004B7F99"/>
    <w:rsid w:val="004C0298"/>
    <w:rsid w:val="004C0549"/>
    <w:rsid w:val="004C056D"/>
    <w:rsid w:val="004C062D"/>
    <w:rsid w:val="004C0856"/>
    <w:rsid w:val="004C093F"/>
    <w:rsid w:val="004C0EFA"/>
    <w:rsid w:val="004C106B"/>
    <w:rsid w:val="004C12E3"/>
    <w:rsid w:val="004C1526"/>
    <w:rsid w:val="004C17A5"/>
    <w:rsid w:val="004C1A93"/>
    <w:rsid w:val="004C2A83"/>
    <w:rsid w:val="004C335E"/>
    <w:rsid w:val="004C3563"/>
    <w:rsid w:val="004C36A7"/>
    <w:rsid w:val="004C396B"/>
    <w:rsid w:val="004C3B6D"/>
    <w:rsid w:val="004C3CE4"/>
    <w:rsid w:val="004C3EF2"/>
    <w:rsid w:val="004C49C4"/>
    <w:rsid w:val="004C4BB4"/>
    <w:rsid w:val="004C4EE2"/>
    <w:rsid w:val="004C5BDC"/>
    <w:rsid w:val="004C5FC5"/>
    <w:rsid w:val="004C6507"/>
    <w:rsid w:val="004C69F1"/>
    <w:rsid w:val="004C6D44"/>
    <w:rsid w:val="004C6E30"/>
    <w:rsid w:val="004C7223"/>
    <w:rsid w:val="004C72BC"/>
    <w:rsid w:val="004C7799"/>
    <w:rsid w:val="004C7CC0"/>
    <w:rsid w:val="004D04A9"/>
    <w:rsid w:val="004D07E5"/>
    <w:rsid w:val="004D09F9"/>
    <w:rsid w:val="004D143A"/>
    <w:rsid w:val="004D1741"/>
    <w:rsid w:val="004D1A30"/>
    <w:rsid w:val="004D2339"/>
    <w:rsid w:val="004D2583"/>
    <w:rsid w:val="004D28BB"/>
    <w:rsid w:val="004D2B11"/>
    <w:rsid w:val="004D2CF0"/>
    <w:rsid w:val="004D3221"/>
    <w:rsid w:val="004D324D"/>
    <w:rsid w:val="004D3682"/>
    <w:rsid w:val="004D3E31"/>
    <w:rsid w:val="004D3EDF"/>
    <w:rsid w:val="004D4530"/>
    <w:rsid w:val="004D5CB0"/>
    <w:rsid w:val="004D5D8E"/>
    <w:rsid w:val="004D5FB4"/>
    <w:rsid w:val="004D5FE5"/>
    <w:rsid w:val="004D663C"/>
    <w:rsid w:val="004D68EA"/>
    <w:rsid w:val="004D692B"/>
    <w:rsid w:val="004D6B73"/>
    <w:rsid w:val="004D7577"/>
    <w:rsid w:val="004D7E23"/>
    <w:rsid w:val="004E017F"/>
    <w:rsid w:val="004E04AC"/>
    <w:rsid w:val="004E06C1"/>
    <w:rsid w:val="004E09E2"/>
    <w:rsid w:val="004E0C0B"/>
    <w:rsid w:val="004E151E"/>
    <w:rsid w:val="004E17FE"/>
    <w:rsid w:val="004E1932"/>
    <w:rsid w:val="004E2412"/>
    <w:rsid w:val="004E2897"/>
    <w:rsid w:val="004E2E66"/>
    <w:rsid w:val="004E3F46"/>
    <w:rsid w:val="004E40FD"/>
    <w:rsid w:val="004E4912"/>
    <w:rsid w:val="004E4A12"/>
    <w:rsid w:val="004E4B58"/>
    <w:rsid w:val="004E4BC6"/>
    <w:rsid w:val="004E4F3F"/>
    <w:rsid w:val="004E5F0C"/>
    <w:rsid w:val="004E6556"/>
    <w:rsid w:val="004E760C"/>
    <w:rsid w:val="004F08A1"/>
    <w:rsid w:val="004F0BE0"/>
    <w:rsid w:val="004F0BEC"/>
    <w:rsid w:val="004F10F0"/>
    <w:rsid w:val="004F11CA"/>
    <w:rsid w:val="004F20BD"/>
    <w:rsid w:val="004F20EE"/>
    <w:rsid w:val="004F2512"/>
    <w:rsid w:val="004F273E"/>
    <w:rsid w:val="004F34FD"/>
    <w:rsid w:val="004F36E4"/>
    <w:rsid w:val="004F3E87"/>
    <w:rsid w:val="004F3ED5"/>
    <w:rsid w:val="004F3F91"/>
    <w:rsid w:val="004F42B4"/>
    <w:rsid w:val="004F494A"/>
    <w:rsid w:val="004F4A28"/>
    <w:rsid w:val="004F4A90"/>
    <w:rsid w:val="004F4B84"/>
    <w:rsid w:val="004F5A88"/>
    <w:rsid w:val="004F5AD4"/>
    <w:rsid w:val="004F5B90"/>
    <w:rsid w:val="004F5F34"/>
    <w:rsid w:val="004F7121"/>
    <w:rsid w:val="004F79EB"/>
    <w:rsid w:val="004F7E82"/>
    <w:rsid w:val="00500171"/>
    <w:rsid w:val="00500543"/>
    <w:rsid w:val="0050095A"/>
    <w:rsid w:val="00500D9C"/>
    <w:rsid w:val="00501697"/>
    <w:rsid w:val="00501782"/>
    <w:rsid w:val="00501AD1"/>
    <w:rsid w:val="00501F53"/>
    <w:rsid w:val="00502EB3"/>
    <w:rsid w:val="00503E72"/>
    <w:rsid w:val="005041B7"/>
    <w:rsid w:val="0050471D"/>
    <w:rsid w:val="0050516E"/>
    <w:rsid w:val="0050557F"/>
    <w:rsid w:val="005057D3"/>
    <w:rsid w:val="00505805"/>
    <w:rsid w:val="00505B5D"/>
    <w:rsid w:val="00505CFB"/>
    <w:rsid w:val="00505F30"/>
    <w:rsid w:val="00506273"/>
    <w:rsid w:val="0050764C"/>
    <w:rsid w:val="00507F01"/>
    <w:rsid w:val="00510A61"/>
    <w:rsid w:val="00510C4C"/>
    <w:rsid w:val="00511B7B"/>
    <w:rsid w:val="00511DEB"/>
    <w:rsid w:val="005124DD"/>
    <w:rsid w:val="005128A0"/>
    <w:rsid w:val="00513396"/>
    <w:rsid w:val="0051376E"/>
    <w:rsid w:val="00513E49"/>
    <w:rsid w:val="005151B7"/>
    <w:rsid w:val="005156A6"/>
    <w:rsid w:val="00515933"/>
    <w:rsid w:val="00516623"/>
    <w:rsid w:val="00516968"/>
    <w:rsid w:val="00516A50"/>
    <w:rsid w:val="00516F12"/>
    <w:rsid w:val="0051744C"/>
    <w:rsid w:val="005178F9"/>
    <w:rsid w:val="00517DD7"/>
    <w:rsid w:val="005200F3"/>
    <w:rsid w:val="0052061F"/>
    <w:rsid w:val="00520B7F"/>
    <w:rsid w:val="00520F7D"/>
    <w:rsid w:val="00522BF1"/>
    <w:rsid w:val="00524058"/>
    <w:rsid w:val="00524257"/>
    <w:rsid w:val="0052444F"/>
    <w:rsid w:val="00524AD7"/>
    <w:rsid w:val="005251F5"/>
    <w:rsid w:val="005252BC"/>
    <w:rsid w:val="00525553"/>
    <w:rsid w:val="005258C4"/>
    <w:rsid w:val="00525DE7"/>
    <w:rsid w:val="00525DFF"/>
    <w:rsid w:val="00526846"/>
    <w:rsid w:val="00526976"/>
    <w:rsid w:val="00527564"/>
    <w:rsid w:val="005278D9"/>
    <w:rsid w:val="0053025C"/>
    <w:rsid w:val="00530BF9"/>
    <w:rsid w:val="005317B7"/>
    <w:rsid w:val="005318AF"/>
    <w:rsid w:val="00531CC0"/>
    <w:rsid w:val="005321F3"/>
    <w:rsid w:val="00532722"/>
    <w:rsid w:val="00532D89"/>
    <w:rsid w:val="00532ECD"/>
    <w:rsid w:val="005332C3"/>
    <w:rsid w:val="00533B3D"/>
    <w:rsid w:val="0053429E"/>
    <w:rsid w:val="005349C4"/>
    <w:rsid w:val="00534F80"/>
    <w:rsid w:val="0053503A"/>
    <w:rsid w:val="005353E9"/>
    <w:rsid w:val="00535A9A"/>
    <w:rsid w:val="00535DA8"/>
    <w:rsid w:val="005369B6"/>
    <w:rsid w:val="0053718B"/>
    <w:rsid w:val="005372A1"/>
    <w:rsid w:val="0054039E"/>
    <w:rsid w:val="00540519"/>
    <w:rsid w:val="005408FC"/>
    <w:rsid w:val="00541A3F"/>
    <w:rsid w:val="00541B18"/>
    <w:rsid w:val="00542307"/>
    <w:rsid w:val="0054253B"/>
    <w:rsid w:val="00542582"/>
    <w:rsid w:val="005426BF"/>
    <w:rsid w:val="00542C3A"/>
    <w:rsid w:val="00543265"/>
    <w:rsid w:val="005433EA"/>
    <w:rsid w:val="00543681"/>
    <w:rsid w:val="00543EBB"/>
    <w:rsid w:val="00543F11"/>
    <w:rsid w:val="005442D7"/>
    <w:rsid w:val="00545C15"/>
    <w:rsid w:val="00545CF1"/>
    <w:rsid w:val="005460B8"/>
    <w:rsid w:val="00546219"/>
    <w:rsid w:val="0054631E"/>
    <w:rsid w:val="00546357"/>
    <w:rsid w:val="00546426"/>
    <w:rsid w:val="00546698"/>
    <w:rsid w:val="00546BFC"/>
    <w:rsid w:val="00546DB0"/>
    <w:rsid w:val="0054706A"/>
    <w:rsid w:val="00547757"/>
    <w:rsid w:val="00547B0A"/>
    <w:rsid w:val="00547C06"/>
    <w:rsid w:val="0055053E"/>
    <w:rsid w:val="00550739"/>
    <w:rsid w:val="0055079D"/>
    <w:rsid w:val="00550809"/>
    <w:rsid w:val="00550B34"/>
    <w:rsid w:val="005516AA"/>
    <w:rsid w:val="00551D14"/>
    <w:rsid w:val="00552A4E"/>
    <w:rsid w:val="00552A99"/>
    <w:rsid w:val="00552FB4"/>
    <w:rsid w:val="00553501"/>
    <w:rsid w:val="0055354D"/>
    <w:rsid w:val="00553E09"/>
    <w:rsid w:val="00554538"/>
    <w:rsid w:val="00554D10"/>
    <w:rsid w:val="00555605"/>
    <w:rsid w:val="00555ADE"/>
    <w:rsid w:val="00555FD4"/>
    <w:rsid w:val="00555FF3"/>
    <w:rsid w:val="00556B22"/>
    <w:rsid w:val="00556CBD"/>
    <w:rsid w:val="00557029"/>
    <w:rsid w:val="005572B5"/>
    <w:rsid w:val="0055734C"/>
    <w:rsid w:val="00557BA2"/>
    <w:rsid w:val="00557E42"/>
    <w:rsid w:val="00557E85"/>
    <w:rsid w:val="00560E63"/>
    <w:rsid w:val="00561195"/>
    <w:rsid w:val="0056142D"/>
    <w:rsid w:val="00561484"/>
    <w:rsid w:val="005616F7"/>
    <w:rsid w:val="005617E2"/>
    <w:rsid w:val="00561A43"/>
    <w:rsid w:val="00561CC0"/>
    <w:rsid w:val="00562031"/>
    <w:rsid w:val="00562D06"/>
    <w:rsid w:val="00562E0C"/>
    <w:rsid w:val="0056305B"/>
    <w:rsid w:val="005630C0"/>
    <w:rsid w:val="005632FC"/>
    <w:rsid w:val="00563C10"/>
    <w:rsid w:val="005654DD"/>
    <w:rsid w:val="005656F1"/>
    <w:rsid w:val="00565C15"/>
    <w:rsid w:val="00565CE2"/>
    <w:rsid w:val="00566191"/>
    <w:rsid w:val="005667EB"/>
    <w:rsid w:val="005676A6"/>
    <w:rsid w:val="00567806"/>
    <w:rsid w:val="00570E51"/>
    <w:rsid w:val="005712EE"/>
    <w:rsid w:val="0057130C"/>
    <w:rsid w:val="005715EF"/>
    <w:rsid w:val="005720E3"/>
    <w:rsid w:val="00572981"/>
    <w:rsid w:val="00572CBC"/>
    <w:rsid w:val="00572D05"/>
    <w:rsid w:val="005737B6"/>
    <w:rsid w:val="00573EB7"/>
    <w:rsid w:val="00574A16"/>
    <w:rsid w:val="00574B70"/>
    <w:rsid w:val="00574DED"/>
    <w:rsid w:val="005765AD"/>
    <w:rsid w:val="00576C1C"/>
    <w:rsid w:val="00576EF1"/>
    <w:rsid w:val="00576FFE"/>
    <w:rsid w:val="005773B8"/>
    <w:rsid w:val="00577571"/>
    <w:rsid w:val="005776B7"/>
    <w:rsid w:val="0057772D"/>
    <w:rsid w:val="00577768"/>
    <w:rsid w:val="00577D74"/>
    <w:rsid w:val="005802C8"/>
    <w:rsid w:val="00580468"/>
    <w:rsid w:val="00580903"/>
    <w:rsid w:val="00580BDA"/>
    <w:rsid w:val="005813BD"/>
    <w:rsid w:val="00581453"/>
    <w:rsid w:val="00581797"/>
    <w:rsid w:val="00581CFB"/>
    <w:rsid w:val="00582259"/>
    <w:rsid w:val="005822DD"/>
    <w:rsid w:val="005840F8"/>
    <w:rsid w:val="0058481A"/>
    <w:rsid w:val="00584E3F"/>
    <w:rsid w:val="00585135"/>
    <w:rsid w:val="00585423"/>
    <w:rsid w:val="005854B0"/>
    <w:rsid w:val="00585996"/>
    <w:rsid w:val="005862A4"/>
    <w:rsid w:val="00586634"/>
    <w:rsid w:val="005867A0"/>
    <w:rsid w:val="00586C09"/>
    <w:rsid w:val="00590045"/>
    <w:rsid w:val="00590A4C"/>
    <w:rsid w:val="00590A81"/>
    <w:rsid w:val="0059124A"/>
    <w:rsid w:val="005914C8"/>
    <w:rsid w:val="00591670"/>
    <w:rsid w:val="00591745"/>
    <w:rsid w:val="005919B3"/>
    <w:rsid w:val="0059243E"/>
    <w:rsid w:val="00592C04"/>
    <w:rsid w:val="0059323F"/>
    <w:rsid w:val="00594A7B"/>
    <w:rsid w:val="00594DD9"/>
    <w:rsid w:val="00595526"/>
    <w:rsid w:val="00595794"/>
    <w:rsid w:val="00595AF7"/>
    <w:rsid w:val="00595F9C"/>
    <w:rsid w:val="00595FDF"/>
    <w:rsid w:val="005963FA"/>
    <w:rsid w:val="0059648F"/>
    <w:rsid w:val="00596852"/>
    <w:rsid w:val="00596AE0"/>
    <w:rsid w:val="00597074"/>
    <w:rsid w:val="00597BC3"/>
    <w:rsid w:val="005A02FB"/>
    <w:rsid w:val="005A0353"/>
    <w:rsid w:val="005A044E"/>
    <w:rsid w:val="005A0935"/>
    <w:rsid w:val="005A1161"/>
    <w:rsid w:val="005A1361"/>
    <w:rsid w:val="005A182D"/>
    <w:rsid w:val="005A1B4A"/>
    <w:rsid w:val="005A1C72"/>
    <w:rsid w:val="005A201C"/>
    <w:rsid w:val="005A2095"/>
    <w:rsid w:val="005A3A95"/>
    <w:rsid w:val="005A3C9C"/>
    <w:rsid w:val="005A3E47"/>
    <w:rsid w:val="005A3F46"/>
    <w:rsid w:val="005A4122"/>
    <w:rsid w:val="005A4293"/>
    <w:rsid w:val="005A479F"/>
    <w:rsid w:val="005A4825"/>
    <w:rsid w:val="005A4A87"/>
    <w:rsid w:val="005A5EF4"/>
    <w:rsid w:val="005A5F1F"/>
    <w:rsid w:val="005A6156"/>
    <w:rsid w:val="005A64E5"/>
    <w:rsid w:val="005A66EE"/>
    <w:rsid w:val="005A68DA"/>
    <w:rsid w:val="005A6DEF"/>
    <w:rsid w:val="005A7247"/>
    <w:rsid w:val="005A759F"/>
    <w:rsid w:val="005A782F"/>
    <w:rsid w:val="005B04A3"/>
    <w:rsid w:val="005B1899"/>
    <w:rsid w:val="005B1B45"/>
    <w:rsid w:val="005B1C78"/>
    <w:rsid w:val="005B1EA2"/>
    <w:rsid w:val="005B21CF"/>
    <w:rsid w:val="005B25CD"/>
    <w:rsid w:val="005B2981"/>
    <w:rsid w:val="005B2A97"/>
    <w:rsid w:val="005B2D4D"/>
    <w:rsid w:val="005B2EE7"/>
    <w:rsid w:val="005B3194"/>
    <w:rsid w:val="005B31EE"/>
    <w:rsid w:val="005B3F31"/>
    <w:rsid w:val="005B51E0"/>
    <w:rsid w:val="005B5380"/>
    <w:rsid w:val="005B5C02"/>
    <w:rsid w:val="005B628E"/>
    <w:rsid w:val="005B6637"/>
    <w:rsid w:val="005B7CAE"/>
    <w:rsid w:val="005B7E82"/>
    <w:rsid w:val="005C044D"/>
    <w:rsid w:val="005C05E4"/>
    <w:rsid w:val="005C09EE"/>
    <w:rsid w:val="005C1386"/>
    <w:rsid w:val="005C1A2A"/>
    <w:rsid w:val="005C1D00"/>
    <w:rsid w:val="005C23AC"/>
    <w:rsid w:val="005C277B"/>
    <w:rsid w:val="005C2857"/>
    <w:rsid w:val="005C2A63"/>
    <w:rsid w:val="005C2A6B"/>
    <w:rsid w:val="005C3606"/>
    <w:rsid w:val="005C36BB"/>
    <w:rsid w:val="005C3E6A"/>
    <w:rsid w:val="005C45B8"/>
    <w:rsid w:val="005C49B1"/>
    <w:rsid w:val="005C4A24"/>
    <w:rsid w:val="005C50E8"/>
    <w:rsid w:val="005C629B"/>
    <w:rsid w:val="005C68AD"/>
    <w:rsid w:val="005C6D06"/>
    <w:rsid w:val="005C6F19"/>
    <w:rsid w:val="005C7327"/>
    <w:rsid w:val="005C7805"/>
    <w:rsid w:val="005C7A9D"/>
    <w:rsid w:val="005C7B9D"/>
    <w:rsid w:val="005C7BBC"/>
    <w:rsid w:val="005D00D4"/>
    <w:rsid w:val="005D0670"/>
    <w:rsid w:val="005D080A"/>
    <w:rsid w:val="005D0C20"/>
    <w:rsid w:val="005D0DBF"/>
    <w:rsid w:val="005D152E"/>
    <w:rsid w:val="005D1600"/>
    <w:rsid w:val="005D1794"/>
    <w:rsid w:val="005D19FA"/>
    <w:rsid w:val="005D1B4A"/>
    <w:rsid w:val="005D1BEB"/>
    <w:rsid w:val="005D222A"/>
    <w:rsid w:val="005D2797"/>
    <w:rsid w:val="005D2983"/>
    <w:rsid w:val="005D2F91"/>
    <w:rsid w:val="005D420A"/>
    <w:rsid w:val="005D49F0"/>
    <w:rsid w:val="005D4D88"/>
    <w:rsid w:val="005D5FE6"/>
    <w:rsid w:val="005D61DF"/>
    <w:rsid w:val="005D626C"/>
    <w:rsid w:val="005D67A6"/>
    <w:rsid w:val="005D7587"/>
    <w:rsid w:val="005D75AA"/>
    <w:rsid w:val="005D7B4C"/>
    <w:rsid w:val="005D7CB2"/>
    <w:rsid w:val="005E0DDF"/>
    <w:rsid w:val="005E0EBD"/>
    <w:rsid w:val="005E1BCC"/>
    <w:rsid w:val="005E21CF"/>
    <w:rsid w:val="005E2228"/>
    <w:rsid w:val="005E2305"/>
    <w:rsid w:val="005E2C47"/>
    <w:rsid w:val="005E2F78"/>
    <w:rsid w:val="005E32BE"/>
    <w:rsid w:val="005E3DD3"/>
    <w:rsid w:val="005E401E"/>
    <w:rsid w:val="005E42EC"/>
    <w:rsid w:val="005E43AD"/>
    <w:rsid w:val="005E448D"/>
    <w:rsid w:val="005E45FC"/>
    <w:rsid w:val="005E4CAB"/>
    <w:rsid w:val="005E4E7E"/>
    <w:rsid w:val="005E5223"/>
    <w:rsid w:val="005E53FD"/>
    <w:rsid w:val="005E5D2F"/>
    <w:rsid w:val="005E5FE2"/>
    <w:rsid w:val="005E69EB"/>
    <w:rsid w:val="005E6A60"/>
    <w:rsid w:val="005E6AE0"/>
    <w:rsid w:val="005E6B8A"/>
    <w:rsid w:val="005E7389"/>
    <w:rsid w:val="005E75EA"/>
    <w:rsid w:val="005F03D8"/>
    <w:rsid w:val="005F050D"/>
    <w:rsid w:val="005F0F6F"/>
    <w:rsid w:val="005F1041"/>
    <w:rsid w:val="005F11E9"/>
    <w:rsid w:val="005F1447"/>
    <w:rsid w:val="005F1AE0"/>
    <w:rsid w:val="005F205A"/>
    <w:rsid w:val="005F22D3"/>
    <w:rsid w:val="005F2477"/>
    <w:rsid w:val="005F2C17"/>
    <w:rsid w:val="005F2E26"/>
    <w:rsid w:val="005F3061"/>
    <w:rsid w:val="005F31C0"/>
    <w:rsid w:val="005F3534"/>
    <w:rsid w:val="005F356A"/>
    <w:rsid w:val="005F36CB"/>
    <w:rsid w:val="005F380F"/>
    <w:rsid w:val="005F3991"/>
    <w:rsid w:val="005F43F3"/>
    <w:rsid w:val="005F4767"/>
    <w:rsid w:val="005F49BB"/>
    <w:rsid w:val="005F4B80"/>
    <w:rsid w:val="005F4E24"/>
    <w:rsid w:val="005F534B"/>
    <w:rsid w:val="005F5633"/>
    <w:rsid w:val="005F56B8"/>
    <w:rsid w:val="005F571A"/>
    <w:rsid w:val="005F58D2"/>
    <w:rsid w:val="005F6108"/>
    <w:rsid w:val="005F698E"/>
    <w:rsid w:val="005F6AEF"/>
    <w:rsid w:val="005F74F1"/>
    <w:rsid w:val="005F76FD"/>
    <w:rsid w:val="005F7710"/>
    <w:rsid w:val="005F7BA5"/>
    <w:rsid w:val="006004C0"/>
    <w:rsid w:val="00600C81"/>
    <w:rsid w:val="00600FD0"/>
    <w:rsid w:val="00600FE5"/>
    <w:rsid w:val="006013AC"/>
    <w:rsid w:val="00601BD2"/>
    <w:rsid w:val="0060234A"/>
    <w:rsid w:val="00602354"/>
    <w:rsid w:val="006025F8"/>
    <w:rsid w:val="00602E85"/>
    <w:rsid w:val="00602F28"/>
    <w:rsid w:val="006032CA"/>
    <w:rsid w:val="006039AE"/>
    <w:rsid w:val="00603D38"/>
    <w:rsid w:val="00604667"/>
    <w:rsid w:val="00604CB8"/>
    <w:rsid w:val="00604FDC"/>
    <w:rsid w:val="006056C6"/>
    <w:rsid w:val="00605D7D"/>
    <w:rsid w:val="00605E16"/>
    <w:rsid w:val="006060F9"/>
    <w:rsid w:val="00606DD6"/>
    <w:rsid w:val="00607491"/>
    <w:rsid w:val="00607C85"/>
    <w:rsid w:val="0061083C"/>
    <w:rsid w:val="00610BFD"/>
    <w:rsid w:val="0061159F"/>
    <w:rsid w:val="00611C98"/>
    <w:rsid w:val="00611FA9"/>
    <w:rsid w:val="00612083"/>
    <w:rsid w:val="00612F1E"/>
    <w:rsid w:val="006133B9"/>
    <w:rsid w:val="0061396C"/>
    <w:rsid w:val="00613B33"/>
    <w:rsid w:val="00613E2A"/>
    <w:rsid w:val="0061430A"/>
    <w:rsid w:val="0061439A"/>
    <w:rsid w:val="00614B22"/>
    <w:rsid w:val="00614DA3"/>
    <w:rsid w:val="00614F0B"/>
    <w:rsid w:val="00614F6B"/>
    <w:rsid w:val="00615E93"/>
    <w:rsid w:val="00615F8D"/>
    <w:rsid w:val="00616076"/>
    <w:rsid w:val="00616709"/>
    <w:rsid w:val="00616783"/>
    <w:rsid w:val="00617269"/>
    <w:rsid w:val="00617886"/>
    <w:rsid w:val="0061790A"/>
    <w:rsid w:val="00617971"/>
    <w:rsid w:val="006179AD"/>
    <w:rsid w:val="00617ADD"/>
    <w:rsid w:val="00617CAF"/>
    <w:rsid w:val="00620423"/>
    <w:rsid w:val="006209A8"/>
    <w:rsid w:val="00620AD5"/>
    <w:rsid w:val="00620CC8"/>
    <w:rsid w:val="00620D20"/>
    <w:rsid w:val="00620F9D"/>
    <w:rsid w:val="00621025"/>
    <w:rsid w:val="006214F2"/>
    <w:rsid w:val="00621C43"/>
    <w:rsid w:val="00621CEC"/>
    <w:rsid w:val="0062200B"/>
    <w:rsid w:val="00622FF7"/>
    <w:rsid w:val="00623160"/>
    <w:rsid w:val="00623193"/>
    <w:rsid w:val="00623295"/>
    <w:rsid w:val="00623EF2"/>
    <w:rsid w:val="00624555"/>
    <w:rsid w:val="00624F85"/>
    <w:rsid w:val="00625244"/>
    <w:rsid w:val="0062524E"/>
    <w:rsid w:val="00625B02"/>
    <w:rsid w:val="00626084"/>
    <w:rsid w:val="00626793"/>
    <w:rsid w:val="00626ECA"/>
    <w:rsid w:val="006275AC"/>
    <w:rsid w:val="006302DE"/>
    <w:rsid w:val="00630475"/>
    <w:rsid w:val="00630D67"/>
    <w:rsid w:val="0063113B"/>
    <w:rsid w:val="00631421"/>
    <w:rsid w:val="0063144A"/>
    <w:rsid w:val="0063178A"/>
    <w:rsid w:val="00631ABD"/>
    <w:rsid w:val="0063244A"/>
    <w:rsid w:val="006325B0"/>
    <w:rsid w:val="006325D5"/>
    <w:rsid w:val="00633146"/>
    <w:rsid w:val="006335AD"/>
    <w:rsid w:val="00633E6D"/>
    <w:rsid w:val="006345C3"/>
    <w:rsid w:val="0063487E"/>
    <w:rsid w:val="006349B8"/>
    <w:rsid w:val="00634B32"/>
    <w:rsid w:val="00634D37"/>
    <w:rsid w:val="00634EC4"/>
    <w:rsid w:val="00635337"/>
    <w:rsid w:val="0063541B"/>
    <w:rsid w:val="00635468"/>
    <w:rsid w:val="006354D1"/>
    <w:rsid w:val="00635EE1"/>
    <w:rsid w:val="00636109"/>
    <w:rsid w:val="00636CAE"/>
    <w:rsid w:val="0063710F"/>
    <w:rsid w:val="00637969"/>
    <w:rsid w:val="00640614"/>
    <w:rsid w:val="00641143"/>
    <w:rsid w:val="00641384"/>
    <w:rsid w:val="006418A0"/>
    <w:rsid w:val="00641B59"/>
    <w:rsid w:val="006424AD"/>
    <w:rsid w:val="00642AD8"/>
    <w:rsid w:val="006430D8"/>
    <w:rsid w:val="00643D3E"/>
    <w:rsid w:val="00644696"/>
    <w:rsid w:val="00644851"/>
    <w:rsid w:val="00644B73"/>
    <w:rsid w:val="00644D20"/>
    <w:rsid w:val="00645202"/>
    <w:rsid w:val="00645830"/>
    <w:rsid w:val="00645AD5"/>
    <w:rsid w:val="00646E2F"/>
    <w:rsid w:val="00646FA9"/>
    <w:rsid w:val="00650633"/>
    <w:rsid w:val="00651C48"/>
    <w:rsid w:val="00651E6B"/>
    <w:rsid w:val="00651F25"/>
    <w:rsid w:val="00652282"/>
    <w:rsid w:val="006527FD"/>
    <w:rsid w:val="006531A4"/>
    <w:rsid w:val="006534F0"/>
    <w:rsid w:val="00653573"/>
    <w:rsid w:val="00653679"/>
    <w:rsid w:val="00653B72"/>
    <w:rsid w:val="00654227"/>
    <w:rsid w:val="006549B5"/>
    <w:rsid w:val="0065547D"/>
    <w:rsid w:val="0065619A"/>
    <w:rsid w:val="006563D0"/>
    <w:rsid w:val="00656585"/>
    <w:rsid w:val="0065680D"/>
    <w:rsid w:val="00656B5D"/>
    <w:rsid w:val="00656FE1"/>
    <w:rsid w:val="00657105"/>
    <w:rsid w:val="00657394"/>
    <w:rsid w:val="0065792B"/>
    <w:rsid w:val="0066067F"/>
    <w:rsid w:val="00661849"/>
    <w:rsid w:val="006619D9"/>
    <w:rsid w:val="00661B1B"/>
    <w:rsid w:val="0066296A"/>
    <w:rsid w:val="00662B80"/>
    <w:rsid w:val="00662EE1"/>
    <w:rsid w:val="00663BB5"/>
    <w:rsid w:val="00663C47"/>
    <w:rsid w:val="00663D63"/>
    <w:rsid w:val="00663D81"/>
    <w:rsid w:val="00664938"/>
    <w:rsid w:val="006649A1"/>
    <w:rsid w:val="00664D0E"/>
    <w:rsid w:val="00664D4C"/>
    <w:rsid w:val="00665171"/>
    <w:rsid w:val="006651FF"/>
    <w:rsid w:val="0066695E"/>
    <w:rsid w:val="00666A35"/>
    <w:rsid w:val="006678CE"/>
    <w:rsid w:val="00670006"/>
    <w:rsid w:val="00670FDC"/>
    <w:rsid w:val="00671649"/>
    <w:rsid w:val="0067164C"/>
    <w:rsid w:val="00671C8F"/>
    <w:rsid w:val="00671EC1"/>
    <w:rsid w:val="00672189"/>
    <w:rsid w:val="00672505"/>
    <w:rsid w:val="0067263F"/>
    <w:rsid w:val="006726E4"/>
    <w:rsid w:val="006730A8"/>
    <w:rsid w:val="0067324D"/>
    <w:rsid w:val="0067346D"/>
    <w:rsid w:val="00673784"/>
    <w:rsid w:val="00673C7E"/>
    <w:rsid w:val="00674EF7"/>
    <w:rsid w:val="00675224"/>
    <w:rsid w:val="00675AD0"/>
    <w:rsid w:val="00675B65"/>
    <w:rsid w:val="00675B9F"/>
    <w:rsid w:val="00675D2E"/>
    <w:rsid w:val="00675EF3"/>
    <w:rsid w:val="006762B7"/>
    <w:rsid w:val="006763CA"/>
    <w:rsid w:val="00676515"/>
    <w:rsid w:val="00676A81"/>
    <w:rsid w:val="00676ABC"/>
    <w:rsid w:val="00676ED3"/>
    <w:rsid w:val="006770F3"/>
    <w:rsid w:val="00677701"/>
    <w:rsid w:val="00677BDE"/>
    <w:rsid w:val="00677BEC"/>
    <w:rsid w:val="00681409"/>
    <w:rsid w:val="0068168C"/>
    <w:rsid w:val="0068187B"/>
    <w:rsid w:val="006819BA"/>
    <w:rsid w:val="00681C2C"/>
    <w:rsid w:val="00681C76"/>
    <w:rsid w:val="00682279"/>
    <w:rsid w:val="00683293"/>
    <w:rsid w:val="00683506"/>
    <w:rsid w:val="00683647"/>
    <w:rsid w:val="00683AF4"/>
    <w:rsid w:val="00683C12"/>
    <w:rsid w:val="00683EED"/>
    <w:rsid w:val="00684159"/>
    <w:rsid w:val="006843AA"/>
    <w:rsid w:val="00684621"/>
    <w:rsid w:val="00684C1E"/>
    <w:rsid w:val="006850FC"/>
    <w:rsid w:val="00686AF7"/>
    <w:rsid w:val="00686F8F"/>
    <w:rsid w:val="00687B09"/>
    <w:rsid w:val="00687EFB"/>
    <w:rsid w:val="00690029"/>
    <w:rsid w:val="006901F8"/>
    <w:rsid w:val="006904A3"/>
    <w:rsid w:val="00690E5D"/>
    <w:rsid w:val="00691151"/>
    <w:rsid w:val="00691217"/>
    <w:rsid w:val="00691500"/>
    <w:rsid w:val="006915C0"/>
    <w:rsid w:val="006922FF"/>
    <w:rsid w:val="00693235"/>
    <w:rsid w:val="00693BDA"/>
    <w:rsid w:val="00694D40"/>
    <w:rsid w:val="00694D74"/>
    <w:rsid w:val="00695765"/>
    <w:rsid w:val="00695900"/>
    <w:rsid w:val="00696356"/>
    <w:rsid w:val="0069639F"/>
    <w:rsid w:val="006969FD"/>
    <w:rsid w:val="00696A9A"/>
    <w:rsid w:val="006973D3"/>
    <w:rsid w:val="00697960"/>
    <w:rsid w:val="00697A73"/>
    <w:rsid w:val="00697D50"/>
    <w:rsid w:val="006A0885"/>
    <w:rsid w:val="006A0901"/>
    <w:rsid w:val="006A0AE6"/>
    <w:rsid w:val="006A0CBC"/>
    <w:rsid w:val="006A1AB2"/>
    <w:rsid w:val="006A37BD"/>
    <w:rsid w:val="006A3A37"/>
    <w:rsid w:val="006A3BF3"/>
    <w:rsid w:val="006A3ED5"/>
    <w:rsid w:val="006A4087"/>
    <w:rsid w:val="006A445B"/>
    <w:rsid w:val="006A4498"/>
    <w:rsid w:val="006A45C8"/>
    <w:rsid w:val="006A4A08"/>
    <w:rsid w:val="006A544F"/>
    <w:rsid w:val="006A5573"/>
    <w:rsid w:val="006A56AF"/>
    <w:rsid w:val="006A6082"/>
    <w:rsid w:val="006A6220"/>
    <w:rsid w:val="006A62EE"/>
    <w:rsid w:val="006A6EF8"/>
    <w:rsid w:val="006A6F40"/>
    <w:rsid w:val="006A75A9"/>
    <w:rsid w:val="006A76D7"/>
    <w:rsid w:val="006A772D"/>
    <w:rsid w:val="006A7CFD"/>
    <w:rsid w:val="006A7EEB"/>
    <w:rsid w:val="006B0F51"/>
    <w:rsid w:val="006B0F92"/>
    <w:rsid w:val="006B1C74"/>
    <w:rsid w:val="006B25EF"/>
    <w:rsid w:val="006B2794"/>
    <w:rsid w:val="006B29EE"/>
    <w:rsid w:val="006B2AEC"/>
    <w:rsid w:val="006B30B4"/>
    <w:rsid w:val="006B30D9"/>
    <w:rsid w:val="006B337C"/>
    <w:rsid w:val="006B3E75"/>
    <w:rsid w:val="006B3F93"/>
    <w:rsid w:val="006B41F4"/>
    <w:rsid w:val="006B4804"/>
    <w:rsid w:val="006B4910"/>
    <w:rsid w:val="006B49E8"/>
    <w:rsid w:val="006B4A7B"/>
    <w:rsid w:val="006B5121"/>
    <w:rsid w:val="006B51CA"/>
    <w:rsid w:val="006B538E"/>
    <w:rsid w:val="006B5411"/>
    <w:rsid w:val="006B589B"/>
    <w:rsid w:val="006B58D8"/>
    <w:rsid w:val="006B5B8A"/>
    <w:rsid w:val="006B60FA"/>
    <w:rsid w:val="006B68F1"/>
    <w:rsid w:val="006B69E8"/>
    <w:rsid w:val="006B6F40"/>
    <w:rsid w:val="006B708D"/>
    <w:rsid w:val="006B711D"/>
    <w:rsid w:val="006B715F"/>
    <w:rsid w:val="006B72DD"/>
    <w:rsid w:val="006B74CC"/>
    <w:rsid w:val="006C0D86"/>
    <w:rsid w:val="006C0EA6"/>
    <w:rsid w:val="006C15DA"/>
    <w:rsid w:val="006C1890"/>
    <w:rsid w:val="006C1BC1"/>
    <w:rsid w:val="006C1BC2"/>
    <w:rsid w:val="006C1DDE"/>
    <w:rsid w:val="006C462D"/>
    <w:rsid w:val="006C4701"/>
    <w:rsid w:val="006C4949"/>
    <w:rsid w:val="006C5322"/>
    <w:rsid w:val="006C5377"/>
    <w:rsid w:val="006C5771"/>
    <w:rsid w:val="006C5872"/>
    <w:rsid w:val="006C5A10"/>
    <w:rsid w:val="006C5BF8"/>
    <w:rsid w:val="006C5F99"/>
    <w:rsid w:val="006C6A57"/>
    <w:rsid w:val="006C703B"/>
    <w:rsid w:val="006C7478"/>
    <w:rsid w:val="006C78BE"/>
    <w:rsid w:val="006C797A"/>
    <w:rsid w:val="006D03F1"/>
    <w:rsid w:val="006D077A"/>
    <w:rsid w:val="006D0961"/>
    <w:rsid w:val="006D0D86"/>
    <w:rsid w:val="006D0D8B"/>
    <w:rsid w:val="006D11C5"/>
    <w:rsid w:val="006D15B9"/>
    <w:rsid w:val="006D17CC"/>
    <w:rsid w:val="006D3003"/>
    <w:rsid w:val="006D31B6"/>
    <w:rsid w:val="006D32DE"/>
    <w:rsid w:val="006D3A74"/>
    <w:rsid w:val="006D3CA9"/>
    <w:rsid w:val="006D42A6"/>
    <w:rsid w:val="006D4421"/>
    <w:rsid w:val="006D449D"/>
    <w:rsid w:val="006D537A"/>
    <w:rsid w:val="006D5435"/>
    <w:rsid w:val="006D5537"/>
    <w:rsid w:val="006D5B58"/>
    <w:rsid w:val="006D5D1B"/>
    <w:rsid w:val="006D5DF9"/>
    <w:rsid w:val="006D5FF8"/>
    <w:rsid w:val="006D6A07"/>
    <w:rsid w:val="006D6E53"/>
    <w:rsid w:val="006D6F67"/>
    <w:rsid w:val="006D6FC9"/>
    <w:rsid w:val="006D7B2E"/>
    <w:rsid w:val="006E01FE"/>
    <w:rsid w:val="006E025C"/>
    <w:rsid w:val="006E05B5"/>
    <w:rsid w:val="006E09D2"/>
    <w:rsid w:val="006E1156"/>
    <w:rsid w:val="006E1AF8"/>
    <w:rsid w:val="006E1F02"/>
    <w:rsid w:val="006E2843"/>
    <w:rsid w:val="006E2BD5"/>
    <w:rsid w:val="006E333D"/>
    <w:rsid w:val="006E33E1"/>
    <w:rsid w:val="006E35F3"/>
    <w:rsid w:val="006E37AC"/>
    <w:rsid w:val="006E402A"/>
    <w:rsid w:val="006E40C4"/>
    <w:rsid w:val="006E4367"/>
    <w:rsid w:val="006E48F3"/>
    <w:rsid w:val="006E5580"/>
    <w:rsid w:val="006E5715"/>
    <w:rsid w:val="006E60A9"/>
    <w:rsid w:val="006E63B5"/>
    <w:rsid w:val="006E66FE"/>
    <w:rsid w:val="006E6F93"/>
    <w:rsid w:val="006E7055"/>
    <w:rsid w:val="006E7282"/>
    <w:rsid w:val="006E7619"/>
    <w:rsid w:val="006E7A87"/>
    <w:rsid w:val="006E7D3F"/>
    <w:rsid w:val="006E7DBB"/>
    <w:rsid w:val="006F0081"/>
    <w:rsid w:val="006F077B"/>
    <w:rsid w:val="006F07BF"/>
    <w:rsid w:val="006F140C"/>
    <w:rsid w:val="006F16A7"/>
    <w:rsid w:val="006F16E5"/>
    <w:rsid w:val="006F3547"/>
    <w:rsid w:val="006F3F03"/>
    <w:rsid w:val="006F41F1"/>
    <w:rsid w:val="006F43E0"/>
    <w:rsid w:val="006F456A"/>
    <w:rsid w:val="006F4817"/>
    <w:rsid w:val="006F4A5B"/>
    <w:rsid w:val="006F501E"/>
    <w:rsid w:val="006F508B"/>
    <w:rsid w:val="006F566A"/>
    <w:rsid w:val="006F57FB"/>
    <w:rsid w:val="006F5A64"/>
    <w:rsid w:val="006F5BE2"/>
    <w:rsid w:val="006F61E7"/>
    <w:rsid w:val="006F6DC9"/>
    <w:rsid w:val="006F7202"/>
    <w:rsid w:val="006F73AB"/>
    <w:rsid w:val="006F78DD"/>
    <w:rsid w:val="006F7FE7"/>
    <w:rsid w:val="007000A2"/>
    <w:rsid w:val="00700240"/>
    <w:rsid w:val="007005FD"/>
    <w:rsid w:val="007016D2"/>
    <w:rsid w:val="00701EE8"/>
    <w:rsid w:val="007020CD"/>
    <w:rsid w:val="00702C22"/>
    <w:rsid w:val="00703500"/>
    <w:rsid w:val="00703A67"/>
    <w:rsid w:val="00703C12"/>
    <w:rsid w:val="00704A8C"/>
    <w:rsid w:val="00704D25"/>
    <w:rsid w:val="007055CF"/>
    <w:rsid w:val="00705691"/>
    <w:rsid w:val="007058B6"/>
    <w:rsid w:val="00705E93"/>
    <w:rsid w:val="007061B3"/>
    <w:rsid w:val="007061D9"/>
    <w:rsid w:val="007068B2"/>
    <w:rsid w:val="00706B9D"/>
    <w:rsid w:val="007071A3"/>
    <w:rsid w:val="00707201"/>
    <w:rsid w:val="00707D4C"/>
    <w:rsid w:val="00710610"/>
    <w:rsid w:val="0071072F"/>
    <w:rsid w:val="00711254"/>
    <w:rsid w:val="00711822"/>
    <w:rsid w:val="00711E1B"/>
    <w:rsid w:val="007126A1"/>
    <w:rsid w:val="00712F69"/>
    <w:rsid w:val="007130BF"/>
    <w:rsid w:val="007142E2"/>
    <w:rsid w:val="00714D20"/>
    <w:rsid w:val="00715E0F"/>
    <w:rsid w:val="007162AE"/>
    <w:rsid w:val="00716597"/>
    <w:rsid w:val="00717207"/>
    <w:rsid w:val="0071724E"/>
    <w:rsid w:val="00717388"/>
    <w:rsid w:val="007176C4"/>
    <w:rsid w:val="007177D4"/>
    <w:rsid w:val="007179CE"/>
    <w:rsid w:val="00717C8C"/>
    <w:rsid w:val="007200D5"/>
    <w:rsid w:val="007205DF"/>
    <w:rsid w:val="0072064E"/>
    <w:rsid w:val="00720CAE"/>
    <w:rsid w:val="00720F7E"/>
    <w:rsid w:val="00721059"/>
    <w:rsid w:val="00722065"/>
    <w:rsid w:val="00722667"/>
    <w:rsid w:val="00723926"/>
    <w:rsid w:val="00723C25"/>
    <w:rsid w:val="00724488"/>
    <w:rsid w:val="007245A7"/>
    <w:rsid w:val="00724D10"/>
    <w:rsid w:val="0072553D"/>
    <w:rsid w:val="00725CBE"/>
    <w:rsid w:val="00725E53"/>
    <w:rsid w:val="00725EB5"/>
    <w:rsid w:val="00725F91"/>
    <w:rsid w:val="007260B8"/>
    <w:rsid w:val="00726224"/>
    <w:rsid w:val="0072700B"/>
    <w:rsid w:val="00727249"/>
    <w:rsid w:val="00727417"/>
    <w:rsid w:val="007276E4"/>
    <w:rsid w:val="00727A94"/>
    <w:rsid w:val="00727B9D"/>
    <w:rsid w:val="00727FA8"/>
    <w:rsid w:val="00730DDC"/>
    <w:rsid w:val="00731A4C"/>
    <w:rsid w:val="00731B64"/>
    <w:rsid w:val="00731B77"/>
    <w:rsid w:val="00731DCD"/>
    <w:rsid w:val="00732398"/>
    <w:rsid w:val="00732864"/>
    <w:rsid w:val="00732C16"/>
    <w:rsid w:val="007332F5"/>
    <w:rsid w:val="007335DE"/>
    <w:rsid w:val="00733CAA"/>
    <w:rsid w:val="00734170"/>
    <w:rsid w:val="00734404"/>
    <w:rsid w:val="00735261"/>
    <w:rsid w:val="00735C11"/>
    <w:rsid w:val="00735E4E"/>
    <w:rsid w:val="007373DA"/>
    <w:rsid w:val="007378BD"/>
    <w:rsid w:val="0073798A"/>
    <w:rsid w:val="00737E1A"/>
    <w:rsid w:val="007404DD"/>
    <w:rsid w:val="0074067D"/>
    <w:rsid w:val="00741EF0"/>
    <w:rsid w:val="007420E7"/>
    <w:rsid w:val="0074243B"/>
    <w:rsid w:val="0074246F"/>
    <w:rsid w:val="0074274A"/>
    <w:rsid w:val="007429F4"/>
    <w:rsid w:val="00742CFE"/>
    <w:rsid w:val="007433E1"/>
    <w:rsid w:val="00743594"/>
    <w:rsid w:val="00744800"/>
    <w:rsid w:val="00744DF2"/>
    <w:rsid w:val="00745CCC"/>
    <w:rsid w:val="00745F32"/>
    <w:rsid w:val="007461D6"/>
    <w:rsid w:val="0074657B"/>
    <w:rsid w:val="00746AF7"/>
    <w:rsid w:val="00746D5B"/>
    <w:rsid w:val="00747283"/>
    <w:rsid w:val="00747969"/>
    <w:rsid w:val="00747CCE"/>
    <w:rsid w:val="00747E16"/>
    <w:rsid w:val="00747F1F"/>
    <w:rsid w:val="00750E67"/>
    <w:rsid w:val="007513B7"/>
    <w:rsid w:val="007517E9"/>
    <w:rsid w:val="00751B61"/>
    <w:rsid w:val="0075203B"/>
    <w:rsid w:val="007523F7"/>
    <w:rsid w:val="0075271E"/>
    <w:rsid w:val="00752AD4"/>
    <w:rsid w:val="00753468"/>
    <w:rsid w:val="00753478"/>
    <w:rsid w:val="0075450B"/>
    <w:rsid w:val="007547AF"/>
    <w:rsid w:val="00754936"/>
    <w:rsid w:val="00754FCC"/>
    <w:rsid w:val="00755582"/>
    <w:rsid w:val="00755C63"/>
    <w:rsid w:val="00756943"/>
    <w:rsid w:val="0075712C"/>
    <w:rsid w:val="00757D9F"/>
    <w:rsid w:val="00757E3C"/>
    <w:rsid w:val="00760618"/>
    <w:rsid w:val="0076090F"/>
    <w:rsid w:val="00760B8E"/>
    <w:rsid w:val="0076118D"/>
    <w:rsid w:val="007611B9"/>
    <w:rsid w:val="007623FA"/>
    <w:rsid w:val="007626E1"/>
    <w:rsid w:val="007627C6"/>
    <w:rsid w:val="007632C8"/>
    <w:rsid w:val="00763639"/>
    <w:rsid w:val="00763685"/>
    <w:rsid w:val="00764707"/>
    <w:rsid w:val="0076479C"/>
    <w:rsid w:val="00764B5C"/>
    <w:rsid w:val="00764D9A"/>
    <w:rsid w:val="00765009"/>
    <w:rsid w:val="007651A0"/>
    <w:rsid w:val="00765819"/>
    <w:rsid w:val="0076593F"/>
    <w:rsid w:val="007659C9"/>
    <w:rsid w:val="0076793D"/>
    <w:rsid w:val="00767D7F"/>
    <w:rsid w:val="00767F26"/>
    <w:rsid w:val="00770829"/>
    <w:rsid w:val="007709E2"/>
    <w:rsid w:val="00770DC3"/>
    <w:rsid w:val="00771325"/>
    <w:rsid w:val="007729E9"/>
    <w:rsid w:val="00773144"/>
    <w:rsid w:val="0077320C"/>
    <w:rsid w:val="0077334F"/>
    <w:rsid w:val="007745CA"/>
    <w:rsid w:val="007746EE"/>
    <w:rsid w:val="00774809"/>
    <w:rsid w:val="00774CF7"/>
    <w:rsid w:val="00774D9A"/>
    <w:rsid w:val="007752AB"/>
    <w:rsid w:val="007752B8"/>
    <w:rsid w:val="007758BB"/>
    <w:rsid w:val="00775A65"/>
    <w:rsid w:val="00775AE0"/>
    <w:rsid w:val="00776177"/>
    <w:rsid w:val="007762F6"/>
    <w:rsid w:val="00776A5A"/>
    <w:rsid w:val="00776AFA"/>
    <w:rsid w:val="007778B6"/>
    <w:rsid w:val="00777B8E"/>
    <w:rsid w:val="00777C35"/>
    <w:rsid w:val="00777E1C"/>
    <w:rsid w:val="00780A5D"/>
    <w:rsid w:val="0078139B"/>
    <w:rsid w:val="007815FF"/>
    <w:rsid w:val="00781BFC"/>
    <w:rsid w:val="00782190"/>
    <w:rsid w:val="0078224F"/>
    <w:rsid w:val="00783404"/>
    <w:rsid w:val="00783472"/>
    <w:rsid w:val="007836FE"/>
    <w:rsid w:val="00783907"/>
    <w:rsid w:val="00783C52"/>
    <w:rsid w:val="00783EBA"/>
    <w:rsid w:val="00784967"/>
    <w:rsid w:val="00785386"/>
    <w:rsid w:val="007854F2"/>
    <w:rsid w:val="0078573E"/>
    <w:rsid w:val="007857FB"/>
    <w:rsid w:val="00785A02"/>
    <w:rsid w:val="0078607F"/>
    <w:rsid w:val="00786482"/>
    <w:rsid w:val="007868E8"/>
    <w:rsid w:val="00786A01"/>
    <w:rsid w:val="00786FBE"/>
    <w:rsid w:val="0078717B"/>
    <w:rsid w:val="0078746A"/>
    <w:rsid w:val="007875EF"/>
    <w:rsid w:val="00787CDB"/>
    <w:rsid w:val="00790143"/>
    <w:rsid w:val="007902AD"/>
    <w:rsid w:val="007917C4"/>
    <w:rsid w:val="00791C19"/>
    <w:rsid w:val="00791C44"/>
    <w:rsid w:val="00791C71"/>
    <w:rsid w:val="00791D0C"/>
    <w:rsid w:val="00792347"/>
    <w:rsid w:val="00792450"/>
    <w:rsid w:val="00792EBF"/>
    <w:rsid w:val="00793438"/>
    <w:rsid w:val="007935B6"/>
    <w:rsid w:val="007938C8"/>
    <w:rsid w:val="007938F7"/>
    <w:rsid w:val="00793C00"/>
    <w:rsid w:val="00793D27"/>
    <w:rsid w:val="00793DE9"/>
    <w:rsid w:val="0079401B"/>
    <w:rsid w:val="007940AC"/>
    <w:rsid w:val="007946E2"/>
    <w:rsid w:val="00794DD8"/>
    <w:rsid w:val="00794FCE"/>
    <w:rsid w:val="00795312"/>
    <w:rsid w:val="00795BA9"/>
    <w:rsid w:val="00795EB1"/>
    <w:rsid w:val="00795F20"/>
    <w:rsid w:val="007964C9"/>
    <w:rsid w:val="00796858"/>
    <w:rsid w:val="00796EDC"/>
    <w:rsid w:val="00796F6D"/>
    <w:rsid w:val="00796FFC"/>
    <w:rsid w:val="0079726E"/>
    <w:rsid w:val="00797DA3"/>
    <w:rsid w:val="00797F23"/>
    <w:rsid w:val="007A01A4"/>
    <w:rsid w:val="007A08F2"/>
    <w:rsid w:val="007A0FDD"/>
    <w:rsid w:val="007A22EA"/>
    <w:rsid w:val="007A3080"/>
    <w:rsid w:val="007A308C"/>
    <w:rsid w:val="007A372B"/>
    <w:rsid w:val="007A38C3"/>
    <w:rsid w:val="007A392C"/>
    <w:rsid w:val="007A3B25"/>
    <w:rsid w:val="007A41EE"/>
    <w:rsid w:val="007A44F6"/>
    <w:rsid w:val="007A51EE"/>
    <w:rsid w:val="007A5E17"/>
    <w:rsid w:val="007A6178"/>
    <w:rsid w:val="007A6821"/>
    <w:rsid w:val="007A6D6B"/>
    <w:rsid w:val="007B0BAC"/>
    <w:rsid w:val="007B0CBB"/>
    <w:rsid w:val="007B0D56"/>
    <w:rsid w:val="007B0DD9"/>
    <w:rsid w:val="007B19CD"/>
    <w:rsid w:val="007B1BF3"/>
    <w:rsid w:val="007B1F51"/>
    <w:rsid w:val="007B221A"/>
    <w:rsid w:val="007B2275"/>
    <w:rsid w:val="007B25B9"/>
    <w:rsid w:val="007B2FD5"/>
    <w:rsid w:val="007B3231"/>
    <w:rsid w:val="007B33D1"/>
    <w:rsid w:val="007B343A"/>
    <w:rsid w:val="007B36F5"/>
    <w:rsid w:val="007B4CA8"/>
    <w:rsid w:val="007B5C1B"/>
    <w:rsid w:val="007B6062"/>
    <w:rsid w:val="007B6607"/>
    <w:rsid w:val="007B669B"/>
    <w:rsid w:val="007B6EBF"/>
    <w:rsid w:val="007B7E7D"/>
    <w:rsid w:val="007C087A"/>
    <w:rsid w:val="007C0C78"/>
    <w:rsid w:val="007C1339"/>
    <w:rsid w:val="007C1445"/>
    <w:rsid w:val="007C185B"/>
    <w:rsid w:val="007C18B9"/>
    <w:rsid w:val="007C209E"/>
    <w:rsid w:val="007C235F"/>
    <w:rsid w:val="007C23B0"/>
    <w:rsid w:val="007C2C6D"/>
    <w:rsid w:val="007C2F7B"/>
    <w:rsid w:val="007C32E1"/>
    <w:rsid w:val="007C44D7"/>
    <w:rsid w:val="007C46C5"/>
    <w:rsid w:val="007C517B"/>
    <w:rsid w:val="007C692C"/>
    <w:rsid w:val="007C6E54"/>
    <w:rsid w:val="007C6F0A"/>
    <w:rsid w:val="007C7224"/>
    <w:rsid w:val="007C7B77"/>
    <w:rsid w:val="007C7D62"/>
    <w:rsid w:val="007D0E7E"/>
    <w:rsid w:val="007D0F02"/>
    <w:rsid w:val="007D14A0"/>
    <w:rsid w:val="007D16C4"/>
    <w:rsid w:val="007D18B6"/>
    <w:rsid w:val="007D1B6B"/>
    <w:rsid w:val="007D1F27"/>
    <w:rsid w:val="007D1F59"/>
    <w:rsid w:val="007D2059"/>
    <w:rsid w:val="007D2098"/>
    <w:rsid w:val="007D20C2"/>
    <w:rsid w:val="007D28A8"/>
    <w:rsid w:val="007D2CF4"/>
    <w:rsid w:val="007D3A9B"/>
    <w:rsid w:val="007D3FA8"/>
    <w:rsid w:val="007D4A77"/>
    <w:rsid w:val="007D4C28"/>
    <w:rsid w:val="007D5FEC"/>
    <w:rsid w:val="007D60A2"/>
    <w:rsid w:val="007D6396"/>
    <w:rsid w:val="007D642C"/>
    <w:rsid w:val="007D6B33"/>
    <w:rsid w:val="007D6D37"/>
    <w:rsid w:val="007D6DE7"/>
    <w:rsid w:val="007D6ECF"/>
    <w:rsid w:val="007D74AB"/>
    <w:rsid w:val="007D77DB"/>
    <w:rsid w:val="007D793C"/>
    <w:rsid w:val="007D7E20"/>
    <w:rsid w:val="007E04B8"/>
    <w:rsid w:val="007E097A"/>
    <w:rsid w:val="007E1D04"/>
    <w:rsid w:val="007E21A9"/>
    <w:rsid w:val="007E2475"/>
    <w:rsid w:val="007E2975"/>
    <w:rsid w:val="007E299F"/>
    <w:rsid w:val="007E2B7A"/>
    <w:rsid w:val="007E3071"/>
    <w:rsid w:val="007E378E"/>
    <w:rsid w:val="007E3905"/>
    <w:rsid w:val="007E43E0"/>
    <w:rsid w:val="007E480A"/>
    <w:rsid w:val="007E56E8"/>
    <w:rsid w:val="007E5AB8"/>
    <w:rsid w:val="007E67A2"/>
    <w:rsid w:val="007E742E"/>
    <w:rsid w:val="007F00FE"/>
    <w:rsid w:val="007F051B"/>
    <w:rsid w:val="007F0830"/>
    <w:rsid w:val="007F139C"/>
    <w:rsid w:val="007F1620"/>
    <w:rsid w:val="007F1BEA"/>
    <w:rsid w:val="007F1C6D"/>
    <w:rsid w:val="007F1E2E"/>
    <w:rsid w:val="007F1F4A"/>
    <w:rsid w:val="007F2173"/>
    <w:rsid w:val="007F2362"/>
    <w:rsid w:val="007F256B"/>
    <w:rsid w:val="007F2951"/>
    <w:rsid w:val="007F33A7"/>
    <w:rsid w:val="007F3844"/>
    <w:rsid w:val="007F3F06"/>
    <w:rsid w:val="007F4152"/>
    <w:rsid w:val="007F4691"/>
    <w:rsid w:val="007F46DA"/>
    <w:rsid w:val="007F4962"/>
    <w:rsid w:val="007F4B35"/>
    <w:rsid w:val="007F4E66"/>
    <w:rsid w:val="007F5352"/>
    <w:rsid w:val="007F54DD"/>
    <w:rsid w:val="007F5795"/>
    <w:rsid w:val="007F5AE8"/>
    <w:rsid w:val="007F63B2"/>
    <w:rsid w:val="007F6613"/>
    <w:rsid w:val="007F7498"/>
    <w:rsid w:val="007F754C"/>
    <w:rsid w:val="007F7A58"/>
    <w:rsid w:val="008007F3"/>
    <w:rsid w:val="00800B09"/>
    <w:rsid w:val="00800B77"/>
    <w:rsid w:val="00801122"/>
    <w:rsid w:val="008013F7"/>
    <w:rsid w:val="00801F4F"/>
    <w:rsid w:val="00802894"/>
    <w:rsid w:val="00802C5C"/>
    <w:rsid w:val="0080409B"/>
    <w:rsid w:val="008046F5"/>
    <w:rsid w:val="0080516F"/>
    <w:rsid w:val="00805190"/>
    <w:rsid w:val="008052A9"/>
    <w:rsid w:val="008052DE"/>
    <w:rsid w:val="008054B6"/>
    <w:rsid w:val="00805B00"/>
    <w:rsid w:val="00805FAC"/>
    <w:rsid w:val="00806390"/>
    <w:rsid w:val="00806671"/>
    <w:rsid w:val="00806758"/>
    <w:rsid w:val="00806B3D"/>
    <w:rsid w:val="00807818"/>
    <w:rsid w:val="008101A6"/>
    <w:rsid w:val="00810C69"/>
    <w:rsid w:val="00810D09"/>
    <w:rsid w:val="00810D2C"/>
    <w:rsid w:val="00811F48"/>
    <w:rsid w:val="00812509"/>
    <w:rsid w:val="008126C6"/>
    <w:rsid w:val="00812703"/>
    <w:rsid w:val="00813A1D"/>
    <w:rsid w:val="00813D28"/>
    <w:rsid w:val="00813FB8"/>
    <w:rsid w:val="00813FDF"/>
    <w:rsid w:val="00814193"/>
    <w:rsid w:val="00814560"/>
    <w:rsid w:val="008150CD"/>
    <w:rsid w:val="0081532A"/>
    <w:rsid w:val="00815847"/>
    <w:rsid w:val="00816281"/>
    <w:rsid w:val="00816336"/>
    <w:rsid w:val="00816883"/>
    <w:rsid w:val="00817738"/>
    <w:rsid w:val="00817A7E"/>
    <w:rsid w:val="00817B2D"/>
    <w:rsid w:val="00817FEB"/>
    <w:rsid w:val="00820B1F"/>
    <w:rsid w:val="00820B36"/>
    <w:rsid w:val="008210F3"/>
    <w:rsid w:val="00821A67"/>
    <w:rsid w:val="00821F51"/>
    <w:rsid w:val="00822408"/>
    <w:rsid w:val="008224EE"/>
    <w:rsid w:val="008225FD"/>
    <w:rsid w:val="00822FAD"/>
    <w:rsid w:val="008232F0"/>
    <w:rsid w:val="008233A8"/>
    <w:rsid w:val="00823C75"/>
    <w:rsid w:val="00824053"/>
    <w:rsid w:val="008242C7"/>
    <w:rsid w:val="00824543"/>
    <w:rsid w:val="00824CFC"/>
    <w:rsid w:val="0082569B"/>
    <w:rsid w:val="00826811"/>
    <w:rsid w:val="00826ECF"/>
    <w:rsid w:val="00827605"/>
    <w:rsid w:val="00827922"/>
    <w:rsid w:val="00827CB1"/>
    <w:rsid w:val="00827E44"/>
    <w:rsid w:val="00830372"/>
    <w:rsid w:val="008305AE"/>
    <w:rsid w:val="00830DAA"/>
    <w:rsid w:val="00830E07"/>
    <w:rsid w:val="008310D3"/>
    <w:rsid w:val="00831BBA"/>
    <w:rsid w:val="008320BB"/>
    <w:rsid w:val="00832268"/>
    <w:rsid w:val="00832308"/>
    <w:rsid w:val="00832458"/>
    <w:rsid w:val="008332AB"/>
    <w:rsid w:val="0083365C"/>
    <w:rsid w:val="008340CF"/>
    <w:rsid w:val="008342FE"/>
    <w:rsid w:val="0083438C"/>
    <w:rsid w:val="00834C58"/>
    <w:rsid w:val="0083538E"/>
    <w:rsid w:val="00835DF3"/>
    <w:rsid w:val="00835E9F"/>
    <w:rsid w:val="00835F36"/>
    <w:rsid w:val="008362F1"/>
    <w:rsid w:val="008363F9"/>
    <w:rsid w:val="008365C3"/>
    <w:rsid w:val="008365E9"/>
    <w:rsid w:val="008366D4"/>
    <w:rsid w:val="0083674B"/>
    <w:rsid w:val="0083712E"/>
    <w:rsid w:val="008373D6"/>
    <w:rsid w:val="008374F5"/>
    <w:rsid w:val="008376A8"/>
    <w:rsid w:val="00837F3E"/>
    <w:rsid w:val="008407EE"/>
    <w:rsid w:val="0084090B"/>
    <w:rsid w:val="00840AFC"/>
    <w:rsid w:val="00840BD2"/>
    <w:rsid w:val="00840CE7"/>
    <w:rsid w:val="00840E20"/>
    <w:rsid w:val="0084100A"/>
    <w:rsid w:val="00843E0D"/>
    <w:rsid w:val="008440F2"/>
    <w:rsid w:val="00844125"/>
    <w:rsid w:val="008445CB"/>
    <w:rsid w:val="008448A7"/>
    <w:rsid w:val="008450AA"/>
    <w:rsid w:val="0084510A"/>
    <w:rsid w:val="00846231"/>
    <w:rsid w:val="00846541"/>
    <w:rsid w:val="00846BF9"/>
    <w:rsid w:val="00846EC2"/>
    <w:rsid w:val="00846F2B"/>
    <w:rsid w:val="00847229"/>
    <w:rsid w:val="00847587"/>
    <w:rsid w:val="00847B6D"/>
    <w:rsid w:val="00847ED4"/>
    <w:rsid w:val="00847FEE"/>
    <w:rsid w:val="00850D13"/>
    <w:rsid w:val="008515F1"/>
    <w:rsid w:val="008517FC"/>
    <w:rsid w:val="00851E01"/>
    <w:rsid w:val="0085314F"/>
    <w:rsid w:val="008539C8"/>
    <w:rsid w:val="00853BC0"/>
    <w:rsid w:val="00853F1A"/>
    <w:rsid w:val="00854274"/>
    <w:rsid w:val="008542E8"/>
    <w:rsid w:val="00854579"/>
    <w:rsid w:val="0085476B"/>
    <w:rsid w:val="00854DCC"/>
    <w:rsid w:val="00855274"/>
    <w:rsid w:val="008553DC"/>
    <w:rsid w:val="008555BB"/>
    <w:rsid w:val="00856845"/>
    <w:rsid w:val="008569EA"/>
    <w:rsid w:val="00856F52"/>
    <w:rsid w:val="00857230"/>
    <w:rsid w:val="00857238"/>
    <w:rsid w:val="008578DE"/>
    <w:rsid w:val="0085792D"/>
    <w:rsid w:val="00860805"/>
    <w:rsid w:val="00861CA8"/>
    <w:rsid w:val="00861E13"/>
    <w:rsid w:val="00862270"/>
    <w:rsid w:val="008624DE"/>
    <w:rsid w:val="008633B4"/>
    <w:rsid w:val="0086362E"/>
    <w:rsid w:val="00863A64"/>
    <w:rsid w:val="00863F3D"/>
    <w:rsid w:val="00864424"/>
    <w:rsid w:val="0086465D"/>
    <w:rsid w:val="00864900"/>
    <w:rsid w:val="00864F62"/>
    <w:rsid w:val="008656F4"/>
    <w:rsid w:val="008658E4"/>
    <w:rsid w:val="00865DC6"/>
    <w:rsid w:val="00866109"/>
    <w:rsid w:val="00866158"/>
    <w:rsid w:val="008669D0"/>
    <w:rsid w:val="00866ADF"/>
    <w:rsid w:val="00867783"/>
    <w:rsid w:val="00867AE3"/>
    <w:rsid w:val="00867BCC"/>
    <w:rsid w:val="00867C87"/>
    <w:rsid w:val="0087013E"/>
    <w:rsid w:val="008705A0"/>
    <w:rsid w:val="00870978"/>
    <w:rsid w:val="008709B7"/>
    <w:rsid w:val="00870A9D"/>
    <w:rsid w:val="00870ADF"/>
    <w:rsid w:val="008711F7"/>
    <w:rsid w:val="0087125F"/>
    <w:rsid w:val="0087181B"/>
    <w:rsid w:val="008722AB"/>
    <w:rsid w:val="00872533"/>
    <w:rsid w:val="00872C3C"/>
    <w:rsid w:val="0087311F"/>
    <w:rsid w:val="00873658"/>
    <w:rsid w:val="008737EC"/>
    <w:rsid w:val="00873D7D"/>
    <w:rsid w:val="00873F04"/>
    <w:rsid w:val="00874049"/>
    <w:rsid w:val="00874A7E"/>
    <w:rsid w:val="008753CC"/>
    <w:rsid w:val="0087546F"/>
    <w:rsid w:val="008755F0"/>
    <w:rsid w:val="00876321"/>
    <w:rsid w:val="008764FF"/>
    <w:rsid w:val="00876568"/>
    <w:rsid w:val="00876828"/>
    <w:rsid w:val="00876867"/>
    <w:rsid w:val="00876B33"/>
    <w:rsid w:val="00877240"/>
    <w:rsid w:val="0087728B"/>
    <w:rsid w:val="008776FA"/>
    <w:rsid w:val="00877729"/>
    <w:rsid w:val="00877BCA"/>
    <w:rsid w:val="00877D0F"/>
    <w:rsid w:val="00877F5D"/>
    <w:rsid w:val="00880C8E"/>
    <w:rsid w:val="00880F21"/>
    <w:rsid w:val="00881327"/>
    <w:rsid w:val="00881BE8"/>
    <w:rsid w:val="00881D00"/>
    <w:rsid w:val="008827C3"/>
    <w:rsid w:val="00882DC3"/>
    <w:rsid w:val="008831F1"/>
    <w:rsid w:val="00883AA8"/>
    <w:rsid w:val="00884765"/>
    <w:rsid w:val="00884B67"/>
    <w:rsid w:val="00884E58"/>
    <w:rsid w:val="008850C7"/>
    <w:rsid w:val="008850E3"/>
    <w:rsid w:val="008853B3"/>
    <w:rsid w:val="0088545F"/>
    <w:rsid w:val="0088595E"/>
    <w:rsid w:val="0088685B"/>
    <w:rsid w:val="00886AFD"/>
    <w:rsid w:val="00887030"/>
    <w:rsid w:val="00887541"/>
    <w:rsid w:val="00887E91"/>
    <w:rsid w:val="008902FE"/>
    <w:rsid w:val="008911CF"/>
    <w:rsid w:val="008915A2"/>
    <w:rsid w:val="008918CF"/>
    <w:rsid w:val="0089198B"/>
    <w:rsid w:val="00891DA1"/>
    <w:rsid w:val="00892990"/>
    <w:rsid w:val="00892D36"/>
    <w:rsid w:val="00893F72"/>
    <w:rsid w:val="00894A99"/>
    <w:rsid w:val="0089518A"/>
    <w:rsid w:val="00895353"/>
    <w:rsid w:val="008956C6"/>
    <w:rsid w:val="00895FDE"/>
    <w:rsid w:val="0089627A"/>
    <w:rsid w:val="00896314"/>
    <w:rsid w:val="0089689D"/>
    <w:rsid w:val="00896FB6"/>
    <w:rsid w:val="00897689"/>
    <w:rsid w:val="008977CB"/>
    <w:rsid w:val="00897896"/>
    <w:rsid w:val="00897DD1"/>
    <w:rsid w:val="008A0D82"/>
    <w:rsid w:val="008A0DC0"/>
    <w:rsid w:val="008A15BF"/>
    <w:rsid w:val="008A1CEB"/>
    <w:rsid w:val="008A1D5F"/>
    <w:rsid w:val="008A2194"/>
    <w:rsid w:val="008A27C6"/>
    <w:rsid w:val="008A2EA5"/>
    <w:rsid w:val="008A3BCA"/>
    <w:rsid w:val="008A4286"/>
    <w:rsid w:val="008A47D1"/>
    <w:rsid w:val="008A4BE9"/>
    <w:rsid w:val="008A4F81"/>
    <w:rsid w:val="008A5269"/>
    <w:rsid w:val="008A577E"/>
    <w:rsid w:val="008A5799"/>
    <w:rsid w:val="008A646E"/>
    <w:rsid w:val="008A6CAD"/>
    <w:rsid w:val="008A7D12"/>
    <w:rsid w:val="008B050E"/>
    <w:rsid w:val="008B15CA"/>
    <w:rsid w:val="008B221A"/>
    <w:rsid w:val="008B2C3A"/>
    <w:rsid w:val="008B2D70"/>
    <w:rsid w:val="008B3257"/>
    <w:rsid w:val="008B331A"/>
    <w:rsid w:val="008B3482"/>
    <w:rsid w:val="008B3F48"/>
    <w:rsid w:val="008B56FC"/>
    <w:rsid w:val="008B57DE"/>
    <w:rsid w:val="008B5E91"/>
    <w:rsid w:val="008B5FD1"/>
    <w:rsid w:val="008B7434"/>
    <w:rsid w:val="008B7FF4"/>
    <w:rsid w:val="008C0F27"/>
    <w:rsid w:val="008C11A3"/>
    <w:rsid w:val="008C1C02"/>
    <w:rsid w:val="008C1C4F"/>
    <w:rsid w:val="008C3929"/>
    <w:rsid w:val="008C3DF3"/>
    <w:rsid w:val="008C4058"/>
    <w:rsid w:val="008C472B"/>
    <w:rsid w:val="008C51D1"/>
    <w:rsid w:val="008C5465"/>
    <w:rsid w:val="008C55C5"/>
    <w:rsid w:val="008C55ED"/>
    <w:rsid w:val="008C582B"/>
    <w:rsid w:val="008C5C1C"/>
    <w:rsid w:val="008C6324"/>
    <w:rsid w:val="008C75C7"/>
    <w:rsid w:val="008C7779"/>
    <w:rsid w:val="008D002B"/>
    <w:rsid w:val="008D0133"/>
    <w:rsid w:val="008D0670"/>
    <w:rsid w:val="008D09D2"/>
    <w:rsid w:val="008D1130"/>
    <w:rsid w:val="008D1463"/>
    <w:rsid w:val="008D18DD"/>
    <w:rsid w:val="008D1C13"/>
    <w:rsid w:val="008D1D8F"/>
    <w:rsid w:val="008D24EF"/>
    <w:rsid w:val="008D258B"/>
    <w:rsid w:val="008D25C8"/>
    <w:rsid w:val="008D2AAC"/>
    <w:rsid w:val="008D3014"/>
    <w:rsid w:val="008D354B"/>
    <w:rsid w:val="008D3610"/>
    <w:rsid w:val="008D37FB"/>
    <w:rsid w:val="008D3DA0"/>
    <w:rsid w:val="008D4B99"/>
    <w:rsid w:val="008D5110"/>
    <w:rsid w:val="008D53EE"/>
    <w:rsid w:val="008D6071"/>
    <w:rsid w:val="008D6140"/>
    <w:rsid w:val="008D7564"/>
    <w:rsid w:val="008D75A7"/>
    <w:rsid w:val="008D75C3"/>
    <w:rsid w:val="008D7743"/>
    <w:rsid w:val="008D7B9A"/>
    <w:rsid w:val="008D7E0A"/>
    <w:rsid w:val="008E02F4"/>
    <w:rsid w:val="008E16D5"/>
    <w:rsid w:val="008E3361"/>
    <w:rsid w:val="008E34FC"/>
    <w:rsid w:val="008E3B5D"/>
    <w:rsid w:val="008E4AFB"/>
    <w:rsid w:val="008E4D0E"/>
    <w:rsid w:val="008E4DC7"/>
    <w:rsid w:val="008E5144"/>
    <w:rsid w:val="008E5874"/>
    <w:rsid w:val="008E5E91"/>
    <w:rsid w:val="008E5EEA"/>
    <w:rsid w:val="008E64D8"/>
    <w:rsid w:val="008E6BD2"/>
    <w:rsid w:val="008E6C10"/>
    <w:rsid w:val="008E6CDF"/>
    <w:rsid w:val="008E73B6"/>
    <w:rsid w:val="008E7621"/>
    <w:rsid w:val="008E77E8"/>
    <w:rsid w:val="008E7D88"/>
    <w:rsid w:val="008F05CC"/>
    <w:rsid w:val="008F060B"/>
    <w:rsid w:val="008F067C"/>
    <w:rsid w:val="008F148A"/>
    <w:rsid w:val="008F23C9"/>
    <w:rsid w:val="008F2685"/>
    <w:rsid w:val="008F2739"/>
    <w:rsid w:val="008F2A51"/>
    <w:rsid w:val="008F2F39"/>
    <w:rsid w:val="008F2F83"/>
    <w:rsid w:val="008F39A0"/>
    <w:rsid w:val="008F3A5A"/>
    <w:rsid w:val="008F3E0E"/>
    <w:rsid w:val="008F4024"/>
    <w:rsid w:val="008F41A3"/>
    <w:rsid w:val="008F534E"/>
    <w:rsid w:val="008F58AD"/>
    <w:rsid w:val="008F63D0"/>
    <w:rsid w:val="008F68DC"/>
    <w:rsid w:val="008F77F8"/>
    <w:rsid w:val="008F77FC"/>
    <w:rsid w:val="00900613"/>
    <w:rsid w:val="00900924"/>
    <w:rsid w:val="00900F74"/>
    <w:rsid w:val="009010C7"/>
    <w:rsid w:val="00901647"/>
    <w:rsid w:val="00901895"/>
    <w:rsid w:val="00901C70"/>
    <w:rsid w:val="00901D79"/>
    <w:rsid w:val="00901EC4"/>
    <w:rsid w:val="0090212F"/>
    <w:rsid w:val="00902475"/>
    <w:rsid w:val="00902E38"/>
    <w:rsid w:val="009031BB"/>
    <w:rsid w:val="0090322A"/>
    <w:rsid w:val="009032B7"/>
    <w:rsid w:val="00903363"/>
    <w:rsid w:val="00903AE3"/>
    <w:rsid w:val="00903CD3"/>
    <w:rsid w:val="00903F7B"/>
    <w:rsid w:val="00904133"/>
    <w:rsid w:val="00905469"/>
    <w:rsid w:val="0090558C"/>
    <w:rsid w:val="009059A7"/>
    <w:rsid w:val="00905F71"/>
    <w:rsid w:val="00905F7F"/>
    <w:rsid w:val="0090606F"/>
    <w:rsid w:val="009061A9"/>
    <w:rsid w:val="0090687E"/>
    <w:rsid w:val="009078D8"/>
    <w:rsid w:val="00907B81"/>
    <w:rsid w:val="00907CE3"/>
    <w:rsid w:val="00907D38"/>
    <w:rsid w:val="009110F0"/>
    <w:rsid w:val="00911C9D"/>
    <w:rsid w:val="00912702"/>
    <w:rsid w:val="00913925"/>
    <w:rsid w:val="00913A8B"/>
    <w:rsid w:val="00913B89"/>
    <w:rsid w:val="009149CB"/>
    <w:rsid w:val="00914A68"/>
    <w:rsid w:val="00914F12"/>
    <w:rsid w:val="00914FDA"/>
    <w:rsid w:val="009151F4"/>
    <w:rsid w:val="009155D8"/>
    <w:rsid w:val="00915AF8"/>
    <w:rsid w:val="00916021"/>
    <w:rsid w:val="009164D0"/>
    <w:rsid w:val="00917539"/>
    <w:rsid w:val="00917747"/>
    <w:rsid w:val="009178B6"/>
    <w:rsid w:val="00917A24"/>
    <w:rsid w:val="00917BF0"/>
    <w:rsid w:val="00917CBB"/>
    <w:rsid w:val="00920621"/>
    <w:rsid w:val="009209F4"/>
    <w:rsid w:val="00920F74"/>
    <w:rsid w:val="00921A36"/>
    <w:rsid w:val="00921BED"/>
    <w:rsid w:val="00921C83"/>
    <w:rsid w:val="00922315"/>
    <w:rsid w:val="00922465"/>
    <w:rsid w:val="00922737"/>
    <w:rsid w:val="00922C70"/>
    <w:rsid w:val="00922CF7"/>
    <w:rsid w:val="00922D92"/>
    <w:rsid w:val="009230B3"/>
    <w:rsid w:val="00923342"/>
    <w:rsid w:val="00923354"/>
    <w:rsid w:val="00923358"/>
    <w:rsid w:val="00923548"/>
    <w:rsid w:val="00923BB0"/>
    <w:rsid w:val="00924696"/>
    <w:rsid w:val="0092478F"/>
    <w:rsid w:val="00924F96"/>
    <w:rsid w:val="009250E8"/>
    <w:rsid w:val="00925798"/>
    <w:rsid w:val="00925BAB"/>
    <w:rsid w:val="009262B8"/>
    <w:rsid w:val="009266C5"/>
    <w:rsid w:val="0092717C"/>
    <w:rsid w:val="00927659"/>
    <w:rsid w:val="009276CC"/>
    <w:rsid w:val="009279F7"/>
    <w:rsid w:val="00927BFC"/>
    <w:rsid w:val="00930154"/>
    <w:rsid w:val="0093045A"/>
    <w:rsid w:val="0093060A"/>
    <w:rsid w:val="00930896"/>
    <w:rsid w:val="00931257"/>
    <w:rsid w:val="009314B8"/>
    <w:rsid w:val="00931E79"/>
    <w:rsid w:val="0093206F"/>
    <w:rsid w:val="0093213B"/>
    <w:rsid w:val="00932468"/>
    <w:rsid w:val="009324BB"/>
    <w:rsid w:val="00932AED"/>
    <w:rsid w:val="00932DBC"/>
    <w:rsid w:val="00932EAD"/>
    <w:rsid w:val="00932F8E"/>
    <w:rsid w:val="00933CC9"/>
    <w:rsid w:val="00934098"/>
    <w:rsid w:val="0093416B"/>
    <w:rsid w:val="009351C0"/>
    <w:rsid w:val="00935393"/>
    <w:rsid w:val="00935557"/>
    <w:rsid w:val="00936287"/>
    <w:rsid w:val="00936DB4"/>
    <w:rsid w:val="00936FEE"/>
    <w:rsid w:val="009373C6"/>
    <w:rsid w:val="00937734"/>
    <w:rsid w:val="00940181"/>
    <w:rsid w:val="00940273"/>
    <w:rsid w:val="009409C6"/>
    <w:rsid w:val="00940A12"/>
    <w:rsid w:val="00940DA9"/>
    <w:rsid w:val="00941068"/>
    <w:rsid w:val="00941228"/>
    <w:rsid w:val="009413FD"/>
    <w:rsid w:val="009416CF"/>
    <w:rsid w:val="00941812"/>
    <w:rsid w:val="00941D27"/>
    <w:rsid w:val="00941DCB"/>
    <w:rsid w:val="00941E60"/>
    <w:rsid w:val="009427D4"/>
    <w:rsid w:val="00942A2A"/>
    <w:rsid w:val="00942F91"/>
    <w:rsid w:val="0094319F"/>
    <w:rsid w:val="0094397D"/>
    <w:rsid w:val="009439A9"/>
    <w:rsid w:val="00943AB3"/>
    <w:rsid w:val="00943E70"/>
    <w:rsid w:val="00944263"/>
    <w:rsid w:val="009442ED"/>
    <w:rsid w:val="009448E7"/>
    <w:rsid w:val="0094538B"/>
    <w:rsid w:val="0094543C"/>
    <w:rsid w:val="00945D08"/>
    <w:rsid w:val="009460A1"/>
    <w:rsid w:val="00946A5C"/>
    <w:rsid w:val="00946B95"/>
    <w:rsid w:val="00946E98"/>
    <w:rsid w:val="00947359"/>
    <w:rsid w:val="0094799D"/>
    <w:rsid w:val="00950F70"/>
    <w:rsid w:val="00950FB9"/>
    <w:rsid w:val="00950FF1"/>
    <w:rsid w:val="00951959"/>
    <w:rsid w:val="009519F9"/>
    <w:rsid w:val="00952631"/>
    <w:rsid w:val="00952A9C"/>
    <w:rsid w:val="00953059"/>
    <w:rsid w:val="00953896"/>
    <w:rsid w:val="00953899"/>
    <w:rsid w:val="0095446B"/>
    <w:rsid w:val="009548F9"/>
    <w:rsid w:val="00954CB9"/>
    <w:rsid w:val="009550C4"/>
    <w:rsid w:val="00955530"/>
    <w:rsid w:val="00955B27"/>
    <w:rsid w:val="00955EE7"/>
    <w:rsid w:val="009562F8"/>
    <w:rsid w:val="0095653B"/>
    <w:rsid w:val="0095659E"/>
    <w:rsid w:val="00956A63"/>
    <w:rsid w:val="00956E10"/>
    <w:rsid w:val="0095765B"/>
    <w:rsid w:val="00960448"/>
    <w:rsid w:val="00960BB1"/>
    <w:rsid w:val="00960FA5"/>
    <w:rsid w:val="0096133D"/>
    <w:rsid w:val="00961D4C"/>
    <w:rsid w:val="00962067"/>
    <w:rsid w:val="0096318A"/>
    <w:rsid w:val="0096382A"/>
    <w:rsid w:val="00963985"/>
    <w:rsid w:val="00963D9C"/>
    <w:rsid w:val="00964394"/>
    <w:rsid w:val="00964578"/>
    <w:rsid w:val="00964A87"/>
    <w:rsid w:val="00964DA2"/>
    <w:rsid w:val="009650F4"/>
    <w:rsid w:val="00965AF5"/>
    <w:rsid w:val="00966249"/>
    <w:rsid w:val="00966AEE"/>
    <w:rsid w:val="00967142"/>
    <w:rsid w:val="00967757"/>
    <w:rsid w:val="00967D94"/>
    <w:rsid w:val="00967F20"/>
    <w:rsid w:val="009702EB"/>
    <w:rsid w:val="009708CF"/>
    <w:rsid w:val="009709B0"/>
    <w:rsid w:val="00970FC4"/>
    <w:rsid w:val="00971686"/>
    <w:rsid w:val="00971D4A"/>
    <w:rsid w:val="00972371"/>
    <w:rsid w:val="009728E6"/>
    <w:rsid w:val="009733D1"/>
    <w:rsid w:val="0097367A"/>
    <w:rsid w:val="009739C5"/>
    <w:rsid w:val="00973C53"/>
    <w:rsid w:val="00973D8E"/>
    <w:rsid w:val="00973DB8"/>
    <w:rsid w:val="00973F8B"/>
    <w:rsid w:val="00974426"/>
    <w:rsid w:val="009747CB"/>
    <w:rsid w:val="00974F47"/>
    <w:rsid w:val="009757D1"/>
    <w:rsid w:val="009766B3"/>
    <w:rsid w:val="009769DB"/>
    <w:rsid w:val="00976B7D"/>
    <w:rsid w:val="009770DE"/>
    <w:rsid w:val="0097714C"/>
    <w:rsid w:val="00977961"/>
    <w:rsid w:val="00977AFA"/>
    <w:rsid w:val="00977BA2"/>
    <w:rsid w:val="009803F6"/>
    <w:rsid w:val="00980599"/>
    <w:rsid w:val="0098095E"/>
    <w:rsid w:val="00980AD3"/>
    <w:rsid w:val="00980BEF"/>
    <w:rsid w:val="009813A7"/>
    <w:rsid w:val="00981763"/>
    <w:rsid w:val="009819F6"/>
    <w:rsid w:val="009819FF"/>
    <w:rsid w:val="00981C8B"/>
    <w:rsid w:val="00982259"/>
    <w:rsid w:val="00982C43"/>
    <w:rsid w:val="0098330B"/>
    <w:rsid w:val="00983C7D"/>
    <w:rsid w:val="009840BE"/>
    <w:rsid w:val="0098468D"/>
    <w:rsid w:val="009851DF"/>
    <w:rsid w:val="0098531B"/>
    <w:rsid w:val="00985627"/>
    <w:rsid w:val="00985808"/>
    <w:rsid w:val="00985F03"/>
    <w:rsid w:val="009861C0"/>
    <w:rsid w:val="0098628B"/>
    <w:rsid w:val="00986910"/>
    <w:rsid w:val="00986A53"/>
    <w:rsid w:val="00986DA1"/>
    <w:rsid w:val="009902AF"/>
    <w:rsid w:val="00990728"/>
    <w:rsid w:val="00991662"/>
    <w:rsid w:val="00991B86"/>
    <w:rsid w:val="00991C45"/>
    <w:rsid w:val="00991DC1"/>
    <w:rsid w:val="00991E0A"/>
    <w:rsid w:val="009924A0"/>
    <w:rsid w:val="00992B8F"/>
    <w:rsid w:val="00992CE6"/>
    <w:rsid w:val="009932D1"/>
    <w:rsid w:val="009934D7"/>
    <w:rsid w:val="00993726"/>
    <w:rsid w:val="0099389D"/>
    <w:rsid w:val="00993DB1"/>
    <w:rsid w:val="00994B2A"/>
    <w:rsid w:val="00994EE6"/>
    <w:rsid w:val="00997188"/>
    <w:rsid w:val="0099779D"/>
    <w:rsid w:val="009A0525"/>
    <w:rsid w:val="009A08BD"/>
    <w:rsid w:val="009A0E32"/>
    <w:rsid w:val="009A102C"/>
    <w:rsid w:val="009A1CA1"/>
    <w:rsid w:val="009A1DD6"/>
    <w:rsid w:val="009A1E07"/>
    <w:rsid w:val="009A231C"/>
    <w:rsid w:val="009A2850"/>
    <w:rsid w:val="009A2E66"/>
    <w:rsid w:val="009A2FFB"/>
    <w:rsid w:val="009A3A50"/>
    <w:rsid w:val="009A3AC1"/>
    <w:rsid w:val="009A4112"/>
    <w:rsid w:val="009A4521"/>
    <w:rsid w:val="009A470A"/>
    <w:rsid w:val="009A481C"/>
    <w:rsid w:val="009A4D6E"/>
    <w:rsid w:val="009A4F7B"/>
    <w:rsid w:val="009A5732"/>
    <w:rsid w:val="009A6D89"/>
    <w:rsid w:val="009A71A9"/>
    <w:rsid w:val="009A7490"/>
    <w:rsid w:val="009A79F6"/>
    <w:rsid w:val="009A7CBD"/>
    <w:rsid w:val="009A7CD3"/>
    <w:rsid w:val="009B0B0F"/>
    <w:rsid w:val="009B0D56"/>
    <w:rsid w:val="009B104C"/>
    <w:rsid w:val="009B161D"/>
    <w:rsid w:val="009B19C8"/>
    <w:rsid w:val="009B223D"/>
    <w:rsid w:val="009B291F"/>
    <w:rsid w:val="009B3122"/>
    <w:rsid w:val="009B3D87"/>
    <w:rsid w:val="009B4419"/>
    <w:rsid w:val="009B4A98"/>
    <w:rsid w:val="009B52FC"/>
    <w:rsid w:val="009B55B3"/>
    <w:rsid w:val="009B59C6"/>
    <w:rsid w:val="009B61A4"/>
    <w:rsid w:val="009B64F7"/>
    <w:rsid w:val="009B7485"/>
    <w:rsid w:val="009B7916"/>
    <w:rsid w:val="009B7D41"/>
    <w:rsid w:val="009B7E1A"/>
    <w:rsid w:val="009B7F91"/>
    <w:rsid w:val="009C02A4"/>
    <w:rsid w:val="009C0460"/>
    <w:rsid w:val="009C074B"/>
    <w:rsid w:val="009C108B"/>
    <w:rsid w:val="009C1D61"/>
    <w:rsid w:val="009C1FB3"/>
    <w:rsid w:val="009C2E57"/>
    <w:rsid w:val="009C35D4"/>
    <w:rsid w:val="009C364B"/>
    <w:rsid w:val="009C3E4B"/>
    <w:rsid w:val="009C4036"/>
    <w:rsid w:val="009C438C"/>
    <w:rsid w:val="009C4AD5"/>
    <w:rsid w:val="009C4B05"/>
    <w:rsid w:val="009C4DD0"/>
    <w:rsid w:val="009C5376"/>
    <w:rsid w:val="009C56C3"/>
    <w:rsid w:val="009C5AA4"/>
    <w:rsid w:val="009C615D"/>
    <w:rsid w:val="009C6867"/>
    <w:rsid w:val="009C6B74"/>
    <w:rsid w:val="009C6D60"/>
    <w:rsid w:val="009C6DB7"/>
    <w:rsid w:val="009C6F6B"/>
    <w:rsid w:val="009C72EB"/>
    <w:rsid w:val="009C7B38"/>
    <w:rsid w:val="009C7CB7"/>
    <w:rsid w:val="009D0154"/>
    <w:rsid w:val="009D0665"/>
    <w:rsid w:val="009D0850"/>
    <w:rsid w:val="009D0AC7"/>
    <w:rsid w:val="009D138B"/>
    <w:rsid w:val="009D14D3"/>
    <w:rsid w:val="009D15F4"/>
    <w:rsid w:val="009D1A63"/>
    <w:rsid w:val="009D1D4D"/>
    <w:rsid w:val="009D22FC"/>
    <w:rsid w:val="009D29B0"/>
    <w:rsid w:val="009D2B35"/>
    <w:rsid w:val="009D2CCD"/>
    <w:rsid w:val="009D2D5E"/>
    <w:rsid w:val="009D2EB2"/>
    <w:rsid w:val="009D3057"/>
    <w:rsid w:val="009D321C"/>
    <w:rsid w:val="009D3278"/>
    <w:rsid w:val="009D367D"/>
    <w:rsid w:val="009D3EAB"/>
    <w:rsid w:val="009D41A9"/>
    <w:rsid w:val="009D516B"/>
    <w:rsid w:val="009D53C0"/>
    <w:rsid w:val="009D553D"/>
    <w:rsid w:val="009D5C40"/>
    <w:rsid w:val="009D6077"/>
    <w:rsid w:val="009D627F"/>
    <w:rsid w:val="009D6328"/>
    <w:rsid w:val="009D695E"/>
    <w:rsid w:val="009D7EA9"/>
    <w:rsid w:val="009E022A"/>
    <w:rsid w:val="009E0269"/>
    <w:rsid w:val="009E06AA"/>
    <w:rsid w:val="009E083F"/>
    <w:rsid w:val="009E0EE8"/>
    <w:rsid w:val="009E141D"/>
    <w:rsid w:val="009E1CF4"/>
    <w:rsid w:val="009E1D0B"/>
    <w:rsid w:val="009E1D80"/>
    <w:rsid w:val="009E1EBD"/>
    <w:rsid w:val="009E1F94"/>
    <w:rsid w:val="009E3693"/>
    <w:rsid w:val="009E389D"/>
    <w:rsid w:val="009E40FA"/>
    <w:rsid w:val="009E413F"/>
    <w:rsid w:val="009E4455"/>
    <w:rsid w:val="009E48A2"/>
    <w:rsid w:val="009E4FED"/>
    <w:rsid w:val="009E50F8"/>
    <w:rsid w:val="009E654C"/>
    <w:rsid w:val="009E6721"/>
    <w:rsid w:val="009E6BE9"/>
    <w:rsid w:val="009E6D3E"/>
    <w:rsid w:val="009E6F8C"/>
    <w:rsid w:val="009E71AF"/>
    <w:rsid w:val="009E7255"/>
    <w:rsid w:val="009E7418"/>
    <w:rsid w:val="009E74DC"/>
    <w:rsid w:val="009E7608"/>
    <w:rsid w:val="009E779E"/>
    <w:rsid w:val="009E7BA9"/>
    <w:rsid w:val="009F1050"/>
    <w:rsid w:val="009F1422"/>
    <w:rsid w:val="009F2007"/>
    <w:rsid w:val="009F2010"/>
    <w:rsid w:val="009F2FEF"/>
    <w:rsid w:val="009F31BA"/>
    <w:rsid w:val="009F35A5"/>
    <w:rsid w:val="009F371A"/>
    <w:rsid w:val="009F381E"/>
    <w:rsid w:val="009F3E0F"/>
    <w:rsid w:val="009F4151"/>
    <w:rsid w:val="009F465B"/>
    <w:rsid w:val="009F49E2"/>
    <w:rsid w:val="009F4C88"/>
    <w:rsid w:val="009F50D6"/>
    <w:rsid w:val="009F5526"/>
    <w:rsid w:val="009F55CB"/>
    <w:rsid w:val="009F5933"/>
    <w:rsid w:val="009F5A5D"/>
    <w:rsid w:val="009F633E"/>
    <w:rsid w:val="009F750F"/>
    <w:rsid w:val="009F76BC"/>
    <w:rsid w:val="009F7D5F"/>
    <w:rsid w:val="00A00720"/>
    <w:rsid w:val="00A0108B"/>
    <w:rsid w:val="00A01702"/>
    <w:rsid w:val="00A01C83"/>
    <w:rsid w:val="00A02075"/>
    <w:rsid w:val="00A02140"/>
    <w:rsid w:val="00A0233D"/>
    <w:rsid w:val="00A02562"/>
    <w:rsid w:val="00A02BFE"/>
    <w:rsid w:val="00A0312D"/>
    <w:rsid w:val="00A0339C"/>
    <w:rsid w:val="00A03A45"/>
    <w:rsid w:val="00A03C35"/>
    <w:rsid w:val="00A040E5"/>
    <w:rsid w:val="00A04A19"/>
    <w:rsid w:val="00A04B3F"/>
    <w:rsid w:val="00A05056"/>
    <w:rsid w:val="00A054C3"/>
    <w:rsid w:val="00A05A24"/>
    <w:rsid w:val="00A05A2C"/>
    <w:rsid w:val="00A05D1E"/>
    <w:rsid w:val="00A05F18"/>
    <w:rsid w:val="00A06022"/>
    <w:rsid w:val="00A06268"/>
    <w:rsid w:val="00A0636E"/>
    <w:rsid w:val="00A06EB8"/>
    <w:rsid w:val="00A071B9"/>
    <w:rsid w:val="00A075C3"/>
    <w:rsid w:val="00A07883"/>
    <w:rsid w:val="00A079D5"/>
    <w:rsid w:val="00A07B72"/>
    <w:rsid w:val="00A07D86"/>
    <w:rsid w:val="00A111B9"/>
    <w:rsid w:val="00A1176A"/>
    <w:rsid w:val="00A119F8"/>
    <w:rsid w:val="00A128D8"/>
    <w:rsid w:val="00A134DA"/>
    <w:rsid w:val="00A1353B"/>
    <w:rsid w:val="00A13989"/>
    <w:rsid w:val="00A13B23"/>
    <w:rsid w:val="00A13D69"/>
    <w:rsid w:val="00A13ED9"/>
    <w:rsid w:val="00A142A4"/>
    <w:rsid w:val="00A144E0"/>
    <w:rsid w:val="00A16176"/>
    <w:rsid w:val="00A16942"/>
    <w:rsid w:val="00A16FF6"/>
    <w:rsid w:val="00A1700B"/>
    <w:rsid w:val="00A170CF"/>
    <w:rsid w:val="00A1744E"/>
    <w:rsid w:val="00A17C61"/>
    <w:rsid w:val="00A17EB4"/>
    <w:rsid w:val="00A205DE"/>
    <w:rsid w:val="00A20907"/>
    <w:rsid w:val="00A20E17"/>
    <w:rsid w:val="00A211BE"/>
    <w:rsid w:val="00A2176F"/>
    <w:rsid w:val="00A21F4C"/>
    <w:rsid w:val="00A22449"/>
    <w:rsid w:val="00A2248C"/>
    <w:rsid w:val="00A22B17"/>
    <w:rsid w:val="00A22C49"/>
    <w:rsid w:val="00A22E23"/>
    <w:rsid w:val="00A2316B"/>
    <w:rsid w:val="00A2393D"/>
    <w:rsid w:val="00A240B9"/>
    <w:rsid w:val="00A25036"/>
    <w:rsid w:val="00A25301"/>
    <w:rsid w:val="00A258A7"/>
    <w:rsid w:val="00A26634"/>
    <w:rsid w:val="00A2667F"/>
    <w:rsid w:val="00A266A1"/>
    <w:rsid w:val="00A268AC"/>
    <w:rsid w:val="00A26BCB"/>
    <w:rsid w:val="00A26CAD"/>
    <w:rsid w:val="00A26EB5"/>
    <w:rsid w:val="00A274E6"/>
    <w:rsid w:val="00A27658"/>
    <w:rsid w:val="00A27C23"/>
    <w:rsid w:val="00A27C7E"/>
    <w:rsid w:val="00A27E6F"/>
    <w:rsid w:val="00A3130C"/>
    <w:rsid w:val="00A31722"/>
    <w:rsid w:val="00A317ED"/>
    <w:rsid w:val="00A31D46"/>
    <w:rsid w:val="00A3259A"/>
    <w:rsid w:val="00A32C84"/>
    <w:rsid w:val="00A32D37"/>
    <w:rsid w:val="00A32E91"/>
    <w:rsid w:val="00A32F2D"/>
    <w:rsid w:val="00A338C3"/>
    <w:rsid w:val="00A33CDC"/>
    <w:rsid w:val="00A340DC"/>
    <w:rsid w:val="00A34383"/>
    <w:rsid w:val="00A34428"/>
    <w:rsid w:val="00A34D5F"/>
    <w:rsid w:val="00A34DAC"/>
    <w:rsid w:val="00A3550F"/>
    <w:rsid w:val="00A3559C"/>
    <w:rsid w:val="00A359D5"/>
    <w:rsid w:val="00A36178"/>
    <w:rsid w:val="00A364C9"/>
    <w:rsid w:val="00A36970"/>
    <w:rsid w:val="00A369DF"/>
    <w:rsid w:val="00A37644"/>
    <w:rsid w:val="00A37685"/>
    <w:rsid w:val="00A376DA"/>
    <w:rsid w:val="00A377F8"/>
    <w:rsid w:val="00A37935"/>
    <w:rsid w:val="00A40111"/>
    <w:rsid w:val="00A40D88"/>
    <w:rsid w:val="00A415DE"/>
    <w:rsid w:val="00A4184D"/>
    <w:rsid w:val="00A41A41"/>
    <w:rsid w:val="00A41ECD"/>
    <w:rsid w:val="00A423A1"/>
    <w:rsid w:val="00A42D4B"/>
    <w:rsid w:val="00A44424"/>
    <w:rsid w:val="00A444B5"/>
    <w:rsid w:val="00A45565"/>
    <w:rsid w:val="00A456F6"/>
    <w:rsid w:val="00A4584F"/>
    <w:rsid w:val="00A458B4"/>
    <w:rsid w:val="00A458BB"/>
    <w:rsid w:val="00A45B36"/>
    <w:rsid w:val="00A45BA0"/>
    <w:rsid w:val="00A45E34"/>
    <w:rsid w:val="00A467D9"/>
    <w:rsid w:val="00A469A4"/>
    <w:rsid w:val="00A4715F"/>
    <w:rsid w:val="00A472F9"/>
    <w:rsid w:val="00A4755D"/>
    <w:rsid w:val="00A47648"/>
    <w:rsid w:val="00A47AEA"/>
    <w:rsid w:val="00A47CE5"/>
    <w:rsid w:val="00A5002D"/>
    <w:rsid w:val="00A50553"/>
    <w:rsid w:val="00A50DC3"/>
    <w:rsid w:val="00A51540"/>
    <w:rsid w:val="00A51DCD"/>
    <w:rsid w:val="00A52463"/>
    <w:rsid w:val="00A528DE"/>
    <w:rsid w:val="00A529B3"/>
    <w:rsid w:val="00A53114"/>
    <w:rsid w:val="00A534D5"/>
    <w:rsid w:val="00A534F2"/>
    <w:rsid w:val="00A5394E"/>
    <w:rsid w:val="00A542FD"/>
    <w:rsid w:val="00A544A3"/>
    <w:rsid w:val="00A547EC"/>
    <w:rsid w:val="00A54C94"/>
    <w:rsid w:val="00A54EA4"/>
    <w:rsid w:val="00A553E3"/>
    <w:rsid w:val="00A56508"/>
    <w:rsid w:val="00A57699"/>
    <w:rsid w:val="00A57909"/>
    <w:rsid w:val="00A60541"/>
    <w:rsid w:val="00A60AAE"/>
    <w:rsid w:val="00A60CE9"/>
    <w:rsid w:val="00A611A5"/>
    <w:rsid w:val="00A615E2"/>
    <w:rsid w:val="00A61B76"/>
    <w:rsid w:val="00A61BA8"/>
    <w:rsid w:val="00A622AC"/>
    <w:rsid w:val="00A62C39"/>
    <w:rsid w:val="00A63392"/>
    <w:rsid w:val="00A63C58"/>
    <w:rsid w:val="00A64A69"/>
    <w:rsid w:val="00A64E69"/>
    <w:rsid w:val="00A6548B"/>
    <w:rsid w:val="00A65670"/>
    <w:rsid w:val="00A65E48"/>
    <w:rsid w:val="00A65F6B"/>
    <w:rsid w:val="00A66009"/>
    <w:rsid w:val="00A665AF"/>
    <w:rsid w:val="00A668EF"/>
    <w:rsid w:val="00A66D60"/>
    <w:rsid w:val="00A67225"/>
    <w:rsid w:val="00A67340"/>
    <w:rsid w:val="00A6740B"/>
    <w:rsid w:val="00A67707"/>
    <w:rsid w:val="00A67726"/>
    <w:rsid w:val="00A67997"/>
    <w:rsid w:val="00A67B7B"/>
    <w:rsid w:val="00A67FB2"/>
    <w:rsid w:val="00A67FB8"/>
    <w:rsid w:val="00A700CC"/>
    <w:rsid w:val="00A71544"/>
    <w:rsid w:val="00A716FB"/>
    <w:rsid w:val="00A71813"/>
    <w:rsid w:val="00A719B7"/>
    <w:rsid w:val="00A729A6"/>
    <w:rsid w:val="00A72E86"/>
    <w:rsid w:val="00A73110"/>
    <w:rsid w:val="00A73304"/>
    <w:rsid w:val="00A74385"/>
    <w:rsid w:val="00A7451F"/>
    <w:rsid w:val="00A74746"/>
    <w:rsid w:val="00A749E6"/>
    <w:rsid w:val="00A74A96"/>
    <w:rsid w:val="00A75B6D"/>
    <w:rsid w:val="00A75DC4"/>
    <w:rsid w:val="00A7655F"/>
    <w:rsid w:val="00A76944"/>
    <w:rsid w:val="00A76C10"/>
    <w:rsid w:val="00A76D40"/>
    <w:rsid w:val="00A77656"/>
    <w:rsid w:val="00A77DA3"/>
    <w:rsid w:val="00A77F3E"/>
    <w:rsid w:val="00A801A7"/>
    <w:rsid w:val="00A803DD"/>
    <w:rsid w:val="00A80A92"/>
    <w:rsid w:val="00A818A7"/>
    <w:rsid w:val="00A8191D"/>
    <w:rsid w:val="00A8193E"/>
    <w:rsid w:val="00A81988"/>
    <w:rsid w:val="00A81AE2"/>
    <w:rsid w:val="00A81FB2"/>
    <w:rsid w:val="00A8235E"/>
    <w:rsid w:val="00A829B7"/>
    <w:rsid w:val="00A82FA5"/>
    <w:rsid w:val="00A83BEE"/>
    <w:rsid w:val="00A83F44"/>
    <w:rsid w:val="00A84089"/>
    <w:rsid w:val="00A8481D"/>
    <w:rsid w:val="00A84C93"/>
    <w:rsid w:val="00A8505E"/>
    <w:rsid w:val="00A85215"/>
    <w:rsid w:val="00A852B4"/>
    <w:rsid w:val="00A85401"/>
    <w:rsid w:val="00A8543D"/>
    <w:rsid w:val="00A863F9"/>
    <w:rsid w:val="00A8646C"/>
    <w:rsid w:val="00A8693B"/>
    <w:rsid w:val="00A86F1D"/>
    <w:rsid w:val="00A87019"/>
    <w:rsid w:val="00A871A5"/>
    <w:rsid w:val="00A90750"/>
    <w:rsid w:val="00A9088D"/>
    <w:rsid w:val="00A90EC7"/>
    <w:rsid w:val="00A916F7"/>
    <w:rsid w:val="00A919E1"/>
    <w:rsid w:val="00A91C50"/>
    <w:rsid w:val="00A92100"/>
    <w:rsid w:val="00A925BD"/>
    <w:rsid w:val="00A92750"/>
    <w:rsid w:val="00A92BB1"/>
    <w:rsid w:val="00A92E51"/>
    <w:rsid w:val="00A9305B"/>
    <w:rsid w:val="00A9357A"/>
    <w:rsid w:val="00A937E6"/>
    <w:rsid w:val="00A94104"/>
    <w:rsid w:val="00A946AC"/>
    <w:rsid w:val="00A947DB"/>
    <w:rsid w:val="00A94F60"/>
    <w:rsid w:val="00A95883"/>
    <w:rsid w:val="00A95B81"/>
    <w:rsid w:val="00A95D96"/>
    <w:rsid w:val="00A95FF7"/>
    <w:rsid w:val="00A96843"/>
    <w:rsid w:val="00A96AFE"/>
    <w:rsid w:val="00A96CF8"/>
    <w:rsid w:val="00A96CFB"/>
    <w:rsid w:val="00A9701F"/>
    <w:rsid w:val="00A975A5"/>
    <w:rsid w:val="00A978FA"/>
    <w:rsid w:val="00A97F43"/>
    <w:rsid w:val="00AA03F7"/>
    <w:rsid w:val="00AA0E67"/>
    <w:rsid w:val="00AA12FA"/>
    <w:rsid w:val="00AA132E"/>
    <w:rsid w:val="00AA13FA"/>
    <w:rsid w:val="00AA14D4"/>
    <w:rsid w:val="00AA19EE"/>
    <w:rsid w:val="00AA2496"/>
    <w:rsid w:val="00AA2638"/>
    <w:rsid w:val="00AA2760"/>
    <w:rsid w:val="00AA299A"/>
    <w:rsid w:val="00AA2B62"/>
    <w:rsid w:val="00AA2D78"/>
    <w:rsid w:val="00AA3665"/>
    <w:rsid w:val="00AA39AD"/>
    <w:rsid w:val="00AA3BDE"/>
    <w:rsid w:val="00AA426A"/>
    <w:rsid w:val="00AA45EA"/>
    <w:rsid w:val="00AA49A8"/>
    <w:rsid w:val="00AA4BE9"/>
    <w:rsid w:val="00AA5220"/>
    <w:rsid w:val="00AA5226"/>
    <w:rsid w:val="00AA5374"/>
    <w:rsid w:val="00AA5829"/>
    <w:rsid w:val="00AA6B7E"/>
    <w:rsid w:val="00AA7121"/>
    <w:rsid w:val="00AB0677"/>
    <w:rsid w:val="00AB0C24"/>
    <w:rsid w:val="00AB0C31"/>
    <w:rsid w:val="00AB0D10"/>
    <w:rsid w:val="00AB0EFF"/>
    <w:rsid w:val="00AB147E"/>
    <w:rsid w:val="00AB17A7"/>
    <w:rsid w:val="00AB1DD4"/>
    <w:rsid w:val="00AB2988"/>
    <w:rsid w:val="00AB2A97"/>
    <w:rsid w:val="00AB33E6"/>
    <w:rsid w:val="00AB3B07"/>
    <w:rsid w:val="00AB3CC7"/>
    <w:rsid w:val="00AB3DE9"/>
    <w:rsid w:val="00AB4B82"/>
    <w:rsid w:val="00AB5168"/>
    <w:rsid w:val="00AB51CA"/>
    <w:rsid w:val="00AB54CF"/>
    <w:rsid w:val="00AB58DF"/>
    <w:rsid w:val="00AB5FF8"/>
    <w:rsid w:val="00AB644A"/>
    <w:rsid w:val="00AB66DF"/>
    <w:rsid w:val="00AB6AAC"/>
    <w:rsid w:val="00AB71E6"/>
    <w:rsid w:val="00AC046F"/>
    <w:rsid w:val="00AC05B1"/>
    <w:rsid w:val="00AC0A7F"/>
    <w:rsid w:val="00AC0B98"/>
    <w:rsid w:val="00AC1EB8"/>
    <w:rsid w:val="00AC1F23"/>
    <w:rsid w:val="00AC1FD8"/>
    <w:rsid w:val="00AC20F5"/>
    <w:rsid w:val="00AC24BD"/>
    <w:rsid w:val="00AC2538"/>
    <w:rsid w:val="00AC253D"/>
    <w:rsid w:val="00AC26B9"/>
    <w:rsid w:val="00AC2B3F"/>
    <w:rsid w:val="00AC2D89"/>
    <w:rsid w:val="00AC3C27"/>
    <w:rsid w:val="00AC3EE4"/>
    <w:rsid w:val="00AC4024"/>
    <w:rsid w:val="00AC4054"/>
    <w:rsid w:val="00AC405F"/>
    <w:rsid w:val="00AC4668"/>
    <w:rsid w:val="00AC46E6"/>
    <w:rsid w:val="00AC5441"/>
    <w:rsid w:val="00AC580B"/>
    <w:rsid w:val="00AC5AD2"/>
    <w:rsid w:val="00AC6056"/>
    <w:rsid w:val="00AC60F4"/>
    <w:rsid w:val="00AC71B6"/>
    <w:rsid w:val="00AC7630"/>
    <w:rsid w:val="00AC78E9"/>
    <w:rsid w:val="00AC78F0"/>
    <w:rsid w:val="00AC7A5D"/>
    <w:rsid w:val="00AC7F51"/>
    <w:rsid w:val="00AD0703"/>
    <w:rsid w:val="00AD0761"/>
    <w:rsid w:val="00AD0961"/>
    <w:rsid w:val="00AD0C93"/>
    <w:rsid w:val="00AD0D26"/>
    <w:rsid w:val="00AD12C1"/>
    <w:rsid w:val="00AD1AF4"/>
    <w:rsid w:val="00AD21DF"/>
    <w:rsid w:val="00AD260B"/>
    <w:rsid w:val="00AD26D0"/>
    <w:rsid w:val="00AD328C"/>
    <w:rsid w:val="00AD344A"/>
    <w:rsid w:val="00AD37E0"/>
    <w:rsid w:val="00AD3C14"/>
    <w:rsid w:val="00AD3E40"/>
    <w:rsid w:val="00AD3FDC"/>
    <w:rsid w:val="00AD4B2C"/>
    <w:rsid w:val="00AD5218"/>
    <w:rsid w:val="00AD528C"/>
    <w:rsid w:val="00AD53FE"/>
    <w:rsid w:val="00AD54E5"/>
    <w:rsid w:val="00AD58D4"/>
    <w:rsid w:val="00AD5D12"/>
    <w:rsid w:val="00AD64F7"/>
    <w:rsid w:val="00AD66FB"/>
    <w:rsid w:val="00AD6A2C"/>
    <w:rsid w:val="00AD72B4"/>
    <w:rsid w:val="00AD764B"/>
    <w:rsid w:val="00AD765A"/>
    <w:rsid w:val="00AD76D8"/>
    <w:rsid w:val="00AD78DD"/>
    <w:rsid w:val="00AD7AA0"/>
    <w:rsid w:val="00AE001F"/>
    <w:rsid w:val="00AE05DA"/>
    <w:rsid w:val="00AE08C6"/>
    <w:rsid w:val="00AE0EBE"/>
    <w:rsid w:val="00AE1168"/>
    <w:rsid w:val="00AE1485"/>
    <w:rsid w:val="00AE1992"/>
    <w:rsid w:val="00AE26CB"/>
    <w:rsid w:val="00AE26F3"/>
    <w:rsid w:val="00AE2D9F"/>
    <w:rsid w:val="00AE3630"/>
    <w:rsid w:val="00AE4142"/>
    <w:rsid w:val="00AE4826"/>
    <w:rsid w:val="00AE4AE5"/>
    <w:rsid w:val="00AE4B16"/>
    <w:rsid w:val="00AE5174"/>
    <w:rsid w:val="00AE5D6F"/>
    <w:rsid w:val="00AE5DD1"/>
    <w:rsid w:val="00AE6166"/>
    <w:rsid w:val="00AE6359"/>
    <w:rsid w:val="00AE66F4"/>
    <w:rsid w:val="00AE6C57"/>
    <w:rsid w:val="00AE6E12"/>
    <w:rsid w:val="00AE7015"/>
    <w:rsid w:val="00AE704E"/>
    <w:rsid w:val="00AE7271"/>
    <w:rsid w:val="00AE7275"/>
    <w:rsid w:val="00AE72FD"/>
    <w:rsid w:val="00AE77D7"/>
    <w:rsid w:val="00AE7841"/>
    <w:rsid w:val="00AE7B2A"/>
    <w:rsid w:val="00AF07D8"/>
    <w:rsid w:val="00AF0F66"/>
    <w:rsid w:val="00AF11D9"/>
    <w:rsid w:val="00AF1567"/>
    <w:rsid w:val="00AF15F5"/>
    <w:rsid w:val="00AF18F5"/>
    <w:rsid w:val="00AF19CC"/>
    <w:rsid w:val="00AF220D"/>
    <w:rsid w:val="00AF2305"/>
    <w:rsid w:val="00AF2778"/>
    <w:rsid w:val="00AF2FD4"/>
    <w:rsid w:val="00AF3918"/>
    <w:rsid w:val="00AF396B"/>
    <w:rsid w:val="00AF3C6C"/>
    <w:rsid w:val="00AF3EF9"/>
    <w:rsid w:val="00AF41F7"/>
    <w:rsid w:val="00AF421D"/>
    <w:rsid w:val="00AF453B"/>
    <w:rsid w:val="00AF45EB"/>
    <w:rsid w:val="00AF47A3"/>
    <w:rsid w:val="00AF48E5"/>
    <w:rsid w:val="00AF5150"/>
    <w:rsid w:val="00AF538D"/>
    <w:rsid w:val="00AF5A64"/>
    <w:rsid w:val="00AF5D83"/>
    <w:rsid w:val="00AF62D6"/>
    <w:rsid w:val="00AF7022"/>
    <w:rsid w:val="00AF7886"/>
    <w:rsid w:val="00B003F4"/>
    <w:rsid w:val="00B007E4"/>
    <w:rsid w:val="00B00B3F"/>
    <w:rsid w:val="00B012C7"/>
    <w:rsid w:val="00B01D7F"/>
    <w:rsid w:val="00B02927"/>
    <w:rsid w:val="00B02972"/>
    <w:rsid w:val="00B036BA"/>
    <w:rsid w:val="00B03BCA"/>
    <w:rsid w:val="00B0406E"/>
    <w:rsid w:val="00B04160"/>
    <w:rsid w:val="00B0444D"/>
    <w:rsid w:val="00B05731"/>
    <w:rsid w:val="00B05CC4"/>
    <w:rsid w:val="00B05FE3"/>
    <w:rsid w:val="00B06528"/>
    <w:rsid w:val="00B06577"/>
    <w:rsid w:val="00B06662"/>
    <w:rsid w:val="00B07614"/>
    <w:rsid w:val="00B0796E"/>
    <w:rsid w:val="00B07FE4"/>
    <w:rsid w:val="00B10F8B"/>
    <w:rsid w:val="00B11009"/>
    <w:rsid w:val="00B11670"/>
    <w:rsid w:val="00B116F2"/>
    <w:rsid w:val="00B12316"/>
    <w:rsid w:val="00B12942"/>
    <w:rsid w:val="00B12EAB"/>
    <w:rsid w:val="00B13444"/>
    <w:rsid w:val="00B136A1"/>
    <w:rsid w:val="00B13994"/>
    <w:rsid w:val="00B14BC0"/>
    <w:rsid w:val="00B154C2"/>
    <w:rsid w:val="00B15682"/>
    <w:rsid w:val="00B1571D"/>
    <w:rsid w:val="00B15E9F"/>
    <w:rsid w:val="00B16573"/>
    <w:rsid w:val="00B16881"/>
    <w:rsid w:val="00B17036"/>
    <w:rsid w:val="00B17563"/>
    <w:rsid w:val="00B17A34"/>
    <w:rsid w:val="00B17CB2"/>
    <w:rsid w:val="00B2000B"/>
    <w:rsid w:val="00B2087D"/>
    <w:rsid w:val="00B21103"/>
    <w:rsid w:val="00B213A1"/>
    <w:rsid w:val="00B21712"/>
    <w:rsid w:val="00B2174B"/>
    <w:rsid w:val="00B21766"/>
    <w:rsid w:val="00B21D4D"/>
    <w:rsid w:val="00B2204B"/>
    <w:rsid w:val="00B22133"/>
    <w:rsid w:val="00B224DE"/>
    <w:rsid w:val="00B225C2"/>
    <w:rsid w:val="00B232DE"/>
    <w:rsid w:val="00B23347"/>
    <w:rsid w:val="00B236B7"/>
    <w:rsid w:val="00B23A34"/>
    <w:rsid w:val="00B241BB"/>
    <w:rsid w:val="00B245A7"/>
    <w:rsid w:val="00B24AB9"/>
    <w:rsid w:val="00B25483"/>
    <w:rsid w:val="00B255AD"/>
    <w:rsid w:val="00B25E43"/>
    <w:rsid w:val="00B2666C"/>
    <w:rsid w:val="00B26699"/>
    <w:rsid w:val="00B26A00"/>
    <w:rsid w:val="00B26A3A"/>
    <w:rsid w:val="00B274C1"/>
    <w:rsid w:val="00B277A6"/>
    <w:rsid w:val="00B27ACF"/>
    <w:rsid w:val="00B301E2"/>
    <w:rsid w:val="00B3069F"/>
    <w:rsid w:val="00B30A62"/>
    <w:rsid w:val="00B30EBD"/>
    <w:rsid w:val="00B314B6"/>
    <w:rsid w:val="00B31A12"/>
    <w:rsid w:val="00B31B2F"/>
    <w:rsid w:val="00B31C00"/>
    <w:rsid w:val="00B31F40"/>
    <w:rsid w:val="00B3252E"/>
    <w:rsid w:val="00B325BA"/>
    <w:rsid w:val="00B3292D"/>
    <w:rsid w:val="00B32F7E"/>
    <w:rsid w:val="00B33535"/>
    <w:rsid w:val="00B335CC"/>
    <w:rsid w:val="00B33770"/>
    <w:rsid w:val="00B33C9E"/>
    <w:rsid w:val="00B33FFD"/>
    <w:rsid w:val="00B3405A"/>
    <w:rsid w:val="00B34569"/>
    <w:rsid w:val="00B346F4"/>
    <w:rsid w:val="00B34819"/>
    <w:rsid w:val="00B349DF"/>
    <w:rsid w:val="00B35BF2"/>
    <w:rsid w:val="00B36549"/>
    <w:rsid w:val="00B366A5"/>
    <w:rsid w:val="00B372DF"/>
    <w:rsid w:val="00B372EC"/>
    <w:rsid w:val="00B37427"/>
    <w:rsid w:val="00B40737"/>
    <w:rsid w:val="00B40AB9"/>
    <w:rsid w:val="00B417FD"/>
    <w:rsid w:val="00B41C0B"/>
    <w:rsid w:val="00B42395"/>
    <w:rsid w:val="00B42761"/>
    <w:rsid w:val="00B42880"/>
    <w:rsid w:val="00B42D3A"/>
    <w:rsid w:val="00B42D41"/>
    <w:rsid w:val="00B42D84"/>
    <w:rsid w:val="00B43196"/>
    <w:rsid w:val="00B432DD"/>
    <w:rsid w:val="00B43603"/>
    <w:rsid w:val="00B43708"/>
    <w:rsid w:val="00B438FE"/>
    <w:rsid w:val="00B441D6"/>
    <w:rsid w:val="00B44B7C"/>
    <w:rsid w:val="00B44B87"/>
    <w:rsid w:val="00B44F65"/>
    <w:rsid w:val="00B4523B"/>
    <w:rsid w:val="00B45346"/>
    <w:rsid w:val="00B45647"/>
    <w:rsid w:val="00B45BD7"/>
    <w:rsid w:val="00B45D6B"/>
    <w:rsid w:val="00B45DB9"/>
    <w:rsid w:val="00B460DF"/>
    <w:rsid w:val="00B46ACA"/>
    <w:rsid w:val="00B472D1"/>
    <w:rsid w:val="00B479EE"/>
    <w:rsid w:val="00B47EFD"/>
    <w:rsid w:val="00B47F90"/>
    <w:rsid w:val="00B50135"/>
    <w:rsid w:val="00B507F8"/>
    <w:rsid w:val="00B50ABB"/>
    <w:rsid w:val="00B50C90"/>
    <w:rsid w:val="00B51363"/>
    <w:rsid w:val="00B51A6B"/>
    <w:rsid w:val="00B51A7B"/>
    <w:rsid w:val="00B51BA5"/>
    <w:rsid w:val="00B51D23"/>
    <w:rsid w:val="00B51D52"/>
    <w:rsid w:val="00B52D07"/>
    <w:rsid w:val="00B530DD"/>
    <w:rsid w:val="00B533D4"/>
    <w:rsid w:val="00B5364D"/>
    <w:rsid w:val="00B53734"/>
    <w:rsid w:val="00B5424F"/>
    <w:rsid w:val="00B54984"/>
    <w:rsid w:val="00B54A24"/>
    <w:rsid w:val="00B553FD"/>
    <w:rsid w:val="00B55DA7"/>
    <w:rsid w:val="00B56059"/>
    <w:rsid w:val="00B5657F"/>
    <w:rsid w:val="00B56865"/>
    <w:rsid w:val="00B56F00"/>
    <w:rsid w:val="00B5708A"/>
    <w:rsid w:val="00B5784F"/>
    <w:rsid w:val="00B6005A"/>
    <w:rsid w:val="00B6024B"/>
    <w:rsid w:val="00B6063B"/>
    <w:rsid w:val="00B60EC7"/>
    <w:rsid w:val="00B60FE5"/>
    <w:rsid w:val="00B614E6"/>
    <w:rsid w:val="00B617CA"/>
    <w:rsid w:val="00B618E5"/>
    <w:rsid w:val="00B619E1"/>
    <w:rsid w:val="00B61F2E"/>
    <w:rsid w:val="00B61FBC"/>
    <w:rsid w:val="00B63558"/>
    <w:rsid w:val="00B63837"/>
    <w:rsid w:val="00B63991"/>
    <w:rsid w:val="00B639D8"/>
    <w:rsid w:val="00B64219"/>
    <w:rsid w:val="00B64311"/>
    <w:rsid w:val="00B644D5"/>
    <w:rsid w:val="00B65AEE"/>
    <w:rsid w:val="00B65E11"/>
    <w:rsid w:val="00B6623F"/>
    <w:rsid w:val="00B66378"/>
    <w:rsid w:val="00B663AD"/>
    <w:rsid w:val="00B669D0"/>
    <w:rsid w:val="00B66E65"/>
    <w:rsid w:val="00B67201"/>
    <w:rsid w:val="00B67E63"/>
    <w:rsid w:val="00B67EBE"/>
    <w:rsid w:val="00B67F06"/>
    <w:rsid w:val="00B701BC"/>
    <w:rsid w:val="00B7069A"/>
    <w:rsid w:val="00B71076"/>
    <w:rsid w:val="00B710E1"/>
    <w:rsid w:val="00B712AD"/>
    <w:rsid w:val="00B7189D"/>
    <w:rsid w:val="00B71903"/>
    <w:rsid w:val="00B71BA0"/>
    <w:rsid w:val="00B71F77"/>
    <w:rsid w:val="00B72371"/>
    <w:rsid w:val="00B72492"/>
    <w:rsid w:val="00B72862"/>
    <w:rsid w:val="00B7291F"/>
    <w:rsid w:val="00B72F80"/>
    <w:rsid w:val="00B73022"/>
    <w:rsid w:val="00B737AD"/>
    <w:rsid w:val="00B73A31"/>
    <w:rsid w:val="00B73AB9"/>
    <w:rsid w:val="00B73BAA"/>
    <w:rsid w:val="00B7450B"/>
    <w:rsid w:val="00B745F9"/>
    <w:rsid w:val="00B74B15"/>
    <w:rsid w:val="00B75213"/>
    <w:rsid w:val="00B75632"/>
    <w:rsid w:val="00B75800"/>
    <w:rsid w:val="00B758B3"/>
    <w:rsid w:val="00B7699D"/>
    <w:rsid w:val="00B76AF3"/>
    <w:rsid w:val="00B7713E"/>
    <w:rsid w:val="00B8045B"/>
    <w:rsid w:val="00B80463"/>
    <w:rsid w:val="00B80832"/>
    <w:rsid w:val="00B80EF7"/>
    <w:rsid w:val="00B82107"/>
    <w:rsid w:val="00B82532"/>
    <w:rsid w:val="00B82767"/>
    <w:rsid w:val="00B82A63"/>
    <w:rsid w:val="00B82BEE"/>
    <w:rsid w:val="00B82C6A"/>
    <w:rsid w:val="00B83A44"/>
    <w:rsid w:val="00B842A6"/>
    <w:rsid w:val="00B84844"/>
    <w:rsid w:val="00B84B86"/>
    <w:rsid w:val="00B85404"/>
    <w:rsid w:val="00B854FD"/>
    <w:rsid w:val="00B85589"/>
    <w:rsid w:val="00B858B9"/>
    <w:rsid w:val="00B85AF4"/>
    <w:rsid w:val="00B85C1E"/>
    <w:rsid w:val="00B86381"/>
    <w:rsid w:val="00B8716A"/>
    <w:rsid w:val="00B8730B"/>
    <w:rsid w:val="00B87BA8"/>
    <w:rsid w:val="00B87DA5"/>
    <w:rsid w:val="00B90160"/>
    <w:rsid w:val="00B9027B"/>
    <w:rsid w:val="00B9044A"/>
    <w:rsid w:val="00B90B8E"/>
    <w:rsid w:val="00B90BC9"/>
    <w:rsid w:val="00B91D99"/>
    <w:rsid w:val="00B91DBC"/>
    <w:rsid w:val="00B92762"/>
    <w:rsid w:val="00B92E2F"/>
    <w:rsid w:val="00B93D43"/>
    <w:rsid w:val="00B93E30"/>
    <w:rsid w:val="00B94B3B"/>
    <w:rsid w:val="00B94C14"/>
    <w:rsid w:val="00B94C18"/>
    <w:rsid w:val="00B9534E"/>
    <w:rsid w:val="00B95B16"/>
    <w:rsid w:val="00B95CA4"/>
    <w:rsid w:val="00B95D3C"/>
    <w:rsid w:val="00B95DEE"/>
    <w:rsid w:val="00B95FBC"/>
    <w:rsid w:val="00B9629F"/>
    <w:rsid w:val="00B964C1"/>
    <w:rsid w:val="00B96C7F"/>
    <w:rsid w:val="00B96F71"/>
    <w:rsid w:val="00B9759B"/>
    <w:rsid w:val="00B97E04"/>
    <w:rsid w:val="00BA0582"/>
    <w:rsid w:val="00BA0F54"/>
    <w:rsid w:val="00BA1278"/>
    <w:rsid w:val="00BA27A1"/>
    <w:rsid w:val="00BA2FA3"/>
    <w:rsid w:val="00BA35CE"/>
    <w:rsid w:val="00BA3861"/>
    <w:rsid w:val="00BA3BFB"/>
    <w:rsid w:val="00BA48D8"/>
    <w:rsid w:val="00BA48DA"/>
    <w:rsid w:val="00BA4D6A"/>
    <w:rsid w:val="00BA4E0C"/>
    <w:rsid w:val="00BA50AF"/>
    <w:rsid w:val="00BA72EE"/>
    <w:rsid w:val="00BA7855"/>
    <w:rsid w:val="00BA7A15"/>
    <w:rsid w:val="00BA7F5B"/>
    <w:rsid w:val="00BA7F6B"/>
    <w:rsid w:val="00BB00C0"/>
    <w:rsid w:val="00BB070A"/>
    <w:rsid w:val="00BB09EE"/>
    <w:rsid w:val="00BB0A2F"/>
    <w:rsid w:val="00BB0DF2"/>
    <w:rsid w:val="00BB10D4"/>
    <w:rsid w:val="00BB13CC"/>
    <w:rsid w:val="00BB1811"/>
    <w:rsid w:val="00BB1F58"/>
    <w:rsid w:val="00BB228A"/>
    <w:rsid w:val="00BB3163"/>
    <w:rsid w:val="00BB3586"/>
    <w:rsid w:val="00BB37B3"/>
    <w:rsid w:val="00BB3D34"/>
    <w:rsid w:val="00BB3D78"/>
    <w:rsid w:val="00BB3FFB"/>
    <w:rsid w:val="00BB47A5"/>
    <w:rsid w:val="00BB49DE"/>
    <w:rsid w:val="00BB4BA2"/>
    <w:rsid w:val="00BB53A4"/>
    <w:rsid w:val="00BB5571"/>
    <w:rsid w:val="00BB5842"/>
    <w:rsid w:val="00BB5DC4"/>
    <w:rsid w:val="00BB675E"/>
    <w:rsid w:val="00BB6C73"/>
    <w:rsid w:val="00BB71EA"/>
    <w:rsid w:val="00BB7417"/>
    <w:rsid w:val="00BB7723"/>
    <w:rsid w:val="00BB77C8"/>
    <w:rsid w:val="00BC059D"/>
    <w:rsid w:val="00BC059F"/>
    <w:rsid w:val="00BC0F77"/>
    <w:rsid w:val="00BC1140"/>
    <w:rsid w:val="00BC14E8"/>
    <w:rsid w:val="00BC16B3"/>
    <w:rsid w:val="00BC28F2"/>
    <w:rsid w:val="00BC2D69"/>
    <w:rsid w:val="00BC397C"/>
    <w:rsid w:val="00BC4BB5"/>
    <w:rsid w:val="00BC4C4E"/>
    <w:rsid w:val="00BC6295"/>
    <w:rsid w:val="00BC65D1"/>
    <w:rsid w:val="00BC677C"/>
    <w:rsid w:val="00BC6B2C"/>
    <w:rsid w:val="00BC6D9E"/>
    <w:rsid w:val="00BC6E19"/>
    <w:rsid w:val="00BC77B3"/>
    <w:rsid w:val="00BC7A04"/>
    <w:rsid w:val="00BC7BD9"/>
    <w:rsid w:val="00BC7C87"/>
    <w:rsid w:val="00BC7F08"/>
    <w:rsid w:val="00BD0688"/>
    <w:rsid w:val="00BD0D5B"/>
    <w:rsid w:val="00BD116E"/>
    <w:rsid w:val="00BD2071"/>
    <w:rsid w:val="00BD2171"/>
    <w:rsid w:val="00BD2548"/>
    <w:rsid w:val="00BD2D57"/>
    <w:rsid w:val="00BD2E9C"/>
    <w:rsid w:val="00BD30E0"/>
    <w:rsid w:val="00BD3788"/>
    <w:rsid w:val="00BD3887"/>
    <w:rsid w:val="00BD38A7"/>
    <w:rsid w:val="00BD44E4"/>
    <w:rsid w:val="00BD4E8E"/>
    <w:rsid w:val="00BD553F"/>
    <w:rsid w:val="00BD5E6A"/>
    <w:rsid w:val="00BD60C4"/>
    <w:rsid w:val="00BD69A7"/>
    <w:rsid w:val="00BD6E80"/>
    <w:rsid w:val="00BD6F33"/>
    <w:rsid w:val="00BD7201"/>
    <w:rsid w:val="00BD75B7"/>
    <w:rsid w:val="00BE0393"/>
    <w:rsid w:val="00BE03EC"/>
    <w:rsid w:val="00BE087C"/>
    <w:rsid w:val="00BE0A74"/>
    <w:rsid w:val="00BE0CEC"/>
    <w:rsid w:val="00BE0FA1"/>
    <w:rsid w:val="00BE154D"/>
    <w:rsid w:val="00BE2225"/>
    <w:rsid w:val="00BE23E4"/>
    <w:rsid w:val="00BE2413"/>
    <w:rsid w:val="00BE264B"/>
    <w:rsid w:val="00BE2715"/>
    <w:rsid w:val="00BE2857"/>
    <w:rsid w:val="00BE293F"/>
    <w:rsid w:val="00BE2DD5"/>
    <w:rsid w:val="00BE2F17"/>
    <w:rsid w:val="00BE32CC"/>
    <w:rsid w:val="00BE38CC"/>
    <w:rsid w:val="00BE3E76"/>
    <w:rsid w:val="00BE4484"/>
    <w:rsid w:val="00BE470B"/>
    <w:rsid w:val="00BE4A8B"/>
    <w:rsid w:val="00BE4D7D"/>
    <w:rsid w:val="00BE4EE6"/>
    <w:rsid w:val="00BE5B51"/>
    <w:rsid w:val="00BE6697"/>
    <w:rsid w:val="00BE68C0"/>
    <w:rsid w:val="00BE6972"/>
    <w:rsid w:val="00BE6FE2"/>
    <w:rsid w:val="00BE78E2"/>
    <w:rsid w:val="00BE7DF5"/>
    <w:rsid w:val="00BF0265"/>
    <w:rsid w:val="00BF0567"/>
    <w:rsid w:val="00BF0579"/>
    <w:rsid w:val="00BF0B10"/>
    <w:rsid w:val="00BF0F26"/>
    <w:rsid w:val="00BF1061"/>
    <w:rsid w:val="00BF1B45"/>
    <w:rsid w:val="00BF270A"/>
    <w:rsid w:val="00BF2A75"/>
    <w:rsid w:val="00BF2C7E"/>
    <w:rsid w:val="00BF3242"/>
    <w:rsid w:val="00BF342B"/>
    <w:rsid w:val="00BF3F3B"/>
    <w:rsid w:val="00BF427B"/>
    <w:rsid w:val="00BF4581"/>
    <w:rsid w:val="00BF48E5"/>
    <w:rsid w:val="00BF49BF"/>
    <w:rsid w:val="00BF530A"/>
    <w:rsid w:val="00BF5928"/>
    <w:rsid w:val="00BF5A8F"/>
    <w:rsid w:val="00BF5F90"/>
    <w:rsid w:val="00BF6B3E"/>
    <w:rsid w:val="00BF6C33"/>
    <w:rsid w:val="00BF6CC6"/>
    <w:rsid w:val="00BF71B4"/>
    <w:rsid w:val="00BF7242"/>
    <w:rsid w:val="00BF7350"/>
    <w:rsid w:val="00BF7A11"/>
    <w:rsid w:val="00BF7EC3"/>
    <w:rsid w:val="00C006E1"/>
    <w:rsid w:val="00C00A8B"/>
    <w:rsid w:val="00C017F5"/>
    <w:rsid w:val="00C0198F"/>
    <w:rsid w:val="00C01AA7"/>
    <w:rsid w:val="00C01DB8"/>
    <w:rsid w:val="00C02099"/>
    <w:rsid w:val="00C03182"/>
    <w:rsid w:val="00C037B8"/>
    <w:rsid w:val="00C03F4F"/>
    <w:rsid w:val="00C03F9E"/>
    <w:rsid w:val="00C04902"/>
    <w:rsid w:val="00C04904"/>
    <w:rsid w:val="00C050EB"/>
    <w:rsid w:val="00C0516F"/>
    <w:rsid w:val="00C051BD"/>
    <w:rsid w:val="00C05D10"/>
    <w:rsid w:val="00C06760"/>
    <w:rsid w:val="00C06B7D"/>
    <w:rsid w:val="00C06C4D"/>
    <w:rsid w:val="00C076B9"/>
    <w:rsid w:val="00C07D5B"/>
    <w:rsid w:val="00C07E04"/>
    <w:rsid w:val="00C07FAD"/>
    <w:rsid w:val="00C1006C"/>
    <w:rsid w:val="00C102E3"/>
    <w:rsid w:val="00C10460"/>
    <w:rsid w:val="00C10ED4"/>
    <w:rsid w:val="00C110D0"/>
    <w:rsid w:val="00C118A8"/>
    <w:rsid w:val="00C12A11"/>
    <w:rsid w:val="00C12A9D"/>
    <w:rsid w:val="00C12DFB"/>
    <w:rsid w:val="00C13256"/>
    <w:rsid w:val="00C132AF"/>
    <w:rsid w:val="00C13893"/>
    <w:rsid w:val="00C141A3"/>
    <w:rsid w:val="00C14317"/>
    <w:rsid w:val="00C14680"/>
    <w:rsid w:val="00C14925"/>
    <w:rsid w:val="00C15102"/>
    <w:rsid w:val="00C15CEB"/>
    <w:rsid w:val="00C15E7A"/>
    <w:rsid w:val="00C16E89"/>
    <w:rsid w:val="00C172C5"/>
    <w:rsid w:val="00C178C1"/>
    <w:rsid w:val="00C1795B"/>
    <w:rsid w:val="00C17B28"/>
    <w:rsid w:val="00C215B0"/>
    <w:rsid w:val="00C216F1"/>
    <w:rsid w:val="00C21751"/>
    <w:rsid w:val="00C21E9D"/>
    <w:rsid w:val="00C22056"/>
    <w:rsid w:val="00C228D0"/>
    <w:rsid w:val="00C22934"/>
    <w:rsid w:val="00C22D28"/>
    <w:rsid w:val="00C22FF7"/>
    <w:rsid w:val="00C23092"/>
    <w:rsid w:val="00C234D9"/>
    <w:rsid w:val="00C2352B"/>
    <w:rsid w:val="00C23789"/>
    <w:rsid w:val="00C248E9"/>
    <w:rsid w:val="00C24A69"/>
    <w:rsid w:val="00C24E3D"/>
    <w:rsid w:val="00C24EFE"/>
    <w:rsid w:val="00C25002"/>
    <w:rsid w:val="00C25066"/>
    <w:rsid w:val="00C25150"/>
    <w:rsid w:val="00C254C9"/>
    <w:rsid w:val="00C25864"/>
    <w:rsid w:val="00C26DA9"/>
    <w:rsid w:val="00C27135"/>
    <w:rsid w:val="00C2737D"/>
    <w:rsid w:val="00C275C4"/>
    <w:rsid w:val="00C276CF"/>
    <w:rsid w:val="00C27BA5"/>
    <w:rsid w:val="00C27E89"/>
    <w:rsid w:val="00C3016C"/>
    <w:rsid w:val="00C30448"/>
    <w:rsid w:val="00C30AB2"/>
    <w:rsid w:val="00C30FF1"/>
    <w:rsid w:val="00C313C7"/>
    <w:rsid w:val="00C31AE0"/>
    <w:rsid w:val="00C32046"/>
    <w:rsid w:val="00C32067"/>
    <w:rsid w:val="00C32584"/>
    <w:rsid w:val="00C325A1"/>
    <w:rsid w:val="00C325B5"/>
    <w:rsid w:val="00C329A7"/>
    <w:rsid w:val="00C32D5F"/>
    <w:rsid w:val="00C334F2"/>
    <w:rsid w:val="00C336C0"/>
    <w:rsid w:val="00C33884"/>
    <w:rsid w:val="00C33D6A"/>
    <w:rsid w:val="00C33FC1"/>
    <w:rsid w:val="00C3406C"/>
    <w:rsid w:val="00C34447"/>
    <w:rsid w:val="00C34656"/>
    <w:rsid w:val="00C34AC6"/>
    <w:rsid w:val="00C3501E"/>
    <w:rsid w:val="00C3508B"/>
    <w:rsid w:val="00C35263"/>
    <w:rsid w:val="00C3540F"/>
    <w:rsid w:val="00C354F3"/>
    <w:rsid w:val="00C36278"/>
    <w:rsid w:val="00C3628D"/>
    <w:rsid w:val="00C36D90"/>
    <w:rsid w:val="00C370B2"/>
    <w:rsid w:val="00C376A4"/>
    <w:rsid w:val="00C37DB7"/>
    <w:rsid w:val="00C406B1"/>
    <w:rsid w:val="00C40755"/>
    <w:rsid w:val="00C40FD0"/>
    <w:rsid w:val="00C415B3"/>
    <w:rsid w:val="00C419A6"/>
    <w:rsid w:val="00C41FA9"/>
    <w:rsid w:val="00C4296F"/>
    <w:rsid w:val="00C4298A"/>
    <w:rsid w:val="00C42D00"/>
    <w:rsid w:val="00C43C41"/>
    <w:rsid w:val="00C43D2F"/>
    <w:rsid w:val="00C44277"/>
    <w:rsid w:val="00C4467A"/>
    <w:rsid w:val="00C446B5"/>
    <w:rsid w:val="00C44AD5"/>
    <w:rsid w:val="00C4539F"/>
    <w:rsid w:val="00C456D7"/>
    <w:rsid w:val="00C45C49"/>
    <w:rsid w:val="00C463B3"/>
    <w:rsid w:val="00C47446"/>
    <w:rsid w:val="00C47668"/>
    <w:rsid w:val="00C479B1"/>
    <w:rsid w:val="00C47AE8"/>
    <w:rsid w:val="00C47C24"/>
    <w:rsid w:val="00C47D5E"/>
    <w:rsid w:val="00C5006C"/>
    <w:rsid w:val="00C50BBB"/>
    <w:rsid w:val="00C51563"/>
    <w:rsid w:val="00C51AAF"/>
    <w:rsid w:val="00C51D98"/>
    <w:rsid w:val="00C5207E"/>
    <w:rsid w:val="00C523A3"/>
    <w:rsid w:val="00C5346D"/>
    <w:rsid w:val="00C542B2"/>
    <w:rsid w:val="00C54656"/>
    <w:rsid w:val="00C548DA"/>
    <w:rsid w:val="00C54C76"/>
    <w:rsid w:val="00C54F93"/>
    <w:rsid w:val="00C55152"/>
    <w:rsid w:val="00C551ED"/>
    <w:rsid w:val="00C5609A"/>
    <w:rsid w:val="00C57EA9"/>
    <w:rsid w:val="00C60C2F"/>
    <w:rsid w:val="00C60DBE"/>
    <w:rsid w:val="00C61334"/>
    <w:rsid w:val="00C613F4"/>
    <w:rsid w:val="00C615E9"/>
    <w:rsid w:val="00C61712"/>
    <w:rsid w:val="00C61877"/>
    <w:rsid w:val="00C61B01"/>
    <w:rsid w:val="00C61FD2"/>
    <w:rsid w:val="00C626F9"/>
    <w:rsid w:val="00C62EC9"/>
    <w:rsid w:val="00C631F1"/>
    <w:rsid w:val="00C63293"/>
    <w:rsid w:val="00C632EE"/>
    <w:rsid w:val="00C63967"/>
    <w:rsid w:val="00C63A28"/>
    <w:rsid w:val="00C63F9B"/>
    <w:rsid w:val="00C64801"/>
    <w:rsid w:val="00C65240"/>
    <w:rsid w:val="00C65666"/>
    <w:rsid w:val="00C66433"/>
    <w:rsid w:val="00C6696D"/>
    <w:rsid w:val="00C67DAF"/>
    <w:rsid w:val="00C67FB0"/>
    <w:rsid w:val="00C700D6"/>
    <w:rsid w:val="00C7012B"/>
    <w:rsid w:val="00C7018F"/>
    <w:rsid w:val="00C70407"/>
    <w:rsid w:val="00C70414"/>
    <w:rsid w:val="00C7087F"/>
    <w:rsid w:val="00C70A10"/>
    <w:rsid w:val="00C70DC0"/>
    <w:rsid w:val="00C710C1"/>
    <w:rsid w:val="00C714B9"/>
    <w:rsid w:val="00C717C9"/>
    <w:rsid w:val="00C718F7"/>
    <w:rsid w:val="00C71929"/>
    <w:rsid w:val="00C7285A"/>
    <w:rsid w:val="00C7299D"/>
    <w:rsid w:val="00C729D2"/>
    <w:rsid w:val="00C72FC7"/>
    <w:rsid w:val="00C7327C"/>
    <w:rsid w:val="00C73700"/>
    <w:rsid w:val="00C7455C"/>
    <w:rsid w:val="00C74629"/>
    <w:rsid w:val="00C74BC4"/>
    <w:rsid w:val="00C75761"/>
    <w:rsid w:val="00C762AD"/>
    <w:rsid w:val="00C764CF"/>
    <w:rsid w:val="00C767A1"/>
    <w:rsid w:val="00C767CC"/>
    <w:rsid w:val="00C77A77"/>
    <w:rsid w:val="00C803B6"/>
    <w:rsid w:val="00C80C97"/>
    <w:rsid w:val="00C80FF1"/>
    <w:rsid w:val="00C81260"/>
    <w:rsid w:val="00C817CA"/>
    <w:rsid w:val="00C823B9"/>
    <w:rsid w:val="00C82508"/>
    <w:rsid w:val="00C82830"/>
    <w:rsid w:val="00C829A6"/>
    <w:rsid w:val="00C834F4"/>
    <w:rsid w:val="00C84337"/>
    <w:rsid w:val="00C84FC8"/>
    <w:rsid w:val="00C8539D"/>
    <w:rsid w:val="00C85CCE"/>
    <w:rsid w:val="00C8758E"/>
    <w:rsid w:val="00C876B8"/>
    <w:rsid w:val="00C87766"/>
    <w:rsid w:val="00C90AE5"/>
    <w:rsid w:val="00C90D5A"/>
    <w:rsid w:val="00C9115F"/>
    <w:rsid w:val="00C9207B"/>
    <w:rsid w:val="00C92131"/>
    <w:rsid w:val="00C92725"/>
    <w:rsid w:val="00C92960"/>
    <w:rsid w:val="00C9363C"/>
    <w:rsid w:val="00C9380C"/>
    <w:rsid w:val="00C93DCC"/>
    <w:rsid w:val="00C949C4"/>
    <w:rsid w:val="00C94AE8"/>
    <w:rsid w:val="00C95913"/>
    <w:rsid w:val="00C95C05"/>
    <w:rsid w:val="00C9622B"/>
    <w:rsid w:val="00C962F2"/>
    <w:rsid w:val="00C96AD8"/>
    <w:rsid w:val="00C96C27"/>
    <w:rsid w:val="00C96DA1"/>
    <w:rsid w:val="00C96E05"/>
    <w:rsid w:val="00C97171"/>
    <w:rsid w:val="00C9734F"/>
    <w:rsid w:val="00C97DCF"/>
    <w:rsid w:val="00C97E14"/>
    <w:rsid w:val="00C97EC8"/>
    <w:rsid w:val="00CA0076"/>
    <w:rsid w:val="00CA00A0"/>
    <w:rsid w:val="00CA0157"/>
    <w:rsid w:val="00CA0D6F"/>
    <w:rsid w:val="00CA131A"/>
    <w:rsid w:val="00CA192C"/>
    <w:rsid w:val="00CA255D"/>
    <w:rsid w:val="00CA2597"/>
    <w:rsid w:val="00CA28D9"/>
    <w:rsid w:val="00CA2A2E"/>
    <w:rsid w:val="00CA2DF1"/>
    <w:rsid w:val="00CA3228"/>
    <w:rsid w:val="00CA3825"/>
    <w:rsid w:val="00CA3D36"/>
    <w:rsid w:val="00CA3D6B"/>
    <w:rsid w:val="00CA40EC"/>
    <w:rsid w:val="00CA4379"/>
    <w:rsid w:val="00CA498C"/>
    <w:rsid w:val="00CA4C30"/>
    <w:rsid w:val="00CA52AD"/>
    <w:rsid w:val="00CA599F"/>
    <w:rsid w:val="00CA59F2"/>
    <w:rsid w:val="00CA5A7A"/>
    <w:rsid w:val="00CA5BCC"/>
    <w:rsid w:val="00CA5CBE"/>
    <w:rsid w:val="00CA5DF8"/>
    <w:rsid w:val="00CA6376"/>
    <w:rsid w:val="00CA646F"/>
    <w:rsid w:val="00CA664D"/>
    <w:rsid w:val="00CA67C8"/>
    <w:rsid w:val="00CA6D60"/>
    <w:rsid w:val="00CA6DEB"/>
    <w:rsid w:val="00CA7430"/>
    <w:rsid w:val="00CB0285"/>
    <w:rsid w:val="00CB040A"/>
    <w:rsid w:val="00CB0AC6"/>
    <w:rsid w:val="00CB1308"/>
    <w:rsid w:val="00CB1446"/>
    <w:rsid w:val="00CB15DC"/>
    <w:rsid w:val="00CB16B3"/>
    <w:rsid w:val="00CB1931"/>
    <w:rsid w:val="00CB2719"/>
    <w:rsid w:val="00CB2A03"/>
    <w:rsid w:val="00CB308A"/>
    <w:rsid w:val="00CB3C05"/>
    <w:rsid w:val="00CB3C8F"/>
    <w:rsid w:val="00CB3D66"/>
    <w:rsid w:val="00CB4059"/>
    <w:rsid w:val="00CB4088"/>
    <w:rsid w:val="00CB48C1"/>
    <w:rsid w:val="00CB4DA9"/>
    <w:rsid w:val="00CB522C"/>
    <w:rsid w:val="00CB54AE"/>
    <w:rsid w:val="00CB55DD"/>
    <w:rsid w:val="00CB60B5"/>
    <w:rsid w:val="00CB6653"/>
    <w:rsid w:val="00CB7450"/>
    <w:rsid w:val="00CB7C15"/>
    <w:rsid w:val="00CB7E44"/>
    <w:rsid w:val="00CC063F"/>
    <w:rsid w:val="00CC0B89"/>
    <w:rsid w:val="00CC0C33"/>
    <w:rsid w:val="00CC12CB"/>
    <w:rsid w:val="00CC147F"/>
    <w:rsid w:val="00CC180D"/>
    <w:rsid w:val="00CC2275"/>
    <w:rsid w:val="00CC2382"/>
    <w:rsid w:val="00CC2558"/>
    <w:rsid w:val="00CC3056"/>
    <w:rsid w:val="00CC3160"/>
    <w:rsid w:val="00CC3997"/>
    <w:rsid w:val="00CC3A40"/>
    <w:rsid w:val="00CC45BB"/>
    <w:rsid w:val="00CC4B5C"/>
    <w:rsid w:val="00CC55AB"/>
    <w:rsid w:val="00CC5ADC"/>
    <w:rsid w:val="00CC5D67"/>
    <w:rsid w:val="00CC5FDE"/>
    <w:rsid w:val="00CC72A9"/>
    <w:rsid w:val="00CC7B3F"/>
    <w:rsid w:val="00CC7C9B"/>
    <w:rsid w:val="00CC7FAF"/>
    <w:rsid w:val="00CC7FEC"/>
    <w:rsid w:val="00CD0235"/>
    <w:rsid w:val="00CD09DC"/>
    <w:rsid w:val="00CD13E8"/>
    <w:rsid w:val="00CD1F94"/>
    <w:rsid w:val="00CD2063"/>
    <w:rsid w:val="00CD2589"/>
    <w:rsid w:val="00CD26AD"/>
    <w:rsid w:val="00CD2AF1"/>
    <w:rsid w:val="00CD2CD3"/>
    <w:rsid w:val="00CD3036"/>
    <w:rsid w:val="00CD309B"/>
    <w:rsid w:val="00CD313C"/>
    <w:rsid w:val="00CD3473"/>
    <w:rsid w:val="00CD39F8"/>
    <w:rsid w:val="00CD3E99"/>
    <w:rsid w:val="00CD4476"/>
    <w:rsid w:val="00CD482B"/>
    <w:rsid w:val="00CD4B1C"/>
    <w:rsid w:val="00CD53FB"/>
    <w:rsid w:val="00CD55BC"/>
    <w:rsid w:val="00CD56FA"/>
    <w:rsid w:val="00CD5837"/>
    <w:rsid w:val="00CD5B3A"/>
    <w:rsid w:val="00CD5F7C"/>
    <w:rsid w:val="00CD69FA"/>
    <w:rsid w:val="00CD6CA7"/>
    <w:rsid w:val="00CD7452"/>
    <w:rsid w:val="00CE0141"/>
    <w:rsid w:val="00CE067B"/>
    <w:rsid w:val="00CE0B0B"/>
    <w:rsid w:val="00CE0F74"/>
    <w:rsid w:val="00CE142C"/>
    <w:rsid w:val="00CE1506"/>
    <w:rsid w:val="00CE1E38"/>
    <w:rsid w:val="00CE1E5F"/>
    <w:rsid w:val="00CE3892"/>
    <w:rsid w:val="00CE3D1F"/>
    <w:rsid w:val="00CE4527"/>
    <w:rsid w:val="00CE4680"/>
    <w:rsid w:val="00CE4709"/>
    <w:rsid w:val="00CE4762"/>
    <w:rsid w:val="00CE4D60"/>
    <w:rsid w:val="00CE5D37"/>
    <w:rsid w:val="00CE618C"/>
    <w:rsid w:val="00CE6365"/>
    <w:rsid w:val="00CE6616"/>
    <w:rsid w:val="00CE7A9B"/>
    <w:rsid w:val="00CE7BC2"/>
    <w:rsid w:val="00CE7F10"/>
    <w:rsid w:val="00CF0450"/>
    <w:rsid w:val="00CF0746"/>
    <w:rsid w:val="00CF09F6"/>
    <w:rsid w:val="00CF1571"/>
    <w:rsid w:val="00CF1E2E"/>
    <w:rsid w:val="00CF26CA"/>
    <w:rsid w:val="00CF2E29"/>
    <w:rsid w:val="00CF333B"/>
    <w:rsid w:val="00CF3498"/>
    <w:rsid w:val="00CF34E9"/>
    <w:rsid w:val="00CF3667"/>
    <w:rsid w:val="00CF3B2B"/>
    <w:rsid w:val="00CF3ED0"/>
    <w:rsid w:val="00CF471D"/>
    <w:rsid w:val="00CF4845"/>
    <w:rsid w:val="00CF4B83"/>
    <w:rsid w:val="00CF4EBC"/>
    <w:rsid w:val="00CF55F2"/>
    <w:rsid w:val="00CF5C5F"/>
    <w:rsid w:val="00CF6493"/>
    <w:rsid w:val="00CF66C9"/>
    <w:rsid w:val="00CF6E69"/>
    <w:rsid w:val="00CF7094"/>
    <w:rsid w:val="00CF78F7"/>
    <w:rsid w:val="00CF7C03"/>
    <w:rsid w:val="00D003F2"/>
    <w:rsid w:val="00D00D48"/>
    <w:rsid w:val="00D00E52"/>
    <w:rsid w:val="00D01F7C"/>
    <w:rsid w:val="00D02321"/>
    <w:rsid w:val="00D02771"/>
    <w:rsid w:val="00D02773"/>
    <w:rsid w:val="00D027B5"/>
    <w:rsid w:val="00D02B6D"/>
    <w:rsid w:val="00D02C6C"/>
    <w:rsid w:val="00D02F03"/>
    <w:rsid w:val="00D031EE"/>
    <w:rsid w:val="00D03499"/>
    <w:rsid w:val="00D03E0B"/>
    <w:rsid w:val="00D04631"/>
    <w:rsid w:val="00D04EED"/>
    <w:rsid w:val="00D050B4"/>
    <w:rsid w:val="00D0552E"/>
    <w:rsid w:val="00D0625E"/>
    <w:rsid w:val="00D06943"/>
    <w:rsid w:val="00D07104"/>
    <w:rsid w:val="00D07242"/>
    <w:rsid w:val="00D07401"/>
    <w:rsid w:val="00D0754D"/>
    <w:rsid w:val="00D07941"/>
    <w:rsid w:val="00D10702"/>
    <w:rsid w:val="00D10C39"/>
    <w:rsid w:val="00D10E18"/>
    <w:rsid w:val="00D11CB8"/>
    <w:rsid w:val="00D11D73"/>
    <w:rsid w:val="00D124C8"/>
    <w:rsid w:val="00D125C3"/>
    <w:rsid w:val="00D12FD3"/>
    <w:rsid w:val="00D13135"/>
    <w:rsid w:val="00D1394F"/>
    <w:rsid w:val="00D14090"/>
    <w:rsid w:val="00D1411D"/>
    <w:rsid w:val="00D143F1"/>
    <w:rsid w:val="00D14414"/>
    <w:rsid w:val="00D144A7"/>
    <w:rsid w:val="00D1498D"/>
    <w:rsid w:val="00D14DDC"/>
    <w:rsid w:val="00D1514B"/>
    <w:rsid w:val="00D15412"/>
    <w:rsid w:val="00D1541D"/>
    <w:rsid w:val="00D15A40"/>
    <w:rsid w:val="00D15A82"/>
    <w:rsid w:val="00D15AC0"/>
    <w:rsid w:val="00D16539"/>
    <w:rsid w:val="00D17947"/>
    <w:rsid w:val="00D205B9"/>
    <w:rsid w:val="00D20603"/>
    <w:rsid w:val="00D20F85"/>
    <w:rsid w:val="00D21394"/>
    <w:rsid w:val="00D21CB8"/>
    <w:rsid w:val="00D21D6D"/>
    <w:rsid w:val="00D2204F"/>
    <w:rsid w:val="00D22107"/>
    <w:rsid w:val="00D225CE"/>
    <w:rsid w:val="00D22D8B"/>
    <w:rsid w:val="00D22F05"/>
    <w:rsid w:val="00D233E1"/>
    <w:rsid w:val="00D23656"/>
    <w:rsid w:val="00D237E9"/>
    <w:rsid w:val="00D239DD"/>
    <w:rsid w:val="00D243CD"/>
    <w:rsid w:val="00D24437"/>
    <w:rsid w:val="00D2476D"/>
    <w:rsid w:val="00D2496D"/>
    <w:rsid w:val="00D2533B"/>
    <w:rsid w:val="00D2561C"/>
    <w:rsid w:val="00D25F1D"/>
    <w:rsid w:val="00D2674A"/>
    <w:rsid w:val="00D26D86"/>
    <w:rsid w:val="00D2704C"/>
    <w:rsid w:val="00D272AF"/>
    <w:rsid w:val="00D27B13"/>
    <w:rsid w:val="00D3020D"/>
    <w:rsid w:val="00D30328"/>
    <w:rsid w:val="00D3035F"/>
    <w:rsid w:val="00D30607"/>
    <w:rsid w:val="00D307A8"/>
    <w:rsid w:val="00D31F1D"/>
    <w:rsid w:val="00D3200B"/>
    <w:rsid w:val="00D320DF"/>
    <w:rsid w:val="00D3274A"/>
    <w:rsid w:val="00D32C45"/>
    <w:rsid w:val="00D32D95"/>
    <w:rsid w:val="00D331C9"/>
    <w:rsid w:val="00D334F6"/>
    <w:rsid w:val="00D33684"/>
    <w:rsid w:val="00D33B78"/>
    <w:rsid w:val="00D33F4D"/>
    <w:rsid w:val="00D34088"/>
    <w:rsid w:val="00D342CC"/>
    <w:rsid w:val="00D344DE"/>
    <w:rsid w:val="00D34815"/>
    <w:rsid w:val="00D351EB"/>
    <w:rsid w:val="00D354DC"/>
    <w:rsid w:val="00D36787"/>
    <w:rsid w:val="00D375CB"/>
    <w:rsid w:val="00D3783A"/>
    <w:rsid w:val="00D40239"/>
    <w:rsid w:val="00D403F4"/>
    <w:rsid w:val="00D40481"/>
    <w:rsid w:val="00D40602"/>
    <w:rsid w:val="00D40E12"/>
    <w:rsid w:val="00D41ACC"/>
    <w:rsid w:val="00D41D78"/>
    <w:rsid w:val="00D426C9"/>
    <w:rsid w:val="00D42BA7"/>
    <w:rsid w:val="00D42C09"/>
    <w:rsid w:val="00D42F72"/>
    <w:rsid w:val="00D43CDE"/>
    <w:rsid w:val="00D4400E"/>
    <w:rsid w:val="00D440A0"/>
    <w:rsid w:val="00D44112"/>
    <w:rsid w:val="00D443E7"/>
    <w:rsid w:val="00D443F9"/>
    <w:rsid w:val="00D44A80"/>
    <w:rsid w:val="00D45496"/>
    <w:rsid w:val="00D454B9"/>
    <w:rsid w:val="00D45C26"/>
    <w:rsid w:val="00D45F33"/>
    <w:rsid w:val="00D468AE"/>
    <w:rsid w:val="00D46D67"/>
    <w:rsid w:val="00D47C75"/>
    <w:rsid w:val="00D50BE9"/>
    <w:rsid w:val="00D51114"/>
    <w:rsid w:val="00D51354"/>
    <w:rsid w:val="00D51C23"/>
    <w:rsid w:val="00D52472"/>
    <w:rsid w:val="00D52803"/>
    <w:rsid w:val="00D52F38"/>
    <w:rsid w:val="00D53185"/>
    <w:rsid w:val="00D5383D"/>
    <w:rsid w:val="00D541A7"/>
    <w:rsid w:val="00D542B1"/>
    <w:rsid w:val="00D547D7"/>
    <w:rsid w:val="00D54AC9"/>
    <w:rsid w:val="00D54D76"/>
    <w:rsid w:val="00D54EA2"/>
    <w:rsid w:val="00D55214"/>
    <w:rsid w:val="00D5641B"/>
    <w:rsid w:val="00D568D8"/>
    <w:rsid w:val="00D573E7"/>
    <w:rsid w:val="00D5786E"/>
    <w:rsid w:val="00D579DB"/>
    <w:rsid w:val="00D57AA7"/>
    <w:rsid w:val="00D57E52"/>
    <w:rsid w:val="00D606B2"/>
    <w:rsid w:val="00D607DF"/>
    <w:rsid w:val="00D60BCE"/>
    <w:rsid w:val="00D60E52"/>
    <w:rsid w:val="00D61250"/>
    <w:rsid w:val="00D61C68"/>
    <w:rsid w:val="00D61E4D"/>
    <w:rsid w:val="00D622A1"/>
    <w:rsid w:val="00D62470"/>
    <w:rsid w:val="00D6275D"/>
    <w:rsid w:val="00D62A07"/>
    <w:rsid w:val="00D62A09"/>
    <w:rsid w:val="00D62ABC"/>
    <w:rsid w:val="00D62BE7"/>
    <w:rsid w:val="00D62DC9"/>
    <w:rsid w:val="00D62EAC"/>
    <w:rsid w:val="00D631D9"/>
    <w:rsid w:val="00D63265"/>
    <w:rsid w:val="00D63666"/>
    <w:rsid w:val="00D64DE1"/>
    <w:rsid w:val="00D65176"/>
    <w:rsid w:val="00D653E2"/>
    <w:rsid w:val="00D658B7"/>
    <w:rsid w:val="00D65C76"/>
    <w:rsid w:val="00D65CCA"/>
    <w:rsid w:val="00D65DAA"/>
    <w:rsid w:val="00D66209"/>
    <w:rsid w:val="00D66441"/>
    <w:rsid w:val="00D66D97"/>
    <w:rsid w:val="00D67C79"/>
    <w:rsid w:val="00D700AC"/>
    <w:rsid w:val="00D70567"/>
    <w:rsid w:val="00D7078D"/>
    <w:rsid w:val="00D709CC"/>
    <w:rsid w:val="00D71065"/>
    <w:rsid w:val="00D71BCE"/>
    <w:rsid w:val="00D71C54"/>
    <w:rsid w:val="00D720F2"/>
    <w:rsid w:val="00D72107"/>
    <w:rsid w:val="00D72487"/>
    <w:rsid w:val="00D73020"/>
    <w:rsid w:val="00D730B1"/>
    <w:rsid w:val="00D74224"/>
    <w:rsid w:val="00D742F4"/>
    <w:rsid w:val="00D7487E"/>
    <w:rsid w:val="00D74C86"/>
    <w:rsid w:val="00D75F94"/>
    <w:rsid w:val="00D7690E"/>
    <w:rsid w:val="00D76BF5"/>
    <w:rsid w:val="00D76ED3"/>
    <w:rsid w:val="00D77257"/>
    <w:rsid w:val="00D77259"/>
    <w:rsid w:val="00D80392"/>
    <w:rsid w:val="00D80657"/>
    <w:rsid w:val="00D80D18"/>
    <w:rsid w:val="00D819EE"/>
    <w:rsid w:val="00D82595"/>
    <w:rsid w:val="00D83175"/>
    <w:rsid w:val="00D835A3"/>
    <w:rsid w:val="00D8390F"/>
    <w:rsid w:val="00D840C1"/>
    <w:rsid w:val="00D84325"/>
    <w:rsid w:val="00D84CC7"/>
    <w:rsid w:val="00D84F6D"/>
    <w:rsid w:val="00D8505D"/>
    <w:rsid w:val="00D857B4"/>
    <w:rsid w:val="00D85CAE"/>
    <w:rsid w:val="00D8604E"/>
    <w:rsid w:val="00D86360"/>
    <w:rsid w:val="00D86833"/>
    <w:rsid w:val="00D871DB"/>
    <w:rsid w:val="00D8782E"/>
    <w:rsid w:val="00D87EAB"/>
    <w:rsid w:val="00D90267"/>
    <w:rsid w:val="00D907DB"/>
    <w:rsid w:val="00D90C0F"/>
    <w:rsid w:val="00D90C21"/>
    <w:rsid w:val="00D915A1"/>
    <w:rsid w:val="00D91C6A"/>
    <w:rsid w:val="00D91D91"/>
    <w:rsid w:val="00D921D3"/>
    <w:rsid w:val="00D93823"/>
    <w:rsid w:val="00D93AF3"/>
    <w:rsid w:val="00D946C7"/>
    <w:rsid w:val="00D95120"/>
    <w:rsid w:val="00D951B0"/>
    <w:rsid w:val="00D958C1"/>
    <w:rsid w:val="00D95C75"/>
    <w:rsid w:val="00D95FE4"/>
    <w:rsid w:val="00D9632E"/>
    <w:rsid w:val="00D966C3"/>
    <w:rsid w:val="00D96745"/>
    <w:rsid w:val="00D96DC7"/>
    <w:rsid w:val="00D9738F"/>
    <w:rsid w:val="00DA01B5"/>
    <w:rsid w:val="00DA059D"/>
    <w:rsid w:val="00DA069A"/>
    <w:rsid w:val="00DA08C8"/>
    <w:rsid w:val="00DA090A"/>
    <w:rsid w:val="00DA0977"/>
    <w:rsid w:val="00DA17F7"/>
    <w:rsid w:val="00DA1825"/>
    <w:rsid w:val="00DA19D8"/>
    <w:rsid w:val="00DA1BDF"/>
    <w:rsid w:val="00DA1E1B"/>
    <w:rsid w:val="00DA2002"/>
    <w:rsid w:val="00DA23D0"/>
    <w:rsid w:val="00DA24CE"/>
    <w:rsid w:val="00DA25F8"/>
    <w:rsid w:val="00DA2799"/>
    <w:rsid w:val="00DA2D65"/>
    <w:rsid w:val="00DA2E5C"/>
    <w:rsid w:val="00DA36A6"/>
    <w:rsid w:val="00DA37C8"/>
    <w:rsid w:val="00DA3E3C"/>
    <w:rsid w:val="00DA3E76"/>
    <w:rsid w:val="00DA42C0"/>
    <w:rsid w:val="00DA4873"/>
    <w:rsid w:val="00DA5524"/>
    <w:rsid w:val="00DA62B0"/>
    <w:rsid w:val="00DA660B"/>
    <w:rsid w:val="00DA6AD3"/>
    <w:rsid w:val="00DA6DA4"/>
    <w:rsid w:val="00DA721E"/>
    <w:rsid w:val="00DA73C1"/>
    <w:rsid w:val="00DA78D5"/>
    <w:rsid w:val="00DB018E"/>
    <w:rsid w:val="00DB0D85"/>
    <w:rsid w:val="00DB0F91"/>
    <w:rsid w:val="00DB1038"/>
    <w:rsid w:val="00DB2DAC"/>
    <w:rsid w:val="00DB3673"/>
    <w:rsid w:val="00DB3D09"/>
    <w:rsid w:val="00DB49A6"/>
    <w:rsid w:val="00DB4E3E"/>
    <w:rsid w:val="00DB5284"/>
    <w:rsid w:val="00DB5593"/>
    <w:rsid w:val="00DB5A23"/>
    <w:rsid w:val="00DB5D7A"/>
    <w:rsid w:val="00DB608E"/>
    <w:rsid w:val="00DB65E2"/>
    <w:rsid w:val="00DB6735"/>
    <w:rsid w:val="00DB7255"/>
    <w:rsid w:val="00DB759B"/>
    <w:rsid w:val="00DB75F3"/>
    <w:rsid w:val="00DB795E"/>
    <w:rsid w:val="00DB7B4A"/>
    <w:rsid w:val="00DC037A"/>
    <w:rsid w:val="00DC0762"/>
    <w:rsid w:val="00DC147D"/>
    <w:rsid w:val="00DC1D61"/>
    <w:rsid w:val="00DC24F3"/>
    <w:rsid w:val="00DC2639"/>
    <w:rsid w:val="00DC30D7"/>
    <w:rsid w:val="00DC33D8"/>
    <w:rsid w:val="00DC3442"/>
    <w:rsid w:val="00DC3B23"/>
    <w:rsid w:val="00DC3C78"/>
    <w:rsid w:val="00DC4097"/>
    <w:rsid w:val="00DC4428"/>
    <w:rsid w:val="00DC4AEB"/>
    <w:rsid w:val="00DC5128"/>
    <w:rsid w:val="00DC53B9"/>
    <w:rsid w:val="00DC618B"/>
    <w:rsid w:val="00DC68FE"/>
    <w:rsid w:val="00DC69ED"/>
    <w:rsid w:val="00DC6BFD"/>
    <w:rsid w:val="00DC6EE8"/>
    <w:rsid w:val="00DC6F7E"/>
    <w:rsid w:val="00DC7057"/>
    <w:rsid w:val="00DC70BB"/>
    <w:rsid w:val="00DC7266"/>
    <w:rsid w:val="00DC759F"/>
    <w:rsid w:val="00DD0123"/>
    <w:rsid w:val="00DD04E2"/>
    <w:rsid w:val="00DD0586"/>
    <w:rsid w:val="00DD0741"/>
    <w:rsid w:val="00DD0E94"/>
    <w:rsid w:val="00DD14BF"/>
    <w:rsid w:val="00DD1C10"/>
    <w:rsid w:val="00DD1DB1"/>
    <w:rsid w:val="00DD2172"/>
    <w:rsid w:val="00DD22FB"/>
    <w:rsid w:val="00DD2ED1"/>
    <w:rsid w:val="00DD2F58"/>
    <w:rsid w:val="00DD496E"/>
    <w:rsid w:val="00DD5B20"/>
    <w:rsid w:val="00DD604F"/>
    <w:rsid w:val="00DD6050"/>
    <w:rsid w:val="00DD611C"/>
    <w:rsid w:val="00DD6A5C"/>
    <w:rsid w:val="00DD6AFF"/>
    <w:rsid w:val="00DD6F6B"/>
    <w:rsid w:val="00DD71A6"/>
    <w:rsid w:val="00DD7DE7"/>
    <w:rsid w:val="00DD7E28"/>
    <w:rsid w:val="00DD7EE8"/>
    <w:rsid w:val="00DD7FBC"/>
    <w:rsid w:val="00DE07E5"/>
    <w:rsid w:val="00DE0D29"/>
    <w:rsid w:val="00DE0FD9"/>
    <w:rsid w:val="00DE10AD"/>
    <w:rsid w:val="00DE13BA"/>
    <w:rsid w:val="00DE1504"/>
    <w:rsid w:val="00DE1C14"/>
    <w:rsid w:val="00DE1CF2"/>
    <w:rsid w:val="00DE20CB"/>
    <w:rsid w:val="00DE310D"/>
    <w:rsid w:val="00DE3116"/>
    <w:rsid w:val="00DE3348"/>
    <w:rsid w:val="00DE3DEE"/>
    <w:rsid w:val="00DE45E4"/>
    <w:rsid w:val="00DE4886"/>
    <w:rsid w:val="00DE48E2"/>
    <w:rsid w:val="00DE4B1E"/>
    <w:rsid w:val="00DE4E25"/>
    <w:rsid w:val="00DE6760"/>
    <w:rsid w:val="00DE67F8"/>
    <w:rsid w:val="00DE7021"/>
    <w:rsid w:val="00DE717E"/>
    <w:rsid w:val="00DE7AC4"/>
    <w:rsid w:val="00DF05D2"/>
    <w:rsid w:val="00DF090E"/>
    <w:rsid w:val="00DF1080"/>
    <w:rsid w:val="00DF15AB"/>
    <w:rsid w:val="00DF17D6"/>
    <w:rsid w:val="00DF18BA"/>
    <w:rsid w:val="00DF18BE"/>
    <w:rsid w:val="00DF1A01"/>
    <w:rsid w:val="00DF1BFC"/>
    <w:rsid w:val="00DF220F"/>
    <w:rsid w:val="00DF2536"/>
    <w:rsid w:val="00DF34B5"/>
    <w:rsid w:val="00DF3751"/>
    <w:rsid w:val="00DF3ABF"/>
    <w:rsid w:val="00DF3E09"/>
    <w:rsid w:val="00DF41C1"/>
    <w:rsid w:val="00DF48A8"/>
    <w:rsid w:val="00DF4967"/>
    <w:rsid w:val="00DF4A06"/>
    <w:rsid w:val="00DF4C25"/>
    <w:rsid w:val="00DF5128"/>
    <w:rsid w:val="00DF56E1"/>
    <w:rsid w:val="00DF62B0"/>
    <w:rsid w:val="00DF6479"/>
    <w:rsid w:val="00DF6DFD"/>
    <w:rsid w:val="00DF6E43"/>
    <w:rsid w:val="00DF6F41"/>
    <w:rsid w:val="00DF7EF5"/>
    <w:rsid w:val="00E00016"/>
    <w:rsid w:val="00E00A87"/>
    <w:rsid w:val="00E00E94"/>
    <w:rsid w:val="00E0114B"/>
    <w:rsid w:val="00E01150"/>
    <w:rsid w:val="00E015E4"/>
    <w:rsid w:val="00E01611"/>
    <w:rsid w:val="00E0170A"/>
    <w:rsid w:val="00E01C7F"/>
    <w:rsid w:val="00E02645"/>
    <w:rsid w:val="00E02873"/>
    <w:rsid w:val="00E028B5"/>
    <w:rsid w:val="00E03033"/>
    <w:rsid w:val="00E03060"/>
    <w:rsid w:val="00E03754"/>
    <w:rsid w:val="00E03B88"/>
    <w:rsid w:val="00E03E43"/>
    <w:rsid w:val="00E03EB1"/>
    <w:rsid w:val="00E0425C"/>
    <w:rsid w:val="00E04276"/>
    <w:rsid w:val="00E042FF"/>
    <w:rsid w:val="00E05368"/>
    <w:rsid w:val="00E069BE"/>
    <w:rsid w:val="00E06BA6"/>
    <w:rsid w:val="00E06C63"/>
    <w:rsid w:val="00E07F17"/>
    <w:rsid w:val="00E10B93"/>
    <w:rsid w:val="00E10C73"/>
    <w:rsid w:val="00E10E39"/>
    <w:rsid w:val="00E11147"/>
    <w:rsid w:val="00E11973"/>
    <w:rsid w:val="00E11A52"/>
    <w:rsid w:val="00E11B9F"/>
    <w:rsid w:val="00E11DE5"/>
    <w:rsid w:val="00E12F86"/>
    <w:rsid w:val="00E13017"/>
    <w:rsid w:val="00E13678"/>
    <w:rsid w:val="00E13E5D"/>
    <w:rsid w:val="00E14CCD"/>
    <w:rsid w:val="00E15354"/>
    <w:rsid w:val="00E1548D"/>
    <w:rsid w:val="00E15DDE"/>
    <w:rsid w:val="00E15E64"/>
    <w:rsid w:val="00E1640F"/>
    <w:rsid w:val="00E168C3"/>
    <w:rsid w:val="00E16907"/>
    <w:rsid w:val="00E16A5A"/>
    <w:rsid w:val="00E16E10"/>
    <w:rsid w:val="00E1747F"/>
    <w:rsid w:val="00E17597"/>
    <w:rsid w:val="00E175DC"/>
    <w:rsid w:val="00E177C7"/>
    <w:rsid w:val="00E1797C"/>
    <w:rsid w:val="00E179CA"/>
    <w:rsid w:val="00E17C6F"/>
    <w:rsid w:val="00E20082"/>
    <w:rsid w:val="00E20326"/>
    <w:rsid w:val="00E206EF"/>
    <w:rsid w:val="00E20CA4"/>
    <w:rsid w:val="00E20D1B"/>
    <w:rsid w:val="00E215C9"/>
    <w:rsid w:val="00E2164E"/>
    <w:rsid w:val="00E2235A"/>
    <w:rsid w:val="00E23B9A"/>
    <w:rsid w:val="00E23C30"/>
    <w:rsid w:val="00E24143"/>
    <w:rsid w:val="00E24927"/>
    <w:rsid w:val="00E24C7B"/>
    <w:rsid w:val="00E250E7"/>
    <w:rsid w:val="00E25211"/>
    <w:rsid w:val="00E25555"/>
    <w:rsid w:val="00E25752"/>
    <w:rsid w:val="00E25CE1"/>
    <w:rsid w:val="00E25D9A"/>
    <w:rsid w:val="00E26611"/>
    <w:rsid w:val="00E26A75"/>
    <w:rsid w:val="00E26CBC"/>
    <w:rsid w:val="00E26DF7"/>
    <w:rsid w:val="00E27163"/>
    <w:rsid w:val="00E27404"/>
    <w:rsid w:val="00E27CE6"/>
    <w:rsid w:val="00E27D22"/>
    <w:rsid w:val="00E301C4"/>
    <w:rsid w:val="00E301C9"/>
    <w:rsid w:val="00E30406"/>
    <w:rsid w:val="00E30907"/>
    <w:rsid w:val="00E3214E"/>
    <w:rsid w:val="00E3226F"/>
    <w:rsid w:val="00E32F99"/>
    <w:rsid w:val="00E33111"/>
    <w:rsid w:val="00E33724"/>
    <w:rsid w:val="00E33B7D"/>
    <w:rsid w:val="00E3432E"/>
    <w:rsid w:val="00E352F7"/>
    <w:rsid w:val="00E356DC"/>
    <w:rsid w:val="00E35D09"/>
    <w:rsid w:val="00E35F51"/>
    <w:rsid w:val="00E36773"/>
    <w:rsid w:val="00E369C2"/>
    <w:rsid w:val="00E36B3A"/>
    <w:rsid w:val="00E37127"/>
    <w:rsid w:val="00E3785B"/>
    <w:rsid w:val="00E400CE"/>
    <w:rsid w:val="00E4091F"/>
    <w:rsid w:val="00E4112E"/>
    <w:rsid w:val="00E41314"/>
    <w:rsid w:val="00E419C5"/>
    <w:rsid w:val="00E41E15"/>
    <w:rsid w:val="00E43050"/>
    <w:rsid w:val="00E43402"/>
    <w:rsid w:val="00E43891"/>
    <w:rsid w:val="00E43986"/>
    <w:rsid w:val="00E448CE"/>
    <w:rsid w:val="00E44E67"/>
    <w:rsid w:val="00E45197"/>
    <w:rsid w:val="00E451C7"/>
    <w:rsid w:val="00E454BB"/>
    <w:rsid w:val="00E45808"/>
    <w:rsid w:val="00E45B96"/>
    <w:rsid w:val="00E45DB4"/>
    <w:rsid w:val="00E462EF"/>
    <w:rsid w:val="00E4659D"/>
    <w:rsid w:val="00E466B5"/>
    <w:rsid w:val="00E46CA3"/>
    <w:rsid w:val="00E46CB0"/>
    <w:rsid w:val="00E47188"/>
    <w:rsid w:val="00E47528"/>
    <w:rsid w:val="00E47DE8"/>
    <w:rsid w:val="00E50130"/>
    <w:rsid w:val="00E50273"/>
    <w:rsid w:val="00E50597"/>
    <w:rsid w:val="00E5072C"/>
    <w:rsid w:val="00E50A9B"/>
    <w:rsid w:val="00E50E74"/>
    <w:rsid w:val="00E50F98"/>
    <w:rsid w:val="00E51A7E"/>
    <w:rsid w:val="00E520BE"/>
    <w:rsid w:val="00E52158"/>
    <w:rsid w:val="00E525F8"/>
    <w:rsid w:val="00E528AA"/>
    <w:rsid w:val="00E52A40"/>
    <w:rsid w:val="00E5344C"/>
    <w:rsid w:val="00E5389A"/>
    <w:rsid w:val="00E53FE2"/>
    <w:rsid w:val="00E5424B"/>
    <w:rsid w:val="00E54423"/>
    <w:rsid w:val="00E54436"/>
    <w:rsid w:val="00E54615"/>
    <w:rsid w:val="00E5468D"/>
    <w:rsid w:val="00E548F5"/>
    <w:rsid w:val="00E54ACC"/>
    <w:rsid w:val="00E55CA6"/>
    <w:rsid w:val="00E55E7A"/>
    <w:rsid w:val="00E56759"/>
    <w:rsid w:val="00E56EC3"/>
    <w:rsid w:val="00E570C8"/>
    <w:rsid w:val="00E574A3"/>
    <w:rsid w:val="00E60204"/>
    <w:rsid w:val="00E60576"/>
    <w:rsid w:val="00E615A5"/>
    <w:rsid w:val="00E617E5"/>
    <w:rsid w:val="00E61CC9"/>
    <w:rsid w:val="00E61D00"/>
    <w:rsid w:val="00E61ED8"/>
    <w:rsid w:val="00E62991"/>
    <w:rsid w:val="00E62A1C"/>
    <w:rsid w:val="00E630C4"/>
    <w:rsid w:val="00E63364"/>
    <w:rsid w:val="00E6393A"/>
    <w:rsid w:val="00E64D1F"/>
    <w:rsid w:val="00E65BCE"/>
    <w:rsid w:val="00E66093"/>
    <w:rsid w:val="00E66678"/>
    <w:rsid w:val="00E668FA"/>
    <w:rsid w:val="00E66962"/>
    <w:rsid w:val="00E66A69"/>
    <w:rsid w:val="00E70009"/>
    <w:rsid w:val="00E705E5"/>
    <w:rsid w:val="00E707B0"/>
    <w:rsid w:val="00E70BC6"/>
    <w:rsid w:val="00E7152C"/>
    <w:rsid w:val="00E7228E"/>
    <w:rsid w:val="00E72EA5"/>
    <w:rsid w:val="00E73276"/>
    <w:rsid w:val="00E73330"/>
    <w:rsid w:val="00E73539"/>
    <w:rsid w:val="00E738A3"/>
    <w:rsid w:val="00E73AFC"/>
    <w:rsid w:val="00E73BE2"/>
    <w:rsid w:val="00E74688"/>
    <w:rsid w:val="00E7528B"/>
    <w:rsid w:val="00E753CB"/>
    <w:rsid w:val="00E75E07"/>
    <w:rsid w:val="00E75F44"/>
    <w:rsid w:val="00E76346"/>
    <w:rsid w:val="00E763AA"/>
    <w:rsid w:val="00E76548"/>
    <w:rsid w:val="00E7659B"/>
    <w:rsid w:val="00E77097"/>
    <w:rsid w:val="00E770CF"/>
    <w:rsid w:val="00E77702"/>
    <w:rsid w:val="00E80A24"/>
    <w:rsid w:val="00E80C85"/>
    <w:rsid w:val="00E80E34"/>
    <w:rsid w:val="00E810F1"/>
    <w:rsid w:val="00E81311"/>
    <w:rsid w:val="00E817ED"/>
    <w:rsid w:val="00E818C4"/>
    <w:rsid w:val="00E81B98"/>
    <w:rsid w:val="00E81C1D"/>
    <w:rsid w:val="00E8208A"/>
    <w:rsid w:val="00E82C38"/>
    <w:rsid w:val="00E82FFE"/>
    <w:rsid w:val="00E8386F"/>
    <w:rsid w:val="00E83C11"/>
    <w:rsid w:val="00E8418D"/>
    <w:rsid w:val="00E8420A"/>
    <w:rsid w:val="00E849A4"/>
    <w:rsid w:val="00E84B4E"/>
    <w:rsid w:val="00E84C38"/>
    <w:rsid w:val="00E84DD6"/>
    <w:rsid w:val="00E851BC"/>
    <w:rsid w:val="00E8564A"/>
    <w:rsid w:val="00E85A98"/>
    <w:rsid w:val="00E85E7F"/>
    <w:rsid w:val="00E861AD"/>
    <w:rsid w:val="00E863D2"/>
    <w:rsid w:val="00E864EA"/>
    <w:rsid w:val="00E865F4"/>
    <w:rsid w:val="00E868F6"/>
    <w:rsid w:val="00E86C6F"/>
    <w:rsid w:val="00E8758E"/>
    <w:rsid w:val="00E8765E"/>
    <w:rsid w:val="00E87D71"/>
    <w:rsid w:val="00E87DD3"/>
    <w:rsid w:val="00E900EE"/>
    <w:rsid w:val="00E90185"/>
    <w:rsid w:val="00E90DEC"/>
    <w:rsid w:val="00E91374"/>
    <w:rsid w:val="00E91A0A"/>
    <w:rsid w:val="00E91A6E"/>
    <w:rsid w:val="00E91B54"/>
    <w:rsid w:val="00E921DF"/>
    <w:rsid w:val="00E9273D"/>
    <w:rsid w:val="00E9298F"/>
    <w:rsid w:val="00E93279"/>
    <w:rsid w:val="00E93456"/>
    <w:rsid w:val="00E936EF"/>
    <w:rsid w:val="00E93804"/>
    <w:rsid w:val="00E938C5"/>
    <w:rsid w:val="00E93AED"/>
    <w:rsid w:val="00E93B6E"/>
    <w:rsid w:val="00E93E27"/>
    <w:rsid w:val="00E93F1F"/>
    <w:rsid w:val="00E94AF4"/>
    <w:rsid w:val="00E94C2A"/>
    <w:rsid w:val="00E950AB"/>
    <w:rsid w:val="00E95743"/>
    <w:rsid w:val="00E95767"/>
    <w:rsid w:val="00E95CE1"/>
    <w:rsid w:val="00E95EF9"/>
    <w:rsid w:val="00E95F82"/>
    <w:rsid w:val="00E960F1"/>
    <w:rsid w:val="00E96606"/>
    <w:rsid w:val="00E979A4"/>
    <w:rsid w:val="00E97ADF"/>
    <w:rsid w:val="00EA02CB"/>
    <w:rsid w:val="00EA0580"/>
    <w:rsid w:val="00EA07D4"/>
    <w:rsid w:val="00EA081E"/>
    <w:rsid w:val="00EA10DC"/>
    <w:rsid w:val="00EA168A"/>
    <w:rsid w:val="00EA1889"/>
    <w:rsid w:val="00EA1BC7"/>
    <w:rsid w:val="00EA1E6D"/>
    <w:rsid w:val="00EA20F4"/>
    <w:rsid w:val="00EA235C"/>
    <w:rsid w:val="00EA2737"/>
    <w:rsid w:val="00EA31F2"/>
    <w:rsid w:val="00EA3A32"/>
    <w:rsid w:val="00EA405D"/>
    <w:rsid w:val="00EA4A89"/>
    <w:rsid w:val="00EA4BE3"/>
    <w:rsid w:val="00EA4DBD"/>
    <w:rsid w:val="00EA4E66"/>
    <w:rsid w:val="00EA4E6D"/>
    <w:rsid w:val="00EA51BA"/>
    <w:rsid w:val="00EA5445"/>
    <w:rsid w:val="00EA5A76"/>
    <w:rsid w:val="00EA6052"/>
    <w:rsid w:val="00EA638C"/>
    <w:rsid w:val="00EA7287"/>
    <w:rsid w:val="00EA7B3B"/>
    <w:rsid w:val="00EA7E47"/>
    <w:rsid w:val="00EB00B3"/>
    <w:rsid w:val="00EB04BF"/>
    <w:rsid w:val="00EB0C08"/>
    <w:rsid w:val="00EB0C53"/>
    <w:rsid w:val="00EB23FD"/>
    <w:rsid w:val="00EB31EA"/>
    <w:rsid w:val="00EB3A9F"/>
    <w:rsid w:val="00EB3BA4"/>
    <w:rsid w:val="00EB3D3E"/>
    <w:rsid w:val="00EB42FE"/>
    <w:rsid w:val="00EB44FD"/>
    <w:rsid w:val="00EB4B14"/>
    <w:rsid w:val="00EB4F01"/>
    <w:rsid w:val="00EB513A"/>
    <w:rsid w:val="00EB5389"/>
    <w:rsid w:val="00EB56E5"/>
    <w:rsid w:val="00EB6238"/>
    <w:rsid w:val="00EB6398"/>
    <w:rsid w:val="00EB6B1E"/>
    <w:rsid w:val="00EB6C51"/>
    <w:rsid w:val="00EB746C"/>
    <w:rsid w:val="00EB7F6C"/>
    <w:rsid w:val="00EB7F77"/>
    <w:rsid w:val="00EC0099"/>
    <w:rsid w:val="00EC029D"/>
    <w:rsid w:val="00EC03CA"/>
    <w:rsid w:val="00EC0B7C"/>
    <w:rsid w:val="00EC146A"/>
    <w:rsid w:val="00EC1FA9"/>
    <w:rsid w:val="00EC22AF"/>
    <w:rsid w:val="00EC2517"/>
    <w:rsid w:val="00EC26AD"/>
    <w:rsid w:val="00EC2FC3"/>
    <w:rsid w:val="00EC3515"/>
    <w:rsid w:val="00EC3FF1"/>
    <w:rsid w:val="00EC4902"/>
    <w:rsid w:val="00EC4E4D"/>
    <w:rsid w:val="00EC5712"/>
    <w:rsid w:val="00EC5900"/>
    <w:rsid w:val="00EC5E04"/>
    <w:rsid w:val="00EC7362"/>
    <w:rsid w:val="00EC7937"/>
    <w:rsid w:val="00EC7FCA"/>
    <w:rsid w:val="00ED01AF"/>
    <w:rsid w:val="00ED035B"/>
    <w:rsid w:val="00ED0ADE"/>
    <w:rsid w:val="00ED0B1B"/>
    <w:rsid w:val="00ED0F27"/>
    <w:rsid w:val="00ED12E0"/>
    <w:rsid w:val="00ED1D03"/>
    <w:rsid w:val="00ED273B"/>
    <w:rsid w:val="00ED2CDC"/>
    <w:rsid w:val="00ED2FF3"/>
    <w:rsid w:val="00ED342E"/>
    <w:rsid w:val="00ED3A0D"/>
    <w:rsid w:val="00ED3E2F"/>
    <w:rsid w:val="00ED44A6"/>
    <w:rsid w:val="00ED47D6"/>
    <w:rsid w:val="00ED4B03"/>
    <w:rsid w:val="00ED5317"/>
    <w:rsid w:val="00ED547D"/>
    <w:rsid w:val="00ED5971"/>
    <w:rsid w:val="00ED5A14"/>
    <w:rsid w:val="00ED5F4D"/>
    <w:rsid w:val="00ED6194"/>
    <w:rsid w:val="00ED6D97"/>
    <w:rsid w:val="00ED6F95"/>
    <w:rsid w:val="00ED7135"/>
    <w:rsid w:val="00ED715C"/>
    <w:rsid w:val="00ED74C6"/>
    <w:rsid w:val="00ED7B48"/>
    <w:rsid w:val="00EE002F"/>
    <w:rsid w:val="00EE01B1"/>
    <w:rsid w:val="00EE05E8"/>
    <w:rsid w:val="00EE0CB7"/>
    <w:rsid w:val="00EE1452"/>
    <w:rsid w:val="00EE1A41"/>
    <w:rsid w:val="00EE1A6C"/>
    <w:rsid w:val="00EE1AF5"/>
    <w:rsid w:val="00EE2102"/>
    <w:rsid w:val="00EE23E5"/>
    <w:rsid w:val="00EE2D74"/>
    <w:rsid w:val="00EE3B7D"/>
    <w:rsid w:val="00EE3D10"/>
    <w:rsid w:val="00EE3F17"/>
    <w:rsid w:val="00EE3F6A"/>
    <w:rsid w:val="00EE42A9"/>
    <w:rsid w:val="00EE4330"/>
    <w:rsid w:val="00EE4BB6"/>
    <w:rsid w:val="00EE4CDE"/>
    <w:rsid w:val="00EE4D5A"/>
    <w:rsid w:val="00EE4F9B"/>
    <w:rsid w:val="00EE5384"/>
    <w:rsid w:val="00EE55FB"/>
    <w:rsid w:val="00EE5944"/>
    <w:rsid w:val="00EE59D6"/>
    <w:rsid w:val="00EE61C7"/>
    <w:rsid w:val="00EE6570"/>
    <w:rsid w:val="00EE70EA"/>
    <w:rsid w:val="00EE7610"/>
    <w:rsid w:val="00EE7FA3"/>
    <w:rsid w:val="00EF0505"/>
    <w:rsid w:val="00EF0AAC"/>
    <w:rsid w:val="00EF1867"/>
    <w:rsid w:val="00EF1990"/>
    <w:rsid w:val="00EF1CA4"/>
    <w:rsid w:val="00EF21C9"/>
    <w:rsid w:val="00EF29E9"/>
    <w:rsid w:val="00EF2FE6"/>
    <w:rsid w:val="00EF35EA"/>
    <w:rsid w:val="00EF36C1"/>
    <w:rsid w:val="00EF38F3"/>
    <w:rsid w:val="00EF4066"/>
    <w:rsid w:val="00EF4450"/>
    <w:rsid w:val="00EF45CD"/>
    <w:rsid w:val="00EF5286"/>
    <w:rsid w:val="00EF52B4"/>
    <w:rsid w:val="00EF5B78"/>
    <w:rsid w:val="00EF6161"/>
    <w:rsid w:val="00EF6166"/>
    <w:rsid w:val="00EF6209"/>
    <w:rsid w:val="00EF659B"/>
    <w:rsid w:val="00EF6767"/>
    <w:rsid w:val="00EF6B3C"/>
    <w:rsid w:val="00F009FF"/>
    <w:rsid w:val="00F00A41"/>
    <w:rsid w:val="00F00AA0"/>
    <w:rsid w:val="00F00D67"/>
    <w:rsid w:val="00F01571"/>
    <w:rsid w:val="00F01962"/>
    <w:rsid w:val="00F019B4"/>
    <w:rsid w:val="00F01ADB"/>
    <w:rsid w:val="00F02A7D"/>
    <w:rsid w:val="00F03C22"/>
    <w:rsid w:val="00F03CFF"/>
    <w:rsid w:val="00F03F57"/>
    <w:rsid w:val="00F040F5"/>
    <w:rsid w:val="00F04230"/>
    <w:rsid w:val="00F0433E"/>
    <w:rsid w:val="00F05B4A"/>
    <w:rsid w:val="00F05DAD"/>
    <w:rsid w:val="00F060C3"/>
    <w:rsid w:val="00F067F7"/>
    <w:rsid w:val="00F06F13"/>
    <w:rsid w:val="00F0708E"/>
    <w:rsid w:val="00F07117"/>
    <w:rsid w:val="00F07793"/>
    <w:rsid w:val="00F07F96"/>
    <w:rsid w:val="00F10352"/>
    <w:rsid w:val="00F1070D"/>
    <w:rsid w:val="00F11E48"/>
    <w:rsid w:val="00F122A9"/>
    <w:rsid w:val="00F123A0"/>
    <w:rsid w:val="00F12B74"/>
    <w:rsid w:val="00F12BF0"/>
    <w:rsid w:val="00F1310A"/>
    <w:rsid w:val="00F1345D"/>
    <w:rsid w:val="00F13590"/>
    <w:rsid w:val="00F13972"/>
    <w:rsid w:val="00F14342"/>
    <w:rsid w:val="00F14D6C"/>
    <w:rsid w:val="00F1509B"/>
    <w:rsid w:val="00F15322"/>
    <w:rsid w:val="00F156A3"/>
    <w:rsid w:val="00F16712"/>
    <w:rsid w:val="00F16726"/>
    <w:rsid w:val="00F1681C"/>
    <w:rsid w:val="00F16C96"/>
    <w:rsid w:val="00F16F92"/>
    <w:rsid w:val="00F17122"/>
    <w:rsid w:val="00F17414"/>
    <w:rsid w:val="00F175A2"/>
    <w:rsid w:val="00F17D46"/>
    <w:rsid w:val="00F2005C"/>
    <w:rsid w:val="00F20091"/>
    <w:rsid w:val="00F2129E"/>
    <w:rsid w:val="00F219AE"/>
    <w:rsid w:val="00F22172"/>
    <w:rsid w:val="00F2252F"/>
    <w:rsid w:val="00F22F7A"/>
    <w:rsid w:val="00F2423B"/>
    <w:rsid w:val="00F24983"/>
    <w:rsid w:val="00F24B00"/>
    <w:rsid w:val="00F24D31"/>
    <w:rsid w:val="00F24DD1"/>
    <w:rsid w:val="00F24EBE"/>
    <w:rsid w:val="00F25229"/>
    <w:rsid w:val="00F253CC"/>
    <w:rsid w:val="00F25F56"/>
    <w:rsid w:val="00F27048"/>
    <w:rsid w:val="00F27482"/>
    <w:rsid w:val="00F2762F"/>
    <w:rsid w:val="00F27882"/>
    <w:rsid w:val="00F27A6B"/>
    <w:rsid w:val="00F27DC0"/>
    <w:rsid w:val="00F30178"/>
    <w:rsid w:val="00F3137F"/>
    <w:rsid w:val="00F319A6"/>
    <w:rsid w:val="00F31CF0"/>
    <w:rsid w:val="00F31DC4"/>
    <w:rsid w:val="00F32141"/>
    <w:rsid w:val="00F3262A"/>
    <w:rsid w:val="00F32903"/>
    <w:rsid w:val="00F339C9"/>
    <w:rsid w:val="00F33BE6"/>
    <w:rsid w:val="00F33ED4"/>
    <w:rsid w:val="00F344DC"/>
    <w:rsid w:val="00F34860"/>
    <w:rsid w:val="00F34C11"/>
    <w:rsid w:val="00F35110"/>
    <w:rsid w:val="00F356F4"/>
    <w:rsid w:val="00F3582D"/>
    <w:rsid w:val="00F3596F"/>
    <w:rsid w:val="00F35BFA"/>
    <w:rsid w:val="00F361DF"/>
    <w:rsid w:val="00F3640D"/>
    <w:rsid w:val="00F373A1"/>
    <w:rsid w:val="00F373E7"/>
    <w:rsid w:val="00F374DA"/>
    <w:rsid w:val="00F37744"/>
    <w:rsid w:val="00F37DE5"/>
    <w:rsid w:val="00F37F87"/>
    <w:rsid w:val="00F406DB"/>
    <w:rsid w:val="00F4093D"/>
    <w:rsid w:val="00F40E0A"/>
    <w:rsid w:val="00F410E1"/>
    <w:rsid w:val="00F41705"/>
    <w:rsid w:val="00F41715"/>
    <w:rsid w:val="00F41747"/>
    <w:rsid w:val="00F41A5F"/>
    <w:rsid w:val="00F41AD8"/>
    <w:rsid w:val="00F41AF8"/>
    <w:rsid w:val="00F4270D"/>
    <w:rsid w:val="00F42810"/>
    <w:rsid w:val="00F42A9F"/>
    <w:rsid w:val="00F42DBE"/>
    <w:rsid w:val="00F4325B"/>
    <w:rsid w:val="00F4346E"/>
    <w:rsid w:val="00F43717"/>
    <w:rsid w:val="00F437EB"/>
    <w:rsid w:val="00F438D0"/>
    <w:rsid w:val="00F43B36"/>
    <w:rsid w:val="00F43D75"/>
    <w:rsid w:val="00F448F1"/>
    <w:rsid w:val="00F45002"/>
    <w:rsid w:val="00F4502A"/>
    <w:rsid w:val="00F4577D"/>
    <w:rsid w:val="00F45CAE"/>
    <w:rsid w:val="00F467BB"/>
    <w:rsid w:val="00F47DB1"/>
    <w:rsid w:val="00F47FF0"/>
    <w:rsid w:val="00F50954"/>
    <w:rsid w:val="00F50BC6"/>
    <w:rsid w:val="00F50C13"/>
    <w:rsid w:val="00F50F0C"/>
    <w:rsid w:val="00F50F34"/>
    <w:rsid w:val="00F51231"/>
    <w:rsid w:val="00F5158E"/>
    <w:rsid w:val="00F51EBC"/>
    <w:rsid w:val="00F525FF"/>
    <w:rsid w:val="00F529FF"/>
    <w:rsid w:val="00F52E6C"/>
    <w:rsid w:val="00F53838"/>
    <w:rsid w:val="00F542A5"/>
    <w:rsid w:val="00F544AA"/>
    <w:rsid w:val="00F54530"/>
    <w:rsid w:val="00F54A2B"/>
    <w:rsid w:val="00F55082"/>
    <w:rsid w:val="00F553A9"/>
    <w:rsid w:val="00F55750"/>
    <w:rsid w:val="00F5578D"/>
    <w:rsid w:val="00F56221"/>
    <w:rsid w:val="00F571D4"/>
    <w:rsid w:val="00F572BF"/>
    <w:rsid w:val="00F57B03"/>
    <w:rsid w:val="00F60BE1"/>
    <w:rsid w:val="00F60E2B"/>
    <w:rsid w:val="00F6120C"/>
    <w:rsid w:val="00F61873"/>
    <w:rsid w:val="00F61D46"/>
    <w:rsid w:val="00F61D7C"/>
    <w:rsid w:val="00F62252"/>
    <w:rsid w:val="00F6313B"/>
    <w:rsid w:val="00F6335A"/>
    <w:rsid w:val="00F63668"/>
    <w:rsid w:val="00F639E1"/>
    <w:rsid w:val="00F63E9E"/>
    <w:rsid w:val="00F64049"/>
    <w:rsid w:val="00F642A9"/>
    <w:rsid w:val="00F64520"/>
    <w:rsid w:val="00F646FA"/>
    <w:rsid w:val="00F65248"/>
    <w:rsid w:val="00F655EF"/>
    <w:rsid w:val="00F658D1"/>
    <w:rsid w:val="00F65AE5"/>
    <w:rsid w:val="00F66454"/>
    <w:rsid w:val="00F668F7"/>
    <w:rsid w:val="00F66B7D"/>
    <w:rsid w:val="00F66D70"/>
    <w:rsid w:val="00F66F48"/>
    <w:rsid w:val="00F66F9C"/>
    <w:rsid w:val="00F678C9"/>
    <w:rsid w:val="00F679DC"/>
    <w:rsid w:val="00F70ACE"/>
    <w:rsid w:val="00F71C78"/>
    <w:rsid w:val="00F7207A"/>
    <w:rsid w:val="00F720E5"/>
    <w:rsid w:val="00F72AE5"/>
    <w:rsid w:val="00F72E50"/>
    <w:rsid w:val="00F73920"/>
    <w:rsid w:val="00F739D3"/>
    <w:rsid w:val="00F73E6D"/>
    <w:rsid w:val="00F7411B"/>
    <w:rsid w:val="00F74425"/>
    <w:rsid w:val="00F744D0"/>
    <w:rsid w:val="00F74886"/>
    <w:rsid w:val="00F7490C"/>
    <w:rsid w:val="00F74952"/>
    <w:rsid w:val="00F751E6"/>
    <w:rsid w:val="00F754A2"/>
    <w:rsid w:val="00F7592E"/>
    <w:rsid w:val="00F7606B"/>
    <w:rsid w:val="00F76095"/>
    <w:rsid w:val="00F7694B"/>
    <w:rsid w:val="00F76D77"/>
    <w:rsid w:val="00F77186"/>
    <w:rsid w:val="00F779D3"/>
    <w:rsid w:val="00F77AEA"/>
    <w:rsid w:val="00F8015A"/>
    <w:rsid w:val="00F8039C"/>
    <w:rsid w:val="00F80E77"/>
    <w:rsid w:val="00F80F75"/>
    <w:rsid w:val="00F814D3"/>
    <w:rsid w:val="00F81B86"/>
    <w:rsid w:val="00F81BF2"/>
    <w:rsid w:val="00F820DD"/>
    <w:rsid w:val="00F829B3"/>
    <w:rsid w:val="00F82F9A"/>
    <w:rsid w:val="00F833A3"/>
    <w:rsid w:val="00F83599"/>
    <w:rsid w:val="00F8360F"/>
    <w:rsid w:val="00F839C9"/>
    <w:rsid w:val="00F839E8"/>
    <w:rsid w:val="00F83C18"/>
    <w:rsid w:val="00F83DAD"/>
    <w:rsid w:val="00F83E35"/>
    <w:rsid w:val="00F84A23"/>
    <w:rsid w:val="00F84AA9"/>
    <w:rsid w:val="00F84BEA"/>
    <w:rsid w:val="00F8500B"/>
    <w:rsid w:val="00F8566B"/>
    <w:rsid w:val="00F85867"/>
    <w:rsid w:val="00F85B1C"/>
    <w:rsid w:val="00F85C84"/>
    <w:rsid w:val="00F85FA5"/>
    <w:rsid w:val="00F863EB"/>
    <w:rsid w:val="00F8659C"/>
    <w:rsid w:val="00F868A7"/>
    <w:rsid w:val="00F869F8"/>
    <w:rsid w:val="00F876D1"/>
    <w:rsid w:val="00F90360"/>
    <w:rsid w:val="00F9065C"/>
    <w:rsid w:val="00F9077E"/>
    <w:rsid w:val="00F90A0F"/>
    <w:rsid w:val="00F90AF8"/>
    <w:rsid w:val="00F90B5A"/>
    <w:rsid w:val="00F90F80"/>
    <w:rsid w:val="00F91077"/>
    <w:rsid w:val="00F91CE9"/>
    <w:rsid w:val="00F92000"/>
    <w:rsid w:val="00F921BE"/>
    <w:rsid w:val="00F923A7"/>
    <w:rsid w:val="00F92598"/>
    <w:rsid w:val="00F925CE"/>
    <w:rsid w:val="00F92AE6"/>
    <w:rsid w:val="00F93DAC"/>
    <w:rsid w:val="00F93DB5"/>
    <w:rsid w:val="00F947EE"/>
    <w:rsid w:val="00F9491B"/>
    <w:rsid w:val="00F94A2D"/>
    <w:rsid w:val="00F95A39"/>
    <w:rsid w:val="00F95D3F"/>
    <w:rsid w:val="00F95E4E"/>
    <w:rsid w:val="00F96A40"/>
    <w:rsid w:val="00F96AC3"/>
    <w:rsid w:val="00F97409"/>
    <w:rsid w:val="00F976D1"/>
    <w:rsid w:val="00F97A55"/>
    <w:rsid w:val="00F97BB6"/>
    <w:rsid w:val="00F97E8A"/>
    <w:rsid w:val="00F97EDF"/>
    <w:rsid w:val="00FA042B"/>
    <w:rsid w:val="00FA1233"/>
    <w:rsid w:val="00FA1587"/>
    <w:rsid w:val="00FA17EB"/>
    <w:rsid w:val="00FA1B88"/>
    <w:rsid w:val="00FA1E1B"/>
    <w:rsid w:val="00FA1E5C"/>
    <w:rsid w:val="00FA1FAC"/>
    <w:rsid w:val="00FA22CD"/>
    <w:rsid w:val="00FA2418"/>
    <w:rsid w:val="00FA25C4"/>
    <w:rsid w:val="00FA2742"/>
    <w:rsid w:val="00FA284E"/>
    <w:rsid w:val="00FA3BDA"/>
    <w:rsid w:val="00FA4319"/>
    <w:rsid w:val="00FA439A"/>
    <w:rsid w:val="00FA4C3E"/>
    <w:rsid w:val="00FA5564"/>
    <w:rsid w:val="00FA5B09"/>
    <w:rsid w:val="00FA5C22"/>
    <w:rsid w:val="00FA5F4E"/>
    <w:rsid w:val="00FA6C2A"/>
    <w:rsid w:val="00FA7A8E"/>
    <w:rsid w:val="00FB0657"/>
    <w:rsid w:val="00FB16B3"/>
    <w:rsid w:val="00FB16C3"/>
    <w:rsid w:val="00FB228A"/>
    <w:rsid w:val="00FB29C1"/>
    <w:rsid w:val="00FB2D69"/>
    <w:rsid w:val="00FB2ED7"/>
    <w:rsid w:val="00FB2F92"/>
    <w:rsid w:val="00FB303E"/>
    <w:rsid w:val="00FB304A"/>
    <w:rsid w:val="00FB3068"/>
    <w:rsid w:val="00FB3290"/>
    <w:rsid w:val="00FB3908"/>
    <w:rsid w:val="00FB3D4B"/>
    <w:rsid w:val="00FB501E"/>
    <w:rsid w:val="00FB5433"/>
    <w:rsid w:val="00FB607C"/>
    <w:rsid w:val="00FB6C29"/>
    <w:rsid w:val="00FB6C7E"/>
    <w:rsid w:val="00FB7BC8"/>
    <w:rsid w:val="00FB7DCB"/>
    <w:rsid w:val="00FB7F5A"/>
    <w:rsid w:val="00FC014B"/>
    <w:rsid w:val="00FC04F2"/>
    <w:rsid w:val="00FC0B11"/>
    <w:rsid w:val="00FC0FD6"/>
    <w:rsid w:val="00FC10BD"/>
    <w:rsid w:val="00FC14EB"/>
    <w:rsid w:val="00FC16E0"/>
    <w:rsid w:val="00FC16F1"/>
    <w:rsid w:val="00FC1A20"/>
    <w:rsid w:val="00FC2126"/>
    <w:rsid w:val="00FC2241"/>
    <w:rsid w:val="00FC2467"/>
    <w:rsid w:val="00FC271F"/>
    <w:rsid w:val="00FC2B06"/>
    <w:rsid w:val="00FC2C89"/>
    <w:rsid w:val="00FC2F17"/>
    <w:rsid w:val="00FC3015"/>
    <w:rsid w:val="00FC3325"/>
    <w:rsid w:val="00FC3636"/>
    <w:rsid w:val="00FC3A47"/>
    <w:rsid w:val="00FC3E24"/>
    <w:rsid w:val="00FC4160"/>
    <w:rsid w:val="00FC4336"/>
    <w:rsid w:val="00FC45E2"/>
    <w:rsid w:val="00FC49E3"/>
    <w:rsid w:val="00FC5723"/>
    <w:rsid w:val="00FC5955"/>
    <w:rsid w:val="00FC6C08"/>
    <w:rsid w:val="00FC6E95"/>
    <w:rsid w:val="00FC7185"/>
    <w:rsid w:val="00FC73B3"/>
    <w:rsid w:val="00FC78D7"/>
    <w:rsid w:val="00FC793E"/>
    <w:rsid w:val="00FC7AC0"/>
    <w:rsid w:val="00FD00BE"/>
    <w:rsid w:val="00FD0243"/>
    <w:rsid w:val="00FD043B"/>
    <w:rsid w:val="00FD05E6"/>
    <w:rsid w:val="00FD125B"/>
    <w:rsid w:val="00FD17E1"/>
    <w:rsid w:val="00FD1B04"/>
    <w:rsid w:val="00FD258B"/>
    <w:rsid w:val="00FD2729"/>
    <w:rsid w:val="00FD2B65"/>
    <w:rsid w:val="00FD3091"/>
    <w:rsid w:val="00FD3356"/>
    <w:rsid w:val="00FD359A"/>
    <w:rsid w:val="00FD3DE4"/>
    <w:rsid w:val="00FD44E3"/>
    <w:rsid w:val="00FD4CCA"/>
    <w:rsid w:val="00FD4F3F"/>
    <w:rsid w:val="00FD4F69"/>
    <w:rsid w:val="00FD553A"/>
    <w:rsid w:val="00FD588E"/>
    <w:rsid w:val="00FD5BB2"/>
    <w:rsid w:val="00FD5C85"/>
    <w:rsid w:val="00FD5CC9"/>
    <w:rsid w:val="00FD6000"/>
    <w:rsid w:val="00FD6277"/>
    <w:rsid w:val="00FD69CD"/>
    <w:rsid w:val="00FD6D33"/>
    <w:rsid w:val="00FD6E1C"/>
    <w:rsid w:val="00FD6F3F"/>
    <w:rsid w:val="00FD74F5"/>
    <w:rsid w:val="00FD76E5"/>
    <w:rsid w:val="00FD7C35"/>
    <w:rsid w:val="00FE02DE"/>
    <w:rsid w:val="00FE0351"/>
    <w:rsid w:val="00FE0EDE"/>
    <w:rsid w:val="00FE131C"/>
    <w:rsid w:val="00FE14BD"/>
    <w:rsid w:val="00FE1884"/>
    <w:rsid w:val="00FE2904"/>
    <w:rsid w:val="00FE2E57"/>
    <w:rsid w:val="00FE2FAA"/>
    <w:rsid w:val="00FE384D"/>
    <w:rsid w:val="00FE3DA8"/>
    <w:rsid w:val="00FE4104"/>
    <w:rsid w:val="00FE44B5"/>
    <w:rsid w:val="00FE4C3F"/>
    <w:rsid w:val="00FE4DE6"/>
    <w:rsid w:val="00FE539B"/>
    <w:rsid w:val="00FE59C6"/>
    <w:rsid w:val="00FE5D09"/>
    <w:rsid w:val="00FE60F8"/>
    <w:rsid w:val="00FE6399"/>
    <w:rsid w:val="00FE63AE"/>
    <w:rsid w:val="00FE6680"/>
    <w:rsid w:val="00FE6860"/>
    <w:rsid w:val="00FE703E"/>
    <w:rsid w:val="00FE75C1"/>
    <w:rsid w:val="00FE76E9"/>
    <w:rsid w:val="00FE7C77"/>
    <w:rsid w:val="00FF0839"/>
    <w:rsid w:val="00FF0A31"/>
    <w:rsid w:val="00FF103D"/>
    <w:rsid w:val="00FF17F1"/>
    <w:rsid w:val="00FF1B21"/>
    <w:rsid w:val="00FF1B22"/>
    <w:rsid w:val="00FF22F9"/>
    <w:rsid w:val="00FF23D3"/>
    <w:rsid w:val="00FF26E8"/>
    <w:rsid w:val="00FF28AC"/>
    <w:rsid w:val="00FF2BB7"/>
    <w:rsid w:val="00FF2CE0"/>
    <w:rsid w:val="00FF2D1F"/>
    <w:rsid w:val="00FF2FA8"/>
    <w:rsid w:val="00FF30BF"/>
    <w:rsid w:val="00FF32FC"/>
    <w:rsid w:val="00FF3D5C"/>
    <w:rsid w:val="00FF3FDE"/>
    <w:rsid w:val="00FF4CF5"/>
    <w:rsid w:val="00FF5278"/>
    <w:rsid w:val="00FF5A5B"/>
    <w:rsid w:val="00FF6132"/>
    <w:rsid w:val="00FF645A"/>
    <w:rsid w:val="00FF6967"/>
    <w:rsid w:val="00FF6A50"/>
    <w:rsid w:val="00FF6ACF"/>
    <w:rsid w:val="00FF6BFF"/>
    <w:rsid w:val="00FF702B"/>
    <w:rsid w:val="00FF7F4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96"/>
    <o:shapelayout v:ext="edit">
      <o:idmap v:ext="edit" data="1"/>
    </o:shapelayout>
  </w:shapeDefaults>
  <w:decimalSymbol w:val="."/>
  <w:listSeparator w:val=","/>
  <w14:docId w14:val="2B041D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annotation text" w:uiPriority="99"/>
    <w:lsdException w:name="header" w:uiPriority="99"/>
    <w:lsdException w:name="footer" w:uiPriority="99"/>
    <w:lsdException w:name="caption" w:uiPriority="99" w:qFormat="1"/>
    <w:lsdException w:name="annotation reference" w:uiPriority="99"/>
    <w:lsdException w:name="List Number" w:semiHidden="0" w:unhideWhenUsed="0"/>
    <w:lsdException w:name="List 4" w:semiHidden="0" w:unhideWhenUsed="0"/>
    <w:lsdException w:name="List 5" w:semiHidden="0" w:unhideWhenUsed="0"/>
    <w:lsdException w:name="Title" w:semiHidden="0" w:uiPriority="10" w:unhideWhenUsed="0" w:qFormat="1"/>
    <w:lsdException w:name="Subtitle" w:semiHidden="0" w:uiPriority="11" w:unhideWhenUsed="0" w:qFormat="1"/>
    <w:lsdException w:name="Salutation" w:semiHidden="0" w:unhideWhenUsed="0"/>
    <w:lsdException w:name="Date" w:semiHidden="0" w:uiPriority="99" w:unhideWhenUsed="0"/>
    <w:lsdException w:name="Body Text First Indent" w:semiHidden="0" w:unhideWhenUsed="0"/>
    <w:lsdException w:name="Hyperlink" w:uiPriority="99"/>
    <w:lsdException w:name="FollowedHyperlink" w:uiPriority="99"/>
    <w:lsdException w:name="Strong" w:semiHidden="0" w:uiPriority="22" w:unhideWhenUsed="0" w:qFormat="1"/>
    <w:lsdException w:name="Emphasis" w:semiHidden="0" w:uiPriority="20" w:unhideWhenUsed="0" w:qFormat="1"/>
    <w:lsdException w:name="Normal (Web)" w:uiPriority="99"/>
    <w:lsdException w:name="Normal Table" w:semiHidden="0" w:unhideWhenUsed="0"/>
    <w:lsdException w:name="No List" w:uiPriority="99"/>
    <w:lsdException w:name="Table Subtle 1" w:semiHidden="0" w:unhideWhenUsed="0"/>
    <w:lsdException w:name="Table Web 2" w:semiHidden="0" w:unhideWhenUsed="0"/>
    <w:lsdException w:name="Table Web 3" w:semiHidden="0" w:unhideWhenUsed="0"/>
    <w:lsdException w:name="Balloon Text" w:uiPriority="99" w:qFormat="1"/>
    <w:lsdException w:name="Table Grid" w:semiHidden="0" w:uiPriority="39" w:unhideWhenUsed="0" w:qFormat="1"/>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15682"/>
    <w:rPr>
      <w:rFonts w:ascii="宋体" w:hAnsi="宋体" w:cs="宋体"/>
      <w:sz w:val="24"/>
      <w:szCs w:val="24"/>
    </w:rPr>
  </w:style>
  <w:style w:type="paragraph" w:styleId="1">
    <w:name w:val="heading 1"/>
    <w:basedOn w:val="a"/>
    <w:next w:val="a"/>
    <w:link w:val="1Char"/>
    <w:uiPriority w:val="9"/>
    <w:qFormat/>
    <w:pPr>
      <w:keepNext/>
      <w:keepLines/>
      <w:adjustRightInd w:val="0"/>
      <w:snapToGrid w:val="0"/>
      <w:spacing w:before="600" w:after="240" w:line="360" w:lineRule="auto"/>
      <w:jc w:val="center"/>
      <w:outlineLvl w:val="0"/>
    </w:pPr>
    <w:rPr>
      <w:b/>
      <w:kern w:val="44"/>
      <w:sz w:val="44"/>
      <w:szCs w:val="20"/>
    </w:rPr>
  </w:style>
  <w:style w:type="paragraph" w:styleId="2">
    <w:name w:val="heading 2"/>
    <w:aliases w:val="Body Text (Reset numbering),标题 2 Char Char,标题 2 Char Char Char Char1 Char,标题 2 Char Char Char Char Char Char,标题 2 Char"/>
    <w:basedOn w:val="a"/>
    <w:next w:val="a"/>
    <w:uiPriority w:val="9"/>
    <w:qFormat/>
    <w:pPr>
      <w:keepNext/>
      <w:keepLines/>
      <w:adjustRightInd w:val="0"/>
      <w:spacing w:before="240" w:after="240" w:line="360" w:lineRule="auto"/>
      <w:outlineLvl w:val="1"/>
    </w:pPr>
    <w:rPr>
      <w:rFonts w:ascii="Arial" w:eastAsia="黑体" w:hAnsi="Arial"/>
      <w:b/>
      <w:sz w:val="32"/>
      <w:szCs w:val="20"/>
    </w:rPr>
  </w:style>
  <w:style w:type="paragraph" w:styleId="3">
    <w:name w:val="heading 3"/>
    <w:basedOn w:val="a"/>
    <w:next w:val="a"/>
    <w:link w:val="3Char"/>
    <w:uiPriority w:val="9"/>
    <w:qFormat/>
    <w:pPr>
      <w:keepNext/>
      <w:keepLines/>
      <w:adjustRightInd w:val="0"/>
      <w:spacing w:before="240" w:after="240" w:line="360" w:lineRule="auto"/>
      <w:outlineLvl w:val="2"/>
    </w:pPr>
    <w:rPr>
      <w:rFonts w:eastAsia="楷体_GB2312"/>
      <w:b/>
      <w:sz w:val="32"/>
      <w:szCs w:val="20"/>
    </w:rPr>
  </w:style>
  <w:style w:type="paragraph" w:styleId="4">
    <w:name w:val="heading 4"/>
    <w:basedOn w:val="a"/>
    <w:next w:val="a"/>
    <w:link w:val="4Char"/>
    <w:uiPriority w:val="9"/>
    <w:qFormat/>
    <w:pPr>
      <w:keepNext/>
      <w:keepLines/>
      <w:numPr>
        <w:ilvl w:val="3"/>
        <w:numId w:val="1"/>
      </w:numPr>
      <w:adjustRightInd w:val="0"/>
      <w:spacing w:before="280" w:after="290" w:line="376" w:lineRule="auto"/>
      <w:ind w:firstLineChars="200" w:firstLine="200"/>
      <w:outlineLvl w:val="3"/>
    </w:pPr>
    <w:rPr>
      <w:rFonts w:ascii="Arial" w:eastAsia="黑体" w:hAnsi="Arial"/>
      <w:b/>
      <w:sz w:val="28"/>
      <w:szCs w:val="20"/>
    </w:rPr>
  </w:style>
  <w:style w:type="paragraph" w:styleId="5">
    <w:name w:val="heading 5"/>
    <w:basedOn w:val="a"/>
    <w:next w:val="a"/>
    <w:link w:val="5Char"/>
    <w:uiPriority w:val="9"/>
    <w:qFormat/>
    <w:pPr>
      <w:keepNext/>
      <w:keepLines/>
      <w:numPr>
        <w:ilvl w:val="4"/>
        <w:numId w:val="1"/>
      </w:numPr>
      <w:adjustRightInd w:val="0"/>
      <w:spacing w:before="280" w:after="290" w:line="376" w:lineRule="auto"/>
      <w:ind w:firstLineChars="200" w:firstLine="200"/>
      <w:outlineLvl w:val="4"/>
    </w:pPr>
    <w:rPr>
      <w:b/>
      <w:sz w:val="28"/>
      <w:szCs w:val="20"/>
    </w:rPr>
  </w:style>
  <w:style w:type="paragraph" w:styleId="6">
    <w:name w:val="heading 6"/>
    <w:basedOn w:val="a"/>
    <w:next w:val="a"/>
    <w:link w:val="6Char"/>
    <w:uiPriority w:val="9"/>
    <w:qFormat/>
    <w:pPr>
      <w:keepNext/>
      <w:keepLines/>
      <w:numPr>
        <w:ilvl w:val="5"/>
        <w:numId w:val="1"/>
      </w:numPr>
      <w:adjustRightInd w:val="0"/>
      <w:spacing w:before="240" w:after="64" w:line="320" w:lineRule="auto"/>
      <w:ind w:firstLineChars="200" w:firstLine="200"/>
      <w:outlineLvl w:val="5"/>
    </w:pPr>
    <w:rPr>
      <w:rFonts w:ascii="Arial" w:eastAsia="黑体" w:hAnsi="Arial"/>
      <w:b/>
      <w:szCs w:val="20"/>
    </w:rPr>
  </w:style>
  <w:style w:type="paragraph" w:styleId="7">
    <w:name w:val="heading 7"/>
    <w:basedOn w:val="a"/>
    <w:next w:val="a"/>
    <w:link w:val="7Char"/>
    <w:uiPriority w:val="9"/>
    <w:qFormat/>
    <w:pPr>
      <w:keepNext/>
      <w:keepLines/>
      <w:numPr>
        <w:ilvl w:val="6"/>
        <w:numId w:val="1"/>
      </w:numPr>
      <w:adjustRightInd w:val="0"/>
      <w:spacing w:before="240" w:after="64" w:line="320" w:lineRule="auto"/>
      <w:ind w:firstLineChars="200" w:firstLine="200"/>
      <w:outlineLvl w:val="6"/>
    </w:pPr>
    <w:rPr>
      <w:b/>
      <w:szCs w:val="20"/>
    </w:rPr>
  </w:style>
  <w:style w:type="paragraph" w:styleId="8">
    <w:name w:val="heading 8"/>
    <w:basedOn w:val="a"/>
    <w:next w:val="a"/>
    <w:link w:val="8Char"/>
    <w:uiPriority w:val="9"/>
    <w:qFormat/>
    <w:pPr>
      <w:keepNext/>
      <w:keepLines/>
      <w:numPr>
        <w:ilvl w:val="7"/>
        <w:numId w:val="1"/>
      </w:numPr>
      <w:adjustRightInd w:val="0"/>
      <w:spacing w:before="240" w:after="64" w:line="320" w:lineRule="auto"/>
      <w:ind w:firstLineChars="200" w:firstLine="200"/>
      <w:outlineLvl w:val="7"/>
    </w:pPr>
    <w:rPr>
      <w:rFonts w:ascii="Arial" w:eastAsia="黑体" w:hAnsi="Arial"/>
      <w:szCs w:val="20"/>
    </w:rPr>
  </w:style>
  <w:style w:type="paragraph" w:styleId="9">
    <w:name w:val="heading 9"/>
    <w:basedOn w:val="a"/>
    <w:next w:val="a"/>
    <w:link w:val="9Char"/>
    <w:uiPriority w:val="9"/>
    <w:qFormat/>
    <w:pPr>
      <w:keepNext/>
      <w:keepLines/>
      <w:numPr>
        <w:ilvl w:val="8"/>
        <w:numId w:val="1"/>
      </w:numPr>
      <w:adjustRightInd w:val="0"/>
      <w:spacing w:before="240" w:after="64" w:line="320" w:lineRule="auto"/>
      <w:ind w:firstLineChars="200" w:firstLine="200"/>
      <w:outlineLvl w:val="8"/>
    </w:pPr>
    <w:rPr>
      <w:rFonts w:ascii="Arial" w:eastAsia="黑体" w:hAnsi="Arial"/>
      <w:sz w:val="2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link w:val="1"/>
    <w:uiPriority w:val="9"/>
    <w:rsid w:val="008D5110"/>
    <w:rPr>
      <w:rFonts w:eastAsia="宋体"/>
      <w:b/>
      <w:kern w:val="44"/>
      <w:sz w:val="44"/>
      <w:lang w:val="en-US" w:eastAsia="zh-CN" w:bidi="ar-SA"/>
    </w:rPr>
  </w:style>
  <w:style w:type="character" w:customStyle="1" w:styleId="3Char">
    <w:name w:val="标题 3 Char"/>
    <w:link w:val="3"/>
    <w:uiPriority w:val="9"/>
    <w:rsid w:val="00FE4DE6"/>
    <w:rPr>
      <w:rFonts w:eastAsia="楷体_GB2312"/>
      <w:b/>
      <w:kern w:val="2"/>
      <w:sz w:val="32"/>
    </w:rPr>
  </w:style>
  <w:style w:type="character" w:customStyle="1" w:styleId="4Char">
    <w:name w:val="标题 4 Char"/>
    <w:link w:val="4"/>
    <w:uiPriority w:val="9"/>
    <w:rsid w:val="00FE4DE6"/>
    <w:rPr>
      <w:rFonts w:ascii="Arial" w:eastAsia="黑体" w:hAnsi="Arial"/>
      <w:b/>
      <w:kern w:val="2"/>
      <w:sz w:val="28"/>
    </w:rPr>
  </w:style>
  <w:style w:type="character" w:customStyle="1" w:styleId="5Char">
    <w:name w:val="标题 5 Char"/>
    <w:link w:val="5"/>
    <w:uiPriority w:val="9"/>
    <w:rsid w:val="00FE4DE6"/>
    <w:rPr>
      <w:b/>
      <w:kern w:val="2"/>
      <w:sz w:val="28"/>
    </w:rPr>
  </w:style>
  <w:style w:type="character" w:customStyle="1" w:styleId="6Char">
    <w:name w:val="标题 6 Char"/>
    <w:link w:val="6"/>
    <w:uiPriority w:val="9"/>
    <w:rsid w:val="00FE4DE6"/>
    <w:rPr>
      <w:rFonts w:ascii="Arial" w:eastAsia="黑体" w:hAnsi="Arial"/>
      <w:b/>
      <w:kern w:val="2"/>
      <w:sz w:val="24"/>
    </w:rPr>
  </w:style>
  <w:style w:type="character" w:customStyle="1" w:styleId="7Char">
    <w:name w:val="标题 7 Char"/>
    <w:link w:val="7"/>
    <w:uiPriority w:val="9"/>
    <w:rsid w:val="00FE4DE6"/>
    <w:rPr>
      <w:b/>
      <w:kern w:val="2"/>
      <w:sz w:val="24"/>
    </w:rPr>
  </w:style>
  <w:style w:type="character" w:customStyle="1" w:styleId="8Char">
    <w:name w:val="标题 8 Char"/>
    <w:link w:val="8"/>
    <w:uiPriority w:val="9"/>
    <w:rsid w:val="00FE4DE6"/>
    <w:rPr>
      <w:rFonts w:ascii="Arial" w:eastAsia="黑体" w:hAnsi="Arial"/>
      <w:kern w:val="2"/>
      <w:sz w:val="24"/>
    </w:rPr>
  </w:style>
  <w:style w:type="character" w:customStyle="1" w:styleId="9Char">
    <w:name w:val="标题 9 Char"/>
    <w:link w:val="9"/>
    <w:uiPriority w:val="9"/>
    <w:rsid w:val="00FE4DE6"/>
    <w:rPr>
      <w:rFonts w:ascii="Arial" w:eastAsia="黑体" w:hAnsi="Arial"/>
      <w:kern w:val="2"/>
      <w:sz w:val="28"/>
    </w:rPr>
  </w:style>
  <w:style w:type="paragraph" w:styleId="a3">
    <w:name w:val="footer"/>
    <w:basedOn w:val="a"/>
    <w:link w:val="Char"/>
    <w:uiPriority w:val="99"/>
    <w:pPr>
      <w:pBdr>
        <w:bottom w:val="double" w:sz="4" w:space="1" w:color="auto"/>
      </w:pBdr>
      <w:tabs>
        <w:tab w:val="center" w:pos="4153"/>
        <w:tab w:val="right" w:pos="8306"/>
      </w:tabs>
      <w:snapToGrid w:val="0"/>
    </w:pPr>
    <w:rPr>
      <w:sz w:val="18"/>
      <w:szCs w:val="18"/>
    </w:rPr>
  </w:style>
  <w:style w:type="character" w:customStyle="1" w:styleId="Char">
    <w:name w:val="页脚 Char"/>
    <w:link w:val="a3"/>
    <w:uiPriority w:val="99"/>
    <w:rsid w:val="00FE4DE6"/>
    <w:rPr>
      <w:kern w:val="2"/>
      <w:sz w:val="18"/>
      <w:szCs w:val="18"/>
    </w:rPr>
  </w:style>
  <w:style w:type="character" w:styleId="a4">
    <w:name w:val="page number"/>
    <w:rPr>
      <w:bdr w:val="none" w:sz="0" w:space="0" w:color="auto"/>
    </w:rPr>
  </w:style>
  <w:style w:type="paragraph" w:styleId="a5">
    <w:name w:val="header"/>
    <w:basedOn w:val="a"/>
    <w:link w:val="Char0"/>
    <w:uiPriority w:val="99"/>
    <w:pPr>
      <w:pBdr>
        <w:bottom w:val="single" w:sz="12" w:space="1" w:color="auto"/>
      </w:pBdr>
      <w:tabs>
        <w:tab w:val="center" w:pos="4153"/>
        <w:tab w:val="right" w:pos="8306"/>
      </w:tabs>
      <w:snapToGrid w:val="0"/>
      <w:jc w:val="center"/>
    </w:pPr>
    <w:rPr>
      <w:sz w:val="18"/>
      <w:szCs w:val="18"/>
    </w:rPr>
  </w:style>
  <w:style w:type="character" w:customStyle="1" w:styleId="Char0">
    <w:name w:val="页眉 Char"/>
    <w:link w:val="a5"/>
    <w:uiPriority w:val="99"/>
    <w:rsid w:val="00FE4DE6"/>
    <w:rPr>
      <w:kern w:val="2"/>
      <w:sz w:val="18"/>
      <w:szCs w:val="18"/>
    </w:rPr>
  </w:style>
  <w:style w:type="paragraph" w:styleId="10">
    <w:name w:val="toc 1"/>
    <w:basedOn w:val="a"/>
    <w:next w:val="a"/>
    <w:autoRedefine/>
    <w:uiPriority w:val="39"/>
    <w:rsid w:val="009B0B0F"/>
    <w:pPr>
      <w:tabs>
        <w:tab w:val="right" w:leader="dot" w:pos="8302"/>
      </w:tabs>
      <w:spacing w:before="120" w:after="240"/>
      <w:jc w:val="center"/>
    </w:pPr>
    <w:rPr>
      <w:rFonts w:ascii="Arial" w:hAnsi="Arial" w:cs="Arial"/>
      <w:b/>
      <w:bCs/>
      <w:caps/>
      <w:noProof/>
      <w:szCs w:val="21"/>
    </w:rPr>
  </w:style>
  <w:style w:type="paragraph" w:styleId="20">
    <w:name w:val="toc 2"/>
    <w:basedOn w:val="a"/>
    <w:next w:val="a"/>
    <w:autoRedefine/>
    <w:uiPriority w:val="39"/>
    <w:rsid w:val="000F128D"/>
    <w:pPr>
      <w:tabs>
        <w:tab w:val="right" w:leader="dot" w:pos="8302"/>
      </w:tabs>
      <w:ind w:left="210"/>
    </w:pPr>
    <w:rPr>
      <w:rFonts w:ascii="仿宋_GB2312" w:eastAsia="仿宋_GB2312"/>
      <w:smallCaps/>
      <w:noProof/>
      <w:szCs w:val="32"/>
    </w:rPr>
  </w:style>
  <w:style w:type="paragraph" w:styleId="30">
    <w:name w:val="toc 3"/>
    <w:basedOn w:val="a"/>
    <w:next w:val="a"/>
    <w:autoRedefine/>
    <w:semiHidden/>
    <w:pPr>
      <w:ind w:left="420"/>
    </w:pPr>
    <w:rPr>
      <w:i/>
      <w:iCs/>
    </w:rPr>
  </w:style>
  <w:style w:type="character" w:customStyle="1" w:styleId="a6">
    <w:name w:val="已访问的超链接"/>
    <w:rPr>
      <w:color w:val="800080"/>
      <w:u w:val="single"/>
    </w:rPr>
  </w:style>
  <w:style w:type="character" w:styleId="a7">
    <w:name w:val="Hyperlink"/>
    <w:uiPriority w:val="99"/>
    <w:rPr>
      <w:color w:val="0000FF"/>
      <w:u w:val="single"/>
    </w:rPr>
  </w:style>
  <w:style w:type="paragraph" w:customStyle="1" w:styleId="11">
    <w:name w:val="纯文本1"/>
    <w:basedOn w:val="a"/>
    <w:pPr>
      <w:autoSpaceDE w:val="0"/>
      <w:autoSpaceDN w:val="0"/>
      <w:adjustRightInd w:val="0"/>
    </w:pPr>
    <w:rPr>
      <w:szCs w:val="20"/>
    </w:rPr>
  </w:style>
  <w:style w:type="paragraph" w:styleId="a8">
    <w:name w:val="Body Text"/>
    <w:basedOn w:val="a"/>
    <w:pPr>
      <w:adjustRightInd w:val="0"/>
      <w:spacing w:line="360" w:lineRule="auto"/>
    </w:pPr>
    <w:rPr>
      <w:color w:val="FF0000"/>
      <w:sz w:val="28"/>
      <w:szCs w:val="20"/>
    </w:rPr>
  </w:style>
  <w:style w:type="paragraph" w:styleId="a9">
    <w:name w:val="Body Text Indent"/>
    <w:basedOn w:val="a"/>
    <w:pPr>
      <w:ind w:firstLineChars="200" w:firstLine="560"/>
    </w:pPr>
    <w:rPr>
      <w:sz w:val="28"/>
    </w:rPr>
  </w:style>
  <w:style w:type="paragraph" w:styleId="31">
    <w:name w:val="Body Text Indent 3"/>
    <w:basedOn w:val="a"/>
    <w:pPr>
      <w:adjustRightInd w:val="0"/>
      <w:snapToGrid w:val="0"/>
      <w:spacing w:line="360" w:lineRule="auto"/>
      <w:ind w:firstLine="570"/>
    </w:pPr>
    <w:rPr>
      <w:sz w:val="28"/>
    </w:rPr>
  </w:style>
  <w:style w:type="character" w:customStyle="1" w:styleId="p11">
    <w:name w:val="p11"/>
    <w:rPr>
      <w:rFonts w:ascii="宋体" w:eastAsia="宋体" w:hAnsi="宋体" w:hint="eastAsia"/>
      <w:sz w:val="18"/>
      <w:szCs w:val="18"/>
    </w:rPr>
  </w:style>
  <w:style w:type="paragraph" w:styleId="21">
    <w:name w:val="Body Text Indent 2"/>
    <w:basedOn w:val="a"/>
    <w:pPr>
      <w:adjustRightInd w:val="0"/>
      <w:snapToGrid w:val="0"/>
      <w:spacing w:line="360" w:lineRule="auto"/>
      <w:ind w:firstLine="570"/>
    </w:pPr>
    <w:rPr>
      <w:color w:val="000000"/>
      <w:spacing w:val="15"/>
      <w:sz w:val="28"/>
    </w:rPr>
  </w:style>
  <w:style w:type="paragraph" w:styleId="aa">
    <w:name w:val="Normal Indent"/>
    <w:basedOn w:val="a"/>
    <w:pPr>
      <w:ind w:firstLineChars="200" w:firstLine="560"/>
    </w:pPr>
    <w:rPr>
      <w:rFonts w:eastAsia="GungsuhChe"/>
      <w:color w:val="FF0000"/>
      <w:sz w:val="28"/>
    </w:rPr>
  </w:style>
  <w:style w:type="paragraph" w:styleId="ab">
    <w:name w:val="Normal (Web)"/>
    <w:basedOn w:val="a"/>
    <w:uiPriority w:val="99"/>
    <w:pPr>
      <w:spacing w:before="100" w:beforeAutospacing="1" w:after="100" w:afterAutospacing="1"/>
    </w:pPr>
  </w:style>
  <w:style w:type="paragraph" w:styleId="ac">
    <w:name w:val="Document Map"/>
    <w:basedOn w:val="a"/>
    <w:semiHidden/>
    <w:pPr>
      <w:shd w:val="clear" w:color="auto" w:fill="000080"/>
    </w:pPr>
  </w:style>
  <w:style w:type="paragraph" w:styleId="ad">
    <w:name w:val="Balloon Text"/>
    <w:basedOn w:val="a"/>
    <w:link w:val="Char1"/>
    <w:uiPriority w:val="99"/>
    <w:qFormat/>
    <w:rPr>
      <w:sz w:val="18"/>
      <w:szCs w:val="18"/>
    </w:rPr>
  </w:style>
  <w:style w:type="character" w:customStyle="1" w:styleId="Char1">
    <w:name w:val="批注框文本 Char"/>
    <w:link w:val="ad"/>
    <w:uiPriority w:val="99"/>
    <w:qFormat/>
    <w:rsid w:val="00FE4DE6"/>
    <w:rPr>
      <w:kern w:val="2"/>
      <w:sz w:val="18"/>
      <w:szCs w:val="18"/>
    </w:rPr>
  </w:style>
  <w:style w:type="paragraph" w:styleId="70">
    <w:name w:val="toc 7"/>
    <w:basedOn w:val="a"/>
    <w:next w:val="a"/>
    <w:autoRedefine/>
    <w:semiHidden/>
    <w:pPr>
      <w:adjustRightInd w:val="0"/>
      <w:spacing w:line="360" w:lineRule="auto"/>
      <w:ind w:firstLineChars="200" w:firstLine="200"/>
    </w:pPr>
    <w:rPr>
      <w:sz w:val="28"/>
      <w:szCs w:val="26"/>
    </w:rPr>
  </w:style>
  <w:style w:type="character" w:styleId="ae">
    <w:name w:val="Strong"/>
    <w:uiPriority w:val="22"/>
    <w:qFormat/>
    <w:rPr>
      <w:b/>
      <w:bCs/>
    </w:rPr>
  </w:style>
  <w:style w:type="character" w:customStyle="1" w:styleId="yqlink">
    <w:name w:val="yqlink"/>
    <w:basedOn w:val="a0"/>
  </w:style>
  <w:style w:type="paragraph" w:styleId="z-">
    <w:name w:val="HTML Top of Form"/>
    <w:basedOn w:val="a"/>
    <w:next w:val="a"/>
    <w:hidden/>
    <w:pPr>
      <w:pBdr>
        <w:bottom w:val="single" w:sz="6" w:space="1" w:color="auto"/>
      </w:pBdr>
      <w:jc w:val="center"/>
    </w:pPr>
    <w:rPr>
      <w:rFonts w:ascii="Arial" w:hAnsi="Arial" w:cs="Arial"/>
      <w:vanish/>
      <w:sz w:val="16"/>
      <w:szCs w:val="16"/>
    </w:rPr>
  </w:style>
  <w:style w:type="paragraph" w:styleId="z-0">
    <w:name w:val="HTML Bottom of Form"/>
    <w:basedOn w:val="a"/>
    <w:next w:val="a"/>
    <w:hidden/>
    <w:pPr>
      <w:pBdr>
        <w:top w:val="single" w:sz="6" w:space="1" w:color="auto"/>
      </w:pBdr>
      <w:jc w:val="center"/>
    </w:pPr>
    <w:rPr>
      <w:rFonts w:ascii="Arial" w:hAnsi="Arial" w:cs="Arial"/>
      <w:vanish/>
      <w:sz w:val="16"/>
      <w:szCs w:val="16"/>
    </w:rPr>
  </w:style>
  <w:style w:type="character" w:customStyle="1" w:styleId="font1">
    <w:name w:val="font1"/>
    <w:rPr>
      <w:sz w:val="18"/>
      <w:szCs w:val="18"/>
    </w:rPr>
  </w:style>
  <w:style w:type="character" w:customStyle="1" w:styleId="style21">
    <w:name w:val="style21"/>
    <w:rPr>
      <w:rFonts w:ascii="方正剪纸简体" w:eastAsia="方正剪纸简体" w:hint="eastAsia"/>
      <w:sz w:val="36"/>
      <w:szCs w:val="36"/>
    </w:rPr>
  </w:style>
  <w:style w:type="character" w:customStyle="1" w:styleId="demo05">
    <w:name w:val="demo05"/>
    <w:rPr>
      <w:rFonts w:hint="default"/>
      <w:color w:val="000000"/>
      <w:sz w:val="20"/>
      <w:szCs w:val="20"/>
    </w:rPr>
  </w:style>
  <w:style w:type="character" w:customStyle="1" w:styleId="unnamed21">
    <w:name w:val="unnamed21"/>
    <w:rPr>
      <w:color w:val="003366"/>
      <w:sz w:val="28"/>
      <w:szCs w:val="28"/>
    </w:rPr>
  </w:style>
  <w:style w:type="paragraph" w:styleId="22">
    <w:name w:val="Body Text 2"/>
    <w:basedOn w:val="a"/>
    <w:pPr>
      <w:autoSpaceDE w:val="0"/>
      <w:autoSpaceDN w:val="0"/>
      <w:adjustRightInd w:val="0"/>
      <w:spacing w:line="440" w:lineRule="exact"/>
      <w:textAlignment w:val="baseline"/>
    </w:pPr>
    <w:rPr>
      <w:rFonts w:ascii="仿宋_GB2312" w:eastAsia="仿宋_GB2312" w:hAnsi="Arial"/>
      <w:sz w:val="28"/>
      <w:szCs w:val="20"/>
    </w:rPr>
  </w:style>
  <w:style w:type="character" w:customStyle="1" w:styleId="text1">
    <w:name w:val="text1"/>
    <w:rPr>
      <w:spacing w:val="10"/>
      <w:sz w:val="28"/>
      <w:szCs w:val="28"/>
    </w:rPr>
  </w:style>
  <w:style w:type="paragraph" w:customStyle="1" w:styleId="font5">
    <w:name w:val="font5"/>
    <w:basedOn w:val="a"/>
    <w:pPr>
      <w:spacing w:before="100" w:beforeAutospacing="1" w:after="100" w:afterAutospacing="1"/>
    </w:pPr>
    <w:rPr>
      <w:rFonts w:cs="Arial Unicode MS" w:hint="eastAsia"/>
      <w:sz w:val="18"/>
      <w:szCs w:val="18"/>
    </w:rPr>
  </w:style>
  <w:style w:type="paragraph" w:customStyle="1" w:styleId="font6">
    <w:name w:val="font6"/>
    <w:basedOn w:val="a"/>
    <w:pPr>
      <w:spacing w:before="100" w:beforeAutospacing="1" w:after="100" w:afterAutospacing="1"/>
    </w:pPr>
    <w:rPr>
      <w:rFonts w:cs="Arial Unicode MS" w:hint="eastAsia"/>
    </w:rPr>
  </w:style>
  <w:style w:type="paragraph" w:customStyle="1" w:styleId="xl26">
    <w:name w:val="xl26"/>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Unicode MS" w:eastAsia="Arial Unicode MS" w:hAnsi="Arial Unicode MS" w:cs="Arial Unicode MS"/>
      <w:b/>
      <w:bCs/>
    </w:rPr>
  </w:style>
  <w:style w:type="paragraph" w:customStyle="1" w:styleId="xl27">
    <w:name w:val="xl27"/>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rPr>
  </w:style>
  <w:style w:type="paragraph" w:customStyle="1" w:styleId="xl28">
    <w:name w:val="xl28"/>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ascii="Arial Unicode MS" w:eastAsia="Arial Unicode MS" w:hAnsi="Arial Unicode MS" w:cs="Arial Unicode MS"/>
    </w:rPr>
  </w:style>
  <w:style w:type="paragraph" w:customStyle="1" w:styleId="xl29">
    <w:name w:val="xl29"/>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Unicode MS" w:eastAsia="Arial Unicode MS" w:hAnsi="Arial Unicode MS" w:cs="Arial Unicode MS"/>
      <w:b/>
      <w:bCs/>
      <w:color w:val="000000"/>
    </w:rPr>
  </w:style>
  <w:style w:type="paragraph" w:customStyle="1" w:styleId="xl30">
    <w:name w:val="xl30"/>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rPr>
  </w:style>
  <w:style w:type="paragraph" w:customStyle="1" w:styleId="xl31">
    <w:name w:val="xl31"/>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b/>
      <w:bCs/>
      <w:color w:val="000000"/>
    </w:rPr>
  </w:style>
  <w:style w:type="paragraph" w:customStyle="1" w:styleId="xl32">
    <w:name w:val="xl32"/>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b/>
      <w:bCs/>
      <w:color w:val="000000"/>
    </w:rPr>
  </w:style>
  <w:style w:type="paragraph" w:customStyle="1" w:styleId="xl33">
    <w:name w:val="xl33"/>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b/>
      <w:bCs/>
    </w:rPr>
  </w:style>
  <w:style w:type="paragraph" w:customStyle="1" w:styleId="xl34">
    <w:name w:val="xl34"/>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b/>
      <w:bCs/>
    </w:rPr>
  </w:style>
  <w:style w:type="paragraph" w:customStyle="1" w:styleId="xl35">
    <w:name w:val="xl35"/>
    <w:basedOn w:val="a"/>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Unicode MS" w:eastAsia="Arial Unicode MS" w:hAnsi="Arial Unicode MS" w:cs="Arial Unicode MS"/>
    </w:rPr>
  </w:style>
  <w:style w:type="paragraph" w:customStyle="1" w:styleId="xl36">
    <w:name w:val="xl36"/>
    <w:basedOn w:val="a"/>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Unicode MS" w:eastAsia="Arial Unicode MS" w:hAnsi="Arial Unicode MS" w:cs="Arial Unicode MS"/>
      <w:color w:val="000000"/>
    </w:rPr>
  </w:style>
  <w:style w:type="paragraph" w:customStyle="1" w:styleId="font7">
    <w:name w:val="font7"/>
    <w:basedOn w:val="a"/>
    <w:pPr>
      <w:spacing w:before="100" w:beforeAutospacing="1" w:after="100" w:afterAutospacing="1"/>
    </w:pPr>
    <w:rPr>
      <w:rFonts w:cs="Arial Unicode MS" w:hint="eastAsia"/>
      <w:sz w:val="20"/>
      <w:szCs w:val="20"/>
    </w:rPr>
  </w:style>
  <w:style w:type="paragraph" w:customStyle="1" w:styleId="xl37">
    <w:name w:val="xl37"/>
    <w:basedOn w:val="a"/>
    <w:pPr>
      <w:pBdr>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sz w:val="20"/>
      <w:szCs w:val="20"/>
    </w:rPr>
  </w:style>
  <w:style w:type="paragraph" w:customStyle="1" w:styleId="xl38">
    <w:name w:val="xl38"/>
    <w:basedOn w:val="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sz w:val="20"/>
      <w:szCs w:val="20"/>
    </w:rPr>
  </w:style>
  <w:style w:type="paragraph" w:customStyle="1" w:styleId="xl39">
    <w:name w:val="xl39"/>
    <w:basedOn w:val="a"/>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pPr>
    <w:rPr>
      <w:rFonts w:ascii="Arial Unicode MS" w:eastAsia="Arial Unicode MS" w:hAnsi="Arial Unicode MS" w:cs="Arial Unicode MS"/>
      <w:b/>
      <w:bCs/>
      <w:sz w:val="20"/>
      <w:szCs w:val="20"/>
    </w:rPr>
  </w:style>
  <w:style w:type="paragraph" w:customStyle="1" w:styleId="xl40">
    <w:name w:val="xl40"/>
    <w:basedOn w:val="a"/>
    <w:pPr>
      <w:pBdr>
        <w:top w:val="single" w:sz="4" w:space="0" w:color="auto"/>
        <w:left w:val="single" w:sz="4" w:space="0" w:color="auto"/>
        <w:bottom w:val="single" w:sz="4" w:space="0" w:color="auto"/>
      </w:pBdr>
      <w:spacing w:before="100" w:beforeAutospacing="1" w:after="100" w:afterAutospacing="1"/>
      <w:jc w:val="center"/>
    </w:pPr>
    <w:rPr>
      <w:rFonts w:eastAsia="Arial Unicode MS"/>
    </w:rPr>
  </w:style>
  <w:style w:type="paragraph" w:customStyle="1" w:styleId="xl41">
    <w:name w:val="xl41"/>
    <w:basedOn w:val="a"/>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styleId="HTML">
    <w:name w:val="HTML Preformatted"/>
    <w:basedOn w:val="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黑体" w:eastAsia="黑体" w:hAnsi="Courier New" w:cs="Courier New"/>
      <w:sz w:val="20"/>
      <w:szCs w:val="20"/>
    </w:rPr>
  </w:style>
  <w:style w:type="character" w:customStyle="1" w:styleId="style11">
    <w:name w:val="style11"/>
    <w:rPr>
      <w:sz w:val="28"/>
      <w:szCs w:val="28"/>
    </w:rPr>
  </w:style>
  <w:style w:type="character" w:customStyle="1" w:styleId="line121">
    <w:name w:val="line121"/>
  </w:style>
  <w:style w:type="paragraph" w:customStyle="1" w:styleId="aa0">
    <w:name w:val="aa"/>
    <w:basedOn w:val="a"/>
    <w:pPr>
      <w:spacing w:before="100" w:beforeAutospacing="1" w:after="100" w:afterAutospacing="1" w:line="360" w:lineRule="auto"/>
    </w:pPr>
    <w:rPr>
      <w:rFonts w:ascii="Arial Unicode MS" w:eastAsia="Arial Unicode MS" w:hAnsi="Arial Unicode MS" w:cs="Arial Unicode MS"/>
      <w:sz w:val="18"/>
      <w:szCs w:val="18"/>
    </w:rPr>
  </w:style>
  <w:style w:type="character" w:customStyle="1" w:styleId="css1">
    <w:name w:val="css1"/>
    <w:rPr>
      <w:rFonts w:ascii="新宋体" w:eastAsia="新宋体" w:hAnsi="新宋体" w:hint="eastAsia"/>
      <w:b w:val="0"/>
      <w:bCs w:val="0"/>
      <w:i w:val="0"/>
      <w:iCs w:val="0"/>
      <w:smallCaps w:val="0"/>
      <w:strike w:val="0"/>
      <w:dstrike w:val="0"/>
      <w:color w:val="FAE4BF"/>
      <w:sz w:val="18"/>
      <w:szCs w:val="18"/>
      <w:u w:val="none"/>
      <w:effect w:val="none"/>
    </w:rPr>
  </w:style>
  <w:style w:type="paragraph" w:customStyle="1" w:styleId="f5">
    <w:name w:val="f5"/>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f7">
    <w:name w:val="f7"/>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unnamed1">
    <w:name w:val="unnamed1"/>
    <w:basedOn w:val="a"/>
    <w:pPr>
      <w:spacing w:before="100" w:beforeAutospacing="1" w:after="100" w:afterAutospacing="1"/>
    </w:pPr>
    <w:rPr>
      <w:rFonts w:ascii="Arial Unicode MS" w:eastAsia="Arial Unicode MS" w:hAnsi="Arial Unicode MS" w:cs="Arial Unicode MS"/>
    </w:rPr>
  </w:style>
  <w:style w:type="paragraph" w:customStyle="1" w:styleId="d1">
    <w:name w:val="d1"/>
    <w:basedOn w:val="a"/>
    <w:pPr>
      <w:spacing w:before="100" w:beforeAutospacing="1" w:after="100" w:afterAutospacing="1"/>
    </w:pPr>
    <w:rPr>
      <w:rFonts w:ascii="Arial Unicode MS" w:eastAsia="Arial Unicode MS" w:hAnsi="Arial Unicode MS" w:cs="Arial Unicode MS"/>
    </w:rPr>
  </w:style>
  <w:style w:type="paragraph" w:customStyle="1" w:styleId="p1">
    <w:name w:val="p1"/>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vip">
    <w:name w:val="vip"/>
    <w:basedOn w:val="a"/>
    <w:pPr>
      <w:spacing w:before="100" w:beforeAutospacing="1" w:after="100" w:afterAutospacing="1"/>
    </w:pPr>
    <w:rPr>
      <w:rFonts w:ascii="Arial Unicode MS" w:eastAsia="Arial Unicode MS" w:hAnsi="Arial Unicode MS" w:cs="Arial Unicode MS"/>
      <w:color w:val="FFFFFF"/>
      <w:sz w:val="18"/>
      <w:szCs w:val="18"/>
    </w:rPr>
  </w:style>
  <w:style w:type="paragraph" w:customStyle="1" w:styleId="p2">
    <w:name w:val="p2"/>
    <w:basedOn w:val="a"/>
    <w:pPr>
      <w:spacing w:before="100" w:beforeAutospacing="1" w:after="100" w:afterAutospacing="1" w:line="360" w:lineRule="auto"/>
    </w:pPr>
    <w:rPr>
      <w:rFonts w:ascii="Arial Unicode MS" w:eastAsia="Arial Unicode MS" w:hAnsi="Arial Unicode MS" w:cs="Arial Unicode MS"/>
      <w:color w:val="B6BDC0"/>
      <w:sz w:val="18"/>
      <w:szCs w:val="18"/>
    </w:rPr>
  </w:style>
  <w:style w:type="paragraph" w:customStyle="1" w:styleId="p3">
    <w:name w:val="p3"/>
    <w:basedOn w:val="a"/>
    <w:pPr>
      <w:spacing w:before="100" w:beforeAutospacing="1" w:after="100" w:afterAutospacing="1"/>
    </w:pPr>
    <w:rPr>
      <w:rFonts w:ascii="Arial Unicode MS" w:eastAsia="Arial Unicode MS" w:hAnsi="Arial Unicode MS" w:cs="Arial Unicode MS"/>
    </w:rPr>
  </w:style>
  <w:style w:type="paragraph" w:customStyle="1" w:styleId="p4">
    <w:name w:val="p4"/>
    <w:basedOn w:val="a"/>
    <w:pPr>
      <w:spacing w:before="100" w:beforeAutospacing="1" w:after="100" w:afterAutospacing="1" w:line="312" w:lineRule="auto"/>
    </w:pPr>
    <w:rPr>
      <w:rFonts w:ascii="Arial Unicode MS" w:eastAsia="Arial Unicode MS" w:hAnsi="Arial Unicode MS" w:cs="Arial Unicode MS"/>
    </w:rPr>
  </w:style>
  <w:style w:type="paragraph" w:customStyle="1" w:styleId="p5">
    <w:name w:val="p5"/>
    <w:basedOn w:val="a"/>
    <w:pPr>
      <w:spacing w:before="100" w:beforeAutospacing="1" w:after="100" w:afterAutospacing="1"/>
    </w:pPr>
    <w:rPr>
      <w:rFonts w:ascii="Arial" w:eastAsia="Arial Unicode MS" w:hAnsi="Arial" w:cs="Arial"/>
      <w:sz w:val="15"/>
      <w:szCs w:val="15"/>
    </w:rPr>
  </w:style>
  <w:style w:type="paragraph" w:customStyle="1" w:styleId="p6">
    <w:name w:val="p6"/>
    <w:basedOn w:val="a"/>
    <w:pPr>
      <w:spacing w:before="100" w:beforeAutospacing="1" w:after="100" w:afterAutospacing="1" w:line="384" w:lineRule="auto"/>
    </w:pPr>
    <w:rPr>
      <w:rFonts w:ascii="Arial Unicode MS" w:eastAsia="Arial Unicode MS" w:hAnsi="Arial Unicode MS" w:cs="Arial Unicode MS"/>
    </w:rPr>
  </w:style>
  <w:style w:type="paragraph" w:customStyle="1" w:styleId="p7">
    <w:name w:val="p7"/>
    <w:basedOn w:val="a"/>
    <w:pPr>
      <w:spacing w:before="100" w:beforeAutospacing="1" w:after="100" w:afterAutospacing="1" w:line="432" w:lineRule="auto"/>
    </w:pPr>
    <w:rPr>
      <w:rFonts w:ascii="Arial Unicode MS" w:eastAsia="Arial Unicode MS" w:hAnsi="Arial Unicode MS" w:cs="Arial Unicode MS"/>
    </w:rPr>
  </w:style>
  <w:style w:type="paragraph" w:customStyle="1" w:styleId="hot">
    <w:name w:val="hot"/>
    <w:basedOn w:val="a"/>
    <w:pPr>
      <w:spacing w:before="100" w:beforeAutospacing="1" w:after="100" w:afterAutospacing="1"/>
    </w:pPr>
    <w:rPr>
      <w:rFonts w:ascii="Arial Unicode MS" w:eastAsia="Arial Unicode MS" w:hAnsi="Arial Unicode MS" w:cs="Arial Unicode MS"/>
      <w:color w:val="FF3300"/>
    </w:rPr>
  </w:style>
  <w:style w:type="paragraph" w:customStyle="1" w:styleId="lb1">
    <w:name w:val="lb1"/>
    <w:basedOn w:val="a"/>
    <w:pPr>
      <w:spacing w:before="100" w:beforeAutospacing="1" w:after="100" w:afterAutospacing="1"/>
    </w:pPr>
    <w:rPr>
      <w:rFonts w:ascii="Arial Unicode MS" w:eastAsia="Arial Unicode MS" w:hAnsi="Arial Unicode MS" w:cs="Arial Unicode MS"/>
      <w:color w:val="0033CC"/>
    </w:rPr>
  </w:style>
  <w:style w:type="paragraph" w:customStyle="1" w:styleId="red">
    <w:name w:val="red"/>
    <w:basedOn w:val="a"/>
    <w:pPr>
      <w:spacing w:before="100" w:beforeAutospacing="1" w:after="100" w:afterAutospacing="1" w:line="360" w:lineRule="auto"/>
    </w:pPr>
    <w:rPr>
      <w:rFonts w:eastAsia="Arial Unicode MS"/>
      <w:b/>
      <w:bCs/>
      <w:color w:val="FD6602"/>
    </w:rPr>
  </w:style>
  <w:style w:type="paragraph" w:customStyle="1" w:styleId="pw">
    <w:name w:val="pw"/>
    <w:basedOn w:val="a"/>
    <w:pPr>
      <w:spacing w:before="100" w:beforeAutospacing="1" w:after="100" w:afterAutospacing="1"/>
    </w:pPr>
    <w:rPr>
      <w:rFonts w:ascii="Arial Unicode MS" w:eastAsia="Arial Unicode MS" w:hAnsi="Arial Unicode MS" w:cs="Arial Unicode MS"/>
      <w:b/>
      <w:bCs/>
      <w:color w:val="FFFFFF"/>
    </w:rPr>
  </w:style>
  <w:style w:type="paragraph" w:customStyle="1" w:styleId="sinput">
    <w:name w:val="sinput"/>
    <w:basedOn w:val="a"/>
    <w:pPr>
      <w:pBdr>
        <w:top w:val="threeDEmboss" w:sz="6" w:space="0" w:color="FFFFFF"/>
        <w:left w:val="threeDEmboss" w:sz="6" w:space="0" w:color="FFFFFF"/>
        <w:bottom w:val="threeDEmboss" w:sz="6" w:space="0" w:color="auto"/>
        <w:right w:val="threeDEmboss" w:sz="6" w:space="0" w:color="auto"/>
      </w:pBdr>
      <w:shd w:val="clear" w:color="auto" w:fill="CCCCCC"/>
      <w:spacing w:before="100" w:beforeAutospacing="1" w:after="100" w:afterAutospacing="1"/>
    </w:pPr>
    <w:rPr>
      <w:rFonts w:ascii="Arial Unicode MS" w:eastAsia="Arial Unicode MS" w:hAnsi="Arial Unicode MS" w:cs="Arial Unicode MS"/>
    </w:rPr>
  </w:style>
  <w:style w:type="paragraph" w:customStyle="1" w:styleId="ring">
    <w:name w:val="ring"/>
    <w:basedOn w:val="a"/>
    <w:pPr>
      <w:spacing w:before="100" w:beforeAutospacing="1" w:after="100" w:afterAutospacing="1"/>
    </w:pPr>
    <w:rPr>
      <w:rFonts w:ascii="Webdings" w:eastAsia="Arial Unicode MS" w:hAnsi="Webdings" w:cs="Arial Unicode MS"/>
      <w:color w:val="000066"/>
      <w:sz w:val="18"/>
      <w:szCs w:val="18"/>
    </w:rPr>
  </w:style>
  <w:style w:type="paragraph" w:customStyle="1" w:styleId="001">
    <w:name w:val="001"/>
    <w:basedOn w:val="a"/>
    <w:pPr>
      <w:spacing w:before="100" w:beforeAutospacing="1" w:after="100" w:afterAutospacing="1" w:line="312" w:lineRule="auto"/>
    </w:pPr>
    <w:rPr>
      <w:rFonts w:ascii="Arial Unicode MS" w:eastAsia="Arial Unicode MS" w:hAnsi="Arial Unicode MS" w:cs="Arial Unicode MS"/>
      <w:sz w:val="22"/>
      <w:szCs w:val="22"/>
    </w:rPr>
  </w:style>
  <w:style w:type="paragraph" w:customStyle="1" w:styleId="bei">
    <w:name w:val="bei"/>
    <w:basedOn w:val="a"/>
    <w:pPr>
      <w:spacing w:before="100" w:beforeAutospacing="1" w:after="100" w:afterAutospacing="1"/>
    </w:pPr>
    <w:rPr>
      <w:rFonts w:ascii="Arial Unicode MS" w:eastAsia="Arial Unicode MS" w:hAnsi="Arial Unicode MS" w:cs="Arial Unicode MS"/>
      <w:color w:val="FFFFFF"/>
      <w:sz w:val="18"/>
      <w:szCs w:val="18"/>
    </w:rPr>
  </w:style>
  <w:style w:type="paragraph" w:customStyle="1" w:styleId="001copy">
    <w:name w:val="001copy"/>
    <w:basedOn w:val="a"/>
    <w:pPr>
      <w:spacing w:before="100" w:beforeAutospacing="1" w:after="100" w:afterAutospacing="1" w:line="264" w:lineRule="auto"/>
    </w:pPr>
    <w:rPr>
      <w:rFonts w:ascii="Arial Unicode MS" w:eastAsia="Arial Unicode MS" w:hAnsi="Arial Unicode MS" w:cs="Arial Unicode MS"/>
      <w:b/>
      <w:bCs/>
      <w:color w:val="000066"/>
      <w:sz w:val="18"/>
      <w:szCs w:val="18"/>
    </w:rPr>
  </w:style>
  <w:style w:type="paragraph" w:customStyle="1" w:styleId="beicopy">
    <w:name w:val="beicopy"/>
    <w:basedOn w:val="a"/>
    <w:pPr>
      <w:spacing w:before="100" w:beforeAutospacing="1" w:after="100" w:afterAutospacing="1" w:line="264" w:lineRule="auto"/>
    </w:pPr>
    <w:rPr>
      <w:rFonts w:ascii="Arial Unicode MS" w:eastAsia="Arial Unicode MS" w:hAnsi="Arial Unicode MS" w:cs="Arial Unicode MS"/>
      <w:b/>
      <w:bCs/>
      <w:color w:val="FFFFFF"/>
      <w:sz w:val="18"/>
      <w:szCs w:val="18"/>
    </w:rPr>
  </w:style>
  <w:style w:type="paragraph" w:customStyle="1" w:styleId="hong">
    <w:name w:val="hong"/>
    <w:basedOn w:val="a"/>
    <w:pPr>
      <w:spacing w:before="100" w:beforeAutospacing="1" w:after="100" w:afterAutospacing="1"/>
    </w:pPr>
    <w:rPr>
      <w:rFonts w:ascii="Arial Unicode MS" w:eastAsia="Arial Unicode MS" w:hAnsi="Arial Unicode MS" w:cs="Arial Unicode MS"/>
      <w:b/>
      <w:bCs/>
      <w:color w:val="BC3385"/>
    </w:rPr>
  </w:style>
  <w:style w:type="paragraph" w:customStyle="1" w:styleId="green">
    <w:name w:val="green"/>
    <w:basedOn w:val="a"/>
    <w:pPr>
      <w:spacing w:before="100" w:beforeAutospacing="1" w:after="100" w:afterAutospacing="1"/>
    </w:pPr>
    <w:rPr>
      <w:rFonts w:ascii="Arial Unicode MS" w:eastAsia="Arial Unicode MS" w:hAnsi="Arial Unicode MS" w:cs="Arial Unicode MS"/>
      <w:b/>
      <w:bCs/>
      <w:color w:val="49752B"/>
      <w:sz w:val="18"/>
      <w:szCs w:val="18"/>
    </w:rPr>
  </w:style>
  <w:style w:type="paragraph" w:customStyle="1" w:styleId="hongcopy">
    <w:name w:val="hongcopy"/>
    <w:basedOn w:val="a"/>
    <w:pPr>
      <w:spacing w:before="100" w:beforeAutospacing="1" w:after="100" w:afterAutospacing="1"/>
    </w:pPr>
    <w:rPr>
      <w:rFonts w:ascii="Arial Unicode MS" w:eastAsia="Arial Unicode MS" w:hAnsi="Arial Unicode MS" w:cs="Arial Unicode MS"/>
      <w:b/>
      <w:bCs/>
      <w:color w:val="E85415"/>
      <w:sz w:val="18"/>
      <w:szCs w:val="18"/>
    </w:rPr>
  </w:style>
  <w:style w:type="paragraph" w:customStyle="1" w:styleId="hong-h">
    <w:name w:val="hong-h"/>
    <w:basedOn w:val="a"/>
    <w:pPr>
      <w:spacing w:before="100" w:beforeAutospacing="1" w:after="100" w:afterAutospacing="1"/>
    </w:pPr>
    <w:rPr>
      <w:rFonts w:ascii="Arial Unicode MS" w:eastAsia="Arial Unicode MS" w:hAnsi="Arial Unicode MS" w:cs="Arial Unicode MS"/>
      <w:color w:val="E85415"/>
      <w:sz w:val="18"/>
      <w:szCs w:val="18"/>
    </w:rPr>
  </w:style>
  <w:style w:type="paragraph" w:customStyle="1" w:styleId="110">
    <w:name w:val="11"/>
    <w:basedOn w:val="a"/>
    <w:pPr>
      <w:spacing w:before="100" w:beforeAutospacing="1" w:after="100" w:afterAutospacing="1"/>
    </w:pPr>
    <w:rPr>
      <w:rFonts w:ascii="Arial Unicode MS" w:eastAsia="Arial Unicode MS" w:hAnsi="Arial Unicode MS" w:cs="Arial Unicode MS"/>
      <w:sz w:val="22"/>
      <w:szCs w:val="22"/>
    </w:rPr>
  </w:style>
  <w:style w:type="paragraph" w:customStyle="1" w:styleId="f14l12">
    <w:name w:val="f14l12"/>
    <w:basedOn w:val="a"/>
    <w:pPr>
      <w:spacing w:before="100" w:beforeAutospacing="1" w:after="100" w:afterAutospacing="1" w:line="288" w:lineRule="auto"/>
    </w:pPr>
    <w:rPr>
      <w:rFonts w:ascii="Arial Unicode MS" w:eastAsia="Arial Unicode MS" w:hAnsi="Arial Unicode MS" w:cs="Arial Unicode MS"/>
      <w:szCs w:val="21"/>
    </w:rPr>
  </w:style>
  <w:style w:type="paragraph" w:customStyle="1" w:styleId="style1">
    <w:name w:val="style1"/>
    <w:basedOn w:val="a"/>
    <w:pPr>
      <w:spacing w:before="100" w:beforeAutospacing="1" w:after="100" w:afterAutospacing="1"/>
    </w:pPr>
    <w:rPr>
      <w:rFonts w:ascii="Arial Unicode MS" w:eastAsia="Arial Unicode MS" w:hAnsi="Arial Unicode MS" w:cs="Arial Unicode MS"/>
      <w:color w:val="000000"/>
    </w:rPr>
  </w:style>
  <w:style w:type="character" w:customStyle="1" w:styleId="whitebold1">
    <w:name w:val="whitebold1"/>
    <w:basedOn w:val="a0"/>
  </w:style>
  <w:style w:type="character" w:customStyle="1" w:styleId="title14">
    <w:name w:val="title14"/>
    <w:basedOn w:val="a0"/>
  </w:style>
  <w:style w:type="paragraph" w:styleId="32">
    <w:name w:val="Body Text 3"/>
    <w:basedOn w:val="a"/>
    <w:pPr>
      <w:spacing w:line="360" w:lineRule="auto"/>
    </w:pPr>
    <w:rPr>
      <w:rFonts w:ascii="仿宋_GB2312" w:eastAsia="仿宋_GB2312"/>
      <w:sz w:val="30"/>
    </w:rPr>
  </w:style>
  <w:style w:type="paragraph" w:styleId="af">
    <w:name w:val="Plain Text"/>
    <w:basedOn w:val="a"/>
    <w:rPr>
      <w:rFonts w:hAnsi="Courier New" w:cs="Courier New"/>
      <w:szCs w:val="21"/>
    </w:rPr>
  </w:style>
  <w:style w:type="paragraph" w:customStyle="1" w:styleId="Char2">
    <w:name w:val="Char"/>
    <w:basedOn w:val="a"/>
    <w:rsid w:val="00D96DC7"/>
    <w:rPr>
      <w:rFonts w:cs="Courier New"/>
      <w:sz w:val="32"/>
      <w:szCs w:val="32"/>
    </w:rPr>
  </w:style>
  <w:style w:type="character" w:customStyle="1" w:styleId="hei141">
    <w:name w:val="hei141"/>
    <w:rsid w:val="000D0DCE"/>
    <w:rPr>
      <w:color w:val="000000"/>
      <w:sz w:val="28"/>
      <w:szCs w:val="28"/>
    </w:rPr>
  </w:style>
  <w:style w:type="table" w:styleId="af0">
    <w:name w:val="Table Grid"/>
    <w:basedOn w:val="a1"/>
    <w:uiPriority w:val="39"/>
    <w:qFormat/>
    <w:rsid w:val="00E1548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List Paragraph"/>
    <w:basedOn w:val="a"/>
    <w:uiPriority w:val="34"/>
    <w:qFormat/>
    <w:rsid w:val="00F90B5A"/>
    <w:pPr>
      <w:ind w:firstLineChars="200" w:firstLine="420"/>
    </w:pPr>
  </w:style>
  <w:style w:type="character" w:customStyle="1" w:styleId="currentpricefontstylesp">
    <w:name w:val="currentprice fontstyle_sp"/>
    <w:basedOn w:val="a0"/>
    <w:rsid w:val="00985627"/>
  </w:style>
  <w:style w:type="paragraph" w:customStyle="1" w:styleId="Char10">
    <w:name w:val="Char1"/>
    <w:basedOn w:val="a"/>
    <w:rsid w:val="00577571"/>
    <w:rPr>
      <w:rFonts w:ascii="Tahoma" w:hAnsi="Tahoma"/>
      <w:szCs w:val="20"/>
    </w:rPr>
  </w:style>
  <w:style w:type="paragraph" w:customStyle="1" w:styleId="yiv73721737msonormal">
    <w:name w:val="yiv73721737msonormal"/>
    <w:basedOn w:val="a"/>
    <w:rsid w:val="00B63837"/>
    <w:pPr>
      <w:spacing w:before="100" w:beforeAutospacing="1" w:after="100" w:afterAutospacing="1"/>
    </w:pPr>
  </w:style>
  <w:style w:type="character" w:customStyle="1" w:styleId="apple-style-span">
    <w:name w:val="apple-style-span"/>
    <w:basedOn w:val="a0"/>
    <w:rsid w:val="00D6275D"/>
  </w:style>
  <w:style w:type="paragraph" w:customStyle="1" w:styleId="yiv409727469msonormal">
    <w:name w:val="yiv409727469msonormal"/>
    <w:basedOn w:val="a"/>
    <w:rsid w:val="00767F26"/>
    <w:pPr>
      <w:spacing w:before="100" w:beforeAutospacing="1" w:after="100" w:afterAutospacing="1"/>
    </w:pPr>
  </w:style>
  <w:style w:type="paragraph" w:customStyle="1" w:styleId="largefont">
    <w:name w:val="largefont"/>
    <w:basedOn w:val="a"/>
    <w:rsid w:val="00D87EAB"/>
    <w:pPr>
      <w:spacing w:before="100" w:beforeAutospacing="1" w:after="100" w:afterAutospacing="1" w:line="360" w:lineRule="auto"/>
      <w:ind w:firstLine="480"/>
    </w:pPr>
  </w:style>
  <w:style w:type="paragraph" w:customStyle="1" w:styleId="yiv129177480msonormal">
    <w:name w:val="yiv129177480msonormal"/>
    <w:basedOn w:val="a"/>
    <w:rsid w:val="00960448"/>
    <w:pPr>
      <w:spacing w:before="100" w:beforeAutospacing="1" w:after="100" w:afterAutospacing="1"/>
    </w:pPr>
  </w:style>
  <w:style w:type="character" w:customStyle="1" w:styleId="apple-converted-space">
    <w:name w:val="apple-converted-space"/>
    <w:basedOn w:val="a0"/>
    <w:rsid w:val="00960448"/>
  </w:style>
  <w:style w:type="paragraph" w:customStyle="1" w:styleId="12">
    <w:name w:val="列出段落1"/>
    <w:basedOn w:val="a"/>
    <w:uiPriority w:val="99"/>
    <w:rsid w:val="00255C9B"/>
    <w:pPr>
      <w:ind w:firstLineChars="200" w:firstLine="420"/>
    </w:pPr>
    <w:rPr>
      <w:rFonts w:ascii="Calibri" w:hAnsi="Calibri"/>
      <w:szCs w:val="22"/>
    </w:rPr>
  </w:style>
  <w:style w:type="character" w:customStyle="1" w:styleId="HeaderChar">
    <w:name w:val="Header Char"/>
    <w:uiPriority w:val="99"/>
    <w:semiHidden/>
    <w:locked/>
    <w:rsid w:val="00FE4DE6"/>
    <w:rPr>
      <w:rFonts w:cs="Times New Roman"/>
      <w:sz w:val="18"/>
      <w:szCs w:val="18"/>
    </w:rPr>
  </w:style>
  <w:style w:type="character" w:customStyle="1" w:styleId="FooterChar">
    <w:name w:val="Footer Char"/>
    <w:uiPriority w:val="99"/>
    <w:semiHidden/>
    <w:locked/>
    <w:rsid w:val="00FE4DE6"/>
    <w:rPr>
      <w:rFonts w:cs="Times New Roman"/>
      <w:sz w:val="18"/>
      <w:szCs w:val="18"/>
    </w:rPr>
  </w:style>
  <w:style w:type="character" w:customStyle="1" w:styleId="BalloonTextChar">
    <w:name w:val="Balloon Text Char"/>
    <w:uiPriority w:val="99"/>
    <w:semiHidden/>
    <w:locked/>
    <w:rsid w:val="00FE4DE6"/>
    <w:rPr>
      <w:rFonts w:cs="Times New Roman"/>
      <w:sz w:val="2"/>
    </w:rPr>
  </w:style>
  <w:style w:type="character" w:customStyle="1" w:styleId="13">
    <w:name w:val="已访问的超链接1"/>
    <w:uiPriority w:val="99"/>
    <w:rsid w:val="00FE4DE6"/>
    <w:rPr>
      <w:rFonts w:cs="Times New Roman"/>
      <w:color w:val="800080"/>
      <w:u w:val="single"/>
    </w:rPr>
  </w:style>
  <w:style w:type="paragraph" w:styleId="af2">
    <w:name w:val="caption"/>
    <w:basedOn w:val="a"/>
    <w:next w:val="a"/>
    <w:uiPriority w:val="99"/>
    <w:rsid w:val="00FE4DE6"/>
    <w:rPr>
      <w:rFonts w:ascii="Cambria" w:eastAsia="黑体" w:hAnsi="Cambria"/>
      <w:sz w:val="20"/>
      <w:szCs w:val="20"/>
    </w:rPr>
  </w:style>
  <w:style w:type="character" w:customStyle="1" w:styleId="scol41">
    <w:name w:val="s_col41"/>
    <w:rsid w:val="00FE4DE6"/>
    <w:rPr>
      <w:color w:val="CC0104"/>
    </w:rPr>
  </w:style>
  <w:style w:type="character" w:styleId="af3">
    <w:name w:val="Emphasis"/>
    <w:uiPriority w:val="20"/>
    <w:qFormat/>
    <w:rsid w:val="00FE4DE6"/>
    <w:rPr>
      <w:rFonts w:ascii="Calibri" w:hAnsi="Calibri"/>
      <w:b/>
      <w:i/>
      <w:iCs/>
    </w:rPr>
  </w:style>
  <w:style w:type="character" w:customStyle="1" w:styleId="zib">
    <w:name w:val="zib"/>
    <w:rsid w:val="00FE4DE6"/>
  </w:style>
  <w:style w:type="paragraph" w:customStyle="1" w:styleId="Default">
    <w:name w:val="Default"/>
    <w:rsid w:val="00FE4DE6"/>
    <w:pPr>
      <w:widowControl w:val="0"/>
      <w:autoSpaceDE w:val="0"/>
      <w:autoSpaceDN w:val="0"/>
      <w:adjustRightInd w:val="0"/>
    </w:pPr>
    <w:rPr>
      <w:rFonts w:ascii="Wingdings" w:hAnsi="Wingdings" w:cs="Wingdings"/>
      <w:color w:val="000000"/>
      <w:sz w:val="24"/>
      <w:szCs w:val="24"/>
    </w:rPr>
  </w:style>
  <w:style w:type="paragraph" w:styleId="af4">
    <w:name w:val="Date"/>
    <w:basedOn w:val="a"/>
    <w:next w:val="a"/>
    <w:link w:val="Char3"/>
    <w:uiPriority w:val="99"/>
    <w:unhideWhenUsed/>
    <w:rsid w:val="00FE4DE6"/>
    <w:pPr>
      <w:ind w:leftChars="2500" w:left="100"/>
    </w:pPr>
    <w:rPr>
      <w:rFonts w:ascii="Calibri" w:hAnsi="Calibri"/>
    </w:rPr>
  </w:style>
  <w:style w:type="character" w:customStyle="1" w:styleId="Char3">
    <w:name w:val="日期 Char"/>
    <w:link w:val="af4"/>
    <w:uiPriority w:val="99"/>
    <w:rsid w:val="00FE4DE6"/>
    <w:rPr>
      <w:rFonts w:ascii="Calibri" w:hAnsi="Calibri"/>
      <w:sz w:val="24"/>
      <w:szCs w:val="24"/>
    </w:rPr>
  </w:style>
  <w:style w:type="paragraph" w:styleId="af5">
    <w:name w:val="Title"/>
    <w:basedOn w:val="a"/>
    <w:next w:val="a"/>
    <w:link w:val="Char4"/>
    <w:uiPriority w:val="10"/>
    <w:qFormat/>
    <w:rsid w:val="00FE4DE6"/>
    <w:pPr>
      <w:spacing w:before="240" w:after="60"/>
      <w:jc w:val="center"/>
      <w:outlineLvl w:val="0"/>
    </w:pPr>
    <w:rPr>
      <w:rFonts w:ascii="Cambria" w:hAnsi="Cambria"/>
      <w:b/>
      <w:bCs/>
      <w:kern w:val="28"/>
      <w:sz w:val="32"/>
      <w:szCs w:val="32"/>
    </w:rPr>
  </w:style>
  <w:style w:type="character" w:customStyle="1" w:styleId="Char4">
    <w:name w:val="标题 Char"/>
    <w:link w:val="af5"/>
    <w:uiPriority w:val="10"/>
    <w:rsid w:val="00FE4DE6"/>
    <w:rPr>
      <w:rFonts w:ascii="Cambria" w:hAnsi="Cambria"/>
      <w:b/>
      <w:bCs/>
      <w:kern w:val="28"/>
      <w:sz w:val="32"/>
      <w:szCs w:val="32"/>
    </w:rPr>
  </w:style>
  <w:style w:type="paragraph" w:styleId="af6">
    <w:name w:val="Subtitle"/>
    <w:basedOn w:val="a"/>
    <w:next w:val="a"/>
    <w:link w:val="Char5"/>
    <w:uiPriority w:val="11"/>
    <w:qFormat/>
    <w:rsid w:val="00FE4DE6"/>
    <w:pPr>
      <w:spacing w:after="60"/>
      <w:jc w:val="center"/>
      <w:outlineLvl w:val="1"/>
    </w:pPr>
    <w:rPr>
      <w:rFonts w:ascii="Cambria" w:hAnsi="Cambria"/>
    </w:rPr>
  </w:style>
  <w:style w:type="character" w:customStyle="1" w:styleId="Char5">
    <w:name w:val="副标题 Char"/>
    <w:link w:val="af6"/>
    <w:uiPriority w:val="11"/>
    <w:rsid w:val="00FE4DE6"/>
    <w:rPr>
      <w:rFonts w:ascii="Cambria" w:hAnsi="Cambria"/>
      <w:sz w:val="24"/>
      <w:szCs w:val="24"/>
    </w:rPr>
  </w:style>
  <w:style w:type="paragraph" w:styleId="af7">
    <w:name w:val="No Spacing"/>
    <w:basedOn w:val="a"/>
    <w:uiPriority w:val="1"/>
    <w:qFormat/>
    <w:rsid w:val="00FE4DE6"/>
    <w:rPr>
      <w:rFonts w:ascii="Calibri" w:hAnsi="Calibri"/>
      <w:szCs w:val="32"/>
    </w:rPr>
  </w:style>
  <w:style w:type="paragraph" w:styleId="af8">
    <w:name w:val="Quote"/>
    <w:basedOn w:val="a"/>
    <w:next w:val="a"/>
    <w:link w:val="Char6"/>
    <w:uiPriority w:val="29"/>
    <w:qFormat/>
    <w:rsid w:val="00FE4DE6"/>
    <w:rPr>
      <w:rFonts w:ascii="Calibri" w:hAnsi="Calibri"/>
      <w:i/>
    </w:rPr>
  </w:style>
  <w:style w:type="character" w:customStyle="1" w:styleId="Char6">
    <w:name w:val="引用 Char"/>
    <w:link w:val="af8"/>
    <w:uiPriority w:val="29"/>
    <w:rsid w:val="00FE4DE6"/>
    <w:rPr>
      <w:rFonts w:ascii="Calibri" w:hAnsi="Calibri"/>
      <w:i/>
      <w:sz w:val="24"/>
      <w:szCs w:val="24"/>
    </w:rPr>
  </w:style>
  <w:style w:type="paragraph" w:styleId="af9">
    <w:name w:val="Intense Quote"/>
    <w:basedOn w:val="a"/>
    <w:next w:val="a"/>
    <w:link w:val="Char7"/>
    <w:uiPriority w:val="30"/>
    <w:qFormat/>
    <w:rsid w:val="00FE4DE6"/>
    <w:pPr>
      <w:ind w:left="720" w:right="720"/>
    </w:pPr>
    <w:rPr>
      <w:rFonts w:ascii="Calibri" w:hAnsi="Calibri"/>
      <w:b/>
      <w:i/>
      <w:szCs w:val="22"/>
    </w:rPr>
  </w:style>
  <w:style w:type="character" w:customStyle="1" w:styleId="Char7">
    <w:name w:val="明显引用 Char"/>
    <w:link w:val="af9"/>
    <w:uiPriority w:val="30"/>
    <w:rsid w:val="00FE4DE6"/>
    <w:rPr>
      <w:rFonts w:ascii="Calibri" w:hAnsi="Calibri"/>
      <w:b/>
      <w:i/>
      <w:sz w:val="24"/>
      <w:szCs w:val="22"/>
    </w:rPr>
  </w:style>
  <w:style w:type="character" w:styleId="afa">
    <w:name w:val="Subtle Emphasis"/>
    <w:uiPriority w:val="19"/>
    <w:qFormat/>
    <w:rsid w:val="00FE4DE6"/>
    <w:rPr>
      <w:i/>
      <w:color w:val="5A5A5A"/>
    </w:rPr>
  </w:style>
  <w:style w:type="character" w:styleId="afb">
    <w:name w:val="Intense Emphasis"/>
    <w:uiPriority w:val="21"/>
    <w:qFormat/>
    <w:rsid w:val="00FE4DE6"/>
    <w:rPr>
      <w:b/>
      <w:i/>
      <w:sz w:val="24"/>
      <w:szCs w:val="24"/>
      <w:u w:val="single"/>
    </w:rPr>
  </w:style>
  <w:style w:type="character" w:styleId="afc">
    <w:name w:val="Subtle Reference"/>
    <w:uiPriority w:val="31"/>
    <w:qFormat/>
    <w:rsid w:val="00FE4DE6"/>
    <w:rPr>
      <w:sz w:val="24"/>
      <w:szCs w:val="24"/>
      <w:u w:val="single"/>
    </w:rPr>
  </w:style>
  <w:style w:type="character" w:styleId="afd">
    <w:name w:val="Intense Reference"/>
    <w:uiPriority w:val="32"/>
    <w:qFormat/>
    <w:rsid w:val="00FE4DE6"/>
    <w:rPr>
      <w:b/>
      <w:sz w:val="24"/>
      <w:u w:val="single"/>
    </w:rPr>
  </w:style>
  <w:style w:type="character" w:styleId="afe">
    <w:name w:val="Book Title"/>
    <w:uiPriority w:val="33"/>
    <w:qFormat/>
    <w:rsid w:val="00FE4DE6"/>
    <w:rPr>
      <w:rFonts w:ascii="Cambria" w:eastAsia="宋体" w:hAnsi="Cambria"/>
      <w:b/>
      <w:i/>
      <w:sz w:val="24"/>
      <w:szCs w:val="24"/>
    </w:rPr>
  </w:style>
  <w:style w:type="paragraph" w:styleId="TOC">
    <w:name w:val="TOC Heading"/>
    <w:basedOn w:val="1"/>
    <w:next w:val="a"/>
    <w:uiPriority w:val="39"/>
    <w:semiHidden/>
    <w:unhideWhenUsed/>
    <w:qFormat/>
    <w:rsid w:val="00FE4DE6"/>
    <w:pPr>
      <w:keepLines w:val="0"/>
      <w:adjustRightInd/>
      <w:snapToGrid/>
      <w:spacing w:before="240" w:after="60" w:line="240" w:lineRule="auto"/>
      <w:jc w:val="left"/>
      <w:outlineLvl w:val="9"/>
    </w:pPr>
    <w:rPr>
      <w:rFonts w:ascii="Cambria" w:hAnsi="Cambria"/>
      <w:bCs/>
      <w:kern w:val="32"/>
      <w:sz w:val="32"/>
      <w:szCs w:val="32"/>
    </w:rPr>
  </w:style>
  <w:style w:type="paragraph" w:customStyle="1" w:styleId="secpagenrtitle">
    <w:name w:val="sec_page_nr_title"/>
    <w:basedOn w:val="a"/>
    <w:rsid w:val="00FE4DE6"/>
    <w:pPr>
      <w:spacing w:before="100" w:beforeAutospacing="1" w:after="115" w:line="360" w:lineRule="auto"/>
      <w:jc w:val="center"/>
    </w:pPr>
    <w:rPr>
      <w:b/>
      <w:bCs/>
      <w:color w:val="005FBE"/>
      <w:sz w:val="23"/>
      <w:szCs w:val="23"/>
    </w:rPr>
  </w:style>
  <w:style w:type="character" w:styleId="aff">
    <w:name w:val="annotation reference"/>
    <w:uiPriority w:val="99"/>
    <w:rsid w:val="003E3FC3"/>
    <w:rPr>
      <w:sz w:val="21"/>
      <w:szCs w:val="21"/>
    </w:rPr>
  </w:style>
  <w:style w:type="paragraph" w:styleId="aff0">
    <w:name w:val="annotation text"/>
    <w:basedOn w:val="a"/>
    <w:link w:val="Char8"/>
    <w:uiPriority w:val="99"/>
    <w:rsid w:val="003E3FC3"/>
  </w:style>
  <w:style w:type="character" w:customStyle="1" w:styleId="Char8">
    <w:name w:val="批注文字 Char"/>
    <w:link w:val="aff0"/>
    <w:uiPriority w:val="99"/>
    <w:rsid w:val="003E3FC3"/>
    <w:rPr>
      <w:kern w:val="2"/>
      <w:sz w:val="21"/>
      <w:szCs w:val="24"/>
    </w:rPr>
  </w:style>
  <w:style w:type="paragraph" w:styleId="aff1">
    <w:name w:val="annotation subject"/>
    <w:basedOn w:val="aff0"/>
    <w:next w:val="aff0"/>
    <w:link w:val="Char9"/>
    <w:rsid w:val="003E3FC3"/>
    <w:rPr>
      <w:b/>
      <w:bCs/>
    </w:rPr>
  </w:style>
  <w:style w:type="character" w:customStyle="1" w:styleId="Char9">
    <w:name w:val="批注主题 Char"/>
    <w:link w:val="aff1"/>
    <w:rsid w:val="003E3FC3"/>
    <w:rPr>
      <w:b/>
      <w:bCs/>
      <w:kern w:val="2"/>
      <w:sz w:val="21"/>
      <w:szCs w:val="24"/>
    </w:rPr>
  </w:style>
  <w:style w:type="paragraph" w:styleId="aff2">
    <w:name w:val="Revision"/>
    <w:hidden/>
    <w:uiPriority w:val="99"/>
    <w:semiHidden/>
    <w:rsid w:val="006A0CBC"/>
    <w:rPr>
      <w:kern w:val="2"/>
      <w:sz w:val="21"/>
      <w:szCs w:val="24"/>
    </w:rPr>
  </w:style>
  <w:style w:type="table" w:styleId="14">
    <w:name w:val="Table Classic 1"/>
    <w:basedOn w:val="a1"/>
    <w:rsid w:val="0023591B"/>
    <w:pPr>
      <w:widowControl w:val="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3">
    <w:name w:val="Table 3D effects 3"/>
    <w:basedOn w:val="a1"/>
    <w:rsid w:val="0023591B"/>
    <w:pPr>
      <w:widowControl w:val="0"/>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3">
    <w:name w:val="Table Classic 2"/>
    <w:basedOn w:val="a1"/>
    <w:rsid w:val="0023591B"/>
    <w:pPr>
      <w:widowControl w:val="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aff3">
    <w:name w:val="Table Theme"/>
    <w:basedOn w:val="a1"/>
    <w:rsid w:val="00F646F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5">
    <w:name w:val="未处理的提及1"/>
    <w:uiPriority w:val="99"/>
    <w:semiHidden/>
    <w:unhideWhenUsed/>
    <w:rsid w:val="00B13994"/>
    <w:rPr>
      <w:color w:val="605E5C"/>
      <w:shd w:val="clear" w:color="auto" w:fill="E1DFDD"/>
    </w:rPr>
  </w:style>
  <w:style w:type="paragraph" w:customStyle="1" w:styleId="section">
    <w:name w:val="section"/>
    <w:basedOn w:val="a"/>
    <w:rsid w:val="009A481C"/>
    <w:pPr>
      <w:spacing w:before="100" w:beforeAutospacing="1" w:after="100" w:afterAutospacing="1"/>
    </w:pPr>
  </w:style>
  <w:style w:type="character" w:customStyle="1" w:styleId="lingraydarknoline1">
    <w:name w:val="lingraydark_noline1"/>
    <w:rsid w:val="00717207"/>
    <w:rPr>
      <w:color w:val="333333"/>
      <w:sz w:val="18"/>
      <w:szCs w:val="18"/>
    </w:rPr>
  </w:style>
  <w:style w:type="character" w:customStyle="1" w:styleId="font11">
    <w:name w:val="font11"/>
    <w:qFormat/>
    <w:rsid w:val="00552FB4"/>
    <w:rPr>
      <w:rFonts w:ascii="微软雅黑" w:eastAsia="微软雅黑" w:hAnsi="微软雅黑" w:cs="微软雅黑" w:hint="eastAsia"/>
      <w:color w:val="000000"/>
      <w:sz w:val="18"/>
      <w:szCs w:val="18"/>
      <w:u w:val="no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annotation text" w:uiPriority="99"/>
    <w:lsdException w:name="header" w:uiPriority="99"/>
    <w:lsdException w:name="footer" w:uiPriority="99"/>
    <w:lsdException w:name="caption" w:uiPriority="99" w:qFormat="1"/>
    <w:lsdException w:name="annotation reference" w:uiPriority="99"/>
    <w:lsdException w:name="List Number" w:semiHidden="0" w:unhideWhenUsed="0"/>
    <w:lsdException w:name="List 4" w:semiHidden="0" w:unhideWhenUsed="0"/>
    <w:lsdException w:name="List 5" w:semiHidden="0" w:unhideWhenUsed="0"/>
    <w:lsdException w:name="Title" w:semiHidden="0" w:uiPriority="10" w:unhideWhenUsed="0" w:qFormat="1"/>
    <w:lsdException w:name="Subtitle" w:semiHidden="0" w:uiPriority="11" w:unhideWhenUsed="0" w:qFormat="1"/>
    <w:lsdException w:name="Salutation" w:semiHidden="0" w:unhideWhenUsed="0"/>
    <w:lsdException w:name="Date" w:semiHidden="0" w:uiPriority="99" w:unhideWhenUsed="0"/>
    <w:lsdException w:name="Body Text First Indent" w:semiHidden="0" w:unhideWhenUsed="0"/>
    <w:lsdException w:name="Hyperlink" w:uiPriority="99"/>
    <w:lsdException w:name="FollowedHyperlink" w:uiPriority="99"/>
    <w:lsdException w:name="Strong" w:semiHidden="0" w:uiPriority="22" w:unhideWhenUsed="0" w:qFormat="1"/>
    <w:lsdException w:name="Emphasis" w:semiHidden="0" w:uiPriority="20" w:unhideWhenUsed="0" w:qFormat="1"/>
    <w:lsdException w:name="Normal (Web)" w:uiPriority="99"/>
    <w:lsdException w:name="Normal Table" w:semiHidden="0" w:unhideWhenUsed="0"/>
    <w:lsdException w:name="No List" w:uiPriority="99"/>
    <w:lsdException w:name="Table Subtle 1" w:semiHidden="0" w:unhideWhenUsed="0"/>
    <w:lsdException w:name="Table Web 2" w:semiHidden="0" w:unhideWhenUsed="0"/>
    <w:lsdException w:name="Table Web 3" w:semiHidden="0" w:unhideWhenUsed="0"/>
    <w:lsdException w:name="Balloon Text" w:uiPriority="99" w:qFormat="1"/>
    <w:lsdException w:name="Table Grid" w:semiHidden="0" w:uiPriority="39" w:unhideWhenUsed="0" w:qFormat="1"/>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15682"/>
    <w:rPr>
      <w:rFonts w:ascii="宋体" w:hAnsi="宋体" w:cs="宋体"/>
      <w:sz w:val="24"/>
      <w:szCs w:val="24"/>
    </w:rPr>
  </w:style>
  <w:style w:type="paragraph" w:styleId="1">
    <w:name w:val="heading 1"/>
    <w:basedOn w:val="a"/>
    <w:next w:val="a"/>
    <w:link w:val="1Char"/>
    <w:uiPriority w:val="9"/>
    <w:qFormat/>
    <w:pPr>
      <w:keepNext/>
      <w:keepLines/>
      <w:adjustRightInd w:val="0"/>
      <w:snapToGrid w:val="0"/>
      <w:spacing w:before="600" w:after="240" w:line="360" w:lineRule="auto"/>
      <w:jc w:val="center"/>
      <w:outlineLvl w:val="0"/>
    </w:pPr>
    <w:rPr>
      <w:b/>
      <w:kern w:val="44"/>
      <w:sz w:val="44"/>
      <w:szCs w:val="20"/>
    </w:rPr>
  </w:style>
  <w:style w:type="paragraph" w:styleId="2">
    <w:name w:val="heading 2"/>
    <w:aliases w:val="Body Text (Reset numbering),标题 2 Char Char,标题 2 Char Char Char Char1 Char,标题 2 Char Char Char Char Char Char,标题 2 Char"/>
    <w:basedOn w:val="a"/>
    <w:next w:val="a"/>
    <w:uiPriority w:val="9"/>
    <w:qFormat/>
    <w:pPr>
      <w:keepNext/>
      <w:keepLines/>
      <w:adjustRightInd w:val="0"/>
      <w:spacing w:before="240" w:after="240" w:line="360" w:lineRule="auto"/>
      <w:outlineLvl w:val="1"/>
    </w:pPr>
    <w:rPr>
      <w:rFonts w:ascii="Arial" w:eastAsia="黑体" w:hAnsi="Arial"/>
      <w:b/>
      <w:sz w:val="32"/>
      <w:szCs w:val="20"/>
    </w:rPr>
  </w:style>
  <w:style w:type="paragraph" w:styleId="3">
    <w:name w:val="heading 3"/>
    <w:basedOn w:val="a"/>
    <w:next w:val="a"/>
    <w:link w:val="3Char"/>
    <w:uiPriority w:val="9"/>
    <w:qFormat/>
    <w:pPr>
      <w:keepNext/>
      <w:keepLines/>
      <w:adjustRightInd w:val="0"/>
      <w:spacing w:before="240" w:after="240" w:line="360" w:lineRule="auto"/>
      <w:outlineLvl w:val="2"/>
    </w:pPr>
    <w:rPr>
      <w:rFonts w:eastAsia="楷体_GB2312"/>
      <w:b/>
      <w:sz w:val="32"/>
      <w:szCs w:val="20"/>
    </w:rPr>
  </w:style>
  <w:style w:type="paragraph" w:styleId="4">
    <w:name w:val="heading 4"/>
    <w:basedOn w:val="a"/>
    <w:next w:val="a"/>
    <w:link w:val="4Char"/>
    <w:uiPriority w:val="9"/>
    <w:qFormat/>
    <w:pPr>
      <w:keepNext/>
      <w:keepLines/>
      <w:numPr>
        <w:ilvl w:val="3"/>
        <w:numId w:val="1"/>
      </w:numPr>
      <w:adjustRightInd w:val="0"/>
      <w:spacing w:before="280" w:after="290" w:line="376" w:lineRule="auto"/>
      <w:ind w:firstLineChars="200" w:firstLine="200"/>
      <w:outlineLvl w:val="3"/>
    </w:pPr>
    <w:rPr>
      <w:rFonts w:ascii="Arial" w:eastAsia="黑体" w:hAnsi="Arial"/>
      <w:b/>
      <w:sz w:val="28"/>
      <w:szCs w:val="20"/>
    </w:rPr>
  </w:style>
  <w:style w:type="paragraph" w:styleId="5">
    <w:name w:val="heading 5"/>
    <w:basedOn w:val="a"/>
    <w:next w:val="a"/>
    <w:link w:val="5Char"/>
    <w:uiPriority w:val="9"/>
    <w:qFormat/>
    <w:pPr>
      <w:keepNext/>
      <w:keepLines/>
      <w:numPr>
        <w:ilvl w:val="4"/>
        <w:numId w:val="1"/>
      </w:numPr>
      <w:adjustRightInd w:val="0"/>
      <w:spacing w:before="280" w:after="290" w:line="376" w:lineRule="auto"/>
      <w:ind w:firstLineChars="200" w:firstLine="200"/>
      <w:outlineLvl w:val="4"/>
    </w:pPr>
    <w:rPr>
      <w:b/>
      <w:sz w:val="28"/>
      <w:szCs w:val="20"/>
    </w:rPr>
  </w:style>
  <w:style w:type="paragraph" w:styleId="6">
    <w:name w:val="heading 6"/>
    <w:basedOn w:val="a"/>
    <w:next w:val="a"/>
    <w:link w:val="6Char"/>
    <w:uiPriority w:val="9"/>
    <w:qFormat/>
    <w:pPr>
      <w:keepNext/>
      <w:keepLines/>
      <w:numPr>
        <w:ilvl w:val="5"/>
        <w:numId w:val="1"/>
      </w:numPr>
      <w:adjustRightInd w:val="0"/>
      <w:spacing w:before="240" w:after="64" w:line="320" w:lineRule="auto"/>
      <w:ind w:firstLineChars="200" w:firstLine="200"/>
      <w:outlineLvl w:val="5"/>
    </w:pPr>
    <w:rPr>
      <w:rFonts w:ascii="Arial" w:eastAsia="黑体" w:hAnsi="Arial"/>
      <w:b/>
      <w:szCs w:val="20"/>
    </w:rPr>
  </w:style>
  <w:style w:type="paragraph" w:styleId="7">
    <w:name w:val="heading 7"/>
    <w:basedOn w:val="a"/>
    <w:next w:val="a"/>
    <w:link w:val="7Char"/>
    <w:uiPriority w:val="9"/>
    <w:qFormat/>
    <w:pPr>
      <w:keepNext/>
      <w:keepLines/>
      <w:numPr>
        <w:ilvl w:val="6"/>
        <w:numId w:val="1"/>
      </w:numPr>
      <w:adjustRightInd w:val="0"/>
      <w:spacing w:before="240" w:after="64" w:line="320" w:lineRule="auto"/>
      <w:ind w:firstLineChars="200" w:firstLine="200"/>
      <w:outlineLvl w:val="6"/>
    </w:pPr>
    <w:rPr>
      <w:b/>
      <w:szCs w:val="20"/>
    </w:rPr>
  </w:style>
  <w:style w:type="paragraph" w:styleId="8">
    <w:name w:val="heading 8"/>
    <w:basedOn w:val="a"/>
    <w:next w:val="a"/>
    <w:link w:val="8Char"/>
    <w:uiPriority w:val="9"/>
    <w:qFormat/>
    <w:pPr>
      <w:keepNext/>
      <w:keepLines/>
      <w:numPr>
        <w:ilvl w:val="7"/>
        <w:numId w:val="1"/>
      </w:numPr>
      <w:adjustRightInd w:val="0"/>
      <w:spacing w:before="240" w:after="64" w:line="320" w:lineRule="auto"/>
      <w:ind w:firstLineChars="200" w:firstLine="200"/>
      <w:outlineLvl w:val="7"/>
    </w:pPr>
    <w:rPr>
      <w:rFonts w:ascii="Arial" w:eastAsia="黑体" w:hAnsi="Arial"/>
      <w:szCs w:val="20"/>
    </w:rPr>
  </w:style>
  <w:style w:type="paragraph" w:styleId="9">
    <w:name w:val="heading 9"/>
    <w:basedOn w:val="a"/>
    <w:next w:val="a"/>
    <w:link w:val="9Char"/>
    <w:uiPriority w:val="9"/>
    <w:qFormat/>
    <w:pPr>
      <w:keepNext/>
      <w:keepLines/>
      <w:numPr>
        <w:ilvl w:val="8"/>
        <w:numId w:val="1"/>
      </w:numPr>
      <w:adjustRightInd w:val="0"/>
      <w:spacing w:before="240" w:after="64" w:line="320" w:lineRule="auto"/>
      <w:ind w:firstLineChars="200" w:firstLine="200"/>
      <w:outlineLvl w:val="8"/>
    </w:pPr>
    <w:rPr>
      <w:rFonts w:ascii="Arial" w:eastAsia="黑体" w:hAnsi="Arial"/>
      <w:sz w:val="2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link w:val="1"/>
    <w:uiPriority w:val="9"/>
    <w:rsid w:val="008D5110"/>
    <w:rPr>
      <w:rFonts w:eastAsia="宋体"/>
      <w:b/>
      <w:kern w:val="44"/>
      <w:sz w:val="44"/>
      <w:lang w:val="en-US" w:eastAsia="zh-CN" w:bidi="ar-SA"/>
    </w:rPr>
  </w:style>
  <w:style w:type="character" w:customStyle="1" w:styleId="3Char">
    <w:name w:val="标题 3 Char"/>
    <w:link w:val="3"/>
    <w:uiPriority w:val="9"/>
    <w:rsid w:val="00FE4DE6"/>
    <w:rPr>
      <w:rFonts w:eastAsia="楷体_GB2312"/>
      <w:b/>
      <w:kern w:val="2"/>
      <w:sz w:val="32"/>
    </w:rPr>
  </w:style>
  <w:style w:type="character" w:customStyle="1" w:styleId="4Char">
    <w:name w:val="标题 4 Char"/>
    <w:link w:val="4"/>
    <w:uiPriority w:val="9"/>
    <w:rsid w:val="00FE4DE6"/>
    <w:rPr>
      <w:rFonts w:ascii="Arial" w:eastAsia="黑体" w:hAnsi="Arial"/>
      <w:b/>
      <w:kern w:val="2"/>
      <w:sz w:val="28"/>
    </w:rPr>
  </w:style>
  <w:style w:type="character" w:customStyle="1" w:styleId="5Char">
    <w:name w:val="标题 5 Char"/>
    <w:link w:val="5"/>
    <w:uiPriority w:val="9"/>
    <w:rsid w:val="00FE4DE6"/>
    <w:rPr>
      <w:b/>
      <w:kern w:val="2"/>
      <w:sz w:val="28"/>
    </w:rPr>
  </w:style>
  <w:style w:type="character" w:customStyle="1" w:styleId="6Char">
    <w:name w:val="标题 6 Char"/>
    <w:link w:val="6"/>
    <w:uiPriority w:val="9"/>
    <w:rsid w:val="00FE4DE6"/>
    <w:rPr>
      <w:rFonts w:ascii="Arial" w:eastAsia="黑体" w:hAnsi="Arial"/>
      <w:b/>
      <w:kern w:val="2"/>
      <w:sz w:val="24"/>
    </w:rPr>
  </w:style>
  <w:style w:type="character" w:customStyle="1" w:styleId="7Char">
    <w:name w:val="标题 7 Char"/>
    <w:link w:val="7"/>
    <w:uiPriority w:val="9"/>
    <w:rsid w:val="00FE4DE6"/>
    <w:rPr>
      <w:b/>
      <w:kern w:val="2"/>
      <w:sz w:val="24"/>
    </w:rPr>
  </w:style>
  <w:style w:type="character" w:customStyle="1" w:styleId="8Char">
    <w:name w:val="标题 8 Char"/>
    <w:link w:val="8"/>
    <w:uiPriority w:val="9"/>
    <w:rsid w:val="00FE4DE6"/>
    <w:rPr>
      <w:rFonts w:ascii="Arial" w:eastAsia="黑体" w:hAnsi="Arial"/>
      <w:kern w:val="2"/>
      <w:sz w:val="24"/>
    </w:rPr>
  </w:style>
  <w:style w:type="character" w:customStyle="1" w:styleId="9Char">
    <w:name w:val="标题 9 Char"/>
    <w:link w:val="9"/>
    <w:uiPriority w:val="9"/>
    <w:rsid w:val="00FE4DE6"/>
    <w:rPr>
      <w:rFonts w:ascii="Arial" w:eastAsia="黑体" w:hAnsi="Arial"/>
      <w:kern w:val="2"/>
      <w:sz w:val="28"/>
    </w:rPr>
  </w:style>
  <w:style w:type="paragraph" w:styleId="a3">
    <w:name w:val="footer"/>
    <w:basedOn w:val="a"/>
    <w:link w:val="Char"/>
    <w:uiPriority w:val="99"/>
    <w:pPr>
      <w:pBdr>
        <w:bottom w:val="double" w:sz="4" w:space="1" w:color="auto"/>
      </w:pBdr>
      <w:tabs>
        <w:tab w:val="center" w:pos="4153"/>
        <w:tab w:val="right" w:pos="8306"/>
      </w:tabs>
      <w:snapToGrid w:val="0"/>
    </w:pPr>
    <w:rPr>
      <w:sz w:val="18"/>
      <w:szCs w:val="18"/>
    </w:rPr>
  </w:style>
  <w:style w:type="character" w:customStyle="1" w:styleId="Char">
    <w:name w:val="页脚 Char"/>
    <w:link w:val="a3"/>
    <w:uiPriority w:val="99"/>
    <w:rsid w:val="00FE4DE6"/>
    <w:rPr>
      <w:kern w:val="2"/>
      <w:sz w:val="18"/>
      <w:szCs w:val="18"/>
    </w:rPr>
  </w:style>
  <w:style w:type="character" w:styleId="a4">
    <w:name w:val="page number"/>
    <w:rPr>
      <w:bdr w:val="none" w:sz="0" w:space="0" w:color="auto"/>
    </w:rPr>
  </w:style>
  <w:style w:type="paragraph" w:styleId="a5">
    <w:name w:val="header"/>
    <w:basedOn w:val="a"/>
    <w:link w:val="Char0"/>
    <w:uiPriority w:val="99"/>
    <w:pPr>
      <w:pBdr>
        <w:bottom w:val="single" w:sz="12" w:space="1" w:color="auto"/>
      </w:pBdr>
      <w:tabs>
        <w:tab w:val="center" w:pos="4153"/>
        <w:tab w:val="right" w:pos="8306"/>
      </w:tabs>
      <w:snapToGrid w:val="0"/>
      <w:jc w:val="center"/>
    </w:pPr>
    <w:rPr>
      <w:sz w:val="18"/>
      <w:szCs w:val="18"/>
    </w:rPr>
  </w:style>
  <w:style w:type="character" w:customStyle="1" w:styleId="Char0">
    <w:name w:val="页眉 Char"/>
    <w:link w:val="a5"/>
    <w:uiPriority w:val="99"/>
    <w:rsid w:val="00FE4DE6"/>
    <w:rPr>
      <w:kern w:val="2"/>
      <w:sz w:val="18"/>
      <w:szCs w:val="18"/>
    </w:rPr>
  </w:style>
  <w:style w:type="paragraph" w:styleId="10">
    <w:name w:val="toc 1"/>
    <w:basedOn w:val="a"/>
    <w:next w:val="a"/>
    <w:autoRedefine/>
    <w:uiPriority w:val="39"/>
    <w:rsid w:val="009B0B0F"/>
    <w:pPr>
      <w:tabs>
        <w:tab w:val="right" w:leader="dot" w:pos="8302"/>
      </w:tabs>
      <w:spacing w:before="120" w:after="240"/>
      <w:jc w:val="center"/>
    </w:pPr>
    <w:rPr>
      <w:rFonts w:ascii="Arial" w:hAnsi="Arial" w:cs="Arial"/>
      <w:b/>
      <w:bCs/>
      <w:caps/>
      <w:noProof/>
      <w:szCs w:val="21"/>
    </w:rPr>
  </w:style>
  <w:style w:type="paragraph" w:styleId="20">
    <w:name w:val="toc 2"/>
    <w:basedOn w:val="a"/>
    <w:next w:val="a"/>
    <w:autoRedefine/>
    <w:uiPriority w:val="39"/>
    <w:rsid w:val="000F128D"/>
    <w:pPr>
      <w:tabs>
        <w:tab w:val="right" w:leader="dot" w:pos="8302"/>
      </w:tabs>
      <w:ind w:left="210"/>
    </w:pPr>
    <w:rPr>
      <w:rFonts w:ascii="仿宋_GB2312" w:eastAsia="仿宋_GB2312"/>
      <w:smallCaps/>
      <w:noProof/>
      <w:szCs w:val="32"/>
    </w:rPr>
  </w:style>
  <w:style w:type="paragraph" w:styleId="30">
    <w:name w:val="toc 3"/>
    <w:basedOn w:val="a"/>
    <w:next w:val="a"/>
    <w:autoRedefine/>
    <w:semiHidden/>
    <w:pPr>
      <w:ind w:left="420"/>
    </w:pPr>
    <w:rPr>
      <w:i/>
      <w:iCs/>
    </w:rPr>
  </w:style>
  <w:style w:type="character" w:customStyle="1" w:styleId="a6">
    <w:name w:val="已访问的超链接"/>
    <w:rPr>
      <w:color w:val="800080"/>
      <w:u w:val="single"/>
    </w:rPr>
  </w:style>
  <w:style w:type="character" w:styleId="a7">
    <w:name w:val="Hyperlink"/>
    <w:uiPriority w:val="99"/>
    <w:rPr>
      <w:color w:val="0000FF"/>
      <w:u w:val="single"/>
    </w:rPr>
  </w:style>
  <w:style w:type="paragraph" w:customStyle="1" w:styleId="11">
    <w:name w:val="纯文本1"/>
    <w:basedOn w:val="a"/>
    <w:pPr>
      <w:autoSpaceDE w:val="0"/>
      <w:autoSpaceDN w:val="0"/>
      <w:adjustRightInd w:val="0"/>
    </w:pPr>
    <w:rPr>
      <w:szCs w:val="20"/>
    </w:rPr>
  </w:style>
  <w:style w:type="paragraph" w:styleId="a8">
    <w:name w:val="Body Text"/>
    <w:basedOn w:val="a"/>
    <w:pPr>
      <w:adjustRightInd w:val="0"/>
      <w:spacing w:line="360" w:lineRule="auto"/>
    </w:pPr>
    <w:rPr>
      <w:color w:val="FF0000"/>
      <w:sz w:val="28"/>
      <w:szCs w:val="20"/>
    </w:rPr>
  </w:style>
  <w:style w:type="paragraph" w:styleId="a9">
    <w:name w:val="Body Text Indent"/>
    <w:basedOn w:val="a"/>
    <w:pPr>
      <w:ind w:firstLineChars="200" w:firstLine="560"/>
    </w:pPr>
    <w:rPr>
      <w:sz w:val="28"/>
    </w:rPr>
  </w:style>
  <w:style w:type="paragraph" w:styleId="31">
    <w:name w:val="Body Text Indent 3"/>
    <w:basedOn w:val="a"/>
    <w:pPr>
      <w:adjustRightInd w:val="0"/>
      <w:snapToGrid w:val="0"/>
      <w:spacing w:line="360" w:lineRule="auto"/>
      <w:ind w:firstLine="570"/>
    </w:pPr>
    <w:rPr>
      <w:sz w:val="28"/>
    </w:rPr>
  </w:style>
  <w:style w:type="character" w:customStyle="1" w:styleId="p11">
    <w:name w:val="p11"/>
    <w:rPr>
      <w:rFonts w:ascii="宋体" w:eastAsia="宋体" w:hAnsi="宋体" w:hint="eastAsia"/>
      <w:sz w:val="18"/>
      <w:szCs w:val="18"/>
    </w:rPr>
  </w:style>
  <w:style w:type="paragraph" w:styleId="21">
    <w:name w:val="Body Text Indent 2"/>
    <w:basedOn w:val="a"/>
    <w:pPr>
      <w:adjustRightInd w:val="0"/>
      <w:snapToGrid w:val="0"/>
      <w:spacing w:line="360" w:lineRule="auto"/>
      <w:ind w:firstLine="570"/>
    </w:pPr>
    <w:rPr>
      <w:color w:val="000000"/>
      <w:spacing w:val="15"/>
      <w:sz w:val="28"/>
    </w:rPr>
  </w:style>
  <w:style w:type="paragraph" w:styleId="aa">
    <w:name w:val="Normal Indent"/>
    <w:basedOn w:val="a"/>
    <w:pPr>
      <w:ind w:firstLineChars="200" w:firstLine="560"/>
    </w:pPr>
    <w:rPr>
      <w:rFonts w:eastAsia="GungsuhChe"/>
      <w:color w:val="FF0000"/>
      <w:sz w:val="28"/>
    </w:rPr>
  </w:style>
  <w:style w:type="paragraph" w:styleId="ab">
    <w:name w:val="Normal (Web)"/>
    <w:basedOn w:val="a"/>
    <w:uiPriority w:val="99"/>
    <w:pPr>
      <w:spacing w:before="100" w:beforeAutospacing="1" w:after="100" w:afterAutospacing="1"/>
    </w:pPr>
  </w:style>
  <w:style w:type="paragraph" w:styleId="ac">
    <w:name w:val="Document Map"/>
    <w:basedOn w:val="a"/>
    <w:semiHidden/>
    <w:pPr>
      <w:shd w:val="clear" w:color="auto" w:fill="000080"/>
    </w:pPr>
  </w:style>
  <w:style w:type="paragraph" w:styleId="ad">
    <w:name w:val="Balloon Text"/>
    <w:basedOn w:val="a"/>
    <w:link w:val="Char1"/>
    <w:uiPriority w:val="99"/>
    <w:qFormat/>
    <w:rPr>
      <w:sz w:val="18"/>
      <w:szCs w:val="18"/>
    </w:rPr>
  </w:style>
  <w:style w:type="character" w:customStyle="1" w:styleId="Char1">
    <w:name w:val="批注框文本 Char"/>
    <w:link w:val="ad"/>
    <w:uiPriority w:val="99"/>
    <w:qFormat/>
    <w:rsid w:val="00FE4DE6"/>
    <w:rPr>
      <w:kern w:val="2"/>
      <w:sz w:val="18"/>
      <w:szCs w:val="18"/>
    </w:rPr>
  </w:style>
  <w:style w:type="paragraph" w:styleId="70">
    <w:name w:val="toc 7"/>
    <w:basedOn w:val="a"/>
    <w:next w:val="a"/>
    <w:autoRedefine/>
    <w:semiHidden/>
    <w:pPr>
      <w:adjustRightInd w:val="0"/>
      <w:spacing w:line="360" w:lineRule="auto"/>
      <w:ind w:firstLineChars="200" w:firstLine="200"/>
    </w:pPr>
    <w:rPr>
      <w:sz w:val="28"/>
      <w:szCs w:val="26"/>
    </w:rPr>
  </w:style>
  <w:style w:type="character" w:styleId="ae">
    <w:name w:val="Strong"/>
    <w:uiPriority w:val="22"/>
    <w:qFormat/>
    <w:rPr>
      <w:b/>
      <w:bCs/>
    </w:rPr>
  </w:style>
  <w:style w:type="character" w:customStyle="1" w:styleId="yqlink">
    <w:name w:val="yqlink"/>
    <w:basedOn w:val="a0"/>
  </w:style>
  <w:style w:type="paragraph" w:styleId="z-">
    <w:name w:val="HTML Top of Form"/>
    <w:basedOn w:val="a"/>
    <w:next w:val="a"/>
    <w:hidden/>
    <w:pPr>
      <w:pBdr>
        <w:bottom w:val="single" w:sz="6" w:space="1" w:color="auto"/>
      </w:pBdr>
      <w:jc w:val="center"/>
    </w:pPr>
    <w:rPr>
      <w:rFonts w:ascii="Arial" w:hAnsi="Arial" w:cs="Arial"/>
      <w:vanish/>
      <w:sz w:val="16"/>
      <w:szCs w:val="16"/>
    </w:rPr>
  </w:style>
  <w:style w:type="paragraph" w:styleId="z-0">
    <w:name w:val="HTML Bottom of Form"/>
    <w:basedOn w:val="a"/>
    <w:next w:val="a"/>
    <w:hidden/>
    <w:pPr>
      <w:pBdr>
        <w:top w:val="single" w:sz="6" w:space="1" w:color="auto"/>
      </w:pBdr>
      <w:jc w:val="center"/>
    </w:pPr>
    <w:rPr>
      <w:rFonts w:ascii="Arial" w:hAnsi="Arial" w:cs="Arial"/>
      <w:vanish/>
      <w:sz w:val="16"/>
      <w:szCs w:val="16"/>
    </w:rPr>
  </w:style>
  <w:style w:type="character" w:customStyle="1" w:styleId="font1">
    <w:name w:val="font1"/>
    <w:rPr>
      <w:sz w:val="18"/>
      <w:szCs w:val="18"/>
    </w:rPr>
  </w:style>
  <w:style w:type="character" w:customStyle="1" w:styleId="style21">
    <w:name w:val="style21"/>
    <w:rPr>
      <w:rFonts w:ascii="方正剪纸简体" w:eastAsia="方正剪纸简体" w:hint="eastAsia"/>
      <w:sz w:val="36"/>
      <w:szCs w:val="36"/>
    </w:rPr>
  </w:style>
  <w:style w:type="character" w:customStyle="1" w:styleId="demo05">
    <w:name w:val="demo05"/>
    <w:rPr>
      <w:rFonts w:hint="default"/>
      <w:color w:val="000000"/>
      <w:sz w:val="20"/>
      <w:szCs w:val="20"/>
    </w:rPr>
  </w:style>
  <w:style w:type="character" w:customStyle="1" w:styleId="unnamed21">
    <w:name w:val="unnamed21"/>
    <w:rPr>
      <w:color w:val="003366"/>
      <w:sz w:val="28"/>
      <w:szCs w:val="28"/>
    </w:rPr>
  </w:style>
  <w:style w:type="paragraph" w:styleId="22">
    <w:name w:val="Body Text 2"/>
    <w:basedOn w:val="a"/>
    <w:pPr>
      <w:autoSpaceDE w:val="0"/>
      <w:autoSpaceDN w:val="0"/>
      <w:adjustRightInd w:val="0"/>
      <w:spacing w:line="440" w:lineRule="exact"/>
      <w:textAlignment w:val="baseline"/>
    </w:pPr>
    <w:rPr>
      <w:rFonts w:ascii="仿宋_GB2312" w:eastAsia="仿宋_GB2312" w:hAnsi="Arial"/>
      <w:sz w:val="28"/>
      <w:szCs w:val="20"/>
    </w:rPr>
  </w:style>
  <w:style w:type="character" w:customStyle="1" w:styleId="text1">
    <w:name w:val="text1"/>
    <w:rPr>
      <w:spacing w:val="10"/>
      <w:sz w:val="28"/>
      <w:szCs w:val="28"/>
    </w:rPr>
  </w:style>
  <w:style w:type="paragraph" w:customStyle="1" w:styleId="font5">
    <w:name w:val="font5"/>
    <w:basedOn w:val="a"/>
    <w:pPr>
      <w:spacing w:before="100" w:beforeAutospacing="1" w:after="100" w:afterAutospacing="1"/>
    </w:pPr>
    <w:rPr>
      <w:rFonts w:cs="Arial Unicode MS" w:hint="eastAsia"/>
      <w:sz w:val="18"/>
      <w:szCs w:val="18"/>
    </w:rPr>
  </w:style>
  <w:style w:type="paragraph" w:customStyle="1" w:styleId="font6">
    <w:name w:val="font6"/>
    <w:basedOn w:val="a"/>
    <w:pPr>
      <w:spacing w:before="100" w:beforeAutospacing="1" w:after="100" w:afterAutospacing="1"/>
    </w:pPr>
    <w:rPr>
      <w:rFonts w:cs="Arial Unicode MS" w:hint="eastAsia"/>
    </w:rPr>
  </w:style>
  <w:style w:type="paragraph" w:customStyle="1" w:styleId="xl26">
    <w:name w:val="xl26"/>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Unicode MS" w:eastAsia="Arial Unicode MS" w:hAnsi="Arial Unicode MS" w:cs="Arial Unicode MS"/>
      <w:b/>
      <w:bCs/>
    </w:rPr>
  </w:style>
  <w:style w:type="paragraph" w:customStyle="1" w:styleId="xl27">
    <w:name w:val="xl27"/>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rPr>
  </w:style>
  <w:style w:type="paragraph" w:customStyle="1" w:styleId="xl28">
    <w:name w:val="xl28"/>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ascii="Arial Unicode MS" w:eastAsia="Arial Unicode MS" w:hAnsi="Arial Unicode MS" w:cs="Arial Unicode MS"/>
    </w:rPr>
  </w:style>
  <w:style w:type="paragraph" w:customStyle="1" w:styleId="xl29">
    <w:name w:val="xl29"/>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Unicode MS" w:eastAsia="Arial Unicode MS" w:hAnsi="Arial Unicode MS" w:cs="Arial Unicode MS"/>
      <w:b/>
      <w:bCs/>
      <w:color w:val="000000"/>
    </w:rPr>
  </w:style>
  <w:style w:type="paragraph" w:customStyle="1" w:styleId="xl30">
    <w:name w:val="xl30"/>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rPr>
  </w:style>
  <w:style w:type="paragraph" w:customStyle="1" w:styleId="xl31">
    <w:name w:val="xl31"/>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b/>
      <w:bCs/>
      <w:color w:val="000000"/>
    </w:rPr>
  </w:style>
  <w:style w:type="paragraph" w:customStyle="1" w:styleId="xl32">
    <w:name w:val="xl32"/>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b/>
      <w:bCs/>
      <w:color w:val="000000"/>
    </w:rPr>
  </w:style>
  <w:style w:type="paragraph" w:customStyle="1" w:styleId="xl33">
    <w:name w:val="xl33"/>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b/>
      <w:bCs/>
    </w:rPr>
  </w:style>
  <w:style w:type="paragraph" w:customStyle="1" w:styleId="xl34">
    <w:name w:val="xl34"/>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b/>
      <w:bCs/>
    </w:rPr>
  </w:style>
  <w:style w:type="paragraph" w:customStyle="1" w:styleId="xl35">
    <w:name w:val="xl35"/>
    <w:basedOn w:val="a"/>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Unicode MS" w:eastAsia="Arial Unicode MS" w:hAnsi="Arial Unicode MS" w:cs="Arial Unicode MS"/>
    </w:rPr>
  </w:style>
  <w:style w:type="paragraph" w:customStyle="1" w:styleId="xl36">
    <w:name w:val="xl36"/>
    <w:basedOn w:val="a"/>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Unicode MS" w:eastAsia="Arial Unicode MS" w:hAnsi="Arial Unicode MS" w:cs="Arial Unicode MS"/>
      <w:color w:val="000000"/>
    </w:rPr>
  </w:style>
  <w:style w:type="paragraph" w:customStyle="1" w:styleId="font7">
    <w:name w:val="font7"/>
    <w:basedOn w:val="a"/>
    <w:pPr>
      <w:spacing w:before="100" w:beforeAutospacing="1" w:after="100" w:afterAutospacing="1"/>
    </w:pPr>
    <w:rPr>
      <w:rFonts w:cs="Arial Unicode MS" w:hint="eastAsia"/>
      <w:sz w:val="20"/>
      <w:szCs w:val="20"/>
    </w:rPr>
  </w:style>
  <w:style w:type="paragraph" w:customStyle="1" w:styleId="xl37">
    <w:name w:val="xl37"/>
    <w:basedOn w:val="a"/>
    <w:pPr>
      <w:pBdr>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sz w:val="20"/>
      <w:szCs w:val="20"/>
    </w:rPr>
  </w:style>
  <w:style w:type="paragraph" w:customStyle="1" w:styleId="xl38">
    <w:name w:val="xl38"/>
    <w:basedOn w:val="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sz w:val="20"/>
      <w:szCs w:val="20"/>
    </w:rPr>
  </w:style>
  <w:style w:type="paragraph" w:customStyle="1" w:styleId="xl39">
    <w:name w:val="xl39"/>
    <w:basedOn w:val="a"/>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pPr>
    <w:rPr>
      <w:rFonts w:ascii="Arial Unicode MS" w:eastAsia="Arial Unicode MS" w:hAnsi="Arial Unicode MS" w:cs="Arial Unicode MS"/>
      <w:b/>
      <w:bCs/>
      <w:sz w:val="20"/>
      <w:szCs w:val="20"/>
    </w:rPr>
  </w:style>
  <w:style w:type="paragraph" w:customStyle="1" w:styleId="xl40">
    <w:name w:val="xl40"/>
    <w:basedOn w:val="a"/>
    <w:pPr>
      <w:pBdr>
        <w:top w:val="single" w:sz="4" w:space="0" w:color="auto"/>
        <w:left w:val="single" w:sz="4" w:space="0" w:color="auto"/>
        <w:bottom w:val="single" w:sz="4" w:space="0" w:color="auto"/>
      </w:pBdr>
      <w:spacing w:before="100" w:beforeAutospacing="1" w:after="100" w:afterAutospacing="1"/>
      <w:jc w:val="center"/>
    </w:pPr>
    <w:rPr>
      <w:rFonts w:eastAsia="Arial Unicode MS"/>
    </w:rPr>
  </w:style>
  <w:style w:type="paragraph" w:customStyle="1" w:styleId="xl41">
    <w:name w:val="xl41"/>
    <w:basedOn w:val="a"/>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styleId="HTML">
    <w:name w:val="HTML Preformatted"/>
    <w:basedOn w:val="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黑体" w:eastAsia="黑体" w:hAnsi="Courier New" w:cs="Courier New"/>
      <w:sz w:val="20"/>
      <w:szCs w:val="20"/>
    </w:rPr>
  </w:style>
  <w:style w:type="character" w:customStyle="1" w:styleId="style11">
    <w:name w:val="style11"/>
    <w:rPr>
      <w:sz w:val="28"/>
      <w:szCs w:val="28"/>
    </w:rPr>
  </w:style>
  <w:style w:type="character" w:customStyle="1" w:styleId="line121">
    <w:name w:val="line121"/>
  </w:style>
  <w:style w:type="paragraph" w:customStyle="1" w:styleId="aa0">
    <w:name w:val="aa"/>
    <w:basedOn w:val="a"/>
    <w:pPr>
      <w:spacing w:before="100" w:beforeAutospacing="1" w:after="100" w:afterAutospacing="1" w:line="360" w:lineRule="auto"/>
    </w:pPr>
    <w:rPr>
      <w:rFonts w:ascii="Arial Unicode MS" w:eastAsia="Arial Unicode MS" w:hAnsi="Arial Unicode MS" w:cs="Arial Unicode MS"/>
      <w:sz w:val="18"/>
      <w:szCs w:val="18"/>
    </w:rPr>
  </w:style>
  <w:style w:type="character" w:customStyle="1" w:styleId="css1">
    <w:name w:val="css1"/>
    <w:rPr>
      <w:rFonts w:ascii="新宋体" w:eastAsia="新宋体" w:hAnsi="新宋体" w:hint="eastAsia"/>
      <w:b w:val="0"/>
      <w:bCs w:val="0"/>
      <w:i w:val="0"/>
      <w:iCs w:val="0"/>
      <w:smallCaps w:val="0"/>
      <w:strike w:val="0"/>
      <w:dstrike w:val="0"/>
      <w:color w:val="FAE4BF"/>
      <w:sz w:val="18"/>
      <w:szCs w:val="18"/>
      <w:u w:val="none"/>
      <w:effect w:val="none"/>
    </w:rPr>
  </w:style>
  <w:style w:type="paragraph" w:customStyle="1" w:styleId="f5">
    <w:name w:val="f5"/>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f7">
    <w:name w:val="f7"/>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unnamed1">
    <w:name w:val="unnamed1"/>
    <w:basedOn w:val="a"/>
    <w:pPr>
      <w:spacing w:before="100" w:beforeAutospacing="1" w:after="100" w:afterAutospacing="1"/>
    </w:pPr>
    <w:rPr>
      <w:rFonts w:ascii="Arial Unicode MS" w:eastAsia="Arial Unicode MS" w:hAnsi="Arial Unicode MS" w:cs="Arial Unicode MS"/>
    </w:rPr>
  </w:style>
  <w:style w:type="paragraph" w:customStyle="1" w:styleId="d1">
    <w:name w:val="d1"/>
    <w:basedOn w:val="a"/>
    <w:pPr>
      <w:spacing w:before="100" w:beforeAutospacing="1" w:after="100" w:afterAutospacing="1"/>
    </w:pPr>
    <w:rPr>
      <w:rFonts w:ascii="Arial Unicode MS" w:eastAsia="Arial Unicode MS" w:hAnsi="Arial Unicode MS" w:cs="Arial Unicode MS"/>
    </w:rPr>
  </w:style>
  <w:style w:type="paragraph" w:customStyle="1" w:styleId="p1">
    <w:name w:val="p1"/>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vip">
    <w:name w:val="vip"/>
    <w:basedOn w:val="a"/>
    <w:pPr>
      <w:spacing w:before="100" w:beforeAutospacing="1" w:after="100" w:afterAutospacing="1"/>
    </w:pPr>
    <w:rPr>
      <w:rFonts w:ascii="Arial Unicode MS" w:eastAsia="Arial Unicode MS" w:hAnsi="Arial Unicode MS" w:cs="Arial Unicode MS"/>
      <w:color w:val="FFFFFF"/>
      <w:sz w:val="18"/>
      <w:szCs w:val="18"/>
    </w:rPr>
  </w:style>
  <w:style w:type="paragraph" w:customStyle="1" w:styleId="p2">
    <w:name w:val="p2"/>
    <w:basedOn w:val="a"/>
    <w:pPr>
      <w:spacing w:before="100" w:beforeAutospacing="1" w:after="100" w:afterAutospacing="1" w:line="360" w:lineRule="auto"/>
    </w:pPr>
    <w:rPr>
      <w:rFonts w:ascii="Arial Unicode MS" w:eastAsia="Arial Unicode MS" w:hAnsi="Arial Unicode MS" w:cs="Arial Unicode MS"/>
      <w:color w:val="B6BDC0"/>
      <w:sz w:val="18"/>
      <w:szCs w:val="18"/>
    </w:rPr>
  </w:style>
  <w:style w:type="paragraph" w:customStyle="1" w:styleId="p3">
    <w:name w:val="p3"/>
    <w:basedOn w:val="a"/>
    <w:pPr>
      <w:spacing w:before="100" w:beforeAutospacing="1" w:after="100" w:afterAutospacing="1"/>
    </w:pPr>
    <w:rPr>
      <w:rFonts w:ascii="Arial Unicode MS" w:eastAsia="Arial Unicode MS" w:hAnsi="Arial Unicode MS" w:cs="Arial Unicode MS"/>
    </w:rPr>
  </w:style>
  <w:style w:type="paragraph" w:customStyle="1" w:styleId="p4">
    <w:name w:val="p4"/>
    <w:basedOn w:val="a"/>
    <w:pPr>
      <w:spacing w:before="100" w:beforeAutospacing="1" w:after="100" w:afterAutospacing="1" w:line="312" w:lineRule="auto"/>
    </w:pPr>
    <w:rPr>
      <w:rFonts w:ascii="Arial Unicode MS" w:eastAsia="Arial Unicode MS" w:hAnsi="Arial Unicode MS" w:cs="Arial Unicode MS"/>
    </w:rPr>
  </w:style>
  <w:style w:type="paragraph" w:customStyle="1" w:styleId="p5">
    <w:name w:val="p5"/>
    <w:basedOn w:val="a"/>
    <w:pPr>
      <w:spacing w:before="100" w:beforeAutospacing="1" w:after="100" w:afterAutospacing="1"/>
    </w:pPr>
    <w:rPr>
      <w:rFonts w:ascii="Arial" w:eastAsia="Arial Unicode MS" w:hAnsi="Arial" w:cs="Arial"/>
      <w:sz w:val="15"/>
      <w:szCs w:val="15"/>
    </w:rPr>
  </w:style>
  <w:style w:type="paragraph" w:customStyle="1" w:styleId="p6">
    <w:name w:val="p6"/>
    <w:basedOn w:val="a"/>
    <w:pPr>
      <w:spacing w:before="100" w:beforeAutospacing="1" w:after="100" w:afterAutospacing="1" w:line="384" w:lineRule="auto"/>
    </w:pPr>
    <w:rPr>
      <w:rFonts w:ascii="Arial Unicode MS" w:eastAsia="Arial Unicode MS" w:hAnsi="Arial Unicode MS" w:cs="Arial Unicode MS"/>
    </w:rPr>
  </w:style>
  <w:style w:type="paragraph" w:customStyle="1" w:styleId="p7">
    <w:name w:val="p7"/>
    <w:basedOn w:val="a"/>
    <w:pPr>
      <w:spacing w:before="100" w:beforeAutospacing="1" w:after="100" w:afterAutospacing="1" w:line="432" w:lineRule="auto"/>
    </w:pPr>
    <w:rPr>
      <w:rFonts w:ascii="Arial Unicode MS" w:eastAsia="Arial Unicode MS" w:hAnsi="Arial Unicode MS" w:cs="Arial Unicode MS"/>
    </w:rPr>
  </w:style>
  <w:style w:type="paragraph" w:customStyle="1" w:styleId="hot">
    <w:name w:val="hot"/>
    <w:basedOn w:val="a"/>
    <w:pPr>
      <w:spacing w:before="100" w:beforeAutospacing="1" w:after="100" w:afterAutospacing="1"/>
    </w:pPr>
    <w:rPr>
      <w:rFonts w:ascii="Arial Unicode MS" w:eastAsia="Arial Unicode MS" w:hAnsi="Arial Unicode MS" w:cs="Arial Unicode MS"/>
      <w:color w:val="FF3300"/>
    </w:rPr>
  </w:style>
  <w:style w:type="paragraph" w:customStyle="1" w:styleId="lb1">
    <w:name w:val="lb1"/>
    <w:basedOn w:val="a"/>
    <w:pPr>
      <w:spacing w:before="100" w:beforeAutospacing="1" w:after="100" w:afterAutospacing="1"/>
    </w:pPr>
    <w:rPr>
      <w:rFonts w:ascii="Arial Unicode MS" w:eastAsia="Arial Unicode MS" w:hAnsi="Arial Unicode MS" w:cs="Arial Unicode MS"/>
      <w:color w:val="0033CC"/>
    </w:rPr>
  </w:style>
  <w:style w:type="paragraph" w:customStyle="1" w:styleId="red">
    <w:name w:val="red"/>
    <w:basedOn w:val="a"/>
    <w:pPr>
      <w:spacing w:before="100" w:beforeAutospacing="1" w:after="100" w:afterAutospacing="1" w:line="360" w:lineRule="auto"/>
    </w:pPr>
    <w:rPr>
      <w:rFonts w:eastAsia="Arial Unicode MS"/>
      <w:b/>
      <w:bCs/>
      <w:color w:val="FD6602"/>
    </w:rPr>
  </w:style>
  <w:style w:type="paragraph" w:customStyle="1" w:styleId="pw">
    <w:name w:val="pw"/>
    <w:basedOn w:val="a"/>
    <w:pPr>
      <w:spacing w:before="100" w:beforeAutospacing="1" w:after="100" w:afterAutospacing="1"/>
    </w:pPr>
    <w:rPr>
      <w:rFonts w:ascii="Arial Unicode MS" w:eastAsia="Arial Unicode MS" w:hAnsi="Arial Unicode MS" w:cs="Arial Unicode MS"/>
      <w:b/>
      <w:bCs/>
      <w:color w:val="FFFFFF"/>
    </w:rPr>
  </w:style>
  <w:style w:type="paragraph" w:customStyle="1" w:styleId="sinput">
    <w:name w:val="sinput"/>
    <w:basedOn w:val="a"/>
    <w:pPr>
      <w:pBdr>
        <w:top w:val="threeDEmboss" w:sz="6" w:space="0" w:color="FFFFFF"/>
        <w:left w:val="threeDEmboss" w:sz="6" w:space="0" w:color="FFFFFF"/>
        <w:bottom w:val="threeDEmboss" w:sz="6" w:space="0" w:color="auto"/>
        <w:right w:val="threeDEmboss" w:sz="6" w:space="0" w:color="auto"/>
      </w:pBdr>
      <w:shd w:val="clear" w:color="auto" w:fill="CCCCCC"/>
      <w:spacing w:before="100" w:beforeAutospacing="1" w:after="100" w:afterAutospacing="1"/>
    </w:pPr>
    <w:rPr>
      <w:rFonts w:ascii="Arial Unicode MS" w:eastAsia="Arial Unicode MS" w:hAnsi="Arial Unicode MS" w:cs="Arial Unicode MS"/>
    </w:rPr>
  </w:style>
  <w:style w:type="paragraph" w:customStyle="1" w:styleId="ring">
    <w:name w:val="ring"/>
    <w:basedOn w:val="a"/>
    <w:pPr>
      <w:spacing w:before="100" w:beforeAutospacing="1" w:after="100" w:afterAutospacing="1"/>
    </w:pPr>
    <w:rPr>
      <w:rFonts w:ascii="Webdings" w:eastAsia="Arial Unicode MS" w:hAnsi="Webdings" w:cs="Arial Unicode MS"/>
      <w:color w:val="000066"/>
      <w:sz w:val="18"/>
      <w:szCs w:val="18"/>
    </w:rPr>
  </w:style>
  <w:style w:type="paragraph" w:customStyle="1" w:styleId="001">
    <w:name w:val="001"/>
    <w:basedOn w:val="a"/>
    <w:pPr>
      <w:spacing w:before="100" w:beforeAutospacing="1" w:after="100" w:afterAutospacing="1" w:line="312" w:lineRule="auto"/>
    </w:pPr>
    <w:rPr>
      <w:rFonts w:ascii="Arial Unicode MS" w:eastAsia="Arial Unicode MS" w:hAnsi="Arial Unicode MS" w:cs="Arial Unicode MS"/>
      <w:sz w:val="22"/>
      <w:szCs w:val="22"/>
    </w:rPr>
  </w:style>
  <w:style w:type="paragraph" w:customStyle="1" w:styleId="bei">
    <w:name w:val="bei"/>
    <w:basedOn w:val="a"/>
    <w:pPr>
      <w:spacing w:before="100" w:beforeAutospacing="1" w:after="100" w:afterAutospacing="1"/>
    </w:pPr>
    <w:rPr>
      <w:rFonts w:ascii="Arial Unicode MS" w:eastAsia="Arial Unicode MS" w:hAnsi="Arial Unicode MS" w:cs="Arial Unicode MS"/>
      <w:color w:val="FFFFFF"/>
      <w:sz w:val="18"/>
      <w:szCs w:val="18"/>
    </w:rPr>
  </w:style>
  <w:style w:type="paragraph" w:customStyle="1" w:styleId="001copy">
    <w:name w:val="001copy"/>
    <w:basedOn w:val="a"/>
    <w:pPr>
      <w:spacing w:before="100" w:beforeAutospacing="1" w:after="100" w:afterAutospacing="1" w:line="264" w:lineRule="auto"/>
    </w:pPr>
    <w:rPr>
      <w:rFonts w:ascii="Arial Unicode MS" w:eastAsia="Arial Unicode MS" w:hAnsi="Arial Unicode MS" w:cs="Arial Unicode MS"/>
      <w:b/>
      <w:bCs/>
      <w:color w:val="000066"/>
      <w:sz w:val="18"/>
      <w:szCs w:val="18"/>
    </w:rPr>
  </w:style>
  <w:style w:type="paragraph" w:customStyle="1" w:styleId="beicopy">
    <w:name w:val="beicopy"/>
    <w:basedOn w:val="a"/>
    <w:pPr>
      <w:spacing w:before="100" w:beforeAutospacing="1" w:after="100" w:afterAutospacing="1" w:line="264" w:lineRule="auto"/>
    </w:pPr>
    <w:rPr>
      <w:rFonts w:ascii="Arial Unicode MS" w:eastAsia="Arial Unicode MS" w:hAnsi="Arial Unicode MS" w:cs="Arial Unicode MS"/>
      <w:b/>
      <w:bCs/>
      <w:color w:val="FFFFFF"/>
      <w:sz w:val="18"/>
      <w:szCs w:val="18"/>
    </w:rPr>
  </w:style>
  <w:style w:type="paragraph" w:customStyle="1" w:styleId="hong">
    <w:name w:val="hong"/>
    <w:basedOn w:val="a"/>
    <w:pPr>
      <w:spacing w:before="100" w:beforeAutospacing="1" w:after="100" w:afterAutospacing="1"/>
    </w:pPr>
    <w:rPr>
      <w:rFonts w:ascii="Arial Unicode MS" w:eastAsia="Arial Unicode MS" w:hAnsi="Arial Unicode MS" w:cs="Arial Unicode MS"/>
      <w:b/>
      <w:bCs/>
      <w:color w:val="BC3385"/>
    </w:rPr>
  </w:style>
  <w:style w:type="paragraph" w:customStyle="1" w:styleId="green">
    <w:name w:val="green"/>
    <w:basedOn w:val="a"/>
    <w:pPr>
      <w:spacing w:before="100" w:beforeAutospacing="1" w:after="100" w:afterAutospacing="1"/>
    </w:pPr>
    <w:rPr>
      <w:rFonts w:ascii="Arial Unicode MS" w:eastAsia="Arial Unicode MS" w:hAnsi="Arial Unicode MS" w:cs="Arial Unicode MS"/>
      <w:b/>
      <w:bCs/>
      <w:color w:val="49752B"/>
      <w:sz w:val="18"/>
      <w:szCs w:val="18"/>
    </w:rPr>
  </w:style>
  <w:style w:type="paragraph" w:customStyle="1" w:styleId="hongcopy">
    <w:name w:val="hongcopy"/>
    <w:basedOn w:val="a"/>
    <w:pPr>
      <w:spacing w:before="100" w:beforeAutospacing="1" w:after="100" w:afterAutospacing="1"/>
    </w:pPr>
    <w:rPr>
      <w:rFonts w:ascii="Arial Unicode MS" w:eastAsia="Arial Unicode MS" w:hAnsi="Arial Unicode MS" w:cs="Arial Unicode MS"/>
      <w:b/>
      <w:bCs/>
      <w:color w:val="E85415"/>
      <w:sz w:val="18"/>
      <w:szCs w:val="18"/>
    </w:rPr>
  </w:style>
  <w:style w:type="paragraph" w:customStyle="1" w:styleId="hong-h">
    <w:name w:val="hong-h"/>
    <w:basedOn w:val="a"/>
    <w:pPr>
      <w:spacing w:before="100" w:beforeAutospacing="1" w:after="100" w:afterAutospacing="1"/>
    </w:pPr>
    <w:rPr>
      <w:rFonts w:ascii="Arial Unicode MS" w:eastAsia="Arial Unicode MS" w:hAnsi="Arial Unicode MS" w:cs="Arial Unicode MS"/>
      <w:color w:val="E85415"/>
      <w:sz w:val="18"/>
      <w:szCs w:val="18"/>
    </w:rPr>
  </w:style>
  <w:style w:type="paragraph" w:customStyle="1" w:styleId="110">
    <w:name w:val="11"/>
    <w:basedOn w:val="a"/>
    <w:pPr>
      <w:spacing w:before="100" w:beforeAutospacing="1" w:after="100" w:afterAutospacing="1"/>
    </w:pPr>
    <w:rPr>
      <w:rFonts w:ascii="Arial Unicode MS" w:eastAsia="Arial Unicode MS" w:hAnsi="Arial Unicode MS" w:cs="Arial Unicode MS"/>
      <w:sz w:val="22"/>
      <w:szCs w:val="22"/>
    </w:rPr>
  </w:style>
  <w:style w:type="paragraph" w:customStyle="1" w:styleId="f14l12">
    <w:name w:val="f14l12"/>
    <w:basedOn w:val="a"/>
    <w:pPr>
      <w:spacing w:before="100" w:beforeAutospacing="1" w:after="100" w:afterAutospacing="1" w:line="288" w:lineRule="auto"/>
    </w:pPr>
    <w:rPr>
      <w:rFonts w:ascii="Arial Unicode MS" w:eastAsia="Arial Unicode MS" w:hAnsi="Arial Unicode MS" w:cs="Arial Unicode MS"/>
      <w:szCs w:val="21"/>
    </w:rPr>
  </w:style>
  <w:style w:type="paragraph" w:customStyle="1" w:styleId="style1">
    <w:name w:val="style1"/>
    <w:basedOn w:val="a"/>
    <w:pPr>
      <w:spacing w:before="100" w:beforeAutospacing="1" w:after="100" w:afterAutospacing="1"/>
    </w:pPr>
    <w:rPr>
      <w:rFonts w:ascii="Arial Unicode MS" w:eastAsia="Arial Unicode MS" w:hAnsi="Arial Unicode MS" w:cs="Arial Unicode MS"/>
      <w:color w:val="000000"/>
    </w:rPr>
  </w:style>
  <w:style w:type="character" w:customStyle="1" w:styleId="whitebold1">
    <w:name w:val="whitebold1"/>
    <w:basedOn w:val="a0"/>
  </w:style>
  <w:style w:type="character" w:customStyle="1" w:styleId="title14">
    <w:name w:val="title14"/>
    <w:basedOn w:val="a0"/>
  </w:style>
  <w:style w:type="paragraph" w:styleId="32">
    <w:name w:val="Body Text 3"/>
    <w:basedOn w:val="a"/>
    <w:pPr>
      <w:spacing w:line="360" w:lineRule="auto"/>
    </w:pPr>
    <w:rPr>
      <w:rFonts w:ascii="仿宋_GB2312" w:eastAsia="仿宋_GB2312"/>
      <w:sz w:val="30"/>
    </w:rPr>
  </w:style>
  <w:style w:type="paragraph" w:styleId="af">
    <w:name w:val="Plain Text"/>
    <w:basedOn w:val="a"/>
    <w:rPr>
      <w:rFonts w:hAnsi="Courier New" w:cs="Courier New"/>
      <w:szCs w:val="21"/>
    </w:rPr>
  </w:style>
  <w:style w:type="paragraph" w:customStyle="1" w:styleId="Char2">
    <w:name w:val="Char"/>
    <w:basedOn w:val="a"/>
    <w:rsid w:val="00D96DC7"/>
    <w:rPr>
      <w:rFonts w:cs="Courier New"/>
      <w:sz w:val="32"/>
      <w:szCs w:val="32"/>
    </w:rPr>
  </w:style>
  <w:style w:type="character" w:customStyle="1" w:styleId="hei141">
    <w:name w:val="hei141"/>
    <w:rsid w:val="000D0DCE"/>
    <w:rPr>
      <w:color w:val="000000"/>
      <w:sz w:val="28"/>
      <w:szCs w:val="28"/>
    </w:rPr>
  </w:style>
  <w:style w:type="table" w:styleId="af0">
    <w:name w:val="Table Grid"/>
    <w:basedOn w:val="a1"/>
    <w:uiPriority w:val="39"/>
    <w:qFormat/>
    <w:rsid w:val="00E1548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List Paragraph"/>
    <w:basedOn w:val="a"/>
    <w:uiPriority w:val="34"/>
    <w:qFormat/>
    <w:rsid w:val="00F90B5A"/>
    <w:pPr>
      <w:ind w:firstLineChars="200" w:firstLine="420"/>
    </w:pPr>
  </w:style>
  <w:style w:type="character" w:customStyle="1" w:styleId="currentpricefontstylesp">
    <w:name w:val="currentprice fontstyle_sp"/>
    <w:basedOn w:val="a0"/>
    <w:rsid w:val="00985627"/>
  </w:style>
  <w:style w:type="paragraph" w:customStyle="1" w:styleId="Char10">
    <w:name w:val="Char1"/>
    <w:basedOn w:val="a"/>
    <w:rsid w:val="00577571"/>
    <w:rPr>
      <w:rFonts w:ascii="Tahoma" w:hAnsi="Tahoma"/>
      <w:szCs w:val="20"/>
    </w:rPr>
  </w:style>
  <w:style w:type="paragraph" w:customStyle="1" w:styleId="yiv73721737msonormal">
    <w:name w:val="yiv73721737msonormal"/>
    <w:basedOn w:val="a"/>
    <w:rsid w:val="00B63837"/>
    <w:pPr>
      <w:spacing w:before="100" w:beforeAutospacing="1" w:after="100" w:afterAutospacing="1"/>
    </w:pPr>
  </w:style>
  <w:style w:type="character" w:customStyle="1" w:styleId="apple-style-span">
    <w:name w:val="apple-style-span"/>
    <w:basedOn w:val="a0"/>
    <w:rsid w:val="00D6275D"/>
  </w:style>
  <w:style w:type="paragraph" w:customStyle="1" w:styleId="yiv409727469msonormal">
    <w:name w:val="yiv409727469msonormal"/>
    <w:basedOn w:val="a"/>
    <w:rsid w:val="00767F26"/>
    <w:pPr>
      <w:spacing w:before="100" w:beforeAutospacing="1" w:after="100" w:afterAutospacing="1"/>
    </w:pPr>
  </w:style>
  <w:style w:type="paragraph" w:customStyle="1" w:styleId="largefont">
    <w:name w:val="largefont"/>
    <w:basedOn w:val="a"/>
    <w:rsid w:val="00D87EAB"/>
    <w:pPr>
      <w:spacing w:before="100" w:beforeAutospacing="1" w:after="100" w:afterAutospacing="1" w:line="360" w:lineRule="auto"/>
      <w:ind w:firstLine="480"/>
    </w:pPr>
  </w:style>
  <w:style w:type="paragraph" w:customStyle="1" w:styleId="yiv129177480msonormal">
    <w:name w:val="yiv129177480msonormal"/>
    <w:basedOn w:val="a"/>
    <w:rsid w:val="00960448"/>
    <w:pPr>
      <w:spacing w:before="100" w:beforeAutospacing="1" w:after="100" w:afterAutospacing="1"/>
    </w:pPr>
  </w:style>
  <w:style w:type="character" w:customStyle="1" w:styleId="apple-converted-space">
    <w:name w:val="apple-converted-space"/>
    <w:basedOn w:val="a0"/>
    <w:rsid w:val="00960448"/>
  </w:style>
  <w:style w:type="paragraph" w:customStyle="1" w:styleId="12">
    <w:name w:val="列出段落1"/>
    <w:basedOn w:val="a"/>
    <w:uiPriority w:val="99"/>
    <w:rsid w:val="00255C9B"/>
    <w:pPr>
      <w:ind w:firstLineChars="200" w:firstLine="420"/>
    </w:pPr>
    <w:rPr>
      <w:rFonts w:ascii="Calibri" w:hAnsi="Calibri"/>
      <w:szCs w:val="22"/>
    </w:rPr>
  </w:style>
  <w:style w:type="character" w:customStyle="1" w:styleId="HeaderChar">
    <w:name w:val="Header Char"/>
    <w:uiPriority w:val="99"/>
    <w:semiHidden/>
    <w:locked/>
    <w:rsid w:val="00FE4DE6"/>
    <w:rPr>
      <w:rFonts w:cs="Times New Roman"/>
      <w:sz w:val="18"/>
      <w:szCs w:val="18"/>
    </w:rPr>
  </w:style>
  <w:style w:type="character" w:customStyle="1" w:styleId="FooterChar">
    <w:name w:val="Footer Char"/>
    <w:uiPriority w:val="99"/>
    <w:semiHidden/>
    <w:locked/>
    <w:rsid w:val="00FE4DE6"/>
    <w:rPr>
      <w:rFonts w:cs="Times New Roman"/>
      <w:sz w:val="18"/>
      <w:szCs w:val="18"/>
    </w:rPr>
  </w:style>
  <w:style w:type="character" w:customStyle="1" w:styleId="BalloonTextChar">
    <w:name w:val="Balloon Text Char"/>
    <w:uiPriority w:val="99"/>
    <w:semiHidden/>
    <w:locked/>
    <w:rsid w:val="00FE4DE6"/>
    <w:rPr>
      <w:rFonts w:cs="Times New Roman"/>
      <w:sz w:val="2"/>
    </w:rPr>
  </w:style>
  <w:style w:type="character" w:customStyle="1" w:styleId="13">
    <w:name w:val="已访问的超链接1"/>
    <w:uiPriority w:val="99"/>
    <w:rsid w:val="00FE4DE6"/>
    <w:rPr>
      <w:rFonts w:cs="Times New Roman"/>
      <w:color w:val="800080"/>
      <w:u w:val="single"/>
    </w:rPr>
  </w:style>
  <w:style w:type="paragraph" w:styleId="af2">
    <w:name w:val="caption"/>
    <w:basedOn w:val="a"/>
    <w:next w:val="a"/>
    <w:uiPriority w:val="99"/>
    <w:rsid w:val="00FE4DE6"/>
    <w:rPr>
      <w:rFonts w:ascii="Cambria" w:eastAsia="黑体" w:hAnsi="Cambria"/>
      <w:sz w:val="20"/>
      <w:szCs w:val="20"/>
    </w:rPr>
  </w:style>
  <w:style w:type="character" w:customStyle="1" w:styleId="scol41">
    <w:name w:val="s_col41"/>
    <w:rsid w:val="00FE4DE6"/>
    <w:rPr>
      <w:color w:val="CC0104"/>
    </w:rPr>
  </w:style>
  <w:style w:type="character" w:styleId="af3">
    <w:name w:val="Emphasis"/>
    <w:uiPriority w:val="20"/>
    <w:qFormat/>
    <w:rsid w:val="00FE4DE6"/>
    <w:rPr>
      <w:rFonts w:ascii="Calibri" w:hAnsi="Calibri"/>
      <w:b/>
      <w:i/>
      <w:iCs/>
    </w:rPr>
  </w:style>
  <w:style w:type="character" w:customStyle="1" w:styleId="zib">
    <w:name w:val="zib"/>
    <w:rsid w:val="00FE4DE6"/>
  </w:style>
  <w:style w:type="paragraph" w:customStyle="1" w:styleId="Default">
    <w:name w:val="Default"/>
    <w:rsid w:val="00FE4DE6"/>
    <w:pPr>
      <w:widowControl w:val="0"/>
      <w:autoSpaceDE w:val="0"/>
      <w:autoSpaceDN w:val="0"/>
      <w:adjustRightInd w:val="0"/>
    </w:pPr>
    <w:rPr>
      <w:rFonts w:ascii="Wingdings" w:hAnsi="Wingdings" w:cs="Wingdings"/>
      <w:color w:val="000000"/>
      <w:sz w:val="24"/>
      <w:szCs w:val="24"/>
    </w:rPr>
  </w:style>
  <w:style w:type="paragraph" w:styleId="af4">
    <w:name w:val="Date"/>
    <w:basedOn w:val="a"/>
    <w:next w:val="a"/>
    <w:link w:val="Char3"/>
    <w:uiPriority w:val="99"/>
    <w:unhideWhenUsed/>
    <w:rsid w:val="00FE4DE6"/>
    <w:pPr>
      <w:ind w:leftChars="2500" w:left="100"/>
    </w:pPr>
    <w:rPr>
      <w:rFonts w:ascii="Calibri" w:hAnsi="Calibri"/>
    </w:rPr>
  </w:style>
  <w:style w:type="character" w:customStyle="1" w:styleId="Char3">
    <w:name w:val="日期 Char"/>
    <w:link w:val="af4"/>
    <w:uiPriority w:val="99"/>
    <w:rsid w:val="00FE4DE6"/>
    <w:rPr>
      <w:rFonts w:ascii="Calibri" w:hAnsi="Calibri"/>
      <w:sz w:val="24"/>
      <w:szCs w:val="24"/>
    </w:rPr>
  </w:style>
  <w:style w:type="paragraph" w:styleId="af5">
    <w:name w:val="Title"/>
    <w:basedOn w:val="a"/>
    <w:next w:val="a"/>
    <w:link w:val="Char4"/>
    <w:uiPriority w:val="10"/>
    <w:qFormat/>
    <w:rsid w:val="00FE4DE6"/>
    <w:pPr>
      <w:spacing w:before="240" w:after="60"/>
      <w:jc w:val="center"/>
      <w:outlineLvl w:val="0"/>
    </w:pPr>
    <w:rPr>
      <w:rFonts w:ascii="Cambria" w:hAnsi="Cambria"/>
      <w:b/>
      <w:bCs/>
      <w:kern w:val="28"/>
      <w:sz w:val="32"/>
      <w:szCs w:val="32"/>
    </w:rPr>
  </w:style>
  <w:style w:type="character" w:customStyle="1" w:styleId="Char4">
    <w:name w:val="标题 Char"/>
    <w:link w:val="af5"/>
    <w:uiPriority w:val="10"/>
    <w:rsid w:val="00FE4DE6"/>
    <w:rPr>
      <w:rFonts w:ascii="Cambria" w:hAnsi="Cambria"/>
      <w:b/>
      <w:bCs/>
      <w:kern w:val="28"/>
      <w:sz w:val="32"/>
      <w:szCs w:val="32"/>
    </w:rPr>
  </w:style>
  <w:style w:type="paragraph" w:styleId="af6">
    <w:name w:val="Subtitle"/>
    <w:basedOn w:val="a"/>
    <w:next w:val="a"/>
    <w:link w:val="Char5"/>
    <w:uiPriority w:val="11"/>
    <w:qFormat/>
    <w:rsid w:val="00FE4DE6"/>
    <w:pPr>
      <w:spacing w:after="60"/>
      <w:jc w:val="center"/>
      <w:outlineLvl w:val="1"/>
    </w:pPr>
    <w:rPr>
      <w:rFonts w:ascii="Cambria" w:hAnsi="Cambria"/>
    </w:rPr>
  </w:style>
  <w:style w:type="character" w:customStyle="1" w:styleId="Char5">
    <w:name w:val="副标题 Char"/>
    <w:link w:val="af6"/>
    <w:uiPriority w:val="11"/>
    <w:rsid w:val="00FE4DE6"/>
    <w:rPr>
      <w:rFonts w:ascii="Cambria" w:hAnsi="Cambria"/>
      <w:sz w:val="24"/>
      <w:szCs w:val="24"/>
    </w:rPr>
  </w:style>
  <w:style w:type="paragraph" w:styleId="af7">
    <w:name w:val="No Spacing"/>
    <w:basedOn w:val="a"/>
    <w:uiPriority w:val="1"/>
    <w:qFormat/>
    <w:rsid w:val="00FE4DE6"/>
    <w:rPr>
      <w:rFonts w:ascii="Calibri" w:hAnsi="Calibri"/>
      <w:szCs w:val="32"/>
    </w:rPr>
  </w:style>
  <w:style w:type="paragraph" w:styleId="af8">
    <w:name w:val="Quote"/>
    <w:basedOn w:val="a"/>
    <w:next w:val="a"/>
    <w:link w:val="Char6"/>
    <w:uiPriority w:val="29"/>
    <w:qFormat/>
    <w:rsid w:val="00FE4DE6"/>
    <w:rPr>
      <w:rFonts w:ascii="Calibri" w:hAnsi="Calibri"/>
      <w:i/>
    </w:rPr>
  </w:style>
  <w:style w:type="character" w:customStyle="1" w:styleId="Char6">
    <w:name w:val="引用 Char"/>
    <w:link w:val="af8"/>
    <w:uiPriority w:val="29"/>
    <w:rsid w:val="00FE4DE6"/>
    <w:rPr>
      <w:rFonts w:ascii="Calibri" w:hAnsi="Calibri"/>
      <w:i/>
      <w:sz w:val="24"/>
      <w:szCs w:val="24"/>
    </w:rPr>
  </w:style>
  <w:style w:type="paragraph" w:styleId="af9">
    <w:name w:val="Intense Quote"/>
    <w:basedOn w:val="a"/>
    <w:next w:val="a"/>
    <w:link w:val="Char7"/>
    <w:uiPriority w:val="30"/>
    <w:qFormat/>
    <w:rsid w:val="00FE4DE6"/>
    <w:pPr>
      <w:ind w:left="720" w:right="720"/>
    </w:pPr>
    <w:rPr>
      <w:rFonts w:ascii="Calibri" w:hAnsi="Calibri"/>
      <w:b/>
      <w:i/>
      <w:szCs w:val="22"/>
    </w:rPr>
  </w:style>
  <w:style w:type="character" w:customStyle="1" w:styleId="Char7">
    <w:name w:val="明显引用 Char"/>
    <w:link w:val="af9"/>
    <w:uiPriority w:val="30"/>
    <w:rsid w:val="00FE4DE6"/>
    <w:rPr>
      <w:rFonts w:ascii="Calibri" w:hAnsi="Calibri"/>
      <w:b/>
      <w:i/>
      <w:sz w:val="24"/>
      <w:szCs w:val="22"/>
    </w:rPr>
  </w:style>
  <w:style w:type="character" w:styleId="afa">
    <w:name w:val="Subtle Emphasis"/>
    <w:uiPriority w:val="19"/>
    <w:qFormat/>
    <w:rsid w:val="00FE4DE6"/>
    <w:rPr>
      <w:i/>
      <w:color w:val="5A5A5A"/>
    </w:rPr>
  </w:style>
  <w:style w:type="character" w:styleId="afb">
    <w:name w:val="Intense Emphasis"/>
    <w:uiPriority w:val="21"/>
    <w:qFormat/>
    <w:rsid w:val="00FE4DE6"/>
    <w:rPr>
      <w:b/>
      <w:i/>
      <w:sz w:val="24"/>
      <w:szCs w:val="24"/>
      <w:u w:val="single"/>
    </w:rPr>
  </w:style>
  <w:style w:type="character" w:styleId="afc">
    <w:name w:val="Subtle Reference"/>
    <w:uiPriority w:val="31"/>
    <w:qFormat/>
    <w:rsid w:val="00FE4DE6"/>
    <w:rPr>
      <w:sz w:val="24"/>
      <w:szCs w:val="24"/>
      <w:u w:val="single"/>
    </w:rPr>
  </w:style>
  <w:style w:type="character" w:styleId="afd">
    <w:name w:val="Intense Reference"/>
    <w:uiPriority w:val="32"/>
    <w:qFormat/>
    <w:rsid w:val="00FE4DE6"/>
    <w:rPr>
      <w:b/>
      <w:sz w:val="24"/>
      <w:u w:val="single"/>
    </w:rPr>
  </w:style>
  <w:style w:type="character" w:styleId="afe">
    <w:name w:val="Book Title"/>
    <w:uiPriority w:val="33"/>
    <w:qFormat/>
    <w:rsid w:val="00FE4DE6"/>
    <w:rPr>
      <w:rFonts w:ascii="Cambria" w:eastAsia="宋体" w:hAnsi="Cambria"/>
      <w:b/>
      <w:i/>
      <w:sz w:val="24"/>
      <w:szCs w:val="24"/>
    </w:rPr>
  </w:style>
  <w:style w:type="paragraph" w:styleId="TOC">
    <w:name w:val="TOC Heading"/>
    <w:basedOn w:val="1"/>
    <w:next w:val="a"/>
    <w:uiPriority w:val="39"/>
    <w:semiHidden/>
    <w:unhideWhenUsed/>
    <w:qFormat/>
    <w:rsid w:val="00FE4DE6"/>
    <w:pPr>
      <w:keepLines w:val="0"/>
      <w:adjustRightInd/>
      <w:snapToGrid/>
      <w:spacing w:before="240" w:after="60" w:line="240" w:lineRule="auto"/>
      <w:jc w:val="left"/>
      <w:outlineLvl w:val="9"/>
    </w:pPr>
    <w:rPr>
      <w:rFonts w:ascii="Cambria" w:hAnsi="Cambria"/>
      <w:bCs/>
      <w:kern w:val="32"/>
      <w:sz w:val="32"/>
      <w:szCs w:val="32"/>
    </w:rPr>
  </w:style>
  <w:style w:type="paragraph" w:customStyle="1" w:styleId="secpagenrtitle">
    <w:name w:val="sec_page_nr_title"/>
    <w:basedOn w:val="a"/>
    <w:rsid w:val="00FE4DE6"/>
    <w:pPr>
      <w:spacing w:before="100" w:beforeAutospacing="1" w:after="115" w:line="360" w:lineRule="auto"/>
      <w:jc w:val="center"/>
    </w:pPr>
    <w:rPr>
      <w:b/>
      <w:bCs/>
      <w:color w:val="005FBE"/>
      <w:sz w:val="23"/>
      <w:szCs w:val="23"/>
    </w:rPr>
  </w:style>
  <w:style w:type="character" w:styleId="aff">
    <w:name w:val="annotation reference"/>
    <w:uiPriority w:val="99"/>
    <w:rsid w:val="003E3FC3"/>
    <w:rPr>
      <w:sz w:val="21"/>
      <w:szCs w:val="21"/>
    </w:rPr>
  </w:style>
  <w:style w:type="paragraph" w:styleId="aff0">
    <w:name w:val="annotation text"/>
    <w:basedOn w:val="a"/>
    <w:link w:val="Char8"/>
    <w:uiPriority w:val="99"/>
    <w:rsid w:val="003E3FC3"/>
  </w:style>
  <w:style w:type="character" w:customStyle="1" w:styleId="Char8">
    <w:name w:val="批注文字 Char"/>
    <w:link w:val="aff0"/>
    <w:uiPriority w:val="99"/>
    <w:rsid w:val="003E3FC3"/>
    <w:rPr>
      <w:kern w:val="2"/>
      <w:sz w:val="21"/>
      <w:szCs w:val="24"/>
    </w:rPr>
  </w:style>
  <w:style w:type="paragraph" w:styleId="aff1">
    <w:name w:val="annotation subject"/>
    <w:basedOn w:val="aff0"/>
    <w:next w:val="aff0"/>
    <w:link w:val="Char9"/>
    <w:rsid w:val="003E3FC3"/>
    <w:rPr>
      <w:b/>
      <w:bCs/>
    </w:rPr>
  </w:style>
  <w:style w:type="character" w:customStyle="1" w:styleId="Char9">
    <w:name w:val="批注主题 Char"/>
    <w:link w:val="aff1"/>
    <w:rsid w:val="003E3FC3"/>
    <w:rPr>
      <w:b/>
      <w:bCs/>
      <w:kern w:val="2"/>
      <w:sz w:val="21"/>
      <w:szCs w:val="24"/>
    </w:rPr>
  </w:style>
  <w:style w:type="paragraph" w:styleId="aff2">
    <w:name w:val="Revision"/>
    <w:hidden/>
    <w:uiPriority w:val="99"/>
    <w:semiHidden/>
    <w:rsid w:val="006A0CBC"/>
    <w:rPr>
      <w:kern w:val="2"/>
      <w:sz w:val="21"/>
      <w:szCs w:val="24"/>
    </w:rPr>
  </w:style>
  <w:style w:type="table" w:styleId="14">
    <w:name w:val="Table Classic 1"/>
    <w:basedOn w:val="a1"/>
    <w:rsid w:val="0023591B"/>
    <w:pPr>
      <w:widowControl w:val="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3">
    <w:name w:val="Table 3D effects 3"/>
    <w:basedOn w:val="a1"/>
    <w:rsid w:val="0023591B"/>
    <w:pPr>
      <w:widowControl w:val="0"/>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3">
    <w:name w:val="Table Classic 2"/>
    <w:basedOn w:val="a1"/>
    <w:rsid w:val="0023591B"/>
    <w:pPr>
      <w:widowControl w:val="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aff3">
    <w:name w:val="Table Theme"/>
    <w:basedOn w:val="a1"/>
    <w:rsid w:val="00F646F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5">
    <w:name w:val="未处理的提及1"/>
    <w:uiPriority w:val="99"/>
    <w:semiHidden/>
    <w:unhideWhenUsed/>
    <w:rsid w:val="00B13994"/>
    <w:rPr>
      <w:color w:val="605E5C"/>
      <w:shd w:val="clear" w:color="auto" w:fill="E1DFDD"/>
    </w:rPr>
  </w:style>
  <w:style w:type="paragraph" w:customStyle="1" w:styleId="section">
    <w:name w:val="section"/>
    <w:basedOn w:val="a"/>
    <w:rsid w:val="009A481C"/>
    <w:pPr>
      <w:spacing w:before="100" w:beforeAutospacing="1" w:after="100" w:afterAutospacing="1"/>
    </w:pPr>
  </w:style>
  <w:style w:type="character" w:customStyle="1" w:styleId="lingraydarknoline1">
    <w:name w:val="lingraydark_noline1"/>
    <w:rsid w:val="00717207"/>
    <w:rPr>
      <w:color w:val="333333"/>
      <w:sz w:val="18"/>
      <w:szCs w:val="18"/>
    </w:rPr>
  </w:style>
  <w:style w:type="character" w:customStyle="1" w:styleId="font11">
    <w:name w:val="font11"/>
    <w:qFormat/>
    <w:rsid w:val="00552FB4"/>
    <w:rPr>
      <w:rFonts w:ascii="微软雅黑" w:eastAsia="微软雅黑" w:hAnsi="微软雅黑" w:cs="微软雅黑" w:hint="eastAsia"/>
      <w:color w:val="000000"/>
      <w:sz w:val="18"/>
      <w:szCs w:val="18"/>
      <w:u w: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14248">
      <w:bodyDiv w:val="1"/>
      <w:marLeft w:val="0"/>
      <w:marRight w:val="0"/>
      <w:marTop w:val="0"/>
      <w:marBottom w:val="0"/>
      <w:divBdr>
        <w:top w:val="none" w:sz="0" w:space="0" w:color="auto"/>
        <w:left w:val="none" w:sz="0" w:space="0" w:color="auto"/>
        <w:bottom w:val="none" w:sz="0" w:space="0" w:color="auto"/>
        <w:right w:val="none" w:sz="0" w:space="0" w:color="auto"/>
      </w:divBdr>
      <w:divsChild>
        <w:div w:id="489906967">
          <w:marLeft w:val="0"/>
          <w:marRight w:val="0"/>
          <w:marTop w:val="0"/>
          <w:marBottom w:val="0"/>
          <w:divBdr>
            <w:top w:val="none" w:sz="0" w:space="0" w:color="auto"/>
            <w:left w:val="none" w:sz="0" w:space="0" w:color="auto"/>
            <w:bottom w:val="none" w:sz="0" w:space="0" w:color="auto"/>
            <w:right w:val="none" w:sz="0" w:space="0" w:color="auto"/>
          </w:divBdr>
          <w:divsChild>
            <w:div w:id="219638752">
              <w:marLeft w:val="0"/>
              <w:marRight w:val="0"/>
              <w:marTop w:val="0"/>
              <w:marBottom w:val="0"/>
              <w:divBdr>
                <w:top w:val="none" w:sz="0" w:space="0" w:color="auto"/>
                <w:left w:val="none" w:sz="0" w:space="0" w:color="auto"/>
                <w:bottom w:val="none" w:sz="0" w:space="0" w:color="auto"/>
                <w:right w:val="none" w:sz="0" w:space="0" w:color="auto"/>
              </w:divBdr>
              <w:divsChild>
                <w:div w:id="1444303731">
                  <w:marLeft w:val="0"/>
                  <w:marRight w:val="0"/>
                  <w:marTop w:val="0"/>
                  <w:marBottom w:val="0"/>
                  <w:divBdr>
                    <w:top w:val="none" w:sz="0" w:space="0" w:color="auto"/>
                    <w:left w:val="none" w:sz="0" w:space="0" w:color="auto"/>
                    <w:bottom w:val="none" w:sz="0" w:space="0" w:color="auto"/>
                    <w:right w:val="none" w:sz="0" w:space="0" w:color="auto"/>
                  </w:divBdr>
                  <w:divsChild>
                    <w:div w:id="403189011">
                      <w:marLeft w:val="0"/>
                      <w:marRight w:val="0"/>
                      <w:marTop w:val="0"/>
                      <w:marBottom w:val="0"/>
                      <w:divBdr>
                        <w:top w:val="single" w:sz="8" w:space="0" w:color="AEAEAE"/>
                        <w:left w:val="single" w:sz="8" w:space="0" w:color="AEAEAE"/>
                        <w:bottom w:val="single" w:sz="8" w:space="0" w:color="AEAEAE"/>
                        <w:right w:val="single" w:sz="8" w:space="0" w:color="AEAEAE"/>
                      </w:divBdr>
                      <w:divsChild>
                        <w:div w:id="1345009094">
                          <w:marLeft w:val="0"/>
                          <w:marRight w:val="0"/>
                          <w:marTop w:val="0"/>
                          <w:marBottom w:val="0"/>
                          <w:divBdr>
                            <w:top w:val="none" w:sz="0" w:space="0" w:color="auto"/>
                            <w:left w:val="none" w:sz="0" w:space="0" w:color="auto"/>
                            <w:bottom w:val="none" w:sz="0" w:space="0" w:color="auto"/>
                            <w:right w:val="none" w:sz="0" w:space="0" w:color="auto"/>
                          </w:divBdr>
                          <w:divsChild>
                            <w:div w:id="707224652">
                              <w:marLeft w:val="0"/>
                              <w:marRight w:val="0"/>
                              <w:marTop w:val="0"/>
                              <w:marBottom w:val="0"/>
                              <w:divBdr>
                                <w:top w:val="none" w:sz="0" w:space="0" w:color="auto"/>
                                <w:left w:val="none" w:sz="0" w:space="0" w:color="auto"/>
                                <w:bottom w:val="none" w:sz="0" w:space="0" w:color="auto"/>
                                <w:right w:val="none" w:sz="0" w:space="0" w:color="auto"/>
                              </w:divBdr>
                              <w:divsChild>
                                <w:div w:id="1889218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589302">
      <w:bodyDiv w:val="1"/>
      <w:marLeft w:val="0"/>
      <w:marRight w:val="0"/>
      <w:marTop w:val="0"/>
      <w:marBottom w:val="0"/>
      <w:divBdr>
        <w:top w:val="none" w:sz="0" w:space="0" w:color="auto"/>
        <w:left w:val="none" w:sz="0" w:space="0" w:color="auto"/>
        <w:bottom w:val="none" w:sz="0" w:space="0" w:color="auto"/>
        <w:right w:val="none" w:sz="0" w:space="0" w:color="auto"/>
      </w:divBdr>
    </w:div>
    <w:div w:id="21519373">
      <w:bodyDiv w:val="1"/>
      <w:marLeft w:val="0"/>
      <w:marRight w:val="0"/>
      <w:marTop w:val="0"/>
      <w:marBottom w:val="0"/>
      <w:divBdr>
        <w:top w:val="none" w:sz="0" w:space="0" w:color="auto"/>
        <w:left w:val="none" w:sz="0" w:space="0" w:color="auto"/>
        <w:bottom w:val="none" w:sz="0" w:space="0" w:color="auto"/>
        <w:right w:val="none" w:sz="0" w:space="0" w:color="auto"/>
      </w:divBdr>
    </w:div>
    <w:div w:id="25564983">
      <w:bodyDiv w:val="1"/>
      <w:marLeft w:val="0"/>
      <w:marRight w:val="0"/>
      <w:marTop w:val="0"/>
      <w:marBottom w:val="0"/>
      <w:divBdr>
        <w:top w:val="none" w:sz="0" w:space="0" w:color="auto"/>
        <w:left w:val="none" w:sz="0" w:space="0" w:color="auto"/>
        <w:bottom w:val="none" w:sz="0" w:space="0" w:color="auto"/>
        <w:right w:val="none" w:sz="0" w:space="0" w:color="auto"/>
      </w:divBdr>
      <w:divsChild>
        <w:div w:id="1014917234">
          <w:marLeft w:val="0"/>
          <w:marRight w:val="0"/>
          <w:marTop w:val="0"/>
          <w:marBottom w:val="0"/>
          <w:divBdr>
            <w:top w:val="none" w:sz="0" w:space="0" w:color="auto"/>
            <w:left w:val="none" w:sz="0" w:space="0" w:color="auto"/>
            <w:bottom w:val="none" w:sz="0" w:space="0" w:color="auto"/>
            <w:right w:val="none" w:sz="0" w:space="0" w:color="auto"/>
          </w:divBdr>
          <w:divsChild>
            <w:div w:id="1348868429">
              <w:marLeft w:val="0"/>
              <w:marRight w:val="0"/>
              <w:marTop w:val="411"/>
              <w:marBottom w:val="0"/>
              <w:divBdr>
                <w:top w:val="none" w:sz="0" w:space="0" w:color="auto"/>
                <w:left w:val="none" w:sz="0" w:space="0" w:color="auto"/>
                <w:bottom w:val="none" w:sz="0" w:space="0" w:color="auto"/>
                <w:right w:val="none" w:sz="0" w:space="0" w:color="auto"/>
              </w:divBdr>
              <w:divsChild>
                <w:div w:id="1672952888">
                  <w:marLeft w:val="0"/>
                  <w:marRight w:val="0"/>
                  <w:marTop w:val="0"/>
                  <w:marBottom w:val="0"/>
                  <w:divBdr>
                    <w:top w:val="none" w:sz="0" w:space="0" w:color="auto"/>
                    <w:left w:val="none" w:sz="0" w:space="0" w:color="auto"/>
                    <w:bottom w:val="none" w:sz="0" w:space="0" w:color="auto"/>
                    <w:right w:val="none" w:sz="0" w:space="0" w:color="auto"/>
                  </w:divBdr>
                  <w:divsChild>
                    <w:div w:id="704870971">
                      <w:marLeft w:val="79"/>
                      <w:marRight w:val="79"/>
                      <w:marTop w:val="0"/>
                      <w:marBottom w:val="0"/>
                      <w:divBdr>
                        <w:top w:val="none" w:sz="0" w:space="0" w:color="auto"/>
                        <w:left w:val="none" w:sz="0" w:space="0" w:color="auto"/>
                        <w:bottom w:val="none" w:sz="0" w:space="0" w:color="auto"/>
                        <w:right w:val="none" w:sz="0" w:space="0" w:color="auto"/>
                      </w:divBdr>
                      <w:divsChild>
                        <w:div w:id="1592009111">
                          <w:marLeft w:val="0"/>
                          <w:marRight w:val="0"/>
                          <w:marTop w:val="0"/>
                          <w:marBottom w:val="0"/>
                          <w:divBdr>
                            <w:top w:val="dashed" w:sz="6" w:space="0" w:color="DDDDDD"/>
                            <w:left w:val="none" w:sz="0" w:space="0" w:color="auto"/>
                            <w:bottom w:val="none" w:sz="0" w:space="0" w:color="auto"/>
                            <w:right w:val="none" w:sz="0" w:space="0" w:color="auto"/>
                          </w:divBdr>
                          <w:divsChild>
                            <w:div w:id="1452557496">
                              <w:marLeft w:val="0"/>
                              <w:marRight w:val="0"/>
                              <w:marTop w:val="0"/>
                              <w:marBottom w:val="0"/>
                              <w:divBdr>
                                <w:top w:val="none" w:sz="0" w:space="0" w:color="auto"/>
                                <w:left w:val="none" w:sz="0" w:space="0" w:color="auto"/>
                                <w:bottom w:val="none" w:sz="0" w:space="0" w:color="auto"/>
                                <w:right w:val="none" w:sz="0" w:space="0" w:color="auto"/>
                              </w:divBdr>
                              <w:divsChild>
                                <w:div w:id="1058210952">
                                  <w:marLeft w:val="0"/>
                                  <w:marRight w:val="0"/>
                                  <w:marTop w:val="79"/>
                                  <w:marBottom w:val="79"/>
                                  <w:divBdr>
                                    <w:top w:val="none" w:sz="0" w:space="0" w:color="auto"/>
                                    <w:left w:val="none" w:sz="0" w:space="0" w:color="auto"/>
                                    <w:bottom w:val="none" w:sz="0" w:space="0" w:color="auto"/>
                                    <w:right w:val="none" w:sz="0" w:space="0" w:color="auto"/>
                                  </w:divBdr>
                                  <w:divsChild>
                                    <w:div w:id="865026011">
                                      <w:marLeft w:val="0"/>
                                      <w:marRight w:val="0"/>
                                      <w:marTop w:val="0"/>
                                      <w:marBottom w:val="0"/>
                                      <w:divBdr>
                                        <w:top w:val="none" w:sz="0" w:space="0" w:color="auto"/>
                                        <w:left w:val="none" w:sz="0" w:space="0" w:color="auto"/>
                                        <w:bottom w:val="none" w:sz="0" w:space="0" w:color="auto"/>
                                        <w:right w:val="none" w:sz="0" w:space="0" w:color="auto"/>
                                      </w:divBdr>
                                      <w:divsChild>
                                        <w:div w:id="701783908">
                                          <w:marLeft w:val="554"/>
                                          <w:marRight w:val="0"/>
                                          <w:marTop w:val="0"/>
                                          <w:marBottom w:val="0"/>
                                          <w:divBdr>
                                            <w:top w:val="none" w:sz="0" w:space="0" w:color="auto"/>
                                            <w:left w:val="none" w:sz="0" w:space="0" w:color="auto"/>
                                            <w:bottom w:val="none" w:sz="0" w:space="0" w:color="auto"/>
                                            <w:right w:val="none" w:sz="0" w:space="0" w:color="auto"/>
                                          </w:divBdr>
                                          <w:divsChild>
                                            <w:div w:id="587276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4745830">
      <w:bodyDiv w:val="1"/>
      <w:marLeft w:val="0"/>
      <w:marRight w:val="0"/>
      <w:marTop w:val="0"/>
      <w:marBottom w:val="0"/>
      <w:divBdr>
        <w:top w:val="none" w:sz="0" w:space="0" w:color="auto"/>
        <w:left w:val="none" w:sz="0" w:space="0" w:color="auto"/>
        <w:bottom w:val="none" w:sz="0" w:space="0" w:color="auto"/>
        <w:right w:val="none" w:sz="0" w:space="0" w:color="auto"/>
      </w:divBdr>
    </w:div>
    <w:div w:id="41515499">
      <w:bodyDiv w:val="1"/>
      <w:marLeft w:val="0"/>
      <w:marRight w:val="0"/>
      <w:marTop w:val="0"/>
      <w:marBottom w:val="0"/>
      <w:divBdr>
        <w:top w:val="none" w:sz="0" w:space="0" w:color="auto"/>
        <w:left w:val="none" w:sz="0" w:space="0" w:color="auto"/>
        <w:bottom w:val="none" w:sz="0" w:space="0" w:color="auto"/>
        <w:right w:val="none" w:sz="0" w:space="0" w:color="auto"/>
      </w:divBdr>
    </w:div>
    <w:div w:id="42599895">
      <w:bodyDiv w:val="1"/>
      <w:marLeft w:val="0"/>
      <w:marRight w:val="0"/>
      <w:marTop w:val="0"/>
      <w:marBottom w:val="0"/>
      <w:divBdr>
        <w:top w:val="none" w:sz="0" w:space="0" w:color="auto"/>
        <w:left w:val="none" w:sz="0" w:space="0" w:color="auto"/>
        <w:bottom w:val="none" w:sz="0" w:space="0" w:color="auto"/>
        <w:right w:val="none" w:sz="0" w:space="0" w:color="auto"/>
      </w:divBdr>
    </w:div>
    <w:div w:id="50153718">
      <w:bodyDiv w:val="1"/>
      <w:marLeft w:val="0"/>
      <w:marRight w:val="0"/>
      <w:marTop w:val="0"/>
      <w:marBottom w:val="0"/>
      <w:divBdr>
        <w:top w:val="none" w:sz="0" w:space="0" w:color="auto"/>
        <w:left w:val="none" w:sz="0" w:space="0" w:color="auto"/>
        <w:bottom w:val="none" w:sz="0" w:space="0" w:color="auto"/>
        <w:right w:val="none" w:sz="0" w:space="0" w:color="auto"/>
      </w:divBdr>
    </w:div>
    <w:div w:id="54860935">
      <w:bodyDiv w:val="1"/>
      <w:marLeft w:val="0"/>
      <w:marRight w:val="0"/>
      <w:marTop w:val="0"/>
      <w:marBottom w:val="0"/>
      <w:divBdr>
        <w:top w:val="none" w:sz="0" w:space="0" w:color="auto"/>
        <w:left w:val="none" w:sz="0" w:space="0" w:color="auto"/>
        <w:bottom w:val="none" w:sz="0" w:space="0" w:color="auto"/>
        <w:right w:val="none" w:sz="0" w:space="0" w:color="auto"/>
      </w:divBdr>
    </w:div>
    <w:div w:id="76026673">
      <w:bodyDiv w:val="1"/>
      <w:marLeft w:val="0"/>
      <w:marRight w:val="0"/>
      <w:marTop w:val="0"/>
      <w:marBottom w:val="0"/>
      <w:divBdr>
        <w:top w:val="none" w:sz="0" w:space="0" w:color="auto"/>
        <w:left w:val="none" w:sz="0" w:space="0" w:color="auto"/>
        <w:bottom w:val="none" w:sz="0" w:space="0" w:color="auto"/>
        <w:right w:val="none" w:sz="0" w:space="0" w:color="auto"/>
      </w:divBdr>
      <w:divsChild>
        <w:div w:id="2059936076">
          <w:marLeft w:val="0"/>
          <w:marRight w:val="0"/>
          <w:marTop w:val="0"/>
          <w:marBottom w:val="0"/>
          <w:divBdr>
            <w:top w:val="none" w:sz="0" w:space="0" w:color="auto"/>
            <w:left w:val="none" w:sz="0" w:space="0" w:color="auto"/>
            <w:bottom w:val="none" w:sz="0" w:space="0" w:color="auto"/>
            <w:right w:val="none" w:sz="0" w:space="0" w:color="auto"/>
          </w:divBdr>
          <w:divsChild>
            <w:div w:id="1023363384">
              <w:marLeft w:val="0"/>
              <w:marRight w:val="0"/>
              <w:marTop w:val="411"/>
              <w:marBottom w:val="0"/>
              <w:divBdr>
                <w:top w:val="none" w:sz="0" w:space="0" w:color="auto"/>
                <w:left w:val="none" w:sz="0" w:space="0" w:color="auto"/>
                <w:bottom w:val="none" w:sz="0" w:space="0" w:color="auto"/>
                <w:right w:val="none" w:sz="0" w:space="0" w:color="auto"/>
              </w:divBdr>
              <w:divsChild>
                <w:div w:id="1022974146">
                  <w:marLeft w:val="0"/>
                  <w:marRight w:val="0"/>
                  <w:marTop w:val="0"/>
                  <w:marBottom w:val="0"/>
                  <w:divBdr>
                    <w:top w:val="none" w:sz="0" w:space="0" w:color="auto"/>
                    <w:left w:val="none" w:sz="0" w:space="0" w:color="auto"/>
                    <w:bottom w:val="none" w:sz="0" w:space="0" w:color="auto"/>
                    <w:right w:val="none" w:sz="0" w:space="0" w:color="auto"/>
                  </w:divBdr>
                  <w:divsChild>
                    <w:div w:id="736172619">
                      <w:marLeft w:val="79"/>
                      <w:marRight w:val="79"/>
                      <w:marTop w:val="0"/>
                      <w:marBottom w:val="0"/>
                      <w:divBdr>
                        <w:top w:val="none" w:sz="0" w:space="0" w:color="auto"/>
                        <w:left w:val="none" w:sz="0" w:space="0" w:color="auto"/>
                        <w:bottom w:val="none" w:sz="0" w:space="0" w:color="auto"/>
                        <w:right w:val="none" w:sz="0" w:space="0" w:color="auto"/>
                      </w:divBdr>
                      <w:divsChild>
                        <w:div w:id="1585725492">
                          <w:marLeft w:val="0"/>
                          <w:marRight w:val="0"/>
                          <w:marTop w:val="0"/>
                          <w:marBottom w:val="0"/>
                          <w:divBdr>
                            <w:top w:val="dashed" w:sz="6" w:space="0" w:color="DDDDDD"/>
                            <w:left w:val="none" w:sz="0" w:space="0" w:color="auto"/>
                            <w:bottom w:val="none" w:sz="0" w:space="0" w:color="auto"/>
                            <w:right w:val="none" w:sz="0" w:space="0" w:color="auto"/>
                          </w:divBdr>
                          <w:divsChild>
                            <w:div w:id="1702394517">
                              <w:marLeft w:val="0"/>
                              <w:marRight w:val="0"/>
                              <w:marTop w:val="0"/>
                              <w:marBottom w:val="0"/>
                              <w:divBdr>
                                <w:top w:val="none" w:sz="0" w:space="0" w:color="auto"/>
                                <w:left w:val="none" w:sz="0" w:space="0" w:color="auto"/>
                                <w:bottom w:val="none" w:sz="0" w:space="0" w:color="auto"/>
                                <w:right w:val="none" w:sz="0" w:space="0" w:color="auto"/>
                              </w:divBdr>
                              <w:divsChild>
                                <w:div w:id="1363019228">
                                  <w:marLeft w:val="0"/>
                                  <w:marRight w:val="0"/>
                                  <w:marTop w:val="79"/>
                                  <w:marBottom w:val="79"/>
                                  <w:divBdr>
                                    <w:top w:val="none" w:sz="0" w:space="0" w:color="auto"/>
                                    <w:left w:val="none" w:sz="0" w:space="0" w:color="auto"/>
                                    <w:bottom w:val="none" w:sz="0" w:space="0" w:color="auto"/>
                                    <w:right w:val="none" w:sz="0" w:space="0" w:color="auto"/>
                                  </w:divBdr>
                                  <w:divsChild>
                                    <w:div w:id="1047606768">
                                      <w:marLeft w:val="0"/>
                                      <w:marRight w:val="0"/>
                                      <w:marTop w:val="0"/>
                                      <w:marBottom w:val="0"/>
                                      <w:divBdr>
                                        <w:top w:val="none" w:sz="0" w:space="0" w:color="auto"/>
                                        <w:left w:val="none" w:sz="0" w:space="0" w:color="auto"/>
                                        <w:bottom w:val="none" w:sz="0" w:space="0" w:color="auto"/>
                                        <w:right w:val="none" w:sz="0" w:space="0" w:color="auto"/>
                                      </w:divBdr>
                                      <w:divsChild>
                                        <w:div w:id="1843273912">
                                          <w:marLeft w:val="554"/>
                                          <w:marRight w:val="0"/>
                                          <w:marTop w:val="0"/>
                                          <w:marBottom w:val="0"/>
                                          <w:divBdr>
                                            <w:top w:val="none" w:sz="0" w:space="0" w:color="auto"/>
                                            <w:left w:val="none" w:sz="0" w:space="0" w:color="auto"/>
                                            <w:bottom w:val="none" w:sz="0" w:space="0" w:color="auto"/>
                                            <w:right w:val="none" w:sz="0" w:space="0" w:color="auto"/>
                                          </w:divBdr>
                                          <w:divsChild>
                                            <w:div w:id="842864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0568585">
      <w:bodyDiv w:val="1"/>
      <w:marLeft w:val="0"/>
      <w:marRight w:val="0"/>
      <w:marTop w:val="0"/>
      <w:marBottom w:val="0"/>
      <w:divBdr>
        <w:top w:val="none" w:sz="0" w:space="0" w:color="auto"/>
        <w:left w:val="none" w:sz="0" w:space="0" w:color="auto"/>
        <w:bottom w:val="none" w:sz="0" w:space="0" w:color="auto"/>
        <w:right w:val="none" w:sz="0" w:space="0" w:color="auto"/>
      </w:divBdr>
      <w:divsChild>
        <w:div w:id="525141692">
          <w:marLeft w:val="461"/>
          <w:marRight w:val="0"/>
          <w:marTop w:val="0"/>
          <w:marBottom w:val="0"/>
          <w:divBdr>
            <w:top w:val="none" w:sz="0" w:space="0" w:color="auto"/>
            <w:left w:val="none" w:sz="0" w:space="0" w:color="auto"/>
            <w:bottom w:val="none" w:sz="0" w:space="0" w:color="auto"/>
            <w:right w:val="none" w:sz="0" w:space="0" w:color="auto"/>
          </w:divBdr>
        </w:div>
        <w:div w:id="1342733946">
          <w:marLeft w:val="461"/>
          <w:marRight w:val="0"/>
          <w:marTop w:val="0"/>
          <w:marBottom w:val="0"/>
          <w:divBdr>
            <w:top w:val="none" w:sz="0" w:space="0" w:color="auto"/>
            <w:left w:val="none" w:sz="0" w:space="0" w:color="auto"/>
            <w:bottom w:val="none" w:sz="0" w:space="0" w:color="auto"/>
            <w:right w:val="none" w:sz="0" w:space="0" w:color="auto"/>
          </w:divBdr>
        </w:div>
        <w:div w:id="1470198919">
          <w:marLeft w:val="461"/>
          <w:marRight w:val="0"/>
          <w:marTop w:val="0"/>
          <w:marBottom w:val="0"/>
          <w:divBdr>
            <w:top w:val="none" w:sz="0" w:space="0" w:color="auto"/>
            <w:left w:val="none" w:sz="0" w:space="0" w:color="auto"/>
            <w:bottom w:val="none" w:sz="0" w:space="0" w:color="auto"/>
            <w:right w:val="none" w:sz="0" w:space="0" w:color="auto"/>
          </w:divBdr>
        </w:div>
      </w:divsChild>
    </w:div>
    <w:div w:id="80611376">
      <w:bodyDiv w:val="1"/>
      <w:marLeft w:val="0"/>
      <w:marRight w:val="0"/>
      <w:marTop w:val="0"/>
      <w:marBottom w:val="0"/>
      <w:divBdr>
        <w:top w:val="none" w:sz="0" w:space="0" w:color="auto"/>
        <w:left w:val="none" w:sz="0" w:space="0" w:color="auto"/>
        <w:bottom w:val="none" w:sz="0" w:space="0" w:color="auto"/>
        <w:right w:val="none" w:sz="0" w:space="0" w:color="auto"/>
      </w:divBdr>
      <w:divsChild>
        <w:div w:id="274365319">
          <w:marLeft w:val="0"/>
          <w:marRight w:val="0"/>
          <w:marTop w:val="0"/>
          <w:marBottom w:val="0"/>
          <w:divBdr>
            <w:top w:val="none" w:sz="0" w:space="0" w:color="auto"/>
            <w:left w:val="none" w:sz="0" w:space="0" w:color="auto"/>
            <w:bottom w:val="none" w:sz="0" w:space="0" w:color="auto"/>
            <w:right w:val="none" w:sz="0" w:space="0" w:color="auto"/>
          </w:divBdr>
          <w:divsChild>
            <w:div w:id="1092163232">
              <w:marLeft w:val="0"/>
              <w:marRight w:val="0"/>
              <w:marTop w:val="15"/>
              <w:marBottom w:val="0"/>
              <w:divBdr>
                <w:top w:val="none" w:sz="0" w:space="0" w:color="auto"/>
                <w:left w:val="none" w:sz="0" w:space="0" w:color="auto"/>
                <w:bottom w:val="none" w:sz="0" w:space="0" w:color="auto"/>
                <w:right w:val="none" w:sz="0" w:space="0" w:color="auto"/>
              </w:divBdr>
              <w:divsChild>
                <w:div w:id="823660930">
                  <w:marLeft w:val="0"/>
                  <w:marRight w:val="0"/>
                  <w:marTop w:val="0"/>
                  <w:marBottom w:val="0"/>
                  <w:divBdr>
                    <w:top w:val="none" w:sz="0" w:space="0" w:color="auto"/>
                    <w:left w:val="single" w:sz="6" w:space="0" w:color="B5B5B5"/>
                    <w:bottom w:val="none" w:sz="0" w:space="0" w:color="auto"/>
                    <w:right w:val="single" w:sz="6" w:space="0" w:color="B5B5B5"/>
                  </w:divBdr>
                  <w:divsChild>
                    <w:div w:id="1077558584">
                      <w:marLeft w:val="75"/>
                      <w:marRight w:val="75"/>
                      <w:marTop w:val="0"/>
                      <w:marBottom w:val="0"/>
                      <w:divBdr>
                        <w:top w:val="none" w:sz="0" w:space="0" w:color="auto"/>
                        <w:left w:val="none" w:sz="0" w:space="0" w:color="auto"/>
                        <w:bottom w:val="none" w:sz="0" w:space="0" w:color="auto"/>
                        <w:right w:val="none" w:sz="0" w:space="0" w:color="auto"/>
                      </w:divBdr>
                      <w:divsChild>
                        <w:div w:id="796336349">
                          <w:marLeft w:val="0"/>
                          <w:marRight w:val="0"/>
                          <w:marTop w:val="0"/>
                          <w:marBottom w:val="0"/>
                          <w:divBdr>
                            <w:top w:val="dotted" w:sz="6" w:space="0" w:color="B5B5B5"/>
                            <w:left w:val="none" w:sz="0" w:space="0" w:color="auto"/>
                            <w:bottom w:val="none" w:sz="0" w:space="0" w:color="auto"/>
                            <w:right w:val="none" w:sz="0" w:space="0" w:color="auto"/>
                          </w:divBdr>
                          <w:divsChild>
                            <w:div w:id="1203053145">
                              <w:marLeft w:val="0"/>
                              <w:marRight w:val="0"/>
                              <w:marTop w:val="75"/>
                              <w:marBottom w:val="0"/>
                              <w:divBdr>
                                <w:top w:val="none" w:sz="0" w:space="0" w:color="auto"/>
                                <w:left w:val="none" w:sz="0" w:space="0" w:color="auto"/>
                                <w:bottom w:val="none" w:sz="0" w:space="0" w:color="auto"/>
                                <w:right w:val="none" w:sz="0" w:space="0" w:color="auto"/>
                              </w:divBdr>
                              <w:divsChild>
                                <w:div w:id="166016776">
                                  <w:marLeft w:val="0"/>
                                  <w:marRight w:val="0"/>
                                  <w:marTop w:val="0"/>
                                  <w:marBottom w:val="0"/>
                                  <w:divBdr>
                                    <w:top w:val="none" w:sz="0" w:space="0" w:color="auto"/>
                                    <w:left w:val="none" w:sz="0" w:space="0" w:color="auto"/>
                                    <w:bottom w:val="none" w:sz="0" w:space="0" w:color="auto"/>
                                    <w:right w:val="none" w:sz="0" w:space="0" w:color="auto"/>
                                  </w:divBdr>
                                  <w:divsChild>
                                    <w:div w:id="1876455442">
                                      <w:marLeft w:val="0"/>
                                      <w:marRight w:val="0"/>
                                      <w:marTop w:val="0"/>
                                      <w:marBottom w:val="0"/>
                                      <w:divBdr>
                                        <w:top w:val="none" w:sz="0" w:space="0" w:color="auto"/>
                                        <w:left w:val="none" w:sz="0" w:space="0" w:color="auto"/>
                                        <w:bottom w:val="none" w:sz="0" w:space="0" w:color="auto"/>
                                        <w:right w:val="none" w:sz="0" w:space="0" w:color="auto"/>
                                      </w:divBdr>
                                      <w:divsChild>
                                        <w:div w:id="1483885523">
                                          <w:marLeft w:val="525"/>
                                          <w:marRight w:val="0"/>
                                          <w:marTop w:val="0"/>
                                          <w:marBottom w:val="0"/>
                                          <w:divBdr>
                                            <w:top w:val="none" w:sz="0" w:space="0" w:color="auto"/>
                                            <w:left w:val="none" w:sz="0" w:space="0" w:color="auto"/>
                                            <w:bottom w:val="none" w:sz="0" w:space="0" w:color="auto"/>
                                            <w:right w:val="none" w:sz="0" w:space="0" w:color="auto"/>
                                          </w:divBdr>
                                          <w:divsChild>
                                            <w:div w:id="1695959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4881599">
      <w:bodyDiv w:val="1"/>
      <w:marLeft w:val="0"/>
      <w:marRight w:val="0"/>
      <w:marTop w:val="0"/>
      <w:marBottom w:val="0"/>
      <w:divBdr>
        <w:top w:val="none" w:sz="0" w:space="0" w:color="auto"/>
        <w:left w:val="none" w:sz="0" w:space="0" w:color="auto"/>
        <w:bottom w:val="none" w:sz="0" w:space="0" w:color="auto"/>
        <w:right w:val="none" w:sz="0" w:space="0" w:color="auto"/>
      </w:divBdr>
    </w:div>
    <w:div w:id="89662984">
      <w:bodyDiv w:val="1"/>
      <w:marLeft w:val="0"/>
      <w:marRight w:val="0"/>
      <w:marTop w:val="0"/>
      <w:marBottom w:val="0"/>
      <w:divBdr>
        <w:top w:val="none" w:sz="0" w:space="0" w:color="auto"/>
        <w:left w:val="none" w:sz="0" w:space="0" w:color="auto"/>
        <w:bottom w:val="none" w:sz="0" w:space="0" w:color="auto"/>
        <w:right w:val="none" w:sz="0" w:space="0" w:color="auto"/>
      </w:divBdr>
    </w:div>
    <w:div w:id="91434611">
      <w:bodyDiv w:val="1"/>
      <w:marLeft w:val="0"/>
      <w:marRight w:val="0"/>
      <w:marTop w:val="0"/>
      <w:marBottom w:val="0"/>
      <w:divBdr>
        <w:top w:val="none" w:sz="0" w:space="0" w:color="auto"/>
        <w:left w:val="none" w:sz="0" w:space="0" w:color="auto"/>
        <w:bottom w:val="none" w:sz="0" w:space="0" w:color="auto"/>
        <w:right w:val="none" w:sz="0" w:space="0" w:color="auto"/>
      </w:divBdr>
    </w:div>
    <w:div w:id="97139507">
      <w:bodyDiv w:val="1"/>
      <w:marLeft w:val="0"/>
      <w:marRight w:val="0"/>
      <w:marTop w:val="0"/>
      <w:marBottom w:val="0"/>
      <w:divBdr>
        <w:top w:val="none" w:sz="0" w:space="0" w:color="auto"/>
        <w:left w:val="none" w:sz="0" w:space="0" w:color="auto"/>
        <w:bottom w:val="none" w:sz="0" w:space="0" w:color="auto"/>
        <w:right w:val="none" w:sz="0" w:space="0" w:color="auto"/>
      </w:divBdr>
    </w:div>
    <w:div w:id="104932200">
      <w:bodyDiv w:val="1"/>
      <w:marLeft w:val="0"/>
      <w:marRight w:val="0"/>
      <w:marTop w:val="0"/>
      <w:marBottom w:val="0"/>
      <w:divBdr>
        <w:top w:val="none" w:sz="0" w:space="0" w:color="auto"/>
        <w:left w:val="none" w:sz="0" w:space="0" w:color="auto"/>
        <w:bottom w:val="none" w:sz="0" w:space="0" w:color="auto"/>
        <w:right w:val="none" w:sz="0" w:space="0" w:color="auto"/>
      </w:divBdr>
    </w:div>
    <w:div w:id="106702892">
      <w:bodyDiv w:val="1"/>
      <w:marLeft w:val="0"/>
      <w:marRight w:val="0"/>
      <w:marTop w:val="0"/>
      <w:marBottom w:val="0"/>
      <w:divBdr>
        <w:top w:val="none" w:sz="0" w:space="0" w:color="auto"/>
        <w:left w:val="none" w:sz="0" w:space="0" w:color="auto"/>
        <w:bottom w:val="none" w:sz="0" w:space="0" w:color="auto"/>
        <w:right w:val="none" w:sz="0" w:space="0" w:color="auto"/>
      </w:divBdr>
    </w:div>
    <w:div w:id="106897355">
      <w:bodyDiv w:val="1"/>
      <w:marLeft w:val="0"/>
      <w:marRight w:val="0"/>
      <w:marTop w:val="0"/>
      <w:marBottom w:val="0"/>
      <w:divBdr>
        <w:top w:val="none" w:sz="0" w:space="0" w:color="auto"/>
        <w:left w:val="none" w:sz="0" w:space="0" w:color="auto"/>
        <w:bottom w:val="none" w:sz="0" w:space="0" w:color="auto"/>
        <w:right w:val="none" w:sz="0" w:space="0" w:color="auto"/>
      </w:divBdr>
    </w:div>
    <w:div w:id="113329822">
      <w:bodyDiv w:val="1"/>
      <w:marLeft w:val="0"/>
      <w:marRight w:val="0"/>
      <w:marTop w:val="0"/>
      <w:marBottom w:val="0"/>
      <w:divBdr>
        <w:top w:val="none" w:sz="0" w:space="0" w:color="auto"/>
        <w:left w:val="none" w:sz="0" w:space="0" w:color="auto"/>
        <w:bottom w:val="none" w:sz="0" w:space="0" w:color="auto"/>
        <w:right w:val="none" w:sz="0" w:space="0" w:color="auto"/>
      </w:divBdr>
    </w:div>
    <w:div w:id="120851961">
      <w:bodyDiv w:val="1"/>
      <w:marLeft w:val="0"/>
      <w:marRight w:val="0"/>
      <w:marTop w:val="0"/>
      <w:marBottom w:val="0"/>
      <w:divBdr>
        <w:top w:val="none" w:sz="0" w:space="0" w:color="auto"/>
        <w:left w:val="none" w:sz="0" w:space="0" w:color="auto"/>
        <w:bottom w:val="none" w:sz="0" w:space="0" w:color="auto"/>
        <w:right w:val="none" w:sz="0" w:space="0" w:color="auto"/>
      </w:divBdr>
    </w:div>
    <w:div w:id="128130953">
      <w:bodyDiv w:val="1"/>
      <w:marLeft w:val="0"/>
      <w:marRight w:val="0"/>
      <w:marTop w:val="0"/>
      <w:marBottom w:val="0"/>
      <w:divBdr>
        <w:top w:val="none" w:sz="0" w:space="0" w:color="auto"/>
        <w:left w:val="none" w:sz="0" w:space="0" w:color="auto"/>
        <w:bottom w:val="none" w:sz="0" w:space="0" w:color="auto"/>
        <w:right w:val="none" w:sz="0" w:space="0" w:color="auto"/>
      </w:divBdr>
    </w:div>
    <w:div w:id="129134282">
      <w:bodyDiv w:val="1"/>
      <w:marLeft w:val="0"/>
      <w:marRight w:val="0"/>
      <w:marTop w:val="0"/>
      <w:marBottom w:val="0"/>
      <w:divBdr>
        <w:top w:val="none" w:sz="0" w:space="0" w:color="auto"/>
        <w:left w:val="none" w:sz="0" w:space="0" w:color="auto"/>
        <w:bottom w:val="none" w:sz="0" w:space="0" w:color="auto"/>
        <w:right w:val="none" w:sz="0" w:space="0" w:color="auto"/>
      </w:divBdr>
    </w:div>
    <w:div w:id="130364643">
      <w:bodyDiv w:val="1"/>
      <w:marLeft w:val="0"/>
      <w:marRight w:val="0"/>
      <w:marTop w:val="0"/>
      <w:marBottom w:val="0"/>
      <w:divBdr>
        <w:top w:val="none" w:sz="0" w:space="0" w:color="auto"/>
        <w:left w:val="none" w:sz="0" w:space="0" w:color="auto"/>
        <w:bottom w:val="none" w:sz="0" w:space="0" w:color="auto"/>
        <w:right w:val="none" w:sz="0" w:space="0" w:color="auto"/>
      </w:divBdr>
    </w:div>
    <w:div w:id="130445548">
      <w:bodyDiv w:val="1"/>
      <w:marLeft w:val="0"/>
      <w:marRight w:val="0"/>
      <w:marTop w:val="0"/>
      <w:marBottom w:val="0"/>
      <w:divBdr>
        <w:top w:val="none" w:sz="0" w:space="0" w:color="auto"/>
        <w:left w:val="none" w:sz="0" w:space="0" w:color="auto"/>
        <w:bottom w:val="none" w:sz="0" w:space="0" w:color="auto"/>
        <w:right w:val="none" w:sz="0" w:space="0" w:color="auto"/>
      </w:divBdr>
    </w:div>
    <w:div w:id="131093523">
      <w:bodyDiv w:val="1"/>
      <w:marLeft w:val="0"/>
      <w:marRight w:val="0"/>
      <w:marTop w:val="0"/>
      <w:marBottom w:val="0"/>
      <w:divBdr>
        <w:top w:val="none" w:sz="0" w:space="0" w:color="auto"/>
        <w:left w:val="none" w:sz="0" w:space="0" w:color="auto"/>
        <w:bottom w:val="none" w:sz="0" w:space="0" w:color="auto"/>
        <w:right w:val="none" w:sz="0" w:space="0" w:color="auto"/>
      </w:divBdr>
    </w:div>
    <w:div w:id="134571949">
      <w:bodyDiv w:val="1"/>
      <w:marLeft w:val="0"/>
      <w:marRight w:val="0"/>
      <w:marTop w:val="0"/>
      <w:marBottom w:val="0"/>
      <w:divBdr>
        <w:top w:val="none" w:sz="0" w:space="0" w:color="auto"/>
        <w:left w:val="none" w:sz="0" w:space="0" w:color="auto"/>
        <w:bottom w:val="none" w:sz="0" w:space="0" w:color="auto"/>
        <w:right w:val="none" w:sz="0" w:space="0" w:color="auto"/>
      </w:divBdr>
    </w:div>
    <w:div w:id="137384288">
      <w:bodyDiv w:val="1"/>
      <w:marLeft w:val="0"/>
      <w:marRight w:val="0"/>
      <w:marTop w:val="0"/>
      <w:marBottom w:val="0"/>
      <w:divBdr>
        <w:top w:val="none" w:sz="0" w:space="0" w:color="auto"/>
        <w:left w:val="none" w:sz="0" w:space="0" w:color="auto"/>
        <w:bottom w:val="none" w:sz="0" w:space="0" w:color="auto"/>
        <w:right w:val="none" w:sz="0" w:space="0" w:color="auto"/>
      </w:divBdr>
    </w:div>
    <w:div w:id="137500997">
      <w:bodyDiv w:val="1"/>
      <w:marLeft w:val="0"/>
      <w:marRight w:val="0"/>
      <w:marTop w:val="0"/>
      <w:marBottom w:val="0"/>
      <w:divBdr>
        <w:top w:val="none" w:sz="0" w:space="0" w:color="auto"/>
        <w:left w:val="none" w:sz="0" w:space="0" w:color="auto"/>
        <w:bottom w:val="none" w:sz="0" w:space="0" w:color="auto"/>
        <w:right w:val="none" w:sz="0" w:space="0" w:color="auto"/>
      </w:divBdr>
    </w:div>
    <w:div w:id="147523410">
      <w:bodyDiv w:val="1"/>
      <w:marLeft w:val="0"/>
      <w:marRight w:val="0"/>
      <w:marTop w:val="0"/>
      <w:marBottom w:val="0"/>
      <w:divBdr>
        <w:top w:val="none" w:sz="0" w:space="0" w:color="auto"/>
        <w:left w:val="none" w:sz="0" w:space="0" w:color="auto"/>
        <w:bottom w:val="none" w:sz="0" w:space="0" w:color="auto"/>
        <w:right w:val="none" w:sz="0" w:space="0" w:color="auto"/>
      </w:divBdr>
    </w:div>
    <w:div w:id="150487443">
      <w:bodyDiv w:val="1"/>
      <w:marLeft w:val="0"/>
      <w:marRight w:val="0"/>
      <w:marTop w:val="0"/>
      <w:marBottom w:val="0"/>
      <w:divBdr>
        <w:top w:val="none" w:sz="0" w:space="0" w:color="auto"/>
        <w:left w:val="none" w:sz="0" w:space="0" w:color="auto"/>
        <w:bottom w:val="none" w:sz="0" w:space="0" w:color="auto"/>
        <w:right w:val="none" w:sz="0" w:space="0" w:color="auto"/>
      </w:divBdr>
    </w:div>
    <w:div w:id="151407014">
      <w:bodyDiv w:val="1"/>
      <w:marLeft w:val="0"/>
      <w:marRight w:val="0"/>
      <w:marTop w:val="0"/>
      <w:marBottom w:val="0"/>
      <w:divBdr>
        <w:top w:val="none" w:sz="0" w:space="0" w:color="auto"/>
        <w:left w:val="none" w:sz="0" w:space="0" w:color="auto"/>
        <w:bottom w:val="none" w:sz="0" w:space="0" w:color="auto"/>
        <w:right w:val="none" w:sz="0" w:space="0" w:color="auto"/>
      </w:divBdr>
    </w:div>
    <w:div w:id="151601052">
      <w:bodyDiv w:val="1"/>
      <w:marLeft w:val="0"/>
      <w:marRight w:val="0"/>
      <w:marTop w:val="0"/>
      <w:marBottom w:val="0"/>
      <w:divBdr>
        <w:top w:val="none" w:sz="0" w:space="0" w:color="auto"/>
        <w:left w:val="none" w:sz="0" w:space="0" w:color="auto"/>
        <w:bottom w:val="none" w:sz="0" w:space="0" w:color="auto"/>
        <w:right w:val="none" w:sz="0" w:space="0" w:color="auto"/>
      </w:divBdr>
    </w:div>
    <w:div w:id="152456662">
      <w:bodyDiv w:val="1"/>
      <w:marLeft w:val="0"/>
      <w:marRight w:val="0"/>
      <w:marTop w:val="0"/>
      <w:marBottom w:val="0"/>
      <w:divBdr>
        <w:top w:val="none" w:sz="0" w:space="0" w:color="auto"/>
        <w:left w:val="none" w:sz="0" w:space="0" w:color="auto"/>
        <w:bottom w:val="none" w:sz="0" w:space="0" w:color="auto"/>
        <w:right w:val="none" w:sz="0" w:space="0" w:color="auto"/>
      </w:divBdr>
    </w:div>
    <w:div w:id="156532665">
      <w:bodyDiv w:val="1"/>
      <w:marLeft w:val="0"/>
      <w:marRight w:val="0"/>
      <w:marTop w:val="0"/>
      <w:marBottom w:val="0"/>
      <w:divBdr>
        <w:top w:val="none" w:sz="0" w:space="0" w:color="auto"/>
        <w:left w:val="none" w:sz="0" w:space="0" w:color="auto"/>
        <w:bottom w:val="none" w:sz="0" w:space="0" w:color="auto"/>
        <w:right w:val="none" w:sz="0" w:space="0" w:color="auto"/>
      </w:divBdr>
    </w:div>
    <w:div w:id="157037941">
      <w:bodyDiv w:val="1"/>
      <w:marLeft w:val="0"/>
      <w:marRight w:val="0"/>
      <w:marTop w:val="0"/>
      <w:marBottom w:val="0"/>
      <w:divBdr>
        <w:top w:val="none" w:sz="0" w:space="0" w:color="auto"/>
        <w:left w:val="none" w:sz="0" w:space="0" w:color="auto"/>
        <w:bottom w:val="none" w:sz="0" w:space="0" w:color="auto"/>
        <w:right w:val="none" w:sz="0" w:space="0" w:color="auto"/>
      </w:divBdr>
    </w:div>
    <w:div w:id="158932835">
      <w:bodyDiv w:val="1"/>
      <w:marLeft w:val="0"/>
      <w:marRight w:val="0"/>
      <w:marTop w:val="0"/>
      <w:marBottom w:val="0"/>
      <w:divBdr>
        <w:top w:val="none" w:sz="0" w:space="0" w:color="auto"/>
        <w:left w:val="none" w:sz="0" w:space="0" w:color="auto"/>
        <w:bottom w:val="none" w:sz="0" w:space="0" w:color="auto"/>
        <w:right w:val="none" w:sz="0" w:space="0" w:color="auto"/>
      </w:divBdr>
    </w:div>
    <w:div w:id="166478864">
      <w:bodyDiv w:val="1"/>
      <w:marLeft w:val="0"/>
      <w:marRight w:val="0"/>
      <w:marTop w:val="0"/>
      <w:marBottom w:val="0"/>
      <w:divBdr>
        <w:top w:val="none" w:sz="0" w:space="0" w:color="auto"/>
        <w:left w:val="none" w:sz="0" w:space="0" w:color="auto"/>
        <w:bottom w:val="none" w:sz="0" w:space="0" w:color="auto"/>
        <w:right w:val="none" w:sz="0" w:space="0" w:color="auto"/>
      </w:divBdr>
    </w:div>
    <w:div w:id="168066960">
      <w:bodyDiv w:val="1"/>
      <w:marLeft w:val="0"/>
      <w:marRight w:val="0"/>
      <w:marTop w:val="0"/>
      <w:marBottom w:val="0"/>
      <w:divBdr>
        <w:top w:val="none" w:sz="0" w:space="0" w:color="auto"/>
        <w:left w:val="none" w:sz="0" w:space="0" w:color="auto"/>
        <w:bottom w:val="none" w:sz="0" w:space="0" w:color="auto"/>
        <w:right w:val="none" w:sz="0" w:space="0" w:color="auto"/>
      </w:divBdr>
    </w:div>
    <w:div w:id="169611237">
      <w:bodyDiv w:val="1"/>
      <w:marLeft w:val="0"/>
      <w:marRight w:val="0"/>
      <w:marTop w:val="0"/>
      <w:marBottom w:val="0"/>
      <w:divBdr>
        <w:top w:val="none" w:sz="0" w:space="0" w:color="auto"/>
        <w:left w:val="none" w:sz="0" w:space="0" w:color="auto"/>
        <w:bottom w:val="none" w:sz="0" w:space="0" w:color="auto"/>
        <w:right w:val="none" w:sz="0" w:space="0" w:color="auto"/>
      </w:divBdr>
    </w:div>
    <w:div w:id="172500219">
      <w:bodyDiv w:val="1"/>
      <w:marLeft w:val="0"/>
      <w:marRight w:val="0"/>
      <w:marTop w:val="0"/>
      <w:marBottom w:val="0"/>
      <w:divBdr>
        <w:top w:val="none" w:sz="0" w:space="0" w:color="auto"/>
        <w:left w:val="none" w:sz="0" w:space="0" w:color="auto"/>
        <w:bottom w:val="none" w:sz="0" w:space="0" w:color="auto"/>
        <w:right w:val="none" w:sz="0" w:space="0" w:color="auto"/>
      </w:divBdr>
    </w:div>
    <w:div w:id="178782951">
      <w:bodyDiv w:val="1"/>
      <w:marLeft w:val="0"/>
      <w:marRight w:val="0"/>
      <w:marTop w:val="0"/>
      <w:marBottom w:val="0"/>
      <w:divBdr>
        <w:top w:val="none" w:sz="0" w:space="0" w:color="auto"/>
        <w:left w:val="none" w:sz="0" w:space="0" w:color="auto"/>
        <w:bottom w:val="none" w:sz="0" w:space="0" w:color="auto"/>
        <w:right w:val="none" w:sz="0" w:space="0" w:color="auto"/>
      </w:divBdr>
    </w:div>
    <w:div w:id="179006550">
      <w:bodyDiv w:val="1"/>
      <w:marLeft w:val="0"/>
      <w:marRight w:val="0"/>
      <w:marTop w:val="0"/>
      <w:marBottom w:val="0"/>
      <w:divBdr>
        <w:top w:val="none" w:sz="0" w:space="0" w:color="auto"/>
        <w:left w:val="none" w:sz="0" w:space="0" w:color="auto"/>
        <w:bottom w:val="none" w:sz="0" w:space="0" w:color="auto"/>
        <w:right w:val="none" w:sz="0" w:space="0" w:color="auto"/>
      </w:divBdr>
    </w:div>
    <w:div w:id="184372599">
      <w:bodyDiv w:val="1"/>
      <w:marLeft w:val="0"/>
      <w:marRight w:val="0"/>
      <w:marTop w:val="0"/>
      <w:marBottom w:val="0"/>
      <w:divBdr>
        <w:top w:val="none" w:sz="0" w:space="0" w:color="auto"/>
        <w:left w:val="none" w:sz="0" w:space="0" w:color="auto"/>
        <w:bottom w:val="none" w:sz="0" w:space="0" w:color="auto"/>
        <w:right w:val="none" w:sz="0" w:space="0" w:color="auto"/>
      </w:divBdr>
    </w:div>
    <w:div w:id="193688914">
      <w:bodyDiv w:val="1"/>
      <w:marLeft w:val="0"/>
      <w:marRight w:val="0"/>
      <w:marTop w:val="0"/>
      <w:marBottom w:val="0"/>
      <w:divBdr>
        <w:top w:val="none" w:sz="0" w:space="0" w:color="auto"/>
        <w:left w:val="none" w:sz="0" w:space="0" w:color="auto"/>
        <w:bottom w:val="none" w:sz="0" w:space="0" w:color="auto"/>
        <w:right w:val="none" w:sz="0" w:space="0" w:color="auto"/>
      </w:divBdr>
    </w:div>
    <w:div w:id="198398063">
      <w:bodyDiv w:val="1"/>
      <w:marLeft w:val="0"/>
      <w:marRight w:val="0"/>
      <w:marTop w:val="0"/>
      <w:marBottom w:val="0"/>
      <w:divBdr>
        <w:top w:val="none" w:sz="0" w:space="0" w:color="auto"/>
        <w:left w:val="none" w:sz="0" w:space="0" w:color="auto"/>
        <w:bottom w:val="none" w:sz="0" w:space="0" w:color="auto"/>
        <w:right w:val="none" w:sz="0" w:space="0" w:color="auto"/>
      </w:divBdr>
    </w:div>
    <w:div w:id="200361218">
      <w:bodyDiv w:val="1"/>
      <w:marLeft w:val="0"/>
      <w:marRight w:val="0"/>
      <w:marTop w:val="0"/>
      <w:marBottom w:val="0"/>
      <w:divBdr>
        <w:top w:val="none" w:sz="0" w:space="0" w:color="auto"/>
        <w:left w:val="none" w:sz="0" w:space="0" w:color="auto"/>
        <w:bottom w:val="none" w:sz="0" w:space="0" w:color="auto"/>
        <w:right w:val="none" w:sz="0" w:space="0" w:color="auto"/>
      </w:divBdr>
    </w:div>
    <w:div w:id="200674451">
      <w:bodyDiv w:val="1"/>
      <w:marLeft w:val="0"/>
      <w:marRight w:val="0"/>
      <w:marTop w:val="0"/>
      <w:marBottom w:val="0"/>
      <w:divBdr>
        <w:top w:val="none" w:sz="0" w:space="0" w:color="auto"/>
        <w:left w:val="none" w:sz="0" w:space="0" w:color="auto"/>
        <w:bottom w:val="none" w:sz="0" w:space="0" w:color="auto"/>
        <w:right w:val="none" w:sz="0" w:space="0" w:color="auto"/>
      </w:divBdr>
    </w:div>
    <w:div w:id="204829644">
      <w:bodyDiv w:val="1"/>
      <w:marLeft w:val="0"/>
      <w:marRight w:val="0"/>
      <w:marTop w:val="0"/>
      <w:marBottom w:val="0"/>
      <w:divBdr>
        <w:top w:val="none" w:sz="0" w:space="0" w:color="auto"/>
        <w:left w:val="none" w:sz="0" w:space="0" w:color="auto"/>
        <w:bottom w:val="none" w:sz="0" w:space="0" w:color="auto"/>
        <w:right w:val="none" w:sz="0" w:space="0" w:color="auto"/>
      </w:divBdr>
    </w:div>
    <w:div w:id="208493332">
      <w:bodyDiv w:val="1"/>
      <w:marLeft w:val="0"/>
      <w:marRight w:val="0"/>
      <w:marTop w:val="0"/>
      <w:marBottom w:val="0"/>
      <w:divBdr>
        <w:top w:val="none" w:sz="0" w:space="0" w:color="auto"/>
        <w:left w:val="none" w:sz="0" w:space="0" w:color="auto"/>
        <w:bottom w:val="none" w:sz="0" w:space="0" w:color="auto"/>
        <w:right w:val="none" w:sz="0" w:space="0" w:color="auto"/>
      </w:divBdr>
    </w:div>
    <w:div w:id="208761864">
      <w:bodyDiv w:val="1"/>
      <w:marLeft w:val="0"/>
      <w:marRight w:val="0"/>
      <w:marTop w:val="0"/>
      <w:marBottom w:val="0"/>
      <w:divBdr>
        <w:top w:val="none" w:sz="0" w:space="0" w:color="auto"/>
        <w:left w:val="none" w:sz="0" w:space="0" w:color="auto"/>
        <w:bottom w:val="none" w:sz="0" w:space="0" w:color="auto"/>
        <w:right w:val="none" w:sz="0" w:space="0" w:color="auto"/>
      </w:divBdr>
    </w:div>
    <w:div w:id="209461744">
      <w:bodyDiv w:val="1"/>
      <w:marLeft w:val="0"/>
      <w:marRight w:val="0"/>
      <w:marTop w:val="0"/>
      <w:marBottom w:val="0"/>
      <w:divBdr>
        <w:top w:val="none" w:sz="0" w:space="0" w:color="auto"/>
        <w:left w:val="none" w:sz="0" w:space="0" w:color="auto"/>
        <w:bottom w:val="none" w:sz="0" w:space="0" w:color="auto"/>
        <w:right w:val="none" w:sz="0" w:space="0" w:color="auto"/>
      </w:divBdr>
    </w:div>
    <w:div w:id="211354527">
      <w:bodyDiv w:val="1"/>
      <w:marLeft w:val="0"/>
      <w:marRight w:val="0"/>
      <w:marTop w:val="0"/>
      <w:marBottom w:val="0"/>
      <w:divBdr>
        <w:top w:val="none" w:sz="0" w:space="0" w:color="auto"/>
        <w:left w:val="none" w:sz="0" w:space="0" w:color="auto"/>
        <w:bottom w:val="none" w:sz="0" w:space="0" w:color="auto"/>
        <w:right w:val="none" w:sz="0" w:space="0" w:color="auto"/>
      </w:divBdr>
    </w:div>
    <w:div w:id="212351372">
      <w:bodyDiv w:val="1"/>
      <w:marLeft w:val="0"/>
      <w:marRight w:val="0"/>
      <w:marTop w:val="0"/>
      <w:marBottom w:val="0"/>
      <w:divBdr>
        <w:top w:val="none" w:sz="0" w:space="0" w:color="auto"/>
        <w:left w:val="none" w:sz="0" w:space="0" w:color="auto"/>
        <w:bottom w:val="none" w:sz="0" w:space="0" w:color="auto"/>
        <w:right w:val="none" w:sz="0" w:space="0" w:color="auto"/>
      </w:divBdr>
    </w:div>
    <w:div w:id="216666083">
      <w:bodyDiv w:val="1"/>
      <w:marLeft w:val="0"/>
      <w:marRight w:val="0"/>
      <w:marTop w:val="0"/>
      <w:marBottom w:val="0"/>
      <w:divBdr>
        <w:top w:val="none" w:sz="0" w:space="0" w:color="auto"/>
        <w:left w:val="none" w:sz="0" w:space="0" w:color="auto"/>
        <w:bottom w:val="none" w:sz="0" w:space="0" w:color="auto"/>
        <w:right w:val="none" w:sz="0" w:space="0" w:color="auto"/>
      </w:divBdr>
    </w:div>
    <w:div w:id="220599847">
      <w:bodyDiv w:val="1"/>
      <w:marLeft w:val="0"/>
      <w:marRight w:val="0"/>
      <w:marTop w:val="0"/>
      <w:marBottom w:val="0"/>
      <w:divBdr>
        <w:top w:val="none" w:sz="0" w:space="0" w:color="auto"/>
        <w:left w:val="none" w:sz="0" w:space="0" w:color="auto"/>
        <w:bottom w:val="none" w:sz="0" w:space="0" w:color="auto"/>
        <w:right w:val="none" w:sz="0" w:space="0" w:color="auto"/>
      </w:divBdr>
    </w:div>
    <w:div w:id="225144042">
      <w:bodyDiv w:val="1"/>
      <w:marLeft w:val="0"/>
      <w:marRight w:val="0"/>
      <w:marTop w:val="0"/>
      <w:marBottom w:val="0"/>
      <w:divBdr>
        <w:top w:val="none" w:sz="0" w:space="0" w:color="auto"/>
        <w:left w:val="none" w:sz="0" w:space="0" w:color="auto"/>
        <w:bottom w:val="none" w:sz="0" w:space="0" w:color="auto"/>
        <w:right w:val="none" w:sz="0" w:space="0" w:color="auto"/>
      </w:divBdr>
    </w:div>
    <w:div w:id="225992263">
      <w:bodyDiv w:val="1"/>
      <w:marLeft w:val="0"/>
      <w:marRight w:val="0"/>
      <w:marTop w:val="0"/>
      <w:marBottom w:val="0"/>
      <w:divBdr>
        <w:top w:val="none" w:sz="0" w:space="0" w:color="auto"/>
        <w:left w:val="none" w:sz="0" w:space="0" w:color="auto"/>
        <w:bottom w:val="none" w:sz="0" w:space="0" w:color="auto"/>
        <w:right w:val="none" w:sz="0" w:space="0" w:color="auto"/>
      </w:divBdr>
    </w:div>
    <w:div w:id="226770280">
      <w:bodyDiv w:val="1"/>
      <w:marLeft w:val="0"/>
      <w:marRight w:val="0"/>
      <w:marTop w:val="0"/>
      <w:marBottom w:val="0"/>
      <w:divBdr>
        <w:top w:val="none" w:sz="0" w:space="0" w:color="auto"/>
        <w:left w:val="none" w:sz="0" w:space="0" w:color="auto"/>
        <w:bottom w:val="none" w:sz="0" w:space="0" w:color="auto"/>
        <w:right w:val="none" w:sz="0" w:space="0" w:color="auto"/>
      </w:divBdr>
    </w:div>
    <w:div w:id="227156749">
      <w:bodyDiv w:val="1"/>
      <w:marLeft w:val="0"/>
      <w:marRight w:val="0"/>
      <w:marTop w:val="0"/>
      <w:marBottom w:val="0"/>
      <w:divBdr>
        <w:top w:val="none" w:sz="0" w:space="0" w:color="auto"/>
        <w:left w:val="none" w:sz="0" w:space="0" w:color="auto"/>
        <w:bottom w:val="none" w:sz="0" w:space="0" w:color="auto"/>
        <w:right w:val="none" w:sz="0" w:space="0" w:color="auto"/>
      </w:divBdr>
    </w:div>
    <w:div w:id="228079720">
      <w:bodyDiv w:val="1"/>
      <w:marLeft w:val="0"/>
      <w:marRight w:val="0"/>
      <w:marTop w:val="0"/>
      <w:marBottom w:val="0"/>
      <w:divBdr>
        <w:top w:val="none" w:sz="0" w:space="0" w:color="auto"/>
        <w:left w:val="none" w:sz="0" w:space="0" w:color="auto"/>
        <w:bottom w:val="none" w:sz="0" w:space="0" w:color="auto"/>
        <w:right w:val="none" w:sz="0" w:space="0" w:color="auto"/>
      </w:divBdr>
    </w:div>
    <w:div w:id="231309026">
      <w:bodyDiv w:val="1"/>
      <w:marLeft w:val="0"/>
      <w:marRight w:val="0"/>
      <w:marTop w:val="0"/>
      <w:marBottom w:val="0"/>
      <w:divBdr>
        <w:top w:val="none" w:sz="0" w:space="0" w:color="auto"/>
        <w:left w:val="none" w:sz="0" w:space="0" w:color="auto"/>
        <w:bottom w:val="none" w:sz="0" w:space="0" w:color="auto"/>
        <w:right w:val="none" w:sz="0" w:space="0" w:color="auto"/>
      </w:divBdr>
    </w:div>
    <w:div w:id="231814860">
      <w:bodyDiv w:val="1"/>
      <w:marLeft w:val="0"/>
      <w:marRight w:val="0"/>
      <w:marTop w:val="0"/>
      <w:marBottom w:val="0"/>
      <w:divBdr>
        <w:top w:val="none" w:sz="0" w:space="0" w:color="auto"/>
        <w:left w:val="none" w:sz="0" w:space="0" w:color="auto"/>
        <w:bottom w:val="none" w:sz="0" w:space="0" w:color="auto"/>
        <w:right w:val="none" w:sz="0" w:space="0" w:color="auto"/>
      </w:divBdr>
    </w:div>
    <w:div w:id="234514547">
      <w:bodyDiv w:val="1"/>
      <w:marLeft w:val="0"/>
      <w:marRight w:val="0"/>
      <w:marTop w:val="0"/>
      <w:marBottom w:val="0"/>
      <w:divBdr>
        <w:top w:val="none" w:sz="0" w:space="0" w:color="auto"/>
        <w:left w:val="none" w:sz="0" w:space="0" w:color="auto"/>
        <w:bottom w:val="none" w:sz="0" w:space="0" w:color="auto"/>
        <w:right w:val="none" w:sz="0" w:space="0" w:color="auto"/>
      </w:divBdr>
    </w:div>
    <w:div w:id="245964029">
      <w:bodyDiv w:val="1"/>
      <w:marLeft w:val="0"/>
      <w:marRight w:val="0"/>
      <w:marTop w:val="0"/>
      <w:marBottom w:val="0"/>
      <w:divBdr>
        <w:top w:val="none" w:sz="0" w:space="0" w:color="auto"/>
        <w:left w:val="none" w:sz="0" w:space="0" w:color="auto"/>
        <w:bottom w:val="none" w:sz="0" w:space="0" w:color="auto"/>
        <w:right w:val="none" w:sz="0" w:space="0" w:color="auto"/>
      </w:divBdr>
    </w:div>
    <w:div w:id="249117639">
      <w:bodyDiv w:val="1"/>
      <w:marLeft w:val="0"/>
      <w:marRight w:val="0"/>
      <w:marTop w:val="0"/>
      <w:marBottom w:val="0"/>
      <w:divBdr>
        <w:top w:val="none" w:sz="0" w:space="0" w:color="auto"/>
        <w:left w:val="none" w:sz="0" w:space="0" w:color="auto"/>
        <w:bottom w:val="none" w:sz="0" w:space="0" w:color="auto"/>
        <w:right w:val="none" w:sz="0" w:space="0" w:color="auto"/>
      </w:divBdr>
    </w:div>
    <w:div w:id="255407295">
      <w:bodyDiv w:val="1"/>
      <w:marLeft w:val="0"/>
      <w:marRight w:val="0"/>
      <w:marTop w:val="0"/>
      <w:marBottom w:val="0"/>
      <w:divBdr>
        <w:top w:val="none" w:sz="0" w:space="0" w:color="auto"/>
        <w:left w:val="none" w:sz="0" w:space="0" w:color="auto"/>
        <w:bottom w:val="none" w:sz="0" w:space="0" w:color="auto"/>
        <w:right w:val="none" w:sz="0" w:space="0" w:color="auto"/>
      </w:divBdr>
    </w:div>
    <w:div w:id="260453171">
      <w:bodyDiv w:val="1"/>
      <w:marLeft w:val="0"/>
      <w:marRight w:val="0"/>
      <w:marTop w:val="0"/>
      <w:marBottom w:val="0"/>
      <w:divBdr>
        <w:top w:val="none" w:sz="0" w:space="0" w:color="auto"/>
        <w:left w:val="none" w:sz="0" w:space="0" w:color="auto"/>
        <w:bottom w:val="none" w:sz="0" w:space="0" w:color="auto"/>
        <w:right w:val="none" w:sz="0" w:space="0" w:color="auto"/>
      </w:divBdr>
    </w:div>
    <w:div w:id="261883496">
      <w:bodyDiv w:val="1"/>
      <w:marLeft w:val="0"/>
      <w:marRight w:val="0"/>
      <w:marTop w:val="0"/>
      <w:marBottom w:val="0"/>
      <w:divBdr>
        <w:top w:val="none" w:sz="0" w:space="0" w:color="auto"/>
        <w:left w:val="none" w:sz="0" w:space="0" w:color="auto"/>
        <w:bottom w:val="none" w:sz="0" w:space="0" w:color="auto"/>
        <w:right w:val="none" w:sz="0" w:space="0" w:color="auto"/>
      </w:divBdr>
    </w:div>
    <w:div w:id="266960305">
      <w:bodyDiv w:val="1"/>
      <w:marLeft w:val="0"/>
      <w:marRight w:val="0"/>
      <w:marTop w:val="0"/>
      <w:marBottom w:val="0"/>
      <w:divBdr>
        <w:top w:val="none" w:sz="0" w:space="0" w:color="auto"/>
        <w:left w:val="none" w:sz="0" w:space="0" w:color="auto"/>
        <w:bottom w:val="none" w:sz="0" w:space="0" w:color="auto"/>
        <w:right w:val="none" w:sz="0" w:space="0" w:color="auto"/>
      </w:divBdr>
    </w:div>
    <w:div w:id="270935293">
      <w:bodyDiv w:val="1"/>
      <w:marLeft w:val="0"/>
      <w:marRight w:val="0"/>
      <w:marTop w:val="0"/>
      <w:marBottom w:val="0"/>
      <w:divBdr>
        <w:top w:val="none" w:sz="0" w:space="0" w:color="auto"/>
        <w:left w:val="none" w:sz="0" w:space="0" w:color="auto"/>
        <w:bottom w:val="none" w:sz="0" w:space="0" w:color="auto"/>
        <w:right w:val="none" w:sz="0" w:space="0" w:color="auto"/>
      </w:divBdr>
    </w:div>
    <w:div w:id="272130963">
      <w:bodyDiv w:val="1"/>
      <w:marLeft w:val="0"/>
      <w:marRight w:val="0"/>
      <w:marTop w:val="0"/>
      <w:marBottom w:val="0"/>
      <w:divBdr>
        <w:top w:val="none" w:sz="0" w:space="0" w:color="auto"/>
        <w:left w:val="none" w:sz="0" w:space="0" w:color="auto"/>
        <w:bottom w:val="none" w:sz="0" w:space="0" w:color="auto"/>
        <w:right w:val="none" w:sz="0" w:space="0" w:color="auto"/>
      </w:divBdr>
    </w:div>
    <w:div w:id="272246449">
      <w:bodyDiv w:val="1"/>
      <w:marLeft w:val="0"/>
      <w:marRight w:val="0"/>
      <w:marTop w:val="0"/>
      <w:marBottom w:val="0"/>
      <w:divBdr>
        <w:top w:val="none" w:sz="0" w:space="0" w:color="auto"/>
        <w:left w:val="none" w:sz="0" w:space="0" w:color="auto"/>
        <w:bottom w:val="none" w:sz="0" w:space="0" w:color="auto"/>
        <w:right w:val="none" w:sz="0" w:space="0" w:color="auto"/>
      </w:divBdr>
    </w:div>
    <w:div w:id="274562006">
      <w:bodyDiv w:val="1"/>
      <w:marLeft w:val="0"/>
      <w:marRight w:val="0"/>
      <w:marTop w:val="0"/>
      <w:marBottom w:val="0"/>
      <w:divBdr>
        <w:top w:val="none" w:sz="0" w:space="0" w:color="auto"/>
        <w:left w:val="none" w:sz="0" w:space="0" w:color="auto"/>
        <w:bottom w:val="none" w:sz="0" w:space="0" w:color="auto"/>
        <w:right w:val="none" w:sz="0" w:space="0" w:color="auto"/>
      </w:divBdr>
    </w:div>
    <w:div w:id="276065633">
      <w:bodyDiv w:val="1"/>
      <w:marLeft w:val="0"/>
      <w:marRight w:val="0"/>
      <w:marTop w:val="0"/>
      <w:marBottom w:val="0"/>
      <w:divBdr>
        <w:top w:val="none" w:sz="0" w:space="0" w:color="auto"/>
        <w:left w:val="none" w:sz="0" w:space="0" w:color="auto"/>
        <w:bottom w:val="none" w:sz="0" w:space="0" w:color="auto"/>
        <w:right w:val="none" w:sz="0" w:space="0" w:color="auto"/>
      </w:divBdr>
      <w:divsChild>
        <w:div w:id="1187019935">
          <w:marLeft w:val="0"/>
          <w:marRight w:val="0"/>
          <w:marTop w:val="0"/>
          <w:marBottom w:val="0"/>
          <w:divBdr>
            <w:top w:val="none" w:sz="0" w:space="0" w:color="auto"/>
            <w:left w:val="none" w:sz="0" w:space="0" w:color="auto"/>
            <w:bottom w:val="none" w:sz="0" w:space="0" w:color="auto"/>
            <w:right w:val="none" w:sz="0" w:space="0" w:color="auto"/>
          </w:divBdr>
          <w:divsChild>
            <w:div w:id="1032539714">
              <w:marLeft w:val="0"/>
              <w:marRight w:val="0"/>
              <w:marTop w:val="0"/>
              <w:marBottom w:val="0"/>
              <w:divBdr>
                <w:top w:val="none" w:sz="0" w:space="0" w:color="auto"/>
                <w:left w:val="none" w:sz="0" w:space="0" w:color="auto"/>
                <w:bottom w:val="none" w:sz="0" w:space="0" w:color="auto"/>
                <w:right w:val="none" w:sz="0" w:space="0" w:color="auto"/>
              </w:divBdr>
              <w:divsChild>
                <w:div w:id="1155994510">
                  <w:marLeft w:val="0"/>
                  <w:marRight w:val="0"/>
                  <w:marTop w:val="0"/>
                  <w:marBottom w:val="0"/>
                  <w:divBdr>
                    <w:top w:val="none" w:sz="0" w:space="0" w:color="auto"/>
                    <w:left w:val="none" w:sz="0" w:space="0" w:color="auto"/>
                    <w:bottom w:val="none" w:sz="0" w:space="0" w:color="auto"/>
                    <w:right w:val="none" w:sz="0" w:space="0" w:color="auto"/>
                  </w:divBdr>
                  <w:divsChild>
                    <w:div w:id="61291115">
                      <w:marLeft w:val="0"/>
                      <w:marRight w:val="0"/>
                      <w:marTop w:val="0"/>
                      <w:marBottom w:val="0"/>
                      <w:divBdr>
                        <w:top w:val="none" w:sz="0" w:space="0" w:color="auto"/>
                        <w:left w:val="none" w:sz="0" w:space="0" w:color="auto"/>
                        <w:bottom w:val="none" w:sz="0" w:space="0" w:color="auto"/>
                        <w:right w:val="none" w:sz="0" w:space="0" w:color="auto"/>
                      </w:divBdr>
                      <w:divsChild>
                        <w:div w:id="181285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78688303">
      <w:bodyDiv w:val="1"/>
      <w:marLeft w:val="0"/>
      <w:marRight w:val="0"/>
      <w:marTop w:val="0"/>
      <w:marBottom w:val="0"/>
      <w:divBdr>
        <w:top w:val="none" w:sz="0" w:space="0" w:color="auto"/>
        <w:left w:val="none" w:sz="0" w:space="0" w:color="auto"/>
        <w:bottom w:val="none" w:sz="0" w:space="0" w:color="auto"/>
        <w:right w:val="none" w:sz="0" w:space="0" w:color="auto"/>
      </w:divBdr>
      <w:divsChild>
        <w:div w:id="2116828351">
          <w:marLeft w:val="0"/>
          <w:marRight w:val="0"/>
          <w:marTop w:val="0"/>
          <w:marBottom w:val="0"/>
          <w:divBdr>
            <w:top w:val="none" w:sz="0" w:space="0" w:color="auto"/>
            <w:left w:val="none" w:sz="0" w:space="0" w:color="auto"/>
            <w:bottom w:val="none" w:sz="0" w:space="0" w:color="auto"/>
            <w:right w:val="none" w:sz="0" w:space="0" w:color="auto"/>
          </w:divBdr>
          <w:divsChild>
            <w:div w:id="1397435458">
              <w:marLeft w:val="0"/>
              <w:marRight w:val="0"/>
              <w:marTop w:val="411"/>
              <w:marBottom w:val="0"/>
              <w:divBdr>
                <w:top w:val="none" w:sz="0" w:space="0" w:color="auto"/>
                <w:left w:val="none" w:sz="0" w:space="0" w:color="auto"/>
                <w:bottom w:val="none" w:sz="0" w:space="0" w:color="auto"/>
                <w:right w:val="none" w:sz="0" w:space="0" w:color="auto"/>
              </w:divBdr>
              <w:divsChild>
                <w:div w:id="570194734">
                  <w:marLeft w:val="0"/>
                  <w:marRight w:val="0"/>
                  <w:marTop w:val="0"/>
                  <w:marBottom w:val="0"/>
                  <w:divBdr>
                    <w:top w:val="none" w:sz="0" w:space="0" w:color="auto"/>
                    <w:left w:val="none" w:sz="0" w:space="0" w:color="auto"/>
                    <w:bottom w:val="none" w:sz="0" w:space="0" w:color="auto"/>
                    <w:right w:val="none" w:sz="0" w:space="0" w:color="auto"/>
                  </w:divBdr>
                  <w:divsChild>
                    <w:div w:id="1996300104">
                      <w:marLeft w:val="79"/>
                      <w:marRight w:val="79"/>
                      <w:marTop w:val="0"/>
                      <w:marBottom w:val="0"/>
                      <w:divBdr>
                        <w:top w:val="none" w:sz="0" w:space="0" w:color="auto"/>
                        <w:left w:val="none" w:sz="0" w:space="0" w:color="auto"/>
                        <w:bottom w:val="none" w:sz="0" w:space="0" w:color="auto"/>
                        <w:right w:val="none" w:sz="0" w:space="0" w:color="auto"/>
                      </w:divBdr>
                      <w:divsChild>
                        <w:div w:id="178738702">
                          <w:marLeft w:val="0"/>
                          <w:marRight w:val="0"/>
                          <w:marTop w:val="0"/>
                          <w:marBottom w:val="0"/>
                          <w:divBdr>
                            <w:top w:val="dashed" w:sz="6" w:space="0" w:color="DDDDDD"/>
                            <w:left w:val="none" w:sz="0" w:space="0" w:color="auto"/>
                            <w:bottom w:val="none" w:sz="0" w:space="0" w:color="auto"/>
                            <w:right w:val="none" w:sz="0" w:space="0" w:color="auto"/>
                          </w:divBdr>
                          <w:divsChild>
                            <w:div w:id="293410477">
                              <w:marLeft w:val="0"/>
                              <w:marRight w:val="0"/>
                              <w:marTop w:val="0"/>
                              <w:marBottom w:val="0"/>
                              <w:divBdr>
                                <w:top w:val="none" w:sz="0" w:space="0" w:color="auto"/>
                                <w:left w:val="none" w:sz="0" w:space="0" w:color="auto"/>
                                <w:bottom w:val="none" w:sz="0" w:space="0" w:color="auto"/>
                                <w:right w:val="none" w:sz="0" w:space="0" w:color="auto"/>
                              </w:divBdr>
                              <w:divsChild>
                                <w:div w:id="1213494451">
                                  <w:marLeft w:val="0"/>
                                  <w:marRight w:val="0"/>
                                  <w:marTop w:val="79"/>
                                  <w:marBottom w:val="79"/>
                                  <w:divBdr>
                                    <w:top w:val="none" w:sz="0" w:space="0" w:color="auto"/>
                                    <w:left w:val="none" w:sz="0" w:space="0" w:color="auto"/>
                                    <w:bottom w:val="none" w:sz="0" w:space="0" w:color="auto"/>
                                    <w:right w:val="none" w:sz="0" w:space="0" w:color="auto"/>
                                  </w:divBdr>
                                  <w:divsChild>
                                    <w:div w:id="2044861947">
                                      <w:marLeft w:val="0"/>
                                      <w:marRight w:val="0"/>
                                      <w:marTop w:val="0"/>
                                      <w:marBottom w:val="0"/>
                                      <w:divBdr>
                                        <w:top w:val="none" w:sz="0" w:space="0" w:color="auto"/>
                                        <w:left w:val="none" w:sz="0" w:space="0" w:color="auto"/>
                                        <w:bottom w:val="none" w:sz="0" w:space="0" w:color="auto"/>
                                        <w:right w:val="none" w:sz="0" w:space="0" w:color="auto"/>
                                      </w:divBdr>
                                      <w:divsChild>
                                        <w:div w:id="941063163">
                                          <w:marLeft w:val="554"/>
                                          <w:marRight w:val="0"/>
                                          <w:marTop w:val="0"/>
                                          <w:marBottom w:val="0"/>
                                          <w:divBdr>
                                            <w:top w:val="none" w:sz="0" w:space="0" w:color="auto"/>
                                            <w:left w:val="none" w:sz="0" w:space="0" w:color="auto"/>
                                            <w:bottom w:val="none" w:sz="0" w:space="0" w:color="auto"/>
                                            <w:right w:val="none" w:sz="0" w:space="0" w:color="auto"/>
                                          </w:divBdr>
                                          <w:divsChild>
                                            <w:div w:id="1009212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86856532">
      <w:bodyDiv w:val="1"/>
      <w:marLeft w:val="0"/>
      <w:marRight w:val="0"/>
      <w:marTop w:val="0"/>
      <w:marBottom w:val="0"/>
      <w:divBdr>
        <w:top w:val="none" w:sz="0" w:space="0" w:color="auto"/>
        <w:left w:val="none" w:sz="0" w:space="0" w:color="auto"/>
        <w:bottom w:val="none" w:sz="0" w:space="0" w:color="auto"/>
        <w:right w:val="none" w:sz="0" w:space="0" w:color="auto"/>
      </w:divBdr>
    </w:div>
    <w:div w:id="290131335">
      <w:bodyDiv w:val="1"/>
      <w:marLeft w:val="0"/>
      <w:marRight w:val="0"/>
      <w:marTop w:val="0"/>
      <w:marBottom w:val="0"/>
      <w:divBdr>
        <w:top w:val="none" w:sz="0" w:space="0" w:color="auto"/>
        <w:left w:val="none" w:sz="0" w:space="0" w:color="auto"/>
        <w:bottom w:val="none" w:sz="0" w:space="0" w:color="auto"/>
        <w:right w:val="none" w:sz="0" w:space="0" w:color="auto"/>
      </w:divBdr>
    </w:div>
    <w:div w:id="302276354">
      <w:bodyDiv w:val="1"/>
      <w:marLeft w:val="0"/>
      <w:marRight w:val="0"/>
      <w:marTop w:val="0"/>
      <w:marBottom w:val="0"/>
      <w:divBdr>
        <w:top w:val="none" w:sz="0" w:space="0" w:color="auto"/>
        <w:left w:val="none" w:sz="0" w:space="0" w:color="auto"/>
        <w:bottom w:val="none" w:sz="0" w:space="0" w:color="auto"/>
        <w:right w:val="none" w:sz="0" w:space="0" w:color="auto"/>
      </w:divBdr>
    </w:div>
    <w:div w:id="305356600">
      <w:bodyDiv w:val="1"/>
      <w:marLeft w:val="0"/>
      <w:marRight w:val="0"/>
      <w:marTop w:val="0"/>
      <w:marBottom w:val="0"/>
      <w:divBdr>
        <w:top w:val="none" w:sz="0" w:space="0" w:color="auto"/>
        <w:left w:val="none" w:sz="0" w:space="0" w:color="auto"/>
        <w:bottom w:val="none" w:sz="0" w:space="0" w:color="auto"/>
        <w:right w:val="none" w:sz="0" w:space="0" w:color="auto"/>
      </w:divBdr>
    </w:div>
    <w:div w:id="306513037">
      <w:bodyDiv w:val="1"/>
      <w:marLeft w:val="0"/>
      <w:marRight w:val="0"/>
      <w:marTop w:val="0"/>
      <w:marBottom w:val="0"/>
      <w:divBdr>
        <w:top w:val="none" w:sz="0" w:space="0" w:color="auto"/>
        <w:left w:val="none" w:sz="0" w:space="0" w:color="auto"/>
        <w:bottom w:val="none" w:sz="0" w:space="0" w:color="auto"/>
        <w:right w:val="none" w:sz="0" w:space="0" w:color="auto"/>
      </w:divBdr>
    </w:div>
    <w:div w:id="308483120">
      <w:bodyDiv w:val="1"/>
      <w:marLeft w:val="0"/>
      <w:marRight w:val="0"/>
      <w:marTop w:val="0"/>
      <w:marBottom w:val="0"/>
      <w:divBdr>
        <w:top w:val="none" w:sz="0" w:space="0" w:color="auto"/>
        <w:left w:val="none" w:sz="0" w:space="0" w:color="auto"/>
        <w:bottom w:val="none" w:sz="0" w:space="0" w:color="auto"/>
        <w:right w:val="none" w:sz="0" w:space="0" w:color="auto"/>
      </w:divBdr>
    </w:div>
    <w:div w:id="313724787">
      <w:bodyDiv w:val="1"/>
      <w:marLeft w:val="0"/>
      <w:marRight w:val="0"/>
      <w:marTop w:val="0"/>
      <w:marBottom w:val="0"/>
      <w:divBdr>
        <w:top w:val="none" w:sz="0" w:space="0" w:color="auto"/>
        <w:left w:val="none" w:sz="0" w:space="0" w:color="auto"/>
        <w:bottom w:val="none" w:sz="0" w:space="0" w:color="auto"/>
        <w:right w:val="none" w:sz="0" w:space="0" w:color="auto"/>
      </w:divBdr>
    </w:div>
    <w:div w:id="320281789">
      <w:bodyDiv w:val="1"/>
      <w:marLeft w:val="0"/>
      <w:marRight w:val="0"/>
      <w:marTop w:val="0"/>
      <w:marBottom w:val="0"/>
      <w:divBdr>
        <w:top w:val="none" w:sz="0" w:space="0" w:color="auto"/>
        <w:left w:val="none" w:sz="0" w:space="0" w:color="auto"/>
        <w:bottom w:val="none" w:sz="0" w:space="0" w:color="auto"/>
        <w:right w:val="none" w:sz="0" w:space="0" w:color="auto"/>
      </w:divBdr>
    </w:div>
    <w:div w:id="320544341">
      <w:bodyDiv w:val="1"/>
      <w:marLeft w:val="0"/>
      <w:marRight w:val="0"/>
      <w:marTop w:val="0"/>
      <w:marBottom w:val="0"/>
      <w:divBdr>
        <w:top w:val="none" w:sz="0" w:space="0" w:color="auto"/>
        <w:left w:val="none" w:sz="0" w:space="0" w:color="auto"/>
        <w:bottom w:val="none" w:sz="0" w:space="0" w:color="auto"/>
        <w:right w:val="none" w:sz="0" w:space="0" w:color="auto"/>
      </w:divBdr>
    </w:div>
    <w:div w:id="322709755">
      <w:bodyDiv w:val="1"/>
      <w:marLeft w:val="0"/>
      <w:marRight w:val="0"/>
      <w:marTop w:val="0"/>
      <w:marBottom w:val="0"/>
      <w:divBdr>
        <w:top w:val="none" w:sz="0" w:space="0" w:color="auto"/>
        <w:left w:val="none" w:sz="0" w:space="0" w:color="auto"/>
        <w:bottom w:val="none" w:sz="0" w:space="0" w:color="auto"/>
        <w:right w:val="none" w:sz="0" w:space="0" w:color="auto"/>
      </w:divBdr>
    </w:div>
    <w:div w:id="324018674">
      <w:bodyDiv w:val="1"/>
      <w:marLeft w:val="0"/>
      <w:marRight w:val="0"/>
      <w:marTop w:val="0"/>
      <w:marBottom w:val="0"/>
      <w:divBdr>
        <w:top w:val="none" w:sz="0" w:space="0" w:color="auto"/>
        <w:left w:val="none" w:sz="0" w:space="0" w:color="auto"/>
        <w:bottom w:val="none" w:sz="0" w:space="0" w:color="auto"/>
        <w:right w:val="none" w:sz="0" w:space="0" w:color="auto"/>
      </w:divBdr>
    </w:div>
    <w:div w:id="332071138">
      <w:bodyDiv w:val="1"/>
      <w:marLeft w:val="0"/>
      <w:marRight w:val="0"/>
      <w:marTop w:val="0"/>
      <w:marBottom w:val="0"/>
      <w:divBdr>
        <w:top w:val="none" w:sz="0" w:space="0" w:color="auto"/>
        <w:left w:val="none" w:sz="0" w:space="0" w:color="auto"/>
        <w:bottom w:val="none" w:sz="0" w:space="0" w:color="auto"/>
        <w:right w:val="none" w:sz="0" w:space="0" w:color="auto"/>
      </w:divBdr>
    </w:div>
    <w:div w:id="334109393">
      <w:bodyDiv w:val="1"/>
      <w:marLeft w:val="0"/>
      <w:marRight w:val="0"/>
      <w:marTop w:val="0"/>
      <w:marBottom w:val="0"/>
      <w:divBdr>
        <w:top w:val="none" w:sz="0" w:space="0" w:color="auto"/>
        <w:left w:val="none" w:sz="0" w:space="0" w:color="auto"/>
        <w:bottom w:val="none" w:sz="0" w:space="0" w:color="auto"/>
        <w:right w:val="none" w:sz="0" w:space="0" w:color="auto"/>
      </w:divBdr>
    </w:div>
    <w:div w:id="337927393">
      <w:bodyDiv w:val="1"/>
      <w:marLeft w:val="0"/>
      <w:marRight w:val="0"/>
      <w:marTop w:val="0"/>
      <w:marBottom w:val="0"/>
      <w:divBdr>
        <w:top w:val="none" w:sz="0" w:space="0" w:color="auto"/>
        <w:left w:val="none" w:sz="0" w:space="0" w:color="auto"/>
        <w:bottom w:val="none" w:sz="0" w:space="0" w:color="auto"/>
        <w:right w:val="none" w:sz="0" w:space="0" w:color="auto"/>
      </w:divBdr>
    </w:div>
    <w:div w:id="338193308">
      <w:bodyDiv w:val="1"/>
      <w:marLeft w:val="0"/>
      <w:marRight w:val="0"/>
      <w:marTop w:val="0"/>
      <w:marBottom w:val="0"/>
      <w:divBdr>
        <w:top w:val="none" w:sz="0" w:space="0" w:color="auto"/>
        <w:left w:val="none" w:sz="0" w:space="0" w:color="auto"/>
        <w:bottom w:val="none" w:sz="0" w:space="0" w:color="auto"/>
        <w:right w:val="none" w:sz="0" w:space="0" w:color="auto"/>
      </w:divBdr>
      <w:divsChild>
        <w:div w:id="1779565886">
          <w:marLeft w:val="0"/>
          <w:marRight w:val="0"/>
          <w:marTop w:val="0"/>
          <w:marBottom w:val="0"/>
          <w:divBdr>
            <w:top w:val="none" w:sz="0" w:space="0" w:color="auto"/>
            <w:left w:val="none" w:sz="0" w:space="0" w:color="auto"/>
            <w:bottom w:val="none" w:sz="0" w:space="0" w:color="auto"/>
            <w:right w:val="none" w:sz="0" w:space="0" w:color="auto"/>
          </w:divBdr>
          <w:divsChild>
            <w:div w:id="1769885844">
              <w:marLeft w:val="0"/>
              <w:marRight w:val="0"/>
              <w:marTop w:val="411"/>
              <w:marBottom w:val="0"/>
              <w:divBdr>
                <w:top w:val="none" w:sz="0" w:space="0" w:color="auto"/>
                <w:left w:val="none" w:sz="0" w:space="0" w:color="auto"/>
                <w:bottom w:val="none" w:sz="0" w:space="0" w:color="auto"/>
                <w:right w:val="none" w:sz="0" w:space="0" w:color="auto"/>
              </w:divBdr>
              <w:divsChild>
                <w:div w:id="2122217556">
                  <w:marLeft w:val="0"/>
                  <w:marRight w:val="0"/>
                  <w:marTop w:val="0"/>
                  <w:marBottom w:val="0"/>
                  <w:divBdr>
                    <w:top w:val="none" w:sz="0" w:space="0" w:color="auto"/>
                    <w:left w:val="none" w:sz="0" w:space="0" w:color="auto"/>
                    <w:bottom w:val="none" w:sz="0" w:space="0" w:color="auto"/>
                    <w:right w:val="none" w:sz="0" w:space="0" w:color="auto"/>
                  </w:divBdr>
                  <w:divsChild>
                    <w:div w:id="840389498">
                      <w:marLeft w:val="79"/>
                      <w:marRight w:val="79"/>
                      <w:marTop w:val="0"/>
                      <w:marBottom w:val="0"/>
                      <w:divBdr>
                        <w:top w:val="none" w:sz="0" w:space="0" w:color="auto"/>
                        <w:left w:val="none" w:sz="0" w:space="0" w:color="auto"/>
                        <w:bottom w:val="none" w:sz="0" w:space="0" w:color="auto"/>
                        <w:right w:val="none" w:sz="0" w:space="0" w:color="auto"/>
                      </w:divBdr>
                      <w:divsChild>
                        <w:div w:id="2097050086">
                          <w:marLeft w:val="0"/>
                          <w:marRight w:val="0"/>
                          <w:marTop w:val="0"/>
                          <w:marBottom w:val="0"/>
                          <w:divBdr>
                            <w:top w:val="dashed" w:sz="6" w:space="0" w:color="DDDDDD"/>
                            <w:left w:val="none" w:sz="0" w:space="0" w:color="auto"/>
                            <w:bottom w:val="none" w:sz="0" w:space="0" w:color="auto"/>
                            <w:right w:val="none" w:sz="0" w:space="0" w:color="auto"/>
                          </w:divBdr>
                          <w:divsChild>
                            <w:div w:id="394012164">
                              <w:marLeft w:val="0"/>
                              <w:marRight w:val="0"/>
                              <w:marTop w:val="0"/>
                              <w:marBottom w:val="0"/>
                              <w:divBdr>
                                <w:top w:val="none" w:sz="0" w:space="0" w:color="auto"/>
                                <w:left w:val="none" w:sz="0" w:space="0" w:color="auto"/>
                                <w:bottom w:val="none" w:sz="0" w:space="0" w:color="auto"/>
                                <w:right w:val="none" w:sz="0" w:space="0" w:color="auto"/>
                              </w:divBdr>
                              <w:divsChild>
                                <w:div w:id="1636253754">
                                  <w:marLeft w:val="0"/>
                                  <w:marRight w:val="0"/>
                                  <w:marTop w:val="79"/>
                                  <w:marBottom w:val="79"/>
                                  <w:divBdr>
                                    <w:top w:val="none" w:sz="0" w:space="0" w:color="auto"/>
                                    <w:left w:val="none" w:sz="0" w:space="0" w:color="auto"/>
                                    <w:bottom w:val="none" w:sz="0" w:space="0" w:color="auto"/>
                                    <w:right w:val="none" w:sz="0" w:space="0" w:color="auto"/>
                                  </w:divBdr>
                                  <w:divsChild>
                                    <w:div w:id="1297103014">
                                      <w:marLeft w:val="0"/>
                                      <w:marRight w:val="0"/>
                                      <w:marTop w:val="0"/>
                                      <w:marBottom w:val="0"/>
                                      <w:divBdr>
                                        <w:top w:val="none" w:sz="0" w:space="0" w:color="auto"/>
                                        <w:left w:val="none" w:sz="0" w:space="0" w:color="auto"/>
                                        <w:bottom w:val="none" w:sz="0" w:space="0" w:color="auto"/>
                                        <w:right w:val="none" w:sz="0" w:space="0" w:color="auto"/>
                                      </w:divBdr>
                                      <w:divsChild>
                                        <w:div w:id="973215107">
                                          <w:marLeft w:val="554"/>
                                          <w:marRight w:val="0"/>
                                          <w:marTop w:val="0"/>
                                          <w:marBottom w:val="0"/>
                                          <w:divBdr>
                                            <w:top w:val="none" w:sz="0" w:space="0" w:color="auto"/>
                                            <w:left w:val="none" w:sz="0" w:space="0" w:color="auto"/>
                                            <w:bottom w:val="none" w:sz="0" w:space="0" w:color="auto"/>
                                            <w:right w:val="none" w:sz="0" w:space="0" w:color="auto"/>
                                          </w:divBdr>
                                          <w:divsChild>
                                            <w:div w:id="697781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43283785">
      <w:bodyDiv w:val="1"/>
      <w:marLeft w:val="0"/>
      <w:marRight w:val="0"/>
      <w:marTop w:val="0"/>
      <w:marBottom w:val="0"/>
      <w:divBdr>
        <w:top w:val="none" w:sz="0" w:space="0" w:color="auto"/>
        <w:left w:val="none" w:sz="0" w:space="0" w:color="auto"/>
        <w:bottom w:val="none" w:sz="0" w:space="0" w:color="auto"/>
        <w:right w:val="none" w:sz="0" w:space="0" w:color="auto"/>
      </w:divBdr>
    </w:div>
    <w:div w:id="343941522">
      <w:bodyDiv w:val="1"/>
      <w:marLeft w:val="0"/>
      <w:marRight w:val="0"/>
      <w:marTop w:val="0"/>
      <w:marBottom w:val="0"/>
      <w:divBdr>
        <w:top w:val="none" w:sz="0" w:space="0" w:color="auto"/>
        <w:left w:val="none" w:sz="0" w:space="0" w:color="auto"/>
        <w:bottom w:val="none" w:sz="0" w:space="0" w:color="auto"/>
        <w:right w:val="none" w:sz="0" w:space="0" w:color="auto"/>
      </w:divBdr>
    </w:div>
    <w:div w:id="344283600">
      <w:bodyDiv w:val="1"/>
      <w:marLeft w:val="0"/>
      <w:marRight w:val="0"/>
      <w:marTop w:val="0"/>
      <w:marBottom w:val="0"/>
      <w:divBdr>
        <w:top w:val="none" w:sz="0" w:space="0" w:color="auto"/>
        <w:left w:val="none" w:sz="0" w:space="0" w:color="auto"/>
        <w:bottom w:val="none" w:sz="0" w:space="0" w:color="auto"/>
        <w:right w:val="none" w:sz="0" w:space="0" w:color="auto"/>
      </w:divBdr>
    </w:div>
    <w:div w:id="349838199">
      <w:bodyDiv w:val="1"/>
      <w:marLeft w:val="0"/>
      <w:marRight w:val="0"/>
      <w:marTop w:val="0"/>
      <w:marBottom w:val="0"/>
      <w:divBdr>
        <w:top w:val="none" w:sz="0" w:space="0" w:color="auto"/>
        <w:left w:val="none" w:sz="0" w:space="0" w:color="auto"/>
        <w:bottom w:val="none" w:sz="0" w:space="0" w:color="auto"/>
        <w:right w:val="none" w:sz="0" w:space="0" w:color="auto"/>
      </w:divBdr>
    </w:div>
    <w:div w:id="352610002">
      <w:bodyDiv w:val="1"/>
      <w:marLeft w:val="0"/>
      <w:marRight w:val="0"/>
      <w:marTop w:val="0"/>
      <w:marBottom w:val="0"/>
      <w:divBdr>
        <w:top w:val="none" w:sz="0" w:space="0" w:color="auto"/>
        <w:left w:val="none" w:sz="0" w:space="0" w:color="auto"/>
        <w:bottom w:val="none" w:sz="0" w:space="0" w:color="auto"/>
        <w:right w:val="none" w:sz="0" w:space="0" w:color="auto"/>
      </w:divBdr>
    </w:div>
    <w:div w:id="353769761">
      <w:bodyDiv w:val="1"/>
      <w:marLeft w:val="0"/>
      <w:marRight w:val="0"/>
      <w:marTop w:val="0"/>
      <w:marBottom w:val="0"/>
      <w:divBdr>
        <w:top w:val="none" w:sz="0" w:space="0" w:color="auto"/>
        <w:left w:val="none" w:sz="0" w:space="0" w:color="auto"/>
        <w:bottom w:val="none" w:sz="0" w:space="0" w:color="auto"/>
        <w:right w:val="none" w:sz="0" w:space="0" w:color="auto"/>
      </w:divBdr>
    </w:div>
    <w:div w:id="354163210">
      <w:bodyDiv w:val="1"/>
      <w:marLeft w:val="0"/>
      <w:marRight w:val="0"/>
      <w:marTop w:val="0"/>
      <w:marBottom w:val="0"/>
      <w:divBdr>
        <w:top w:val="none" w:sz="0" w:space="0" w:color="auto"/>
        <w:left w:val="none" w:sz="0" w:space="0" w:color="auto"/>
        <w:bottom w:val="none" w:sz="0" w:space="0" w:color="auto"/>
        <w:right w:val="none" w:sz="0" w:space="0" w:color="auto"/>
      </w:divBdr>
    </w:div>
    <w:div w:id="360404006">
      <w:bodyDiv w:val="1"/>
      <w:marLeft w:val="0"/>
      <w:marRight w:val="0"/>
      <w:marTop w:val="0"/>
      <w:marBottom w:val="0"/>
      <w:divBdr>
        <w:top w:val="none" w:sz="0" w:space="0" w:color="auto"/>
        <w:left w:val="none" w:sz="0" w:space="0" w:color="auto"/>
        <w:bottom w:val="none" w:sz="0" w:space="0" w:color="auto"/>
        <w:right w:val="none" w:sz="0" w:space="0" w:color="auto"/>
      </w:divBdr>
    </w:div>
    <w:div w:id="362945157">
      <w:bodyDiv w:val="1"/>
      <w:marLeft w:val="0"/>
      <w:marRight w:val="0"/>
      <w:marTop w:val="0"/>
      <w:marBottom w:val="0"/>
      <w:divBdr>
        <w:top w:val="none" w:sz="0" w:space="0" w:color="auto"/>
        <w:left w:val="none" w:sz="0" w:space="0" w:color="auto"/>
        <w:bottom w:val="none" w:sz="0" w:space="0" w:color="auto"/>
        <w:right w:val="none" w:sz="0" w:space="0" w:color="auto"/>
      </w:divBdr>
      <w:divsChild>
        <w:div w:id="222757277">
          <w:marLeft w:val="0"/>
          <w:marRight w:val="0"/>
          <w:marTop w:val="0"/>
          <w:marBottom w:val="0"/>
          <w:divBdr>
            <w:top w:val="none" w:sz="0" w:space="0" w:color="auto"/>
            <w:left w:val="none" w:sz="0" w:space="0" w:color="auto"/>
            <w:bottom w:val="none" w:sz="0" w:space="0" w:color="auto"/>
            <w:right w:val="none" w:sz="0" w:space="0" w:color="auto"/>
          </w:divBdr>
        </w:div>
        <w:div w:id="231694381">
          <w:marLeft w:val="0"/>
          <w:marRight w:val="0"/>
          <w:marTop w:val="0"/>
          <w:marBottom w:val="0"/>
          <w:divBdr>
            <w:top w:val="none" w:sz="0" w:space="0" w:color="auto"/>
            <w:left w:val="none" w:sz="0" w:space="0" w:color="auto"/>
            <w:bottom w:val="none" w:sz="0" w:space="0" w:color="auto"/>
            <w:right w:val="none" w:sz="0" w:space="0" w:color="auto"/>
          </w:divBdr>
        </w:div>
        <w:div w:id="307515024">
          <w:marLeft w:val="0"/>
          <w:marRight w:val="0"/>
          <w:marTop w:val="0"/>
          <w:marBottom w:val="0"/>
          <w:divBdr>
            <w:top w:val="none" w:sz="0" w:space="0" w:color="auto"/>
            <w:left w:val="none" w:sz="0" w:space="0" w:color="auto"/>
            <w:bottom w:val="none" w:sz="0" w:space="0" w:color="auto"/>
            <w:right w:val="none" w:sz="0" w:space="0" w:color="auto"/>
          </w:divBdr>
        </w:div>
        <w:div w:id="355890653">
          <w:marLeft w:val="0"/>
          <w:marRight w:val="0"/>
          <w:marTop w:val="0"/>
          <w:marBottom w:val="0"/>
          <w:divBdr>
            <w:top w:val="none" w:sz="0" w:space="0" w:color="auto"/>
            <w:left w:val="none" w:sz="0" w:space="0" w:color="auto"/>
            <w:bottom w:val="none" w:sz="0" w:space="0" w:color="auto"/>
            <w:right w:val="none" w:sz="0" w:space="0" w:color="auto"/>
          </w:divBdr>
        </w:div>
        <w:div w:id="481391313">
          <w:marLeft w:val="0"/>
          <w:marRight w:val="0"/>
          <w:marTop w:val="0"/>
          <w:marBottom w:val="0"/>
          <w:divBdr>
            <w:top w:val="none" w:sz="0" w:space="0" w:color="auto"/>
            <w:left w:val="none" w:sz="0" w:space="0" w:color="auto"/>
            <w:bottom w:val="none" w:sz="0" w:space="0" w:color="auto"/>
            <w:right w:val="none" w:sz="0" w:space="0" w:color="auto"/>
          </w:divBdr>
        </w:div>
        <w:div w:id="551814729">
          <w:marLeft w:val="0"/>
          <w:marRight w:val="0"/>
          <w:marTop w:val="0"/>
          <w:marBottom w:val="0"/>
          <w:divBdr>
            <w:top w:val="none" w:sz="0" w:space="0" w:color="auto"/>
            <w:left w:val="none" w:sz="0" w:space="0" w:color="auto"/>
            <w:bottom w:val="none" w:sz="0" w:space="0" w:color="auto"/>
            <w:right w:val="none" w:sz="0" w:space="0" w:color="auto"/>
          </w:divBdr>
        </w:div>
        <w:div w:id="615648105">
          <w:marLeft w:val="0"/>
          <w:marRight w:val="0"/>
          <w:marTop w:val="0"/>
          <w:marBottom w:val="0"/>
          <w:divBdr>
            <w:top w:val="none" w:sz="0" w:space="0" w:color="auto"/>
            <w:left w:val="none" w:sz="0" w:space="0" w:color="auto"/>
            <w:bottom w:val="none" w:sz="0" w:space="0" w:color="auto"/>
            <w:right w:val="none" w:sz="0" w:space="0" w:color="auto"/>
          </w:divBdr>
        </w:div>
        <w:div w:id="665859594">
          <w:marLeft w:val="0"/>
          <w:marRight w:val="0"/>
          <w:marTop w:val="0"/>
          <w:marBottom w:val="0"/>
          <w:divBdr>
            <w:top w:val="none" w:sz="0" w:space="0" w:color="auto"/>
            <w:left w:val="none" w:sz="0" w:space="0" w:color="auto"/>
            <w:bottom w:val="none" w:sz="0" w:space="0" w:color="auto"/>
            <w:right w:val="none" w:sz="0" w:space="0" w:color="auto"/>
          </w:divBdr>
        </w:div>
        <w:div w:id="691222580">
          <w:marLeft w:val="0"/>
          <w:marRight w:val="0"/>
          <w:marTop w:val="0"/>
          <w:marBottom w:val="0"/>
          <w:divBdr>
            <w:top w:val="none" w:sz="0" w:space="0" w:color="auto"/>
            <w:left w:val="none" w:sz="0" w:space="0" w:color="auto"/>
            <w:bottom w:val="none" w:sz="0" w:space="0" w:color="auto"/>
            <w:right w:val="none" w:sz="0" w:space="0" w:color="auto"/>
          </w:divBdr>
        </w:div>
        <w:div w:id="700210926">
          <w:marLeft w:val="0"/>
          <w:marRight w:val="0"/>
          <w:marTop w:val="0"/>
          <w:marBottom w:val="0"/>
          <w:divBdr>
            <w:top w:val="none" w:sz="0" w:space="0" w:color="auto"/>
            <w:left w:val="none" w:sz="0" w:space="0" w:color="auto"/>
            <w:bottom w:val="none" w:sz="0" w:space="0" w:color="auto"/>
            <w:right w:val="none" w:sz="0" w:space="0" w:color="auto"/>
          </w:divBdr>
        </w:div>
        <w:div w:id="745612078">
          <w:marLeft w:val="0"/>
          <w:marRight w:val="0"/>
          <w:marTop w:val="0"/>
          <w:marBottom w:val="0"/>
          <w:divBdr>
            <w:top w:val="none" w:sz="0" w:space="0" w:color="auto"/>
            <w:left w:val="none" w:sz="0" w:space="0" w:color="auto"/>
            <w:bottom w:val="none" w:sz="0" w:space="0" w:color="auto"/>
            <w:right w:val="none" w:sz="0" w:space="0" w:color="auto"/>
          </w:divBdr>
        </w:div>
        <w:div w:id="815610560">
          <w:marLeft w:val="0"/>
          <w:marRight w:val="0"/>
          <w:marTop w:val="0"/>
          <w:marBottom w:val="0"/>
          <w:divBdr>
            <w:top w:val="none" w:sz="0" w:space="0" w:color="auto"/>
            <w:left w:val="none" w:sz="0" w:space="0" w:color="auto"/>
            <w:bottom w:val="none" w:sz="0" w:space="0" w:color="auto"/>
            <w:right w:val="none" w:sz="0" w:space="0" w:color="auto"/>
          </w:divBdr>
        </w:div>
        <w:div w:id="888104411">
          <w:marLeft w:val="0"/>
          <w:marRight w:val="0"/>
          <w:marTop w:val="0"/>
          <w:marBottom w:val="0"/>
          <w:divBdr>
            <w:top w:val="none" w:sz="0" w:space="0" w:color="auto"/>
            <w:left w:val="none" w:sz="0" w:space="0" w:color="auto"/>
            <w:bottom w:val="none" w:sz="0" w:space="0" w:color="auto"/>
            <w:right w:val="none" w:sz="0" w:space="0" w:color="auto"/>
          </w:divBdr>
        </w:div>
        <w:div w:id="893270816">
          <w:marLeft w:val="0"/>
          <w:marRight w:val="0"/>
          <w:marTop w:val="0"/>
          <w:marBottom w:val="0"/>
          <w:divBdr>
            <w:top w:val="none" w:sz="0" w:space="0" w:color="auto"/>
            <w:left w:val="none" w:sz="0" w:space="0" w:color="auto"/>
            <w:bottom w:val="none" w:sz="0" w:space="0" w:color="auto"/>
            <w:right w:val="none" w:sz="0" w:space="0" w:color="auto"/>
          </w:divBdr>
        </w:div>
        <w:div w:id="922910446">
          <w:marLeft w:val="0"/>
          <w:marRight w:val="0"/>
          <w:marTop w:val="0"/>
          <w:marBottom w:val="0"/>
          <w:divBdr>
            <w:top w:val="none" w:sz="0" w:space="0" w:color="auto"/>
            <w:left w:val="none" w:sz="0" w:space="0" w:color="auto"/>
            <w:bottom w:val="none" w:sz="0" w:space="0" w:color="auto"/>
            <w:right w:val="none" w:sz="0" w:space="0" w:color="auto"/>
          </w:divBdr>
        </w:div>
        <w:div w:id="939946016">
          <w:marLeft w:val="0"/>
          <w:marRight w:val="0"/>
          <w:marTop w:val="0"/>
          <w:marBottom w:val="0"/>
          <w:divBdr>
            <w:top w:val="none" w:sz="0" w:space="0" w:color="auto"/>
            <w:left w:val="none" w:sz="0" w:space="0" w:color="auto"/>
            <w:bottom w:val="none" w:sz="0" w:space="0" w:color="auto"/>
            <w:right w:val="none" w:sz="0" w:space="0" w:color="auto"/>
          </w:divBdr>
        </w:div>
        <w:div w:id="941104355">
          <w:marLeft w:val="0"/>
          <w:marRight w:val="0"/>
          <w:marTop w:val="0"/>
          <w:marBottom w:val="0"/>
          <w:divBdr>
            <w:top w:val="none" w:sz="0" w:space="0" w:color="auto"/>
            <w:left w:val="none" w:sz="0" w:space="0" w:color="auto"/>
            <w:bottom w:val="none" w:sz="0" w:space="0" w:color="auto"/>
            <w:right w:val="none" w:sz="0" w:space="0" w:color="auto"/>
          </w:divBdr>
        </w:div>
        <w:div w:id="971441838">
          <w:marLeft w:val="0"/>
          <w:marRight w:val="0"/>
          <w:marTop w:val="0"/>
          <w:marBottom w:val="0"/>
          <w:divBdr>
            <w:top w:val="none" w:sz="0" w:space="0" w:color="auto"/>
            <w:left w:val="none" w:sz="0" w:space="0" w:color="auto"/>
            <w:bottom w:val="none" w:sz="0" w:space="0" w:color="auto"/>
            <w:right w:val="none" w:sz="0" w:space="0" w:color="auto"/>
          </w:divBdr>
        </w:div>
        <w:div w:id="973563937">
          <w:marLeft w:val="0"/>
          <w:marRight w:val="0"/>
          <w:marTop w:val="0"/>
          <w:marBottom w:val="0"/>
          <w:divBdr>
            <w:top w:val="none" w:sz="0" w:space="0" w:color="auto"/>
            <w:left w:val="none" w:sz="0" w:space="0" w:color="auto"/>
            <w:bottom w:val="none" w:sz="0" w:space="0" w:color="auto"/>
            <w:right w:val="none" w:sz="0" w:space="0" w:color="auto"/>
          </w:divBdr>
        </w:div>
        <w:div w:id="1024549933">
          <w:marLeft w:val="0"/>
          <w:marRight w:val="0"/>
          <w:marTop w:val="0"/>
          <w:marBottom w:val="0"/>
          <w:divBdr>
            <w:top w:val="none" w:sz="0" w:space="0" w:color="auto"/>
            <w:left w:val="none" w:sz="0" w:space="0" w:color="auto"/>
            <w:bottom w:val="none" w:sz="0" w:space="0" w:color="auto"/>
            <w:right w:val="none" w:sz="0" w:space="0" w:color="auto"/>
          </w:divBdr>
        </w:div>
        <w:div w:id="1037776416">
          <w:marLeft w:val="0"/>
          <w:marRight w:val="0"/>
          <w:marTop w:val="0"/>
          <w:marBottom w:val="0"/>
          <w:divBdr>
            <w:top w:val="none" w:sz="0" w:space="0" w:color="auto"/>
            <w:left w:val="none" w:sz="0" w:space="0" w:color="auto"/>
            <w:bottom w:val="none" w:sz="0" w:space="0" w:color="auto"/>
            <w:right w:val="none" w:sz="0" w:space="0" w:color="auto"/>
          </w:divBdr>
        </w:div>
        <w:div w:id="1087339745">
          <w:marLeft w:val="0"/>
          <w:marRight w:val="0"/>
          <w:marTop w:val="0"/>
          <w:marBottom w:val="0"/>
          <w:divBdr>
            <w:top w:val="none" w:sz="0" w:space="0" w:color="auto"/>
            <w:left w:val="none" w:sz="0" w:space="0" w:color="auto"/>
            <w:bottom w:val="none" w:sz="0" w:space="0" w:color="auto"/>
            <w:right w:val="none" w:sz="0" w:space="0" w:color="auto"/>
          </w:divBdr>
        </w:div>
        <w:div w:id="1097289866">
          <w:marLeft w:val="0"/>
          <w:marRight w:val="0"/>
          <w:marTop w:val="0"/>
          <w:marBottom w:val="0"/>
          <w:divBdr>
            <w:top w:val="none" w:sz="0" w:space="0" w:color="auto"/>
            <w:left w:val="none" w:sz="0" w:space="0" w:color="auto"/>
            <w:bottom w:val="none" w:sz="0" w:space="0" w:color="auto"/>
            <w:right w:val="none" w:sz="0" w:space="0" w:color="auto"/>
          </w:divBdr>
        </w:div>
        <w:div w:id="1154224764">
          <w:marLeft w:val="0"/>
          <w:marRight w:val="0"/>
          <w:marTop w:val="0"/>
          <w:marBottom w:val="0"/>
          <w:divBdr>
            <w:top w:val="none" w:sz="0" w:space="0" w:color="auto"/>
            <w:left w:val="none" w:sz="0" w:space="0" w:color="auto"/>
            <w:bottom w:val="none" w:sz="0" w:space="0" w:color="auto"/>
            <w:right w:val="none" w:sz="0" w:space="0" w:color="auto"/>
          </w:divBdr>
        </w:div>
        <w:div w:id="1184902268">
          <w:marLeft w:val="0"/>
          <w:marRight w:val="0"/>
          <w:marTop w:val="0"/>
          <w:marBottom w:val="0"/>
          <w:divBdr>
            <w:top w:val="none" w:sz="0" w:space="0" w:color="auto"/>
            <w:left w:val="none" w:sz="0" w:space="0" w:color="auto"/>
            <w:bottom w:val="none" w:sz="0" w:space="0" w:color="auto"/>
            <w:right w:val="none" w:sz="0" w:space="0" w:color="auto"/>
          </w:divBdr>
        </w:div>
        <w:div w:id="1190214922">
          <w:marLeft w:val="0"/>
          <w:marRight w:val="0"/>
          <w:marTop w:val="0"/>
          <w:marBottom w:val="0"/>
          <w:divBdr>
            <w:top w:val="none" w:sz="0" w:space="0" w:color="auto"/>
            <w:left w:val="none" w:sz="0" w:space="0" w:color="auto"/>
            <w:bottom w:val="none" w:sz="0" w:space="0" w:color="auto"/>
            <w:right w:val="none" w:sz="0" w:space="0" w:color="auto"/>
          </w:divBdr>
        </w:div>
        <w:div w:id="1265846687">
          <w:marLeft w:val="0"/>
          <w:marRight w:val="0"/>
          <w:marTop w:val="0"/>
          <w:marBottom w:val="0"/>
          <w:divBdr>
            <w:top w:val="none" w:sz="0" w:space="0" w:color="auto"/>
            <w:left w:val="none" w:sz="0" w:space="0" w:color="auto"/>
            <w:bottom w:val="none" w:sz="0" w:space="0" w:color="auto"/>
            <w:right w:val="none" w:sz="0" w:space="0" w:color="auto"/>
          </w:divBdr>
        </w:div>
        <w:div w:id="1291322461">
          <w:marLeft w:val="0"/>
          <w:marRight w:val="0"/>
          <w:marTop w:val="0"/>
          <w:marBottom w:val="0"/>
          <w:divBdr>
            <w:top w:val="none" w:sz="0" w:space="0" w:color="auto"/>
            <w:left w:val="none" w:sz="0" w:space="0" w:color="auto"/>
            <w:bottom w:val="none" w:sz="0" w:space="0" w:color="auto"/>
            <w:right w:val="none" w:sz="0" w:space="0" w:color="auto"/>
          </w:divBdr>
        </w:div>
        <w:div w:id="1292596086">
          <w:marLeft w:val="0"/>
          <w:marRight w:val="0"/>
          <w:marTop w:val="0"/>
          <w:marBottom w:val="0"/>
          <w:divBdr>
            <w:top w:val="none" w:sz="0" w:space="0" w:color="auto"/>
            <w:left w:val="none" w:sz="0" w:space="0" w:color="auto"/>
            <w:bottom w:val="none" w:sz="0" w:space="0" w:color="auto"/>
            <w:right w:val="none" w:sz="0" w:space="0" w:color="auto"/>
          </w:divBdr>
        </w:div>
        <w:div w:id="1392657838">
          <w:marLeft w:val="0"/>
          <w:marRight w:val="0"/>
          <w:marTop w:val="0"/>
          <w:marBottom w:val="0"/>
          <w:divBdr>
            <w:top w:val="none" w:sz="0" w:space="0" w:color="auto"/>
            <w:left w:val="none" w:sz="0" w:space="0" w:color="auto"/>
            <w:bottom w:val="none" w:sz="0" w:space="0" w:color="auto"/>
            <w:right w:val="none" w:sz="0" w:space="0" w:color="auto"/>
          </w:divBdr>
        </w:div>
        <w:div w:id="1441995920">
          <w:marLeft w:val="0"/>
          <w:marRight w:val="0"/>
          <w:marTop w:val="0"/>
          <w:marBottom w:val="0"/>
          <w:divBdr>
            <w:top w:val="none" w:sz="0" w:space="0" w:color="auto"/>
            <w:left w:val="none" w:sz="0" w:space="0" w:color="auto"/>
            <w:bottom w:val="none" w:sz="0" w:space="0" w:color="auto"/>
            <w:right w:val="none" w:sz="0" w:space="0" w:color="auto"/>
          </w:divBdr>
        </w:div>
        <w:div w:id="1458992262">
          <w:marLeft w:val="0"/>
          <w:marRight w:val="0"/>
          <w:marTop w:val="0"/>
          <w:marBottom w:val="0"/>
          <w:divBdr>
            <w:top w:val="none" w:sz="0" w:space="0" w:color="auto"/>
            <w:left w:val="none" w:sz="0" w:space="0" w:color="auto"/>
            <w:bottom w:val="none" w:sz="0" w:space="0" w:color="auto"/>
            <w:right w:val="none" w:sz="0" w:space="0" w:color="auto"/>
          </w:divBdr>
        </w:div>
        <w:div w:id="1470170081">
          <w:marLeft w:val="0"/>
          <w:marRight w:val="0"/>
          <w:marTop w:val="0"/>
          <w:marBottom w:val="0"/>
          <w:divBdr>
            <w:top w:val="none" w:sz="0" w:space="0" w:color="auto"/>
            <w:left w:val="none" w:sz="0" w:space="0" w:color="auto"/>
            <w:bottom w:val="none" w:sz="0" w:space="0" w:color="auto"/>
            <w:right w:val="none" w:sz="0" w:space="0" w:color="auto"/>
          </w:divBdr>
        </w:div>
        <w:div w:id="1475950713">
          <w:marLeft w:val="0"/>
          <w:marRight w:val="0"/>
          <w:marTop w:val="0"/>
          <w:marBottom w:val="0"/>
          <w:divBdr>
            <w:top w:val="none" w:sz="0" w:space="0" w:color="auto"/>
            <w:left w:val="none" w:sz="0" w:space="0" w:color="auto"/>
            <w:bottom w:val="none" w:sz="0" w:space="0" w:color="auto"/>
            <w:right w:val="none" w:sz="0" w:space="0" w:color="auto"/>
          </w:divBdr>
        </w:div>
        <w:div w:id="1516336378">
          <w:marLeft w:val="0"/>
          <w:marRight w:val="0"/>
          <w:marTop w:val="0"/>
          <w:marBottom w:val="0"/>
          <w:divBdr>
            <w:top w:val="none" w:sz="0" w:space="0" w:color="auto"/>
            <w:left w:val="none" w:sz="0" w:space="0" w:color="auto"/>
            <w:bottom w:val="none" w:sz="0" w:space="0" w:color="auto"/>
            <w:right w:val="none" w:sz="0" w:space="0" w:color="auto"/>
          </w:divBdr>
        </w:div>
        <w:div w:id="1540315745">
          <w:marLeft w:val="0"/>
          <w:marRight w:val="0"/>
          <w:marTop w:val="0"/>
          <w:marBottom w:val="0"/>
          <w:divBdr>
            <w:top w:val="none" w:sz="0" w:space="0" w:color="auto"/>
            <w:left w:val="none" w:sz="0" w:space="0" w:color="auto"/>
            <w:bottom w:val="none" w:sz="0" w:space="0" w:color="auto"/>
            <w:right w:val="none" w:sz="0" w:space="0" w:color="auto"/>
          </w:divBdr>
        </w:div>
        <w:div w:id="1614828688">
          <w:marLeft w:val="0"/>
          <w:marRight w:val="0"/>
          <w:marTop w:val="0"/>
          <w:marBottom w:val="0"/>
          <w:divBdr>
            <w:top w:val="none" w:sz="0" w:space="0" w:color="auto"/>
            <w:left w:val="none" w:sz="0" w:space="0" w:color="auto"/>
            <w:bottom w:val="none" w:sz="0" w:space="0" w:color="auto"/>
            <w:right w:val="none" w:sz="0" w:space="0" w:color="auto"/>
          </w:divBdr>
        </w:div>
        <w:div w:id="1696078921">
          <w:marLeft w:val="0"/>
          <w:marRight w:val="0"/>
          <w:marTop w:val="0"/>
          <w:marBottom w:val="0"/>
          <w:divBdr>
            <w:top w:val="none" w:sz="0" w:space="0" w:color="auto"/>
            <w:left w:val="none" w:sz="0" w:space="0" w:color="auto"/>
            <w:bottom w:val="none" w:sz="0" w:space="0" w:color="auto"/>
            <w:right w:val="none" w:sz="0" w:space="0" w:color="auto"/>
          </w:divBdr>
        </w:div>
        <w:div w:id="1717389929">
          <w:marLeft w:val="0"/>
          <w:marRight w:val="0"/>
          <w:marTop w:val="0"/>
          <w:marBottom w:val="0"/>
          <w:divBdr>
            <w:top w:val="none" w:sz="0" w:space="0" w:color="auto"/>
            <w:left w:val="none" w:sz="0" w:space="0" w:color="auto"/>
            <w:bottom w:val="none" w:sz="0" w:space="0" w:color="auto"/>
            <w:right w:val="none" w:sz="0" w:space="0" w:color="auto"/>
          </w:divBdr>
        </w:div>
        <w:div w:id="1746952360">
          <w:marLeft w:val="0"/>
          <w:marRight w:val="0"/>
          <w:marTop w:val="0"/>
          <w:marBottom w:val="0"/>
          <w:divBdr>
            <w:top w:val="none" w:sz="0" w:space="0" w:color="auto"/>
            <w:left w:val="none" w:sz="0" w:space="0" w:color="auto"/>
            <w:bottom w:val="none" w:sz="0" w:space="0" w:color="auto"/>
            <w:right w:val="none" w:sz="0" w:space="0" w:color="auto"/>
          </w:divBdr>
        </w:div>
        <w:div w:id="1758474392">
          <w:marLeft w:val="0"/>
          <w:marRight w:val="0"/>
          <w:marTop w:val="0"/>
          <w:marBottom w:val="0"/>
          <w:divBdr>
            <w:top w:val="none" w:sz="0" w:space="0" w:color="auto"/>
            <w:left w:val="none" w:sz="0" w:space="0" w:color="auto"/>
            <w:bottom w:val="none" w:sz="0" w:space="0" w:color="auto"/>
            <w:right w:val="none" w:sz="0" w:space="0" w:color="auto"/>
          </w:divBdr>
        </w:div>
        <w:div w:id="1809473745">
          <w:marLeft w:val="0"/>
          <w:marRight w:val="0"/>
          <w:marTop w:val="0"/>
          <w:marBottom w:val="0"/>
          <w:divBdr>
            <w:top w:val="none" w:sz="0" w:space="0" w:color="auto"/>
            <w:left w:val="none" w:sz="0" w:space="0" w:color="auto"/>
            <w:bottom w:val="none" w:sz="0" w:space="0" w:color="auto"/>
            <w:right w:val="none" w:sz="0" w:space="0" w:color="auto"/>
          </w:divBdr>
        </w:div>
        <w:div w:id="1812595359">
          <w:marLeft w:val="0"/>
          <w:marRight w:val="0"/>
          <w:marTop w:val="0"/>
          <w:marBottom w:val="0"/>
          <w:divBdr>
            <w:top w:val="none" w:sz="0" w:space="0" w:color="auto"/>
            <w:left w:val="none" w:sz="0" w:space="0" w:color="auto"/>
            <w:bottom w:val="none" w:sz="0" w:space="0" w:color="auto"/>
            <w:right w:val="none" w:sz="0" w:space="0" w:color="auto"/>
          </w:divBdr>
        </w:div>
        <w:div w:id="1899784156">
          <w:marLeft w:val="0"/>
          <w:marRight w:val="0"/>
          <w:marTop w:val="0"/>
          <w:marBottom w:val="0"/>
          <w:divBdr>
            <w:top w:val="none" w:sz="0" w:space="0" w:color="auto"/>
            <w:left w:val="none" w:sz="0" w:space="0" w:color="auto"/>
            <w:bottom w:val="none" w:sz="0" w:space="0" w:color="auto"/>
            <w:right w:val="none" w:sz="0" w:space="0" w:color="auto"/>
          </w:divBdr>
        </w:div>
        <w:div w:id="1925526961">
          <w:marLeft w:val="0"/>
          <w:marRight w:val="0"/>
          <w:marTop w:val="0"/>
          <w:marBottom w:val="0"/>
          <w:divBdr>
            <w:top w:val="none" w:sz="0" w:space="0" w:color="auto"/>
            <w:left w:val="none" w:sz="0" w:space="0" w:color="auto"/>
            <w:bottom w:val="none" w:sz="0" w:space="0" w:color="auto"/>
            <w:right w:val="none" w:sz="0" w:space="0" w:color="auto"/>
          </w:divBdr>
        </w:div>
        <w:div w:id="1929387866">
          <w:marLeft w:val="0"/>
          <w:marRight w:val="0"/>
          <w:marTop w:val="0"/>
          <w:marBottom w:val="0"/>
          <w:divBdr>
            <w:top w:val="none" w:sz="0" w:space="0" w:color="auto"/>
            <w:left w:val="none" w:sz="0" w:space="0" w:color="auto"/>
            <w:bottom w:val="none" w:sz="0" w:space="0" w:color="auto"/>
            <w:right w:val="none" w:sz="0" w:space="0" w:color="auto"/>
          </w:divBdr>
        </w:div>
        <w:div w:id="2031643311">
          <w:marLeft w:val="0"/>
          <w:marRight w:val="0"/>
          <w:marTop w:val="0"/>
          <w:marBottom w:val="0"/>
          <w:divBdr>
            <w:top w:val="none" w:sz="0" w:space="0" w:color="auto"/>
            <w:left w:val="none" w:sz="0" w:space="0" w:color="auto"/>
            <w:bottom w:val="none" w:sz="0" w:space="0" w:color="auto"/>
            <w:right w:val="none" w:sz="0" w:space="0" w:color="auto"/>
          </w:divBdr>
        </w:div>
      </w:divsChild>
    </w:div>
    <w:div w:id="369260215">
      <w:bodyDiv w:val="1"/>
      <w:marLeft w:val="0"/>
      <w:marRight w:val="0"/>
      <w:marTop w:val="0"/>
      <w:marBottom w:val="0"/>
      <w:divBdr>
        <w:top w:val="none" w:sz="0" w:space="0" w:color="auto"/>
        <w:left w:val="none" w:sz="0" w:space="0" w:color="auto"/>
        <w:bottom w:val="none" w:sz="0" w:space="0" w:color="auto"/>
        <w:right w:val="none" w:sz="0" w:space="0" w:color="auto"/>
      </w:divBdr>
    </w:div>
    <w:div w:id="370812466">
      <w:bodyDiv w:val="1"/>
      <w:marLeft w:val="0"/>
      <w:marRight w:val="0"/>
      <w:marTop w:val="0"/>
      <w:marBottom w:val="0"/>
      <w:divBdr>
        <w:top w:val="none" w:sz="0" w:space="0" w:color="auto"/>
        <w:left w:val="none" w:sz="0" w:space="0" w:color="auto"/>
        <w:bottom w:val="none" w:sz="0" w:space="0" w:color="auto"/>
        <w:right w:val="none" w:sz="0" w:space="0" w:color="auto"/>
      </w:divBdr>
    </w:div>
    <w:div w:id="371883355">
      <w:bodyDiv w:val="1"/>
      <w:marLeft w:val="0"/>
      <w:marRight w:val="0"/>
      <w:marTop w:val="0"/>
      <w:marBottom w:val="0"/>
      <w:divBdr>
        <w:top w:val="none" w:sz="0" w:space="0" w:color="auto"/>
        <w:left w:val="none" w:sz="0" w:space="0" w:color="auto"/>
        <w:bottom w:val="none" w:sz="0" w:space="0" w:color="auto"/>
        <w:right w:val="none" w:sz="0" w:space="0" w:color="auto"/>
      </w:divBdr>
    </w:div>
    <w:div w:id="373506898">
      <w:bodyDiv w:val="1"/>
      <w:marLeft w:val="0"/>
      <w:marRight w:val="0"/>
      <w:marTop w:val="0"/>
      <w:marBottom w:val="0"/>
      <w:divBdr>
        <w:top w:val="none" w:sz="0" w:space="0" w:color="auto"/>
        <w:left w:val="none" w:sz="0" w:space="0" w:color="auto"/>
        <w:bottom w:val="none" w:sz="0" w:space="0" w:color="auto"/>
        <w:right w:val="none" w:sz="0" w:space="0" w:color="auto"/>
      </w:divBdr>
      <w:divsChild>
        <w:div w:id="1518038504">
          <w:marLeft w:val="0"/>
          <w:marRight w:val="0"/>
          <w:marTop w:val="0"/>
          <w:marBottom w:val="0"/>
          <w:divBdr>
            <w:top w:val="none" w:sz="0" w:space="0" w:color="auto"/>
            <w:left w:val="none" w:sz="0" w:space="0" w:color="auto"/>
            <w:bottom w:val="none" w:sz="0" w:space="0" w:color="auto"/>
            <w:right w:val="none" w:sz="0" w:space="0" w:color="auto"/>
          </w:divBdr>
          <w:divsChild>
            <w:div w:id="587927362">
              <w:marLeft w:val="0"/>
              <w:marRight w:val="0"/>
              <w:marTop w:val="0"/>
              <w:marBottom w:val="0"/>
              <w:divBdr>
                <w:top w:val="none" w:sz="0" w:space="0" w:color="auto"/>
                <w:left w:val="none" w:sz="0" w:space="0" w:color="auto"/>
                <w:bottom w:val="none" w:sz="0" w:space="0" w:color="auto"/>
                <w:right w:val="none" w:sz="0" w:space="0" w:color="auto"/>
              </w:divBdr>
              <w:divsChild>
                <w:div w:id="1915972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4543675">
      <w:bodyDiv w:val="1"/>
      <w:marLeft w:val="0"/>
      <w:marRight w:val="0"/>
      <w:marTop w:val="0"/>
      <w:marBottom w:val="0"/>
      <w:divBdr>
        <w:top w:val="none" w:sz="0" w:space="0" w:color="auto"/>
        <w:left w:val="none" w:sz="0" w:space="0" w:color="auto"/>
        <w:bottom w:val="none" w:sz="0" w:space="0" w:color="auto"/>
        <w:right w:val="none" w:sz="0" w:space="0" w:color="auto"/>
      </w:divBdr>
      <w:divsChild>
        <w:div w:id="1598514150">
          <w:marLeft w:val="0"/>
          <w:marRight w:val="0"/>
          <w:marTop w:val="0"/>
          <w:marBottom w:val="0"/>
          <w:divBdr>
            <w:top w:val="none" w:sz="0" w:space="0" w:color="auto"/>
            <w:left w:val="none" w:sz="0" w:space="0" w:color="auto"/>
            <w:bottom w:val="none" w:sz="0" w:space="0" w:color="auto"/>
            <w:right w:val="none" w:sz="0" w:space="0" w:color="auto"/>
          </w:divBdr>
          <w:divsChild>
            <w:div w:id="1238400678">
              <w:marLeft w:val="0"/>
              <w:marRight w:val="0"/>
              <w:marTop w:val="411"/>
              <w:marBottom w:val="0"/>
              <w:divBdr>
                <w:top w:val="none" w:sz="0" w:space="0" w:color="auto"/>
                <w:left w:val="none" w:sz="0" w:space="0" w:color="auto"/>
                <w:bottom w:val="none" w:sz="0" w:space="0" w:color="auto"/>
                <w:right w:val="none" w:sz="0" w:space="0" w:color="auto"/>
              </w:divBdr>
              <w:divsChild>
                <w:div w:id="990062940">
                  <w:marLeft w:val="0"/>
                  <w:marRight w:val="0"/>
                  <w:marTop w:val="0"/>
                  <w:marBottom w:val="0"/>
                  <w:divBdr>
                    <w:top w:val="none" w:sz="0" w:space="0" w:color="auto"/>
                    <w:left w:val="none" w:sz="0" w:space="0" w:color="auto"/>
                    <w:bottom w:val="none" w:sz="0" w:space="0" w:color="auto"/>
                    <w:right w:val="none" w:sz="0" w:space="0" w:color="auto"/>
                  </w:divBdr>
                  <w:divsChild>
                    <w:div w:id="1172335588">
                      <w:marLeft w:val="79"/>
                      <w:marRight w:val="79"/>
                      <w:marTop w:val="0"/>
                      <w:marBottom w:val="0"/>
                      <w:divBdr>
                        <w:top w:val="none" w:sz="0" w:space="0" w:color="auto"/>
                        <w:left w:val="none" w:sz="0" w:space="0" w:color="auto"/>
                        <w:bottom w:val="none" w:sz="0" w:space="0" w:color="auto"/>
                        <w:right w:val="none" w:sz="0" w:space="0" w:color="auto"/>
                      </w:divBdr>
                      <w:divsChild>
                        <w:div w:id="1712462571">
                          <w:marLeft w:val="0"/>
                          <w:marRight w:val="0"/>
                          <w:marTop w:val="0"/>
                          <w:marBottom w:val="0"/>
                          <w:divBdr>
                            <w:top w:val="dashed" w:sz="6" w:space="0" w:color="DDDDDD"/>
                            <w:left w:val="none" w:sz="0" w:space="0" w:color="auto"/>
                            <w:bottom w:val="none" w:sz="0" w:space="0" w:color="auto"/>
                            <w:right w:val="none" w:sz="0" w:space="0" w:color="auto"/>
                          </w:divBdr>
                          <w:divsChild>
                            <w:div w:id="1902211306">
                              <w:marLeft w:val="0"/>
                              <w:marRight w:val="0"/>
                              <w:marTop w:val="0"/>
                              <w:marBottom w:val="0"/>
                              <w:divBdr>
                                <w:top w:val="none" w:sz="0" w:space="0" w:color="auto"/>
                                <w:left w:val="none" w:sz="0" w:space="0" w:color="auto"/>
                                <w:bottom w:val="none" w:sz="0" w:space="0" w:color="auto"/>
                                <w:right w:val="none" w:sz="0" w:space="0" w:color="auto"/>
                              </w:divBdr>
                              <w:divsChild>
                                <w:div w:id="843127713">
                                  <w:marLeft w:val="0"/>
                                  <w:marRight w:val="0"/>
                                  <w:marTop w:val="79"/>
                                  <w:marBottom w:val="79"/>
                                  <w:divBdr>
                                    <w:top w:val="none" w:sz="0" w:space="0" w:color="auto"/>
                                    <w:left w:val="none" w:sz="0" w:space="0" w:color="auto"/>
                                    <w:bottom w:val="none" w:sz="0" w:space="0" w:color="auto"/>
                                    <w:right w:val="none" w:sz="0" w:space="0" w:color="auto"/>
                                  </w:divBdr>
                                  <w:divsChild>
                                    <w:div w:id="1292445650">
                                      <w:marLeft w:val="0"/>
                                      <w:marRight w:val="0"/>
                                      <w:marTop w:val="0"/>
                                      <w:marBottom w:val="0"/>
                                      <w:divBdr>
                                        <w:top w:val="none" w:sz="0" w:space="0" w:color="auto"/>
                                        <w:left w:val="none" w:sz="0" w:space="0" w:color="auto"/>
                                        <w:bottom w:val="none" w:sz="0" w:space="0" w:color="auto"/>
                                        <w:right w:val="none" w:sz="0" w:space="0" w:color="auto"/>
                                      </w:divBdr>
                                      <w:divsChild>
                                        <w:div w:id="1103959100">
                                          <w:marLeft w:val="554"/>
                                          <w:marRight w:val="0"/>
                                          <w:marTop w:val="0"/>
                                          <w:marBottom w:val="0"/>
                                          <w:divBdr>
                                            <w:top w:val="none" w:sz="0" w:space="0" w:color="auto"/>
                                            <w:left w:val="none" w:sz="0" w:space="0" w:color="auto"/>
                                            <w:bottom w:val="none" w:sz="0" w:space="0" w:color="auto"/>
                                            <w:right w:val="none" w:sz="0" w:space="0" w:color="auto"/>
                                          </w:divBdr>
                                          <w:divsChild>
                                            <w:div w:id="762216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75736750">
      <w:bodyDiv w:val="1"/>
      <w:marLeft w:val="0"/>
      <w:marRight w:val="0"/>
      <w:marTop w:val="0"/>
      <w:marBottom w:val="0"/>
      <w:divBdr>
        <w:top w:val="none" w:sz="0" w:space="0" w:color="auto"/>
        <w:left w:val="none" w:sz="0" w:space="0" w:color="auto"/>
        <w:bottom w:val="none" w:sz="0" w:space="0" w:color="auto"/>
        <w:right w:val="none" w:sz="0" w:space="0" w:color="auto"/>
      </w:divBdr>
    </w:div>
    <w:div w:id="375743780">
      <w:bodyDiv w:val="1"/>
      <w:marLeft w:val="0"/>
      <w:marRight w:val="0"/>
      <w:marTop w:val="0"/>
      <w:marBottom w:val="0"/>
      <w:divBdr>
        <w:top w:val="none" w:sz="0" w:space="0" w:color="auto"/>
        <w:left w:val="none" w:sz="0" w:space="0" w:color="auto"/>
        <w:bottom w:val="none" w:sz="0" w:space="0" w:color="auto"/>
        <w:right w:val="none" w:sz="0" w:space="0" w:color="auto"/>
      </w:divBdr>
      <w:divsChild>
        <w:div w:id="1252012730">
          <w:marLeft w:val="0"/>
          <w:marRight w:val="0"/>
          <w:marTop w:val="0"/>
          <w:marBottom w:val="0"/>
          <w:divBdr>
            <w:top w:val="none" w:sz="0" w:space="0" w:color="auto"/>
            <w:left w:val="none" w:sz="0" w:space="0" w:color="auto"/>
            <w:bottom w:val="none" w:sz="0" w:space="0" w:color="auto"/>
            <w:right w:val="none" w:sz="0" w:space="0" w:color="auto"/>
          </w:divBdr>
          <w:divsChild>
            <w:div w:id="734666606">
              <w:marLeft w:val="0"/>
              <w:marRight w:val="0"/>
              <w:marTop w:val="411"/>
              <w:marBottom w:val="0"/>
              <w:divBdr>
                <w:top w:val="none" w:sz="0" w:space="0" w:color="auto"/>
                <w:left w:val="none" w:sz="0" w:space="0" w:color="auto"/>
                <w:bottom w:val="none" w:sz="0" w:space="0" w:color="auto"/>
                <w:right w:val="none" w:sz="0" w:space="0" w:color="auto"/>
              </w:divBdr>
              <w:divsChild>
                <w:div w:id="46488623">
                  <w:marLeft w:val="0"/>
                  <w:marRight w:val="0"/>
                  <w:marTop w:val="0"/>
                  <w:marBottom w:val="0"/>
                  <w:divBdr>
                    <w:top w:val="none" w:sz="0" w:space="0" w:color="auto"/>
                    <w:left w:val="none" w:sz="0" w:space="0" w:color="auto"/>
                    <w:bottom w:val="none" w:sz="0" w:space="0" w:color="auto"/>
                    <w:right w:val="none" w:sz="0" w:space="0" w:color="auto"/>
                  </w:divBdr>
                  <w:divsChild>
                    <w:div w:id="205798397">
                      <w:marLeft w:val="79"/>
                      <w:marRight w:val="79"/>
                      <w:marTop w:val="0"/>
                      <w:marBottom w:val="0"/>
                      <w:divBdr>
                        <w:top w:val="none" w:sz="0" w:space="0" w:color="auto"/>
                        <w:left w:val="none" w:sz="0" w:space="0" w:color="auto"/>
                        <w:bottom w:val="none" w:sz="0" w:space="0" w:color="auto"/>
                        <w:right w:val="none" w:sz="0" w:space="0" w:color="auto"/>
                      </w:divBdr>
                      <w:divsChild>
                        <w:div w:id="797450466">
                          <w:marLeft w:val="0"/>
                          <w:marRight w:val="0"/>
                          <w:marTop w:val="0"/>
                          <w:marBottom w:val="0"/>
                          <w:divBdr>
                            <w:top w:val="dashed" w:sz="6" w:space="0" w:color="DDDDDD"/>
                            <w:left w:val="none" w:sz="0" w:space="0" w:color="auto"/>
                            <w:bottom w:val="none" w:sz="0" w:space="0" w:color="auto"/>
                            <w:right w:val="none" w:sz="0" w:space="0" w:color="auto"/>
                          </w:divBdr>
                          <w:divsChild>
                            <w:div w:id="1084569155">
                              <w:marLeft w:val="0"/>
                              <w:marRight w:val="0"/>
                              <w:marTop w:val="0"/>
                              <w:marBottom w:val="0"/>
                              <w:divBdr>
                                <w:top w:val="none" w:sz="0" w:space="0" w:color="auto"/>
                                <w:left w:val="none" w:sz="0" w:space="0" w:color="auto"/>
                                <w:bottom w:val="none" w:sz="0" w:space="0" w:color="auto"/>
                                <w:right w:val="none" w:sz="0" w:space="0" w:color="auto"/>
                              </w:divBdr>
                              <w:divsChild>
                                <w:div w:id="1320159341">
                                  <w:marLeft w:val="0"/>
                                  <w:marRight w:val="0"/>
                                  <w:marTop w:val="79"/>
                                  <w:marBottom w:val="79"/>
                                  <w:divBdr>
                                    <w:top w:val="none" w:sz="0" w:space="0" w:color="auto"/>
                                    <w:left w:val="none" w:sz="0" w:space="0" w:color="auto"/>
                                    <w:bottom w:val="none" w:sz="0" w:space="0" w:color="auto"/>
                                    <w:right w:val="none" w:sz="0" w:space="0" w:color="auto"/>
                                  </w:divBdr>
                                  <w:divsChild>
                                    <w:div w:id="1285191106">
                                      <w:marLeft w:val="0"/>
                                      <w:marRight w:val="0"/>
                                      <w:marTop w:val="0"/>
                                      <w:marBottom w:val="0"/>
                                      <w:divBdr>
                                        <w:top w:val="none" w:sz="0" w:space="0" w:color="auto"/>
                                        <w:left w:val="none" w:sz="0" w:space="0" w:color="auto"/>
                                        <w:bottom w:val="none" w:sz="0" w:space="0" w:color="auto"/>
                                        <w:right w:val="none" w:sz="0" w:space="0" w:color="auto"/>
                                      </w:divBdr>
                                      <w:divsChild>
                                        <w:div w:id="708380608">
                                          <w:marLeft w:val="554"/>
                                          <w:marRight w:val="0"/>
                                          <w:marTop w:val="0"/>
                                          <w:marBottom w:val="0"/>
                                          <w:divBdr>
                                            <w:top w:val="none" w:sz="0" w:space="0" w:color="auto"/>
                                            <w:left w:val="none" w:sz="0" w:space="0" w:color="auto"/>
                                            <w:bottom w:val="none" w:sz="0" w:space="0" w:color="auto"/>
                                            <w:right w:val="none" w:sz="0" w:space="0" w:color="auto"/>
                                          </w:divBdr>
                                          <w:divsChild>
                                            <w:div w:id="1891333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79523727">
      <w:bodyDiv w:val="1"/>
      <w:marLeft w:val="0"/>
      <w:marRight w:val="0"/>
      <w:marTop w:val="0"/>
      <w:marBottom w:val="0"/>
      <w:divBdr>
        <w:top w:val="none" w:sz="0" w:space="0" w:color="auto"/>
        <w:left w:val="none" w:sz="0" w:space="0" w:color="auto"/>
        <w:bottom w:val="none" w:sz="0" w:space="0" w:color="auto"/>
        <w:right w:val="none" w:sz="0" w:space="0" w:color="auto"/>
      </w:divBdr>
    </w:div>
    <w:div w:id="379597320">
      <w:bodyDiv w:val="1"/>
      <w:marLeft w:val="0"/>
      <w:marRight w:val="0"/>
      <w:marTop w:val="0"/>
      <w:marBottom w:val="0"/>
      <w:divBdr>
        <w:top w:val="none" w:sz="0" w:space="0" w:color="auto"/>
        <w:left w:val="none" w:sz="0" w:space="0" w:color="auto"/>
        <w:bottom w:val="none" w:sz="0" w:space="0" w:color="auto"/>
        <w:right w:val="none" w:sz="0" w:space="0" w:color="auto"/>
      </w:divBdr>
    </w:div>
    <w:div w:id="380447598">
      <w:bodyDiv w:val="1"/>
      <w:marLeft w:val="0"/>
      <w:marRight w:val="0"/>
      <w:marTop w:val="0"/>
      <w:marBottom w:val="0"/>
      <w:divBdr>
        <w:top w:val="none" w:sz="0" w:space="0" w:color="auto"/>
        <w:left w:val="none" w:sz="0" w:space="0" w:color="auto"/>
        <w:bottom w:val="none" w:sz="0" w:space="0" w:color="auto"/>
        <w:right w:val="none" w:sz="0" w:space="0" w:color="auto"/>
      </w:divBdr>
    </w:div>
    <w:div w:id="381558925">
      <w:bodyDiv w:val="1"/>
      <w:marLeft w:val="0"/>
      <w:marRight w:val="0"/>
      <w:marTop w:val="0"/>
      <w:marBottom w:val="0"/>
      <w:divBdr>
        <w:top w:val="none" w:sz="0" w:space="0" w:color="auto"/>
        <w:left w:val="none" w:sz="0" w:space="0" w:color="auto"/>
        <w:bottom w:val="none" w:sz="0" w:space="0" w:color="auto"/>
        <w:right w:val="none" w:sz="0" w:space="0" w:color="auto"/>
      </w:divBdr>
      <w:divsChild>
        <w:div w:id="935751258">
          <w:marLeft w:val="0"/>
          <w:marRight w:val="0"/>
          <w:marTop w:val="0"/>
          <w:marBottom w:val="0"/>
          <w:divBdr>
            <w:top w:val="none" w:sz="0" w:space="0" w:color="auto"/>
            <w:left w:val="none" w:sz="0" w:space="0" w:color="auto"/>
            <w:bottom w:val="none" w:sz="0" w:space="0" w:color="auto"/>
            <w:right w:val="none" w:sz="0" w:space="0" w:color="auto"/>
          </w:divBdr>
          <w:divsChild>
            <w:div w:id="1184510984">
              <w:marLeft w:val="0"/>
              <w:marRight w:val="0"/>
              <w:marTop w:val="411"/>
              <w:marBottom w:val="0"/>
              <w:divBdr>
                <w:top w:val="none" w:sz="0" w:space="0" w:color="auto"/>
                <w:left w:val="none" w:sz="0" w:space="0" w:color="auto"/>
                <w:bottom w:val="none" w:sz="0" w:space="0" w:color="auto"/>
                <w:right w:val="none" w:sz="0" w:space="0" w:color="auto"/>
              </w:divBdr>
              <w:divsChild>
                <w:div w:id="478887725">
                  <w:marLeft w:val="0"/>
                  <w:marRight w:val="0"/>
                  <w:marTop w:val="0"/>
                  <w:marBottom w:val="0"/>
                  <w:divBdr>
                    <w:top w:val="none" w:sz="0" w:space="0" w:color="auto"/>
                    <w:left w:val="none" w:sz="0" w:space="0" w:color="auto"/>
                    <w:bottom w:val="none" w:sz="0" w:space="0" w:color="auto"/>
                    <w:right w:val="none" w:sz="0" w:space="0" w:color="auto"/>
                  </w:divBdr>
                  <w:divsChild>
                    <w:div w:id="421030273">
                      <w:marLeft w:val="79"/>
                      <w:marRight w:val="79"/>
                      <w:marTop w:val="0"/>
                      <w:marBottom w:val="0"/>
                      <w:divBdr>
                        <w:top w:val="none" w:sz="0" w:space="0" w:color="auto"/>
                        <w:left w:val="none" w:sz="0" w:space="0" w:color="auto"/>
                        <w:bottom w:val="none" w:sz="0" w:space="0" w:color="auto"/>
                        <w:right w:val="none" w:sz="0" w:space="0" w:color="auto"/>
                      </w:divBdr>
                      <w:divsChild>
                        <w:div w:id="1638607555">
                          <w:marLeft w:val="0"/>
                          <w:marRight w:val="0"/>
                          <w:marTop w:val="0"/>
                          <w:marBottom w:val="0"/>
                          <w:divBdr>
                            <w:top w:val="dashed" w:sz="6" w:space="0" w:color="DDDDDD"/>
                            <w:left w:val="none" w:sz="0" w:space="0" w:color="auto"/>
                            <w:bottom w:val="none" w:sz="0" w:space="0" w:color="auto"/>
                            <w:right w:val="none" w:sz="0" w:space="0" w:color="auto"/>
                          </w:divBdr>
                          <w:divsChild>
                            <w:div w:id="526910347">
                              <w:marLeft w:val="0"/>
                              <w:marRight w:val="0"/>
                              <w:marTop w:val="0"/>
                              <w:marBottom w:val="0"/>
                              <w:divBdr>
                                <w:top w:val="none" w:sz="0" w:space="0" w:color="auto"/>
                                <w:left w:val="none" w:sz="0" w:space="0" w:color="auto"/>
                                <w:bottom w:val="none" w:sz="0" w:space="0" w:color="auto"/>
                                <w:right w:val="none" w:sz="0" w:space="0" w:color="auto"/>
                              </w:divBdr>
                              <w:divsChild>
                                <w:div w:id="2129816568">
                                  <w:marLeft w:val="0"/>
                                  <w:marRight w:val="0"/>
                                  <w:marTop w:val="79"/>
                                  <w:marBottom w:val="79"/>
                                  <w:divBdr>
                                    <w:top w:val="none" w:sz="0" w:space="0" w:color="auto"/>
                                    <w:left w:val="none" w:sz="0" w:space="0" w:color="auto"/>
                                    <w:bottom w:val="none" w:sz="0" w:space="0" w:color="auto"/>
                                    <w:right w:val="none" w:sz="0" w:space="0" w:color="auto"/>
                                  </w:divBdr>
                                  <w:divsChild>
                                    <w:div w:id="242954717">
                                      <w:marLeft w:val="0"/>
                                      <w:marRight w:val="0"/>
                                      <w:marTop w:val="0"/>
                                      <w:marBottom w:val="0"/>
                                      <w:divBdr>
                                        <w:top w:val="none" w:sz="0" w:space="0" w:color="auto"/>
                                        <w:left w:val="none" w:sz="0" w:space="0" w:color="auto"/>
                                        <w:bottom w:val="none" w:sz="0" w:space="0" w:color="auto"/>
                                        <w:right w:val="none" w:sz="0" w:space="0" w:color="auto"/>
                                      </w:divBdr>
                                      <w:divsChild>
                                        <w:div w:id="1801223684">
                                          <w:marLeft w:val="554"/>
                                          <w:marRight w:val="0"/>
                                          <w:marTop w:val="0"/>
                                          <w:marBottom w:val="0"/>
                                          <w:divBdr>
                                            <w:top w:val="none" w:sz="0" w:space="0" w:color="auto"/>
                                            <w:left w:val="none" w:sz="0" w:space="0" w:color="auto"/>
                                            <w:bottom w:val="none" w:sz="0" w:space="0" w:color="auto"/>
                                            <w:right w:val="none" w:sz="0" w:space="0" w:color="auto"/>
                                          </w:divBdr>
                                          <w:divsChild>
                                            <w:div w:id="410272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83218262">
      <w:bodyDiv w:val="1"/>
      <w:marLeft w:val="0"/>
      <w:marRight w:val="0"/>
      <w:marTop w:val="0"/>
      <w:marBottom w:val="0"/>
      <w:divBdr>
        <w:top w:val="none" w:sz="0" w:space="0" w:color="auto"/>
        <w:left w:val="none" w:sz="0" w:space="0" w:color="auto"/>
        <w:bottom w:val="none" w:sz="0" w:space="0" w:color="auto"/>
        <w:right w:val="none" w:sz="0" w:space="0" w:color="auto"/>
      </w:divBdr>
      <w:divsChild>
        <w:div w:id="790048785">
          <w:marLeft w:val="0"/>
          <w:marRight w:val="0"/>
          <w:marTop w:val="0"/>
          <w:marBottom w:val="0"/>
          <w:divBdr>
            <w:top w:val="none" w:sz="0" w:space="0" w:color="auto"/>
            <w:left w:val="none" w:sz="0" w:space="0" w:color="auto"/>
            <w:bottom w:val="none" w:sz="0" w:space="0" w:color="auto"/>
            <w:right w:val="none" w:sz="0" w:space="0" w:color="auto"/>
          </w:divBdr>
          <w:divsChild>
            <w:div w:id="531767880">
              <w:marLeft w:val="0"/>
              <w:marRight w:val="0"/>
              <w:marTop w:val="0"/>
              <w:marBottom w:val="0"/>
              <w:divBdr>
                <w:top w:val="none" w:sz="0" w:space="0" w:color="auto"/>
                <w:left w:val="none" w:sz="0" w:space="0" w:color="auto"/>
                <w:bottom w:val="none" w:sz="0" w:space="0" w:color="auto"/>
                <w:right w:val="none" w:sz="0" w:space="0" w:color="auto"/>
              </w:divBdr>
              <w:divsChild>
                <w:div w:id="938879270">
                  <w:marLeft w:val="0"/>
                  <w:marRight w:val="0"/>
                  <w:marTop w:val="0"/>
                  <w:marBottom w:val="0"/>
                  <w:divBdr>
                    <w:top w:val="none" w:sz="0" w:space="0" w:color="auto"/>
                    <w:left w:val="none" w:sz="0" w:space="0" w:color="auto"/>
                    <w:bottom w:val="none" w:sz="0" w:space="0" w:color="auto"/>
                    <w:right w:val="none" w:sz="0" w:space="0" w:color="auto"/>
                  </w:divBdr>
                  <w:divsChild>
                    <w:div w:id="1243485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3986955">
      <w:bodyDiv w:val="1"/>
      <w:marLeft w:val="0"/>
      <w:marRight w:val="0"/>
      <w:marTop w:val="0"/>
      <w:marBottom w:val="0"/>
      <w:divBdr>
        <w:top w:val="none" w:sz="0" w:space="0" w:color="auto"/>
        <w:left w:val="none" w:sz="0" w:space="0" w:color="auto"/>
        <w:bottom w:val="none" w:sz="0" w:space="0" w:color="auto"/>
        <w:right w:val="none" w:sz="0" w:space="0" w:color="auto"/>
      </w:divBdr>
    </w:div>
    <w:div w:id="384259815">
      <w:bodyDiv w:val="1"/>
      <w:marLeft w:val="0"/>
      <w:marRight w:val="0"/>
      <w:marTop w:val="0"/>
      <w:marBottom w:val="0"/>
      <w:divBdr>
        <w:top w:val="none" w:sz="0" w:space="0" w:color="auto"/>
        <w:left w:val="none" w:sz="0" w:space="0" w:color="auto"/>
        <w:bottom w:val="none" w:sz="0" w:space="0" w:color="auto"/>
        <w:right w:val="none" w:sz="0" w:space="0" w:color="auto"/>
      </w:divBdr>
    </w:div>
    <w:div w:id="385494921">
      <w:bodyDiv w:val="1"/>
      <w:marLeft w:val="0"/>
      <w:marRight w:val="0"/>
      <w:marTop w:val="0"/>
      <w:marBottom w:val="0"/>
      <w:divBdr>
        <w:top w:val="none" w:sz="0" w:space="0" w:color="auto"/>
        <w:left w:val="none" w:sz="0" w:space="0" w:color="auto"/>
        <w:bottom w:val="none" w:sz="0" w:space="0" w:color="auto"/>
        <w:right w:val="none" w:sz="0" w:space="0" w:color="auto"/>
      </w:divBdr>
    </w:div>
    <w:div w:id="394356492">
      <w:bodyDiv w:val="1"/>
      <w:marLeft w:val="0"/>
      <w:marRight w:val="0"/>
      <w:marTop w:val="0"/>
      <w:marBottom w:val="0"/>
      <w:divBdr>
        <w:top w:val="none" w:sz="0" w:space="0" w:color="auto"/>
        <w:left w:val="none" w:sz="0" w:space="0" w:color="auto"/>
        <w:bottom w:val="none" w:sz="0" w:space="0" w:color="auto"/>
        <w:right w:val="none" w:sz="0" w:space="0" w:color="auto"/>
      </w:divBdr>
      <w:divsChild>
        <w:div w:id="1565600221">
          <w:marLeft w:val="0"/>
          <w:marRight w:val="0"/>
          <w:marTop w:val="0"/>
          <w:marBottom w:val="0"/>
          <w:divBdr>
            <w:top w:val="none" w:sz="0" w:space="0" w:color="auto"/>
            <w:left w:val="none" w:sz="0" w:space="0" w:color="auto"/>
            <w:bottom w:val="none" w:sz="0" w:space="0" w:color="auto"/>
            <w:right w:val="none" w:sz="0" w:space="0" w:color="auto"/>
          </w:divBdr>
          <w:divsChild>
            <w:div w:id="1707022280">
              <w:marLeft w:val="0"/>
              <w:marRight w:val="0"/>
              <w:marTop w:val="411"/>
              <w:marBottom w:val="0"/>
              <w:divBdr>
                <w:top w:val="none" w:sz="0" w:space="0" w:color="auto"/>
                <w:left w:val="none" w:sz="0" w:space="0" w:color="auto"/>
                <w:bottom w:val="none" w:sz="0" w:space="0" w:color="auto"/>
                <w:right w:val="none" w:sz="0" w:space="0" w:color="auto"/>
              </w:divBdr>
              <w:divsChild>
                <w:div w:id="923421467">
                  <w:marLeft w:val="0"/>
                  <w:marRight w:val="0"/>
                  <w:marTop w:val="0"/>
                  <w:marBottom w:val="0"/>
                  <w:divBdr>
                    <w:top w:val="none" w:sz="0" w:space="0" w:color="auto"/>
                    <w:left w:val="none" w:sz="0" w:space="0" w:color="auto"/>
                    <w:bottom w:val="none" w:sz="0" w:space="0" w:color="auto"/>
                    <w:right w:val="none" w:sz="0" w:space="0" w:color="auto"/>
                  </w:divBdr>
                  <w:divsChild>
                    <w:div w:id="960303417">
                      <w:marLeft w:val="79"/>
                      <w:marRight w:val="79"/>
                      <w:marTop w:val="0"/>
                      <w:marBottom w:val="0"/>
                      <w:divBdr>
                        <w:top w:val="none" w:sz="0" w:space="0" w:color="auto"/>
                        <w:left w:val="none" w:sz="0" w:space="0" w:color="auto"/>
                        <w:bottom w:val="none" w:sz="0" w:space="0" w:color="auto"/>
                        <w:right w:val="none" w:sz="0" w:space="0" w:color="auto"/>
                      </w:divBdr>
                      <w:divsChild>
                        <w:div w:id="1455438130">
                          <w:marLeft w:val="0"/>
                          <w:marRight w:val="0"/>
                          <w:marTop w:val="0"/>
                          <w:marBottom w:val="0"/>
                          <w:divBdr>
                            <w:top w:val="dashed" w:sz="6" w:space="0" w:color="DDDDDD"/>
                            <w:left w:val="none" w:sz="0" w:space="0" w:color="auto"/>
                            <w:bottom w:val="none" w:sz="0" w:space="0" w:color="auto"/>
                            <w:right w:val="none" w:sz="0" w:space="0" w:color="auto"/>
                          </w:divBdr>
                          <w:divsChild>
                            <w:div w:id="588150498">
                              <w:marLeft w:val="0"/>
                              <w:marRight w:val="0"/>
                              <w:marTop w:val="0"/>
                              <w:marBottom w:val="0"/>
                              <w:divBdr>
                                <w:top w:val="none" w:sz="0" w:space="0" w:color="auto"/>
                                <w:left w:val="none" w:sz="0" w:space="0" w:color="auto"/>
                                <w:bottom w:val="none" w:sz="0" w:space="0" w:color="auto"/>
                                <w:right w:val="none" w:sz="0" w:space="0" w:color="auto"/>
                              </w:divBdr>
                              <w:divsChild>
                                <w:div w:id="1962881382">
                                  <w:marLeft w:val="0"/>
                                  <w:marRight w:val="0"/>
                                  <w:marTop w:val="79"/>
                                  <w:marBottom w:val="79"/>
                                  <w:divBdr>
                                    <w:top w:val="none" w:sz="0" w:space="0" w:color="auto"/>
                                    <w:left w:val="none" w:sz="0" w:space="0" w:color="auto"/>
                                    <w:bottom w:val="none" w:sz="0" w:space="0" w:color="auto"/>
                                    <w:right w:val="none" w:sz="0" w:space="0" w:color="auto"/>
                                  </w:divBdr>
                                  <w:divsChild>
                                    <w:div w:id="1940723620">
                                      <w:marLeft w:val="0"/>
                                      <w:marRight w:val="0"/>
                                      <w:marTop w:val="0"/>
                                      <w:marBottom w:val="0"/>
                                      <w:divBdr>
                                        <w:top w:val="none" w:sz="0" w:space="0" w:color="auto"/>
                                        <w:left w:val="none" w:sz="0" w:space="0" w:color="auto"/>
                                        <w:bottom w:val="none" w:sz="0" w:space="0" w:color="auto"/>
                                        <w:right w:val="none" w:sz="0" w:space="0" w:color="auto"/>
                                      </w:divBdr>
                                      <w:divsChild>
                                        <w:div w:id="613639415">
                                          <w:marLeft w:val="554"/>
                                          <w:marRight w:val="0"/>
                                          <w:marTop w:val="0"/>
                                          <w:marBottom w:val="0"/>
                                          <w:divBdr>
                                            <w:top w:val="none" w:sz="0" w:space="0" w:color="auto"/>
                                            <w:left w:val="none" w:sz="0" w:space="0" w:color="auto"/>
                                            <w:bottom w:val="none" w:sz="0" w:space="0" w:color="auto"/>
                                            <w:right w:val="none" w:sz="0" w:space="0" w:color="auto"/>
                                          </w:divBdr>
                                          <w:divsChild>
                                            <w:div w:id="1551921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95588647">
      <w:bodyDiv w:val="1"/>
      <w:marLeft w:val="0"/>
      <w:marRight w:val="0"/>
      <w:marTop w:val="0"/>
      <w:marBottom w:val="0"/>
      <w:divBdr>
        <w:top w:val="none" w:sz="0" w:space="0" w:color="auto"/>
        <w:left w:val="none" w:sz="0" w:space="0" w:color="auto"/>
        <w:bottom w:val="none" w:sz="0" w:space="0" w:color="auto"/>
        <w:right w:val="none" w:sz="0" w:space="0" w:color="auto"/>
      </w:divBdr>
      <w:divsChild>
        <w:div w:id="1448767520">
          <w:marLeft w:val="0"/>
          <w:marRight w:val="0"/>
          <w:marTop w:val="0"/>
          <w:marBottom w:val="0"/>
          <w:divBdr>
            <w:top w:val="none" w:sz="0" w:space="0" w:color="auto"/>
            <w:left w:val="none" w:sz="0" w:space="0" w:color="auto"/>
            <w:bottom w:val="none" w:sz="0" w:space="0" w:color="auto"/>
            <w:right w:val="none" w:sz="0" w:space="0" w:color="auto"/>
          </w:divBdr>
          <w:divsChild>
            <w:div w:id="234583417">
              <w:marLeft w:val="0"/>
              <w:marRight w:val="0"/>
              <w:marTop w:val="0"/>
              <w:marBottom w:val="0"/>
              <w:divBdr>
                <w:top w:val="none" w:sz="0" w:space="0" w:color="auto"/>
                <w:left w:val="none" w:sz="0" w:space="0" w:color="auto"/>
                <w:bottom w:val="none" w:sz="0" w:space="0" w:color="auto"/>
                <w:right w:val="none" w:sz="0" w:space="0" w:color="auto"/>
              </w:divBdr>
              <w:divsChild>
                <w:div w:id="1604191683">
                  <w:marLeft w:val="0"/>
                  <w:marRight w:val="0"/>
                  <w:marTop w:val="0"/>
                  <w:marBottom w:val="0"/>
                  <w:divBdr>
                    <w:top w:val="none" w:sz="0" w:space="0" w:color="auto"/>
                    <w:left w:val="none" w:sz="0" w:space="0" w:color="auto"/>
                    <w:bottom w:val="none" w:sz="0" w:space="0" w:color="auto"/>
                    <w:right w:val="none" w:sz="0" w:space="0" w:color="auto"/>
                  </w:divBdr>
                  <w:divsChild>
                    <w:div w:id="950282455">
                      <w:marLeft w:val="0"/>
                      <w:marRight w:val="0"/>
                      <w:marTop w:val="0"/>
                      <w:marBottom w:val="0"/>
                      <w:divBdr>
                        <w:top w:val="none" w:sz="0" w:space="0" w:color="auto"/>
                        <w:left w:val="none" w:sz="0" w:space="0" w:color="auto"/>
                        <w:bottom w:val="none" w:sz="0" w:space="0" w:color="auto"/>
                        <w:right w:val="none" w:sz="0" w:space="0" w:color="auto"/>
                      </w:divBdr>
                      <w:divsChild>
                        <w:div w:id="377050690">
                          <w:marLeft w:val="0"/>
                          <w:marRight w:val="0"/>
                          <w:marTop w:val="0"/>
                          <w:marBottom w:val="0"/>
                          <w:divBdr>
                            <w:top w:val="none" w:sz="0" w:space="0" w:color="auto"/>
                            <w:left w:val="none" w:sz="0" w:space="0" w:color="auto"/>
                            <w:bottom w:val="none" w:sz="0" w:space="0" w:color="auto"/>
                            <w:right w:val="none" w:sz="0" w:space="0" w:color="auto"/>
                          </w:divBdr>
                          <w:divsChild>
                            <w:div w:id="1480419719">
                              <w:marLeft w:val="0"/>
                              <w:marRight w:val="0"/>
                              <w:marTop w:val="0"/>
                              <w:marBottom w:val="0"/>
                              <w:divBdr>
                                <w:top w:val="none" w:sz="0" w:space="0" w:color="auto"/>
                                <w:left w:val="none" w:sz="0" w:space="0" w:color="auto"/>
                                <w:bottom w:val="none" w:sz="0" w:space="0" w:color="auto"/>
                                <w:right w:val="none" w:sz="0" w:space="0" w:color="auto"/>
                              </w:divBdr>
                              <w:divsChild>
                                <w:div w:id="587155063">
                                  <w:marLeft w:val="0"/>
                                  <w:marRight w:val="0"/>
                                  <w:marTop w:val="0"/>
                                  <w:marBottom w:val="0"/>
                                  <w:divBdr>
                                    <w:top w:val="none" w:sz="0" w:space="0" w:color="auto"/>
                                    <w:left w:val="none" w:sz="0" w:space="0" w:color="auto"/>
                                    <w:bottom w:val="none" w:sz="0" w:space="0" w:color="auto"/>
                                    <w:right w:val="none" w:sz="0" w:space="0" w:color="auto"/>
                                  </w:divBdr>
                                  <w:divsChild>
                                    <w:div w:id="889851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96516985">
      <w:bodyDiv w:val="1"/>
      <w:marLeft w:val="0"/>
      <w:marRight w:val="0"/>
      <w:marTop w:val="0"/>
      <w:marBottom w:val="0"/>
      <w:divBdr>
        <w:top w:val="none" w:sz="0" w:space="0" w:color="auto"/>
        <w:left w:val="none" w:sz="0" w:space="0" w:color="auto"/>
        <w:bottom w:val="none" w:sz="0" w:space="0" w:color="auto"/>
        <w:right w:val="none" w:sz="0" w:space="0" w:color="auto"/>
      </w:divBdr>
    </w:div>
    <w:div w:id="397093144">
      <w:bodyDiv w:val="1"/>
      <w:marLeft w:val="0"/>
      <w:marRight w:val="0"/>
      <w:marTop w:val="0"/>
      <w:marBottom w:val="0"/>
      <w:divBdr>
        <w:top w:val="none" w:sz="0" w:space="0" w:color="auto"/>
        <w:left w:val="none" w:sz="0" w:space="0" w:color="auto"/>
        <w:bottom w:val="none" w:sz="0" w:space="0" w:color="auto"/>
        <w:right w:val="none" w:sz="0" w:space="0" w:color="auto"/>
      </w:divBdr>
    </w:div>
    <w:div w:id="397872862">
      <w:bodyDiv w:val="1"/>
      <w:marLeft w:val="0"/>
      <w:marRight w:val="0"/>
      <w:marTop w:val="0"/>
      <w:marBottom w:val="0"/>
      <w:divBdr>
        <w:top w:val="none" w:sz="0" w:space="0" w:color="auto"/>
        <w:left w:val="none" w:sz="0" w:space="0" w:color="auto"/>
        <w:bottom w:val="none" w:sz="0" w:space="0" w:color="auto"/>
        <w:right w:val="none" w:sz="0" w:space="0" w:color="auto"/>
      </w:divBdr>
    </w:div>
    <w:div w:id="398140982">
      <w:bodyDiv w:val="1"/>
      <w:marLeft w:val="0"/>
      <w:marRight w:val="0"/>
      <w:marTop w:val="0"/>
      <w:marBottom w:val="0"/>
      <w:divBdr>
        <w:top w:val="none" w:sz="0" w:space="0" w:color="auto"/>
        <w:left w:val="none" w:sz="0" w:space="0" w:color="auto"/>
        <w:bottom w:val="none" w:sz="0" w:space="0" w:color="auto"/>
        <w:right w:val="none" w:sz="0" w:space="0" w:color="auto"/>
      </w:divBdr>
    </w:div>
    <w:div w:id="398288645">
      <w:bodyDiv w:val="1"/>
      <w:marLeft w:val="0"/>
      <w:marRight w:val="0"/>
      <w:marTop w:val="0"/>
      <w:marBottom w:val="0"/>
      <w:divBdr>
        <w:top w:val="none" w:sz="0" w:space="0" w:color="auto"/>
        <w:left w:val="none" w:sz="0" w:space="0" w:color="auto"/>
        <w:bottom w:val="none" w:sz="0" w:space="0" w:color="auto"/>
        <w:right w:val="none" w:sz="0" w:space="0" w:color="auto"/>
      </w:divBdr>
    </w:div>
    <w:div w:id="399448046">
      <w:bodyDiv w:val="1"/>
      <w:marLeft w:val="0"/>
      <w:marRight w:val="0"/>
      <w:marTop w:val="0"/>
      <w:marBottom w:val="0"/>
      <w:divBdr>
        <w:top w:val="none" w:sz="0" w:space="0" w:color="auto"/>
        <w:left w:val="none" w:sz="0" w:space="0" w:color="auto"/>
        <w:bottom w:val="none" w:sz="0" w:space="0" w:color="auto"/>
        <w:right w:val="none" w:sz="0" w:space="0" w:color="auto"/>
      </w:divBdr>
    </w:div>
    <w:div w:id="405996387">
      <w:bodyDiv w:val="1"/>
      <w:marLeft w:val="0"/>
      <w:marRight w:val="0"/>
      <w:marTop w:val="0"/>
      <w:marBottom w:val="0"/>
      <w:divBdr>
        <w:top w:val="none" w:sz="0" w:space="0" w:color="auto"/>
        <w:left w:val="none" w:sz="0" w:space="0" w:color="auto"/>
        <w:bottom w:val="none" w:sz="0" w:space="0" w:color="auto"/>
        <w:right w:val="none" w:sz="0" w:space="0" w:color="auto"/>
      </w:divBdr>
    </w:div>
    <w:div w:id="412119908">
      <w:bodyDiv w:val="1"/>
      <w:marLeft w:val="0"/>
      <w:marRight w:val="0"/>
      <w:marTop w:val="0"/>
      <w:marBottom w:val="0"/>
      <w:divBdr>
        <w:top w:val="none" w:sz="0" w:space="0" w:color="auto"/>
        <w:left w:val="none" w:sz="0" w:space="0" w:color="auto"/>
        <w:bottom w:val="none" w:sz="0" w:space="0" w:color="auto"/>
        <w:right w:val="none" w:sz="0" w:space="0" w:color="auto"/>
      </w:divBdr>
    </w:div>
    <w:div w:id="413012604">
      <w:bodyDiv w:val="1"/>
      <w:marLeft w:val="0"/>
      <w:marRight w:val="0"/>
      <w:marTop w:val="0"/>
      <w:marBottom w:val="0"/>
      <w:divBdr>
        <w:top w:val="none" w:sz="0" w:space="0" w:color="auto"/>
        <w:left w:val="none" w:sz="0" w:space="0" w:color="auto"/>
        <w:bottom w:val="none" w:sz="0" w:space="0" w:color="auto"/>
        <w:right w:val="none" w:sz="0" w:space="0" w:color="auto"/>
      </w:divBdr>
    </w:div>
    <w:div w:id="413019538">
      <w:bodyDiv w:val="1"/>
      <w:marLeft w:val="0"/>
      <w:marRight w:val="0"/>
      <w:marTop w:val="0"/>
      <w:marBottom w:val="0"/>
      <w:divBdr>
        <w:top w:val="none" w:sz="0" w:space="0" w:color="auto"/>
        <w:left w:val="none" w:sz="0" w:space="0" w:color="auto"/>
        <w:bottom w:val="none" w:sz="0" w:space="0" w:color="auto"/>
        <w:right w:val="none" w:sz="0" w:space="0" w:color="auto"/>
      </w:divBdr>
    </w:div>
    <w:div w:id="415052213">
      <w:bodyDiv w:val="1"/>
      <w:marLeft w:val="0"/>
      <w:marRight w:val="0"/>
      <w:marTop w:val="0"/>
      <w:marBottom w:val="0"/>
      <w:divBdr>
        <w:top w:val="none" w:sz="0" w:space="0" w:color="auto"/>
        <w:left w:val="none" w:sz="0" w:space="0" w:color="auto"/>
        <w:bottom w:val="none" w:sz="0" w:space="0" w:color="auto"/>
        <w:right w:val="none" w:sz="0" w:space="0" w:color="auto"/>
      </w:divBdr>
    </w:div>
    <w:div w:id="415591141">
      <w:bodyDiv w:val="1"/>
      <w:marLeft w:val="0"/>
      <w:marRight w:val="0"/>
      <w:marTop w:val="0"/>
      <w:marBottom w:val="0"/>
      <w:divBdr>
        <w:top w:val="none" w:sz="0" w:space="0" w:color="auto"/>
        <w:left w:val="none" w:sz="0" w:space="0" w:color="auto"/>
        <w:bottom w:val="none" w:sz="0" w:space="0" w:color="auto"/>
        <w:right w:val="none" w:sz="0" w:space="0" w:color="auto"/>
      </w:divBdr>
    </w:div>
    <w:div w:id="417486533">
      <w:bodyDiv w:val="1"/>
      <w:marLeft w:val="0"/>
      <w:marRight w:val="0"/>
      <w:marTop w:val="0"/>
      <w:marBottom w:val="0"/>
      <w:divBdr>
        <w:top w:val="none" w:sz="0" w:space="0" w:color="auto"/>
        <w:left w:val="none" w:sz="0" w:space="0" w:color="auto"/>
        <w:bottom w:val="none" w:sz="0" w:space="0" w:color="auto"/>
        <w:right w:val="none" w:sz="0" w:space="0" w:color="auto"/>
      </w:divBdr>
      <w:divsChild>
        <w:div w:id="1335649338">
          <w:marLeft w:val="0"/>
          <w:marRight w:val="0"/>
          <w:marTop w:val="0"/>
          <w:marBottom w:val="0"/>
          <w:divBdr>
            <w:top w:val="none" w:sz="0" w:space="0" w:color="auto"/>
            <w:left w:val="none" w:sz="0" w:space="0" w:color="auto"/>
            <w:bottom w:val="none" w:sz="0" w:space="0" w:color="auto"/>
            <w:right w:val="none" w:sz="0" w:space="0" w:color="auto"/>
          </w:divBdr>
          <w:divsChild>
            <w:div w:id="873888105">
              <w:marLeft w:val="0"/>
              <w:marRight w:val="0"/>
              <w:marTop w:val="0"/>
              <w:marBottom w:val="0"/>
              <w:divBdr>
                <w:top w:val="none" w:sz="0" w:space="0" w:color="auto"/>
                <w:left w:val="none" w:sz="0" w:space="0" w:color="auto"/>
                <w:bottom w:val="none" w:sz="0" w:space="0" w:color="auto"/>
                <w:right w:val="none" w:sz="0" w:space="0" w:color="auto"/>
              </w:divBdr>
              <w:divsChild>
                <w:div w:id="1553691494">
                  <w:marLeft w:val="0"/>
                  <w:marRight w:val="0"/>
                  <w:marTop w:val="0"/>
                  <w:marBottom w:val="0"/>
                  <w:divBdr>
                    <w:top w:val="none" w:sz="0" w:space="0" w:color="auto"/>
                    <w:left w:val="none" w:sz="0" w:space="0" w:color="auto"/>
                    <w:bottom w:val="none" w:sz="0" w:space="0" w:color="auto"/>
                    <w:right w:val="none" w:sz="0" w:space="0" w:color="auto"/>
                  </w:divBdr>
                  <w:divsChild>
                    <w:div w:id="1411612259">
                      <w:marLeft w:val="0"/>
                      <w:marRight w:val="0"/>
                      <w:marTop w:val="0"/>
                      <w:marBottom w:val="0"/>
                      <w:divBdr>
                        <w:top w:val="none" w:sz="0" w:space="0" w:color="auto"/>
                        <w:left w:val="none" w:sz="0" w:space="0" w:color="auto"/>
                        <w:bottom w:val="none" w:sz="0" w:space="0" w:color="auto"/>
                        <w:right w:val="none" w:sz="0" w:space="0" w:color="auto"/>
                      </w:divBdr>
                      <w:divsChild>
                        <w:div w:id="1091240115">
                          <w:marLeft w:val="0"/>
                          <w:marRight w:val="0"/>
                          <w:marTop w:val="0"/>
                          <w:marBottom w:val="0"/>
                          <w:divBdr>
                            <w:top w:val="none" w:sz="0" w:space="0" w:color="auto"/>
                            <w:left w:val="none" w:sz="0" w:space="0" w:color="auto"/>
                            <w:bottom w:val="none" w:sz="0" w:space="0" w:color="auto"/>
                            <w:right w:val="none" w:sz="0" w:space="0" w:color="auto"/>
                          </w:divBdr>
                          <w:divsChild>
                            <w:div w:id="2065251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19840378">
      <w:bodyDiv w:val="1"/>
      <w:marLeft w:val="0"/>
      <w:marRight w:val="0"/>
      <w:marTop w:val="0"/>
      <w:marBottom w:val="0"/>
      <w:divBdr>
        <w:top w:val="none" w:sz="0" w:space="0" w:color="auto"/>
        <w:left w:val="none" w:sz="0" w:space="0" w:color="auto"/>
        <w:bottom w:val="none" w:sz="0" w:space="0" w:color="auto"/>
        <w:right w:val="none" w:sz="0" w:space="0" w:color="auto"/>
      </w:divBdr>
    </w:div>
    <w:div w:id="420759843">
      <w:bodyDiv w:val="1"/>
      <w:marLeft w:val="0"/>
      <w:marRight w:val="0"/>
      <w:marTop w:val="0"/>
      <w:marBottom w:val="0"/>
      <w:divBdr>
        <w:top w:val="none" w:sz="0" w:space="0" w:color="auto"/>
        <w:left w:val="none" w:sz="0" w:space="0" w:color="auto"/>
        <w:bottom w:val="none" w:sz="0" w:space="0" w:color="auto"/>
        <w:right w:val="none" w:sz="0" w:space="0" w:color="auto"/>
      </w:divBdr>
    </w:div>
    <w:div w:id="424425295">
      <w:bodyDiv w:val="1"/>
      <w:marLeft w:val="0"/>
      <w:marRight w:val="0"/>
      <w:marTop w:val="0"/>
      <w:marBottom w:val="0"/>
      <w:divBdr>
        <w:top w:val="none" w:sz="0" w:space="0" w:color="auto"/>
        <w:left w:val="none" w:sz="0" w:space="0" w:color="auto"/>
        <w:bottom w:val="none" w:sz="0" w:space="0" w:color="auto"/>
        <w:right w:val="none" w:sz="0" w:space="0" w:color="auto"/>
      </w:divBdr>
    </w:div>
    <w:div w:id="424770499">
      <w:bodyDiv w:val="1"/>
      <w:marLeft w:val="0"/>
      <w:marRight w:val="0"/>
      <w:marTop w:val="0"/>
      <w:marBottom w:val="0"/>
      <w:divBdr>
        <w:top w:val="none" w:sz="0" w:space="0" w:color="auto"/>
        <w:left w:val="none" w:sz="0" w:space="0" w:color="auto"/>
        <w:bottom w:val="none" w:sz="0" w:space="0" w:color="auto"/>
        <w:right w:val="none" w:sz="0" w:space="0" w:color="auto"/>
      </w:divBdr>
    </w:div>
    <w:div w:id="427388917">
      <w:bodyDiv w:val="1"/>
      <w:marLeft w:val="0"/>
      <w:marRight w:val="0"/>
      <w:marTop w:val="0"/>
      <w:marBottom w:val="0"/>
      <w:divBdr>
        <w:top w:val="none" w:sz="0" w:space="0" w:color="auto"/>
        <w:left w:val="none" w:sz="0" w:space="0" w:color="auto"/>
        <w:bottom w:val="none" w:sz="0" w:space="0" w:color="auto"/>
        <w:right w:val="none" w:sz="0" w:space="0" w:color="auto"/>
      </w:divBdr>
      <w:divsChild>
        <w:div w:id="2105492515">
          <w:marLeft w:val="0"/>
          <w:marRight w:val="0"/>
          <w:marTop w:val="0"/>
          <w:marBottom w:val="0"/>
          <w:divBdr>
            <w:top w:val="none" w:sz="0" w:space="0" w:color="auto"/>
            <w:left w:val="none" w:sz="0" w:space="0" w:color="auto"/>
            <w:bottom w:val="none" w:sz="0" w:space="0" w:color="auto"/>
            <w:right w:val="none" w:sz="0" w:space="0" w:color="auto"/>
          </w:divBdr>
          <w:divsChild>
            <w:div w:id="2055083580">
              <w:marLeft w:val="0"/>
              <w:marRight w:val="0"/>
              <w:marTop w:val="0"/>
              <w:marBottom w:val="0"/>
              <w:divBdr>
                <w:top w:val="none" w:sz="0" w:space="0" w:color="auto"/>
                <w:left w:val="none" w:sz="0" w:space="0" w:color="auto"/>
                <w:bottom w:val="none" w:sz="0" w:space="0" w:color="auto"/>
                <w:right w:val="none" w:sz="0" w:space="0" w:color="auto"/>
              </w:divBdr>
              <w:divsChild>
                <w:div w:id="1145396530">
                  <w:marLeft w:val="0"/>
                  <w:marRight w:val="0"/>
                  <w:marTop w:val="0"/>
                  <w:marBottom w:val="0"/>
                  <w:divBdr>
                    <w:top w:val="none" w:sz="0" w:space="0" w:color="auto"/>
                    <w:left w:val="none" w:sz="0" w:space="0" w:color="auto"/>
                    <w:bottom w:val="none" w:sz="0" w:space="0" w:color="auto"/>
                    <w:right w:val="none" w:sz="0" w:space="0" w:color="auto"/>
                  </w:divBdr>
                  <w:divsChild>
                    <w:div w:id="1100100820">
                      <w:marLeft w:val="0"/>
                      <w:marRight w:val="0"/>
                      <w:marTop w:val="0"/>
                      <w:marBottom w:val="0"/>
                      <w:divBdr>
                        <w:top w:val="none" w:sz="0" w:space="0" w:color="auto"/>
                        <w:left w:val="none" w:sz="0" w:space="0" w:color="auto"/>
                        <w:bottom w:val="none" w:sz="0" w:space="0" w:color="auto"/>
                        <w:right w:val="none" w:sz="0" w:space="0" w:color="auto"/>
                      </w:divBdr>
                      <w:divsChild>
                        <w:div w:id="41826810">
                          <w:marLeft w:val="0"/>
                          <w:marRight w:val="0"/>
                          <w:marTop w:val="0"/>
                          <w:marBottom w:val="0"/>
                          <w:divBdr>
                            <w:top w:val="none" w:sz="0" w:space="0" w:color="auto"/>
                            <w:left w:val="none" w:sz="0" w:space="0" w:color="auto"/>
                            <w:bottom w:val="none" w:sz="0" w:space="0" w:color="auto"/>
                            <w:right w:val="none" w:sz="0" w:space="0" w:color="auto"/>
                          </w:divBdr>
                          <w:divsChild>
                            <w:div w:id="963386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8164601">
      <w:bodyDiv w:val="1"/>
      <w:marLeft w:val="0"/>
      <w:marRight w:val="0"/>
      <w:marTop w:val="0"/>
      <w:marBottom w:val="0"/>
      <w:divBdr>
        <w:top w:val="none" w:sz="0" w:space="0" w:color="auto"/>
        <w:left w:val="none" w:sz="0" w:space="0" w:color="auto"/>
        <w:bottom w:val="none" w:sz="0" w:space="0" w:color="auto"/>
        <w:right w:val="none" w:sz="0" w:space="0" w:color="auto"/>
      </w:divBdr>
    </w:div>
    <w:div w:id="433400384">
      <w:bodyDiv w:val="1"/>
      <w:marLeft w:val="0"/>
      <w:marRight w:val="0"/>
      <w:marTop w:val="0"/>
      <w:marBottom w:val="0"/>
      <w:divBdr>
        <w:top w:val="none" w:sz="0" w:space="0" w:color="auto"/>
        <w:left w:val="none" w:sz="0" w:space="0" w:color="auto"/>
        <w:bottom w:val="none" w:sz="0" w:space="0" w:color="auto"/>
        <w:right w:val="none" w:sz="0" w:space="0" w:color="auto"/>
      </w:divBdr>
    </w:div>
    <w:div w:id="438330137">
      <w:bodyDiv w:val="1"/>
      <w:marLeft w:val="0"/>
      <w:marRight w:val="0"/>
      <w:marTop w:val="0"/>
      <w:marBottom w:val="0"/>
      <w:divBdr>
        <w:top w:val="none" w:sz="0" w:space="0" w:color="auto"/>
        <w:left w:val="none" w:sz="0" w:space="0" w:color="auto"/>
        <w:bottom w:val="none" w:sz="0" w:space="0" w:color="auto"/>
        <w:right w:val="none" w:sz="0" w:space="0" w:color="auto"/>
      </w:divBdr>
    </w:div>
    <w:div w:id="438532062">
      <w:bodyDiv w:val="1"/>
      <w:marLeft w:val="0"/>
      <w:marRight w:val="0"/>
      <w:marTop w:val="0"/>
      <w:marBottom w:val="0"/>
      <w:divBdr>
        <w:top w:val="none" w:sz="0" w:space="0" w:color="auto"/>
        <w:left w:val="none" w:sz="0" w:space="0" w:color="auto"/>
        <w:bottom w:val="none" w:sz="0" w:space="0" w:color="auto"/>
        <w:right w:val="none" w:sz="0" w:space="0" w:color="auto"/>
      </w:divBdr>
    </w:div>
    <w:div w:id="439029243">
      <w:bodyDiv w:val="1"/>
      <w:marLeft w:val="0"/>
      <w:marRight w:val="0"/>
      <w:marTop w:val="0"/>
      <w:marBottom w:val="0"/>
      <w:divBdr>
        <w:top w:val="none" w:sz="0" w:space="0" w:color="auto"/>
        <w:left w:val="none" w:sz="0" w:space="0" w:color="auto"/>
        <w:bottom w:val="none" w:sz="0" w:space="0" w:color="auto"/>
        <w:right w:val="none" w:sz="0" w:space="0" w:color="auto"/>
      </w:divBdr>
      <w:divsChild>
        <w:div w:id="630018047">
          <w:marLeft w:val="0"/>
          <w:marRight w:val="0"/>
          <w:marTop w:val="0"/>
          <w:marBottom w:val="0"/>
          <w:divBdr>
            <w:top w:val="none" w:sz="0" w:space="0" w:color="auto"/>
            <w:left w:val="none" w:sz="0" w:space="0" w:color="auto"/>
            <w:bottom w:val="none" w:sz="0" w:space="0" w:color="auto"/>
            <w:right w:val="none" w:sz="0" w:space="0" w:color="auto"/>
          </w:divBdr>
          <w:divsChild>
            <w:div w:id="1999381461">
              <w:marLeft w:val="0"/>
              <w:marRight w:val="0"/>
              <w:marTop w:val="411"/>
              <w:marBottom w:val="0"/>
              <w:divBdr>
                <w:top w:val="none" w:sz="0" w:space="0" w:color="auto"/>
                <w:left w:val="none" w:sz="0" w:space="0" w:color="auto"/>
                <w:bottom w:val="none" w:sz="0" w:space="0" w:color="auto"/>
                <w:right w:val="none" w:sz="0" w:space="0" w:color="auto"/>
              </w:divBdr>
              <w:divsChild>
                <w:div w:id="1601722377">
                  <w:marLeft w:val="0"/>
                  <w:marRight w:val="0"/>
                  <w:marTop w:val="0"/>
                  <w:marBottom w:val="0"/>
                  <w:divBdr>
                    <w:top w:val="none" w:sz="0" w:space="0" w:color="auto"/>
                    <w:left w:val="none" w:sz="0" w:space="0" w:color="auto"/>
                    <w:bottom w:val="none" w:sz="0" w:space="0" w:color="auto"/>
                    <w:right w:val="none" w:sz="0" w:space="0" w:color="auto"/>
                  </w:divBdr>
                  <w:divsChild>
                    <w:div w:id="981226678">
                      <w:marLeft w:val="79"/>
                      <w:marRight w:val="79"/>
                      <w:marTop w:val="0"/>
                      <w:marBottom w:val="0"/>
                      <w:divBdr>
                        <w:top w:val="none" w:sz="0" w:space="0" w:color="auto"/>
                        <w:left w:val="none" w:sz="0" w:space="0" w:color="auto"/>
                        <w:bottom w:val="none" w:sz="0" w:space="0" w:color="auto"/>
                        <w:right w:val="none" w:sz="0" w:space="0" w:color="auto"/>
                      </w:divBdr>
                      <w:divsChild>
                        <w:div w:id="28527763">
                          <w:marLeft w:val="0"/>
                          <w:marRight w:val="0"/>
                          <w:marTop w:val="0"/>
                          <w:marBottom w:val="0"/>
                          <w:divBdr>
                            <w:top w:val="dashed" w:sz="6" w:space="0" w:color="DDDDDD"/>
                            <w:left w:val="none" w:sz="0" w:space="0" w:color="auto"/>
                            <w:bottom w:val="none" w:sz="0" w:space="0" w:color="auto"/>
                            <w:right w:val="none" w:sz="0" w:space="0" w:color="auto"/>
                          </w:divBdr>
                          <w:divsChild>
                            <w:div w:id="351420894">
                              <w:marLeft w:val="0"/>
                              <w:marRight w:val="0"/>
                              <w:marTop w:val="0"/>
                              <w:marBottom w:val="0"/>
                              <w:divBdr>
                                <w:top w:val="none" w:sz="0" w:space="0" w:color="auto"/>
                                <w:left w:val="none" w:sz="0" w:space="0" w:color="auto"/>
                                <w:bottom w:val="none" w:sz="0" w:space="0" w:color="auto"/>
                                <w:right w:val="none" w:sz="0" w:space="0" w:color="auto"/>
                              </w:divBdr>
                              <w:divsChild>
                                <w:div w:id="885877715">
                                  <w:marLeft w:val="0"/>
                                  <w:marRight w:val="0"/>
                                  <w:marTop w:val="79"/>
                                  <w:marBottom w:val="79"/>
                                  <w:divBdr>
                                    <w:top w:val="none" w:sz="0" w:space="0" w:color="auto"/>
                                    <w:left w:val="none" w:sz="0" w:space="0" w:color="auto"/>
                                    <w:bottom w:val="none" w:sz="0" w:space="0" w:color="auto"/>
                                    <w:right w:val="none" w:sz="0" w:space="0" w:color="auto"/>
                                  </w:divBdr>
                                  <w:divsChild>
                                    <w:div w:id="284433214">
                                      <w:marLeft w:val="0"/>
                                      <w:marRight w:val="0"/>
                                      <w:marTop w:val="0"/>
                                      <w:marBottom w:val="0"/>
                                      <w:divBdr>
                                        <w:top w:val="none" w:sz="0" w:space="0" w:color="auto"/>
                                        <w:left w:val="none" w:sz="0" w:space="0" w:color="auto"/>
                                        <w:bottom w:val="none" w:sz="0" w:space="0" w:color="auto"/>
                                        <w:right w:val="none" w:sz="0" w:space="0" w:color="auto"/>
                                      </w:divBdr>
                                      <w:divsChild>
                                        <w:div w:id="787704042">
                                          <w:marLeft w:val="554"/>
                                          <w:marRight w:val="0"/>
                                          <w:marTop w:val="0"/>
                                          <w:marBottom w:val="0"/>
                                          <w:divBdr>
                                            <w:top w:val="none" w:sz="0" w:space="0" w:color="auto"/>
                                            <w:left w:val="none" w:sz="0" w:space="0" w:color="auto"/>
                                            <w:bottom w:val="none" w:sz="0" w:space="0" w:color="auto"/>
                                            <w:right w:val="none" w:sz="0" w:space="0" w:color="auto"/>
                                          </w:divBdr>
                                          <w:divsChild>
                                            <w:div w:id="1184124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41652194">
      <w:bodyDiv w:val="1"/>
      <w:marLeft w:val="0"/>
      <w:marRight w:val="0"/>
      <w:marTop w:val="0"/>
      <w:marBottom w:val="0"/>
      <w:divBdr>
        <w:top w:val="none" w:sz="0" w:space="0" w:color="auto"/>
        <w:left w:val="none" w:sz="0" w:space="0" w:color="auto"/>
        <w:bottom w:val="none" w:sz="0" w:space="0" w:color="auto"/>
        <w:right w:val="none" w:sz="0" w:space="0" w:color="auto"/>
      </w:divBdr>
    </w:div>
    <w:div w:id="442385003">
      <w:bodyDiv w:val="1"/>
      <w:marLeft w:val="0"/>
      <w:marRight w:val="0"/>
      <w:marTop w:val="0"/>
      <w:marBottom w:val="0"/>
      <w:divBdr>
        <w:top w:val="none" w:sz="0" w:space="0" w:color="auto"/>
        <w:left w:val="none" w:sz="0" w:space="0" w:color="auto"/>
        <w:bottom w:val="none" w:sz="0" w:space="0" w:color="auto"/>
        <w:right w:val="none" w:sz="0" w:space="0" w:color="auto"/>
      </w:divBdr>
    </w:div>
    <w:div w:id="442582031">
      <w:bodyDiv w:val="1"/>
      <w:marLeft w:val="0"/>
      <w:marRight w:val="0"/>
      <w:marTop w:val="0"/>
      <w:marBottom w:val="0"/>
      <w:divBdr>
        <w:top w:val="none" w:sz="0" w:space="0" w:color="auto"/>
        <w:left w:val="none" w:sz="0" w:space="0" w:color="auto"/>
        <w:bottom w:val="none" w:sz="0" w:space="0" w:color="auto"/>
        <w:right w:val="none" w:sz="0" w:space="0" w:color="auto"/>
      </w:divBdr>
    </w:div>
    <w:div w:id="444689562">
      <w:bodyDiv w:val="1"/>
      <w:marLeft w:val="0"/>
      <w:marRight w:val="0"/>
      <w:marTop w:val="0"/>
      <w:marBottom w:val="0"/>
      <w:divBdr>
        <w:top w:val="none" w:sz="0" w:space="0" w:color="auto"/>
        <w:left w:val="none" w:sz="0" w:space="0" w:color="auto"/>
        <w:bottom w:val="none" w:sz="0" w:space="0" w:color="auto"/>
        <w:right w:val="none" w:sz="0" w:space="0" w:color="auto"/>
      </w:divBdr>
    </w:div>
    <w:div w:id="456144310">
      <w:bodyDiv w:val="1"/>
      <w:marLeft w:val="0"/>
      <w:marRight w:val="0"/>
      <w:marTop w:val="0"/>
      <w:marBottom w:val="0"/>
      <w:divBdr>
        <w:top w:val="none" w:sz="0" w:space="0" w:color="auto"/>
        <w:left w:val="none" w:sz="0" w:space="0" w:color="auto"/>
        <w:bottom w:val="none" w:sz="0" w:space="0" w:color="auto"/>
        <w:right w:val="none" w:sz="0" w:space="0" w:color="auto"/>
      </w:divBdr>
    </w:div>
    <w:div w:id="456527950">
      <w:bodyDiv w:val="1"/>
      <w:marLeft w:val="0"/>
      <w:marRight w:val="0"/>
      <w:marTop w:val="0"/>
      <w:marBottom w:val="0"/>
      <w:divBdr>
        <w:top w:val="none" w:sz="0" w:space="0" w:color="auto"/>
        <w:left w:val="none" w:sz="0" w:space="0" w:color="auto"/>
        <w:bottom w:val="none" w:sz="0" w:space="0" w:color="auto"/>
        <w:right w:val="none" w:sz="0" w:space="0" w:color="auto"/>
      </w:divBdr>
    </w:div>
    <w:div w:id="458644539">
      <w:bodyDiv w:val="1"/>
      <w:marLeft w:val="0"/>
      <w:marRight w:val="0"/>
      <w:marTop w:val="0"/>
      <w:marBottom w:val="0"/>
      <w:divBdr>
        <w:top w:val="none" w:sz="0" w:space="0" w:color="auto"/>
        <w:left w:val="none" w:sz="0" w:space="0" w:color="auto"/>
        <w:bottom w:val="none" w:sz="0" w:space="0" w:color="auto"/>
        <w:right w:val="none" w:sz="0" w:space="0" w:color="auto"/>
      </w:divBdr>
    </w:div>
    <w:div w:id="463810455">
      <w:bodyDiv w:val="1"/>
      <w:marLeft w:val="0"/>
      <w:marRight w:val="0"/>
      <w:marTop w:val="0"/>
      <w:marBottom w:val="0"/>
      <w:divBdr>
        <w:top w:val="none" w:sz="0" w:space="0" w:color="auto"/>
        <w:left w:val="none" w:sz="0" w:space="0" w:color="auto"/>
        <w:bottom w:val="none" w:sz="0" w:space="0" w:color="auto"/>
        <w:right w:val="none" w:sz="0" w:space="0" w:color="auto"/>
      </w:divBdr>
    </w:div>
    <w:div w:id="464354515">
      <w:bodyDiv w:val="1"/>
      <w:marLeft w:val="0"/>
      <w:marRight w:val="0"/>
      <w:marTop w:val="0"/>
      <w:marBottom w:val="0"/>
      <w:divBdr>
        <w:top w:val="none" w:sz="0" w:space="0" w:color="auto"/>
        <w:left w:val="none" w:sz="0" w:space="0" w:color="auto"/>
        <w:bottom w:val="none" w:sz="0" w:space="0" w:color="auto"/>
        <w:right w:val="none" w:sz="0" w:space="0" w:color="auto"/>
      </w:divBdr>
    </w:div>
    <w:div w:id="478037189">
      <w:bodyDiv w:val="1"/>
      <w:marLeft w:val="0"/>
      <w:marRight w:val="0"/>
      <w:marTop w:val="0"/>
      <w:marBottom w:val="0"/>
      <w:divBdr>
        <w:top w:val="none" w:sz="0" w:space="0" w:color="auto"/>
        <w:left w:val="none" w:sz="0" w:space="0" w:color="auto"/>
        <w:bottom w:val="none" w:sz="0" w:space="0" w:color="auto"/>
        <w:right w:val="none" w:sz="0" w:space="0" w:color="auto"/>
      </w:divBdr>
    </w:div>
    <w:div w:id="478150958">
      <w:bodyDiv w:val="1"/>
      <w:marLeft w:val="0"/>
      <w:marRight w:val="0"/>
      <w:marTop w:val="0"/>
      <w:marBottom w:val="0"/>
      <w:divBdr>
        <w:top w:val="none" w:sz="0" w:space="0" w:color="auto"/>
        <w:left w:val="none" w:sz="0" w:space="0" w:color="auto"/>
        <w:bottom w:val="none" w:sz="0" w:space="0" w:color="auto"/>
        <w:right w:val="none" w:sz="0" w:space="0" w:color="auto"/>
      </w:divBdr>
    </w:div>
    <w:div w:id="483163335">
      <w:bodyDiv w:val="1"/>
      <w:marLeft w:val="0"/>
      <w:marRight w:val="0"/>
      <w:marTop w:val="0"/>
      <w:marBottom w:val="0"/>
      <w:divBdr>
        <w:top w:val="none" w:sz="0" w:space="0" w:color="auto"/>
        <w:left w:val="none" w:sz="0" w:space="0" w:color="auto"/>
        <w:bottom w:val="none" w:sz="0" w:space="0" w:color="auto"/>
        <w:right w:val="none" w:sz="0" w:space="0" w:color="auto"/>
      </w:divBdr>
    </w:div>
    <w:div w:id="483475001">
      <w:bodyDiv w:val="1"/>
      <w:marLeft w:val="0"/>
      <w:marRight w:val="0"/>
      <w:marTop w:val="0"/>
      <w:marBottom w:val="0"/>
      <w:divBdr>
        <w:top w:val="none" w:sz="0" w:space="0" w:color="auto"/>
        <w:left w:val="none" w:sz="0" w:space="0" w:color="auto"/>
        <w:bottom w:val="none" w:sz="0" w:space="0" w:color="auto"/>
        <w:right w:val="none" w:sz="0" w:space="0" w:color="auto"/>
      </w:divBdr>
    </w:div>
    <w:div w:id="483817959">
      <w:bodyDiv w:val="1"/>
      <w:marLeft w:val="0"/>
      <w:marRight w:val="0"/>
      <w:marTop w:val="0"/>
      <w:marBottom w:val="0"/>
      <w:divBdr>
        <w:top w:val="none" w:sz="0" w:space="0" w:color="auto"/>
        <w:left w:val="none" w:sz="0" w:space="0" w:color="auto"/>
        <w:bottom w:val="none" w:sz="0" w:space="0" w:color="auto"/>
        <w:right w:val="none" w:sz="0" w:space="0" w:color="auto"/>
      </w:divBdr>
    </w:div>
    <w:div w:id="486090320">
      <w:bodyDiv w:val="1"/>
      <w:marLeft w:val="0"/>
      <w:marRight w:val="0"/>
      <w:marTop w:val="0"/>
      <w:marBottom w:val="0"/>
      <w:divBdr>
        <w:top w:val="none" w:sz="0" w:space="0" w:color="auto"/>
        <w:left w:val="none" w:sz="0" w:space="0" w:color="auto"/>
        <w:bottom w:val="none" w:sz="0" w:space="0" w:color="auto"/>
        <w:right w:val="none" w:sz="0" w:space="0" w:color="auto"/>
      </w:divBdr>
    </w:div>
    <w:div w:id="486560471">
      <w:bodyDiv w:val="1"/>
      <w:marLeft w:val="0"/>
      <w:marRight w:val="0"/>
      <w:marTop w:val="0"/>
      <w:marBottom w:val="0"/>
      <w:divBdr>
        <w:top w:val="none" w:sz="0" w:space="0" w:color="auto"/>
        <w:left w:val="none" w:sz="0" w:space="0" w:color="auto"/>
        <w:bottom w:val="none" w:sz="0" w:space="0" w:color="auto"/>
        <w:right w:val="none" w:sz="0" w:space="0" w:color="auto"/>
      </w:divBdr>
    </w:div>
    <w:div w:id="488600981">
      <w:bodyDiv w:val="1"/>
      <w:marLeft w:val="0"/>
      <w:marRight w:val="0"/>
      <w:marTop w:val="0"/>
      <w:marBottom w:val="0"/>
      <w:divBdr>
        <w:top w:val="none" w:sz="0" w:space="0" w:color="auto"/>
        <w:left w:val="none" w:sz="0" w:space="0" w:color="auto"/>
        <w:bottom w:val="none" w:sz="0" w:space="0" w:color="auto"/>
        <w:right w:val="none" w:sz="0" w:space="0" w:color="auto"/>
      </w:divBdr>
    </w:div>
    <w:div w:id="489953257">
      <w:bodyDiv w:val="1"/>
      <w:marLeft w:val="0"/>
      <w:marRight w:val="0"/>
      <w:marTop w:val="0"/>
      <w:marBottom w:val="0"/>
      <w:divBdr>
        <w:top w:val="none" w:sz="0" w:space="0" w:color="auto"/>
        <w:left w:val="none" w:sz="0" w:space="0" w:color="auto"/>
        <w:bottom w:val="none" w:sz="0" w:space="0" w:color="auto"/>
        <w:right w:val="none" w:sz="0" w:space="0" w:color="auto"/>
      </w:divBdr>
    </w:div>
    <w:div w:id="504367564">
      <w:bodyDiv w:val="1"/>
      <w:marLeft w:val="0"/>
      <w:marRight w:val="0"/>
      <w:marTop w:val="0"/>
      <w:marBottom w:val="0"/>
      <w:divBdr>
        <w:top w:val="none" w:sz="0" w:space="0" w:color="auto"/>
        <w:left w:val="none" w:sz="0" w:space="0" w:color="auto"/>
        <w:bottom w:val="none" w:sz="0" w:space="0" w:color="auto"/>
        <w:right w:val="none" w:sz="0" w:space="0" w:color="auto"/>
      </w:divBdr>
      <w:divsChild>
        <w:div w:id="478768960">
          <w:marLeft w:val="446"/>
          <w:marRight w:val="0"/>
          <w:marTop w:val="0"/>
          <w:marBottom w:val="120"/>
          <w:divBdr>
            <w:top w:val="none" w:sz="0" w:space="0" w:color="auto"/>
            <w:left w:val="none" w:sz="0" w:space="0" w:color="auto"/>
            <w:bottom w:val="none" w:sz="0" w:space="0" w:color="auto"/>
            <w:right w:val="none" w:sz="0" w:space="0" w:color="auto"/>
          </w:divBdr>
        </w:div>
        <w:div w:id="746925136">
          <w:marLeft w:val="446"/>
          <w:marRight w:val="0"/>
          <w:marTop w:val="0"/>
          <w:marBottom w:val="120"/>
          <w:divBdr>
            <w:top w:val="none" w:sz="0" w:space="0" w:color="auto"/>
            <w:left w:val="none" w:sz="0" w:space="0" w:color="auto"/>
            <w:bottom w:val="none" w:sz="0" w:space="0" w:color="auto"/>
            <w:right w:val="none" w:sz="0" w:space="0" w:color="auto"/>
          </w:divBdr>
        </w:div>
      </w:divsChild>
    </w:div>
    <w:div w:id="504594371">
      <w:bodyDiv w:val="1"/>
      <w:marLeft w:val="0"/>
      <w:marRight w:val="0"/>
      <w:marTop w:val="0"/>
      <w:marBottom w:val="0"/>
      <w:divBdr>
        <w:top w:val="none" w:sz="0" w:space="0" w:color="auto"/>
        <w:left w:val="none" w:sz="0" w:space="0" w:color="auto"/>
        <w:bottom w:val="none" w:sz="0" w:space="0" w:color="auto"/>
        <w:right w:val="none" w:sz="0" w:space="0" w:color="auto"/>
      </w:divBdr>
    </w:div>
    <w:div w:id="509375215">
      <w:bodyDiv w:val="1"/>
      <w:marLeft w:val="0"/>
      <w:marRight w:val="0"/>
      <w:marTop w:val="0"/>
      <w:marBottom w:val="0"/>
      <w:divBdr>
        <w:top w:val="none" w:sz="0" w:space="0" w:color="auto"/>
        <w:left w:val="none" w:sz="0" w:space="0" w:color="auto"/>
        <w:bottom w:val="none" w:sz="0" w:space="0" w:color="auto"/>
        <w:right w:val="none" w:sz="0" w:space="0" w:color="auto"/>
      </w:divBdr>
    </w:div>
    <w:div w:id="512690377">
      <w:bodyDiv w:val="1"/>
      <w:marLeft w:val="0"/>
      <w:marRight w:val="0"/>
      <w:marTop w:val="0"/>
      <w:marBottom w:val="0"/>
      <w:divBdr>
        <w:top w:val="none" w:sz="0" w:space="0" w:color="auto"/>
        <w:left w:val="none" w:sz="0" w:space="0" w:color="auto"/>
        <w:bottom w:val="none" w:sz="0" w:space="0" w:color="auto"/>
        <w:right w:val="none" w:sz="0" w:space="0" w:color="auto"/>
      </w:divBdr>
      <w:divsChild>
        <w:div w:id="965157174">
          <w:marLeft w:val="0"/>
          <w:marRight w:val="0"/>
          <w:marTop w:val="0"/>
          <w:marBottom w:val="0"/>
          <w:divBdr>
            <w:top w:val="none" w:sz="0" w:space="0" w:color="auto"/>
            <w:left w:val="none" w:sz="0" w:space="0" w:color="auto"/>
            <w:bottom w:val="none" w:sz="0" w:space="0" w:color="auto"/>
            <w:right w:val="none" w:sz="0" w:space="0" w:color="auto"/>
          </w:divBdr>
          <w:divsChild>
            <w:div w:id="1115907094">
              <w:marLeft w:val="0"/>
              <w:marRight w:val="0"/>
              <w:marTop w:val="411"/>
              <w:marBottom w:val="0"/>
              <w:divBdr>
                <w:top w:val="none" w:sz="0" w:space="0" w:color="auto"/>
                <w:left w:val="none" w:sz="0" w:space="0" w:color="auto"/>
                <w:bottom w:val="none" w:sz="0" w:space="0" w:color="auto"/>
                <w:right w:val="none" w:sz="0" w:space="0" w:color="auto"/>
              </w:divBdr>
              <w:divsChild>
                <w:div w:id="1634600178">
                  <w:marLeft w:val="0"/>
                  <w:marRight w:val="0"/>
                  <w:marTop w:val="0"/>
                  <w:marBottom w:val="0"/>
                  <w:divBdr>
                    <w:top w:val="none" w:sz="0" w:space="0" w:color="auto"/>
                    <w:left w:val="none" w:sz="0" w:space="0" w:color="auto"/>
                    <w:bottom w:val="none" w:sz="0" w:space="0" w:color="auto"/>
                    <w:right w:val="none" w:sz="0" w:space="0" w:color="auto"/>
                  </w:divBdr>
                  <w:divsChild>
                    <w:div w:id="1947274280">
                      <w:marLeft w:val="79"/>
                      <w:marRight w:val="79"/>
                      <w:marTop w:val="0"/>
                      <w:marBottom w:val="0"/>
                      <w:divBdr>
                        <w:top w:val="none" w:sz="0" w:space="0" w:color="auto"/>
                        <w:left w:val="none" w:sz="0" w:space="0" w:color="auto"/>
                        <w:bottom w:val="none" w:sz="0" w:space="0" w:color="auto"/>
                        <w:right w:val="none" w:sz="0" w:space="0" w:color="auto"/>
                      </w:divBdr>
                      <w:divsChild>
                        <w:div w:id="132530330">
                          <w:marLeft w:val="0"/>
                          <w:marRight w:val="0"/>
                          <w:marTop w:val="0"/>
                          <w:marBottom w:val="0"/>
                          <w:divBdr>
                            <w:top w:val="dashed" w:sz="6" w:space="0" w:color="DDDDDD"/>
                            <w:left w:val="none" w:sz="0" w:space="0" w:color="auto"/>
                            <w:bottom w:val="none" w:sz="0" w:space="0" w:color="auto"/>
                            <w:right w:val="none" w:sz="0" w:space="0" w:color="auto"/>
                          </w:divBdr>
                          <w:divsChild>
                            <w:div w:id="1377199662">
                              <w:marLeft w:val="0"/>
                              <w:marRight w:val="0"/>
                              <w:marTop w:val="0"/>
                              <w:marBottom w:val="0"/>
                              <w:divBdr>
                                <w:top w:val="none" w:sz="0" w:space="0" w:color="auto"/>
                                <w:left w:val="none" w:sz="0" w:space="0" w:color="auto"/>
                                <w:bottom w:val="none" w:sz="0" w:space="0" w:color="auto"/>
                                <w:right w:val="none" w:sz="0" w:space="0" w:color="auto"/>
                              </w:divBdr>
                              <w:divsChild>
                                <w:div w:id="1624773122">
                                  <w:marLeft w:val="0"/>
                                  <w:marRight w:val="0"/>
                                  <w:marTop w:val="79"/>
                                  <w:marBottom w:val="79"/>
                                  <w:divBdr>
                                    <w:top w:val="none" w:sz="0" w:space="0" w:color="auto"/>
                                    <w:left w:val="none" w:sz="0" w:space="0" w:color="auto"/>
                                    <w:bottom w:val="none" w:sz="0" w:space="0" w:color="auto"/>
                                    <w:right w:val="none" w:sz="0" w:space="0" w:color="auto"/>
                                  </w:divBdr>
                                  <w:divsChild>
                                    <w:div w:id="184877515">
                                      <w:marLeft w:val="0"/>
                                      <w:marRight w:val="0"/>
                                      <w:marTop w:val="0"/>
                                      <w:marBottom w:val="0"/>
                                      <w:divBdr>
                                        <w:top w:val="none" w:sz="0" w:space="0" w:color="auto"/>
                                        <w:left w:val="none" w:sz="0" w:space="0" w:color="auto"/>
                                        <w:bottom w:val="none" w:sz="0" w:space="0" w:color="auto"/>
                                        <w:right w:val="none" w:sz="0" w:space="0" w:color="auto"/>
                                      </w:divBdr>
                                      <w:divsChild>
                                        <w:div w:id="1949001455">
                                          <w:marLeft w:val="554"/>
                                          <w:marRight w:val="0"/>
                                          <w:marTop w:val="0"/>
                                          <w:marBottom w:val="0"/>
                                          <w:divBdr>
                                            <w:top w:val="none" w:sz="0" w:space="0" w:color="auto"/>
                                            <w:left w:val="none" w:sz="0" w:space="0" w:color="auto"/>
                                            <w:bottom w:val="none" w:sz="0" w:space="0" w:color="auto"/>
                                            <w:right w:val="none" w:sz="0" w:space="0" w:color="auto"/>
                                          </w:divBdr>
                                          <w:divsChild>
                                            <w:div w:id="1831829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14999046">
      <w:bodyDiv w:val="1"/>
      <w:marLeft w:val="0"/>
      <w:marRight w:val="0"/>
      <w:marTop w:val="0"/>
      <w:marBottom w:val="0"/>
      <w:divBdr>
        <w:top w:val="none" w:sz="0" w:space="0" w:color="auto"/>
        <w:left w:val="none" w:sz="0" w:space="0" w:color="auto"/>
        <w:bottom w:val="none" w:sz="0" w:space="0" w:color="auto"/>
        <w:right w:val="none" w:sz="0" w:space="0" w:color="auto"/>
      </w:divBdr>
    </w:div>
    <w:div w:id="521091211">
      <w:bodyDiv w:val="1"/>
      <w:marLeft w:val="0"/>
      <w:marRight w:val="0"/>
      <w:marTop w:val="0"/>
      <w:marBottom w:val="0"/>
      <w:divBdr>
        <w:top w:val="none" w:sz="0" w:space="0" w:color="auto"/>
        <w:left w:val="none" w:sz="0" w:space="0" w:color="auto"/>
        <w:bottom w:val="none" w:sz="0" w:space="0" w:color="auto"/>
        <w:right w:val="none" w:sz="0" w:space="0" w:color="auto"/>
      </w:divBdr>
      <w:divsChild>
        <w:div w:id="1562593833">
          <w:marLeft w:val="0"/>
          <w:marRight w:val="0"/>
          <w:marTop w:val="0"/>
          <w:marBottom w:val="0"/>
          <w:divBdr>
            <w:top w:val="none" w:sz="0" w:space="0" w:color="auto"/>
            <w:left w:val="none" w:sz="0" w:space="0" w:color="auto"/>
            <w:bottom w:val="none" w:sz="0" w:space="0" w:color="auto"/>
            <w:right w:val="none" w:sz="0" w:space="0" w:color="auto"/>
          </w:divBdr>
          <w:divsChild>
            <w:div w:id="2008900224">
              <w:marLeft w:val="0"/>
              <w:marRight w:val="0"/>
              <w:marTop w:val="15"/>
              <w:marBottom w:val="0"/>
              <w:divBdr>
                <w:top w:val="none" w:sz="0" w:space="0" w:color="auto"/>
                <w:left w:val="none" w:sz="0" w:space="0" w:color="auto"/>
                <w:bottom w:val="none" w:sz="0" w:space="0" w:color="auto"/>
                <w:right w:val="none" w:sz="0" w:space="0" w:color="auto"/>
              </w:divBdr>
              <w:divsChild>
                <w:div w:id="825436846">
                  <w:marLeft w:val="0"/>
                  <w:marRight w:val="0"/>
                  <w:marTop w:val="0"/>
                  <w:marBottom w:val="0"/>
                  <w:divBdr>
                    <w:top w:val="none" w:sz="0" w:space="0" w:color="auto"/>
                    <w:left w:val="single" w:sz="6" w:space="0" w:color="B5B5B5"/>
                    <w:bottom w:val="none" w:sz="0" w:space="0" w:color="auto"/>
                    <w:right w:val="single" w:sz="6" w:space="0" w:color="B5B5B5"/>
                  </w:divBdr>
                  <w:divsChild>
                    <w:div w:id="1728650126">
                      <w:marLeft w:val="75"/>
                      <w:marRight w:val="75"/>
                      <w:marTop w:val="0"/>
                      <w:marBottom w:val="0"/>
                      <w:divBdr>
                        <w:top w:val="none" w:sz="0" w:space="0" w:color="auto"/>
                        <w:left w:val="none" w:sz="0" w:space="0" w:color="auto"/>
                        <w:bottom w:val="none" w:sz="0" w:space="0" w:color="auto"/>
                        <w:right w:val="none" w:sz="0" w:space="0" w:color="auto"/>
                      </w:divBdr>
                      <w:divsChild>
                        <w:div w:id="574584389">
                          <w:marLeft w:val="0"/>
                          <w:marRight w:val="0"/>
                          <w:marTop w:val="0"/>
                          <w:marBottom w:val="0"/>
                          <w:divBdr>
                            <w:top w:val="dotted" w:sz="6" w:space="0" w:color="B5B5B5"/>
                            <w:left w:val="none" w:sz="0" w:space="0" w:color="auto"/>
                            <w:bottom w:val="none" w:sz="0" w:space="0" w:color="auto"/>
                            <w:right w:val="none" w:sz="0" w:space="0" w:color="auto"/>
                          </w:divBdr>
                          <w:divsChild>
                            <w:div w:id="177738170">
                              <w:marLeft w:val="0"/>
                              <w:marRight w:val="0"/>
                              <w:marTop w:val="75"/>
                              <w:marBottom w:val="0"/>
                              <w:divBdr>
                                <w:top w:val="none" w:sz="0" w:space="0" w:color="auto"/>
                                <w:left w:val="none" w:sz="0" w:space="0" w:color="auto"/>
                                <w:bottom w:val="none" w:sz="0" w:space="0" w:color="auto"/>
                                <w:right w:val="none" w:sz="0" w:space="0" w:color="auto"/>
                              </w:divBdr>
                              <w:divsChild>
                                <w:div w:id="249391265">
                                  <w:marLeft w:val="0"/>
                                  <w:marRight w:val="0"/>
                                  <w:marTop w:val="0"/>
                                  <w:marBottom w:val="0"/>
                                  <w:divBdr>
                                    <w:top w:val="none" w:sz="0" w:space="0" w:color="auto"/>
                                    <w:left w:val="none" w:sz="0" w:space="0" w:color="auto"/>
                                    <w:bottom w:val="none" w:sz="0" w:space="0" w:color="auto"/>
                                    <w:right w:val="none" w:sz="0" w:space="0" w:color="auto"/>
                                  </w:divBdr>
                                  <w:divsChild>
                                    <w:div w:id="1541942048">
                                      <w:marLeft w:val="0"/>
                                      <w:marRight w:val="0"/>
                                      <w:marTop w:val="0"/>
                                      <w:marBottom w:val="0"/>
                                      <w:divBdr>
                                        <w:top w:val="none" w:sz="0" w:space="0" w:color="auto"/>
                                        <w:left w:val="none" w:sz="0" w:space="0" w:color="auto"/>
                                        <w:bottom w:val="none" w:sz="0" w:space="0" w:color="auto"/>
                                        <w:right w:val="none" w:sz="0" w:space="0" w:color="auto"/>
                                      </w:divBdr>
                                      <w:divsChild>
                                        <w:div w:id="748884892">
                                          <w:marLeft w:val="525"/>
                                          <w:marRight w:val="0"/>
                                          <w:marTop w:val="0"/>
                                          <w:marBottom w:val="0"/>
                                          <w:divBdr>
                                            <w:top w:val="none" w:sz="0" w:space="0" w:color="auto"/>
                                            <w:left w:val="none" w:sz="0" w:space="0" w:color="auto"/>
                                            <w:bottom w:val="none" w:sz="0" w:space="0" w:color="auto"/>
                                            <w:right w:val="none" w:sz="0" w:space="0" w:color="auto"/>
                                          </w:divBdr>
                                          <w:divsChild>
                                            <w:div w:id="1284848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21435895">
      <w:bodyDiv w:val="1"/>
      <w:marLeft w:val="0"/>
      <w:marRight w:val="0"/>
      <w:marTop w:val="0"/>
      <w:marBottom w:val="0"/>
      <w:divBdr>
        <w:top w:val="none" w:sz="0" w:space="0" w:color="auto"/>
        <w:left w:val="none" w:sz="0" w:space="0" w:color="auto"/>
        <w:bottom w:val="none" w:sz="0" w:space="0" w:color="auto"/>
        <w:right w:val="none" w:sz="0" w:space="0" w:color="auto"/>
      </w:divBdr>
    </w:div>
    <w:div w:id="527258287">
      <w:bodyDiv w:val="1"/>
      <w:marLeft w:val="0"/>
      <w:marRight w:val="0"/>
      <w:marTop w:val="0"/>
      <w:marBottom w:val="0"/>
      <w:divBdr>
        <w:top w:val="none" w:sz="0" w:space="0" w:color="auto"/>
        <w:left w:val="none" w:sz="0" w:space="0" w:color="auto"/>
        <w:bottom w:val="none" w:sz="0" w:space="0" w:color="auto"/>
        <w:right w:val="none" w:sz="0" w:space="0" w:color="auto"/>
      </w:divBdr>
      <w:divsChild>
        <w:div w:id="1412703719">
          <w:marLeft w:val="446"/>
          <w:marRight w:val="0"/>
          <w:marTop w:val="0"/>
          <w:marBottom w:val="0"/>
          <w:divBdr>
            <w:top w:val="none" w:sz="0" w:space="0" w:color="auto"/>
            <w:left w:val="none" w:sz="0" w:space="0" w:color="auto"/>
            <w:bottom w:val="none" w:sz="0" w:space="0" w:color="auto"/>
            <w:right w:val="none" w:sz="0" w:space="0" w:color="auto"/>
          </w:divBdr>
        </w:div>
      </w:divsChild>
    </w:div>
    <w:div w:id="531306090">
      <w:bodyDiv w:val="1"/>
      <w:marLeft w:val="0"/>
      <w:marRight w:val="0"/>
      <w:marTop w:val="0"/>
      <w:marBottom w:val="0"/>
      <w:divBdr>
        <w:top w:val="none" w:sz="0" w:space="0" w:color="auto"/>
        <w:left w:val="none" w:sz="0" w:space="0" w:color="auto"/>
        <w:bottom w:val="none" w:sz="0" w:space="0" w:color="auto"/>
        <w:right w:val="none" w:sz="0" w:space="0" w:color="auto"/>
      </w:divBdr>
    </w:div>
    <w:div w:id="534580835">
      <w:bodyDiv w:val="1"/>
      <w:marLeft w:val="0"/>
      <w:marRight w:val="0"/>
      <w:marTop w:val="0"/>
      <w:marBottom w:val="0"/>
      <w:divBdr>
        <w:top w:val="none" w:sz="0" w:space="0" w:color="auto"/>
        <w:left w:val="none" w:sz="0" w:space="0" w:color="auto"/>
        <w:bottom w:val="none" w:sz="0" w:space="0" w:color="auto"/>
        <w:right w:val="none" w:sz="0" w:space="0" w:color="auto"/>
      </w:divBdr>
    </w:div>
    <w:div w:id="536703458">
      <w:bodyDiv w:val="1"/>
      <w:marLeft w:val="0"/>
      <w:marRight w:val="0"/>
      <w:marTop w:val="0"/>
      <w:marBottom w:val="0"/>
      <w:divBdr>
        <w:top w:val="none" w:sz="0" w:space="0" w:color="auto"/>
        <w:left w:val="none" w:sz="0" w:space="0" w:color="auto"/>
        <w:bottom w:val="none" w:sz="0" w:space="0" w:color="auto"/>
        <w:right w:val="none" w:sz="0" w:space="0" w:color="auto"/>
      </w:divBdr>
      <w:divsChild>
        <w:div w:id="1227299569">
          <w:marLeft w:val="0"/>
          <w:marRight w:val="0"/>
          <w:marTop w:val="0"/>
          <w:marBottom w:val="0"/>
          <w:divBdr>
            <w:top w:val="none" w:sz="0" w:space="0" w:color="auto"/>
            <w:left w:val="none" w:sz="0" w:space="0" w:color="auto"/>
            <w:bottom w:val="none" w:sz="0" w:space="0" w:color="auto"/>
            <w:right w:val="none" w:sz="0" w:space="0" w:color="auto"/>
          </w:divBdr>
          <w:divsChild>
            <w:div w:id="1105270267">
              <w:marLeft w:val="0"/>
              <w:marRight w:val="0"/>
              <w:marTop w:val="411"/>
              <w:marBottom w:val="0"/>
              <w:divBdr>
                <w:top w:val="none" w:sz="0" w:space="0" w:color="auto"/>
                <w:left w:val="none" w:sz="0" w:space="0" w:color="auto"/>
                <w:bottom w:val="none" w:sz="0" w:space="0" w:color="auto"/>
                <w:right w:val="none" w:sz="0" w:space="0" w:color="auto"/>
              </w:divBdr>
              <w:divsChild>
                <w:div w:id="321392296">
                  <w:marLeft w:val="0"/>
                  <w:marRight w:val="0"/>
                  <w:marTop w:val="0"/>
                  <w:marBottom w:val="0"/>
                  <w:divBdr>
                    <w:top w:val="none" w:sz="0" w:space="0" w:color="auto"/>
                    <w:left w:val="none" w:sz="0" w:space="0" w:color="auto"/>
                    <w:bottom w:val="none" w:sz="0" w:space="0" w:color="auto"/>
                    <w:right w:val="none" w:sz="0" w:space="0" w:color="auto"/>
                  </w:divBdr>
                  <w:divsChild>
                    <w:div w:id="423497723">
                      <w:marLeft w:val="79"/>
                      <w:marRight w:val="79"/>
                      <w:marTop w:val="0"/>
                      <w:marBottom w:val="0"/>
                      <w:divBdr>
                        <w:top w:val="none" w:sz="0" w:space="0" w:color="auto"/>
                        <w:left w:val="none" w:sz="0" w:space="0" w:color="auto"/>
                        <w:bottom w:val="none" w:sz="0" w:space="0" w:color="auto"/>
                        <w:right w:val="none" w:sz="0" w:space="0" w:color="auto"/>
                      </w:divBdr>
                      <w:divsChild>
                        <w:div w:id="2015372014">
                          <w:marLeft w:val="0"/>
                          <w:marRight w:val="0"/>
                          <w:marTop w:val="0"/>
                          <w:marBottom w:val="0"/>
                          <w:divBdr>
                            <w:top w:val="dashed" w:sz="6" w:space="0" w:color="DDDDDD"/>
                            <w:left w:val="none" w:sz="0" w:space="0" w:color="auto"/>
                            <w:bottom w:val="none" w:sz="0" w:space="0" w:color="auto"/>
                            <w:right w:val="none" w:sz="0" w:space="0" w:color="auto"/>
                          </w:divBdr>
                          <w:divsChild>
                            <w:div w:id="1646470870">
                              <w:marLeft w:val="0"/>
                              <w:marRight w:val="0"/>
                              <w:marTop w:val="0"/>
                              <w:marBottom w:val="0"/>
                              <w:divBdr>
                                <w:top w:val="none" w:sz="0" w:space="0" w:color="auto"/>
                                <w:left w:val="none" w:sz="0" w:space="0" w:color="auto"/>
                                <w:bottom w:val="none" w:sz="0" w:space="0" w:color="auto"/>
                                <w:right w:val="none" w:sz="0" w:space="0" w:color="auto"/>
                              </w:divBdr>
                              <w:divsChild>
                                <w:div w:id="860823306">
                                  <w:marLeft w:val="0"/>
                                  <w:marRight w:val="0"/>
                                  <w:marTop w:val="79"/>
                                  <w:marBottom w:val="79"/>
                                  <w:divBdr>
                                    <w:top w:val="none" w:sz="0" w:space="0" w:color="auto"/>
                                    <w:left w:val="none" w:sz="0" w:space="0" w:color="auto"/>
                                    <w:bottom w:val="none" w:sz="0" w:space="0" w:color="auto"/>
                                    <w:right w:val="none" w:sz="0" w:space="0" w:color="auto"/>
                                  </w:divBdr>
                                  <w:divsChild>
                                    <w:div w:id="2030521431">
                                      <w:marLeft w:val="0"/>
                                      <w:marRight w:val="0"/>
                                      <w:marTop w:val="0"/>
                                      <w:marBottom w:val="0"/>
                                      <w:divBdr>
                                        <w:top w:val="none" w:sz="0" w:space="0" w:color="auto"/>
                                        <w:left w:val="none" w:sz="0" w:space="0" w:color="auto"/>
                                        <w:bottom w:val="none" w:sz="0" w:space="0" w:color="auto"/>
                                        <w:right w:val="none" w:sz="0" w:space="0" w:color="auto"/>
                                      </w:divBdr>
                                      <w:divsChild>
                                        <w:div w:id="2109082041">
                                          <w:marLeft w:val="554"/>
                                          <w:marRight w:val="0"/>
                                          <w:marTop w:val="0"/>
                                          <w:marBottom w:val="0"/>
                                          <w:divBdr>
                                            <w:top w:val="none" w:sz="0" w:space="0" w:color="auto"/>
                                            <w:left w:val="none" w:sz="0" w:space="0" w:color="auto"/>
                                            <w:bottom w:val="none" w:sz="0" w:space="0" w:color="auto"/>
                                            <w:right w:val="none" w:sz="0" w:space="0" w:color="auto"/>
                                          </w:divBdr>
                                          <w:divsChild>
                                            <w:div w:id="132718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39588074">
      <w:bodyDiv w:val="1"/>
      <w:marLeft w:val="0"/>
      <w:marRight w:val="0"/>
      <w:marTop w:val="0"/>
      <w:marBottom w:val="0"/>
      <w:divBdr>
        <w:top w:val="none" w:sz="0" w:space="0" w:color="auto"/>
        <w:left w:val="none" w:sz="0" w:space="0" w:color="auto"/>
        <w:bottom w:val="none" w:sz="0" w:space="0" w:color="auto"/>
        <w:right w:val="none" w:sz="0" w:space="0" w:color="auto"/>
      </w:divBdr>
    </w:div>
    <w:div w:id="540476168">
      <w:bodyDiv w:val="1"/>
      <w:marLeft w:val="0"/>
      <w:marRight w:val="0"/>
      <w:marTop w:val="0"/>
      <w:marBottom w:val="0"/>
      <w:divBdr>
        <w:top w:val="none" w:sz="0" w:space="0" w:color="auto"/>
        <w:left w:val="none" w:sz="0" w:space="0" w:color="auto"/>
        <w:bottom w:val="none" w:sz="0" w:space="0" w:color="auto"/>
        <w:right w:val="none" w:sz="0" w:space="0" w:color="auto"/>
      </w:divBdr>
    </w:div>
    <w:div w:id="548690269">
      <w:bodyDiv w:val="1"/>
      <w:marLeft w:val="0"/>
      <w:marRight w:val="0"/>
      <w:marTop w:val="0"/>
      <w:marBottom w:val="0"/>
      <w:divBdr>
        <w:top w:val="none" w:sz="0" w:space="0" w:color="auto"/>
        <w:left w:val="none" w:sz="0" w:space="0" w:color="auto"/>
        <w:bottom w:val="none" w:sz="0" w:space="0" w:color="auto"/>
        <w:right w:val="none" w:sz="0" w:space="0" w:color="auto"/>
      </w:divBdr>
    </w:div>
    <w:div w:id="548690539">
      <w:bodyDiv w:val="1"/>
      <w:marLeft w:val="0"/>
      <w:marRight w:val="0"/>
      <w:marTop w:val="0"/>
      <w:marBottom w:val="0"/>
      <w:divBdr>
        <w:top w:val="none" w:sz="0" w:space="0" w:color="auto"/>
        <w:left w:val="none" w:sz="0" w:space="0" w:color="auto"/>
        <w:bottom w:val="none" w:sz="0" w:space="0" w:color="auto"/>
        <w:right w:val="none" w:sz="0" w:space="0" w:color="auto"/>
      </w:divBdr>
    </w:div>
    <w:div w:id="552692595">
      <w:bodyDiv w:val="1"/>
      <w:marLeft w:val="0"/>
      <w:marRight w:val="0"/>
      <w:marTop w:val="0"/>
      <w:marBottom w:val="0"/>
      <w:divBdr>
        <w:top w:val="none" w:sz="0" w:space="0" w:color="auto"/>
        <w:left w:val="none" w:sz="0" w:space="0" w:color="auto"/>
        <w:bottom w:val="none" w:sz="0" w:space="0" w:color="auto"/>
        <w:right w:val="none" w:sz="0" w:space="0" w:color="auto"/>
      </w:divBdr>
    </w:div>
    <w:div w:id="556353773">
      <w:bodyDiv w:val="1"/>
      <w:marLeft w:val="0"/>
      <w:marRight w:val="0"/>
      <w:marTop w:val="0"/>
      <w:marBottom w:val="0"/>
      <w:divBdr>
        <w:top w:val="none" w:sz="0" w:space="0" w:color="auto"/>
        <w:left w:val="none" w:sz="0" w:space="0" w:color="auto"/>
        <w:bottom w:val="none" w:sz="0" w:space="0" w:color="auto"/>
        <w:right w:val="none" w:sz="0" w:space="0" w:color="auto"/>
      </w:divBdr>
      <w:divsChild>
        <w:div w:id="28535595">
          <w:marLeft w:val="0"/>
          <w:marRight w:val="0"/>
          <w:marTop w:val="0"/>
          <w:marBottom w:val="0"/>
          <w:divBdr>
            <w:top w:val="none" w:sz="0" w:space="0" w:color="auto"/>
            <w:left w:val="none" w:sz="0" w:space="0" w:color="auto"/>
            <w:bottom w:val="none" w:sz="0" w:space="0" w:color="auto"/>
            <w:right w:val="none" w:sz="0" w:space="0" w:color="auto"/>
          </w:divBdr>
        </w:div>
        <w:div w:id="87119660">
          <w:marLeft w:val="0"/>
          <w:marRight w:val="0"/>
          <w:marTop w:val="0"/>
          <w:marBottom w:val="0"/>
          <w:divBdr>
            <w:top w:val="none" w:sz="0" w:space="0" w:color="auto"/>
            <w:left w:val="none" w:sz="0" w:space="0" w:color="auto"/>
            <w:bottom w:val="none" w:sz="0" w:space="0" w:color="auto"/>
            <w:right w:val="none" w:sz="0" w:space="0" w:color="auto"/>
          </w:divBdr>
        </w:div>
        <w:div w:id="194120704">
          <w:marLeft w:val="0"/>
          <w:marRight w:val="0"/>
          <w:marTop w:val="0"/>
          <w:marBottom w:val="0"/>
          <w:divBdr>
            <w:top w:val="none" w:sz="0" w:space="0" w:color="auto"/>
            <w:left w:val="none" w:sz="0" w:space="0" w:color="auto"/>
            <w:bottom w:val="none" w:sz="0" w:space="0" w:color="auto"/>
            <w:right w:val="none" w:sz="0" w:space="0" w:color="auto"/>
          </w:divBdr>
        </w:div>
        <w:div w:id="557476311">
          <w:marLeft w:val="0"/>
          <w:marRight w:val="0"/>
          <w:marTop w:val="0"/>
          <w:marBottom w:val="0"/>
          <w:divBdr>
            <w:top w:val="none" w:sz="0" w:space="0" w:color="auto"/>
            <w:left w:val="none" w:sz="0" w:space="0" w:color="auto"/>
            <w:bottom w:val="none" w:sz="0" w:space="0" w:color="auto"/>
            <w:right w:val="none" w:sz="0" w:space="0" w:color="auto"/>
          </w:divBdr>
        </w:div>
        <w:div w:id="675114610">
          <w:marLeft w:val="0"/>
          <w:marRight w:val="0"/>
          <w:marTop w:val="0"/>
          <w:marBottom w:val="0"/>
          <w:divBdr>
            <w:top w:val="none" w:sz="0" w:space="0" w:color="auto"/>
            <w:left w:val="none" w:sz="0" w:space="0" w:color="auto"/>
            <w:bottom w:val="none" w:sz="0" w:space="0" w:color="auto"/>
            <w:right w:val="none" w:sz="0" w:space="0" w:color="auto"/>
          </w:divBdr>
        </w:div>
        <w:div w:id="761073705">
          <w:marLeft w:val="0"/>
          <w:marRight w:val="0"/>
          <w:marTop w:val="0"/>
          <w:marBottom w:val="0"/>
          <w:divBdr>
            <w:top w:val="none" w:sz="0" w:space="0" w:color="auto"/>
            <w:left w:val="none" w:sz="0" w:space="0" w:color="auto"/>
            <w:bottom w:val="none" w:sz="0" w:space="0" w:color="auto"/>
            <w:right w:val="none" w:sz="0" w:space="0" w:color="auto"/>
          </w:divBdr>
        </w:div>
        <w:div w:id="795954278">
          <w:marLeft w:val="0"/>
          <w:marRight w:val="0"/>
          <w:marTop w:val="0"/>
          <w:marBottom w:val="0"/>
          <w:divBdr>
            <w:top w:val="none" w:sz="0" w:space="0" w:color="auto"/>
            <w:left w:val="none" w:sz="0" w:space="0" w:color="auto"/>
            <w:bottom w:val="none" w:sz="0" w:space="0" w:color="auto"/>
            <w:right w:val="none" w:sz="0" w:space="0" w:color="auto"/>
          </w:divBdr>
        </w:div>
        <w:div w:id="893391962">
          <w:marLeft w:val="0"/>
          <w:marRight w:val="0"/>
          <w:marTop w:val="0"/>
          <w:marBottom w:val="0"/>
          <w:divBdr>
            <w:top w:val="none" w:sz="0" w:space="0" w:color="auto"/>
            <w:left w:val="none" w:sz="0" w:space="0" w:color="auto"/>
            <w:bottom w:val="none" w:sz="0" w:space="0" w:color="auto"/>
            <w:right w:val="none" w:sz="0" w:space="0" w:color="auto"/>
          </w:divBdr>
        </w:div>
        <w:div w:id="978344914">
          <w:marLeft w:val="0"/>
          <w:marRight w:val="0"/>
          <w:marTop w:val="0"/>
          <w:marBottom w:val="0"/>
          <w:divBdr>
            <w:top w:val="none" w:sz="0" w:space="0" w:color="auto"/>
            <w:left w:val="none" w:sz="0" w:space="0" w:color="auto"/>
            <w:bottom w:val="none" w:sz="0" w:space="0" w:color="auto"/>
            <w:right w:val="none" w:sz="0" w:space="0" w:color="auto"/>
          </w:divBdr>
        </w:div>
        <w:div w:id="1047028142">
          <w:marLeft w:val="0"/>
          <w:marRight w:val="0"/>
          <w:marTop w:val="0"/>
          <w:marBottom w:val="0"/>
          <w:divBdr>
            <w:top w:val="none" w:sz="0" w:space="0" w:color="auto"/>
            <w:left w:val="none" w:sz="0" w:space="0" w:color="auto"/>
            <w:bottom w:val="none" w:sz="0" w:space="0" w:color="auto"/>
            <w:right w:val="none" w:sz="0" w:space="0" w:color="auto"/>
          </w:divBdr>
        </w:div>
        <w:div w:id="1062603839">
          <w:marLeft w:val="0"/>
          <w:marRight w:val="0"/>
          <w:marTop w:val="0"/>
          <w:marBottom w:val="0"/>
          <w:divBdr>
            <w:top w:val="none" w:sz="0" w:space="0" w:color="auto"/>
            <w:left w:val="none" w:sz="0" w:space="0" w:color="auto"/>
            <w:bottom w:val="none" w:sz="0" w:space="0" w:color="auto"/>
            <w:right w:val="none" w:sz="0" w:space="0" w:color="auto"/>
          </w:divBdr>
        </w:div>
        <w:div w:id="1070662474">
          <w:marLeft w:val="0"/>
          <w:marRight w:val="0"/>
          <w:marTop w:val="0"/>
          <w:marBottom w:val="0"/>
          <w:divBdr>
            <w:top w:val="none" w:sz="0" w:space="0" w:color="auto"/>
            <w:left w:val="none" w:sz="0" w:space="0" w:color="auto"/>
            <w:bottom w:val="none" w:sz="0" w:space="0" w:color="auto"/>
            <w:right w:val="none" w:sz="0" w:space="0" w:color="auto"/>
          </w:divBdr>
        </w:div>
        <w:div w:id="1082410338">
          <w:marLeft w:val="0"/>
          <w:marRight w:val="0"/>
          <w:marTop w:val="0"/>
          <w:marBottom w:val="0"/>
          <w:divBdr>
            <w:top w:val="none" w:sz="0" w:space="0" w:color="auto"/>
            <w:left w:val="none" w:sz="0" w:space="0" w:color="auto"/>
            <w:bottom w:val="none" w:sz="0" w:space="0" w:color="auto"/>
            <w:right w:val="none" w:sz="0" w:space="0" w:color="auto"/>
          </w:divBdr>
        </w:div>
        <w:div w:id="1107962948">
          <w:marLeft w:val="0"/>
          <w:marRight w:val="0"/>
          <w:marTop w:val="0"/>
          <w:marBottom w:val="0"/>
          <w:divBdr>
            <w:top w:val="none" w:sz="0" w:space="0" w:color="auto"/>
            <w:left w:val="none" w:sz="0" w:space="0" w:color="auto"/>
            <w:bottom w:val="none" w:sz="0" w:space="0" w:color="auto"/>
            <w:right w:val="none" w:sz="0" w:space="0" w:color="auto"/>
          </w:divBdr>
        </w:div>
        <w:div w:id="1123689065">
          <w:marLeft w:val="0"/>
          <w:marRight w:val="0"/>
          <w:marTop w:val="0"/>
          <w:marBottom w:val="0"/>
          <w:divBdr>
            <w:top w:val="none" w:sz="0" w:space="0" w:color="auto"/>
            <w:left w:val="none" w:sz="0" w:space="0" w:color="auto"/>
            <w:bottom w:val="none" w:sz="0" w:space="0" w:color="auto"/>
            <w:right w:val="none" w:sz="0" w:space="0" w:color="auto"/>
          </w:divBdr>
        </w:div>
        <w:div w:id="1204059761">
          <w:marLeft w:val="0"/>
          <w:marRight w:val="0"/>
          <w:marTop w:val="0"/>
          <w:marBottom w:val="0"/>
          <w:divBdr>
            <w:top w:val="none" w:sz="0" w:space="0" w:color="auto"/>
            <w:left w:val="none" w:sz="0" w:space="0" w:color="auto"/>
            <w:bottom w:val="none" w:sz="0" w:space="0" w:color="auto"/>
            <w:right w:val="none" w:sz="0" w:space="0" w:color="auto"/>
          </w:divBdr>
        </w:div>
        <w:div w:id="1232077386">
          <w:marLeft w:val="0"/>
          <w:marRight w:val="0"/>
          <w:marTop w:val="0"/>
          <w:marBottom w:val="0"/>
          <w:divBdr>
            <w:top w:val="none" w:sz="0" w:space="0" w:color="auto"/>
            <w:left w:val="none" w:sz="0" w:space="0" w:color="auto"/>
            <w:bottom w:val="none" w:sz="0" w:space="0" w:color="auto"/>
            <w:right w:val="none" w:sz="0" w:space="0" w:color="auto"/>
          </w:divBdr>
        </w:div>
        <w:div w:id="1247181384">
          <w:marLeft w:val="0"/>
          <w:marRight w:val="0"/>
          <w:marTop w:val="0"/>
          <w:marBottom w:val="0"/>
          <w:divBdr>
            <w:top w:val="none" w:sz="0" w:space="0" w:color="auto"/>
            <w:left w:val="none" w:sz="0" w:space="0" w:color="auto"/>
            <w:bottom w:val="none" w:sz="0" w:space="0" w:color="auto"/>
            <w:right w:val="none" w:sz="0" w:space="0" w:color="auto"/>
          </w:divBdr>
        </w:div>
        <w:div w:id="1251232750">
          <w:marLeft w:val="0"/>
          <w:marRight w:val="0"/>
          <w:marTop w:val="0"/>
          <w:marBottom w:val="0"/>
          <w:divBdr>
            <w:top w:val="none" w:sz="0" w:space="0" w:color="auto"/>
            <w:left w:val="none" w:sz="0" w:space="0" w:color="auto"/>
            <w:bottom w:val="none" w:sz="0" w:space="0" w:color="auto"/>
            <w:right w:val="none" w:sz="0" w:space="0" w:color="auto"/>
          </w:divBdr>
        </w:div>
        <w:div w:id="1333334463">
          <w:marLeft w:val="0"/>
          <w:marRight w:val="0"/>
          <w:marTop w:val="0"/>
          <w:marBottom w:val="0"/>
          <w:divBdr>
            <w:top w:val="none" w:sz="0" w:space="0" w:color="auto"/>
            <w:left w:val="none" w:sz="0" w:space="0" w:color="auto"/>
            <w:bottom w:val="none" w:sz="0" w:space="0" w:color="auto"/>
            <w:right w:val="none" w:sz="0" w:space="0" w:color="auto"/>
          </w:divBdr>
        </w:div>
        <w:div w:id="1366491704">
          <w:marLeft w:val="0"/>
          <w:marRight w:val="0"/>
          <w:marTop w:val="0"/>
          <w:marBottom w:val="0"/>
          <w:divBdr>
            <w:top w:val="none" w:sz="0" w:space="0" w:color="auto"/>
            <w:left w:val="none" w:sz="0" w:space="0" w:color="auto"/>
            <w:bottom w:val="none" w:sz="0" w:space="0" w:color="auto"/>
            <w:right w:val="none" w:sz="0" w:space="0" w:color="auto"/>
          </w:divBdr>
        </w:div>
        <w:div w:id="1397239106">
          <w:marLeft w:val="0"/>
          <w:marRight w:val="0"/>
          <w:marTop w:val="0"/>
          <w:marBottom w:val="0"/>
          <w:divBdr>
            <w:top w:val="none" w:sz="0" w:space="0" w:color="auto"/>
            <w:left w:val="none" w:sz="0" w:space="0" w:color="auto"/>
            <w:bottom w:val="none" w:sz="0" w:space="0" w:color="auto"/>
            <w:right w:val="none" w:sz="0" w:space="0" w:color="auto"/>
          </w:divBdr>
        </w:div>
        <w:div w:id="1401095570">
          <w:marLeft w:val="0"/>
          <w:marRight w:val="0"/>
          <w:marTop w:val="0"/>
          <w:marBottom w:val="0"/>
          <w:divBdr>
            <w:top w:val="none" w:sz="0" w:space="0" w:color="auto"/>
            <w:left w:val="none" w:sz="0" w:space="0" w:color="auto"/>
            <w:bottom w:val="none" w:sz="0" w:space="0" w:color="auto"/>
            <w:right w:val="none" w:sz="0" w:space="0" w:color="auto"/>
          </w:divBdr>
        </w:div>
        <w:div w:id="1404136938">
          <w:marLeft w:val="0"/>
          <w:marRight w:val="0"/>
          <w:marTop w:val="0"/>
          <w:marBottom w:val="0"/>
          <w:divBdr>
            <w:top w:val="none" w:sz="0" w:space="0" w:color="auto"/>
            <w:left w:val="none" w:sz="0" w:space="0" w:color="auto"/>
            <w:bottom w:val="none" w:sz="0" w:space="0" w:color="auto"/>
            <w:right w:val="none" w:sz="0" w:space="0" w:color="auto"/>
          </w:divBdr>
        </w:div>
        <w:div w:id="1416367543">
          <w:marLeft w:val="0"/>
          <w:marRight w:val="0"/>
          <w:marTop w:val="0"/>
          <w:marBottom w:val="0"/>
          <w:divBdr>
            <w:top w:val="none" w:sz="0" w:space="0" w:color="auto"/>
            <w:left w:val="none" w:sz="0" w:space="0" w:color="auto"/>
            <w:bottom w:val="none" w:sz="0" w:space="0" w:color="auto"/>
            <w:right w:val="none" w:sz="0" w:space="0" w:color="auto"/>
          </w:divBdr>
        </w:div>
        <w:div w:id="1496722671">
          <w:marLeft w:val="0"/>
          <w:marRight w:val="0"/>
          <w:marTop w:val="0"/>
          <w:marBottom w:val="0"/>
          <w:divBdr>
            <w:top w:val="none" w:sz="0" w:space="0" w:color="auto"/>
            <w:left w:val="none" w:sz="0" w:space="0" w:color="auto"/>
            <w:bottom w:val="none" w:sz="0" w:space="0" w:color="auto"/>
            <w:right w:val="none" w:sz="0" w:space="0" w:color="auto"/>
          </w:divBdr>
        </w:div>
        <w:div w:id="1565406917">
          <w:marLeft w:val="0"/>
          <w:marRight w:val="0"/>
          <w:marTop w:val="0"/>
          <w:marBottom w:val="0"/>
          <w:divBdr>
            <w:top w:val="none" w:sz="0" w:space="0" w:color="auto"/>
            <w:left w:val="none" w:sz="0" w:space="0" w:color="auto"/>
            <w:bottom w:val="none" w:sz="0" w:space="0" w:color="auto"/>
            <w:right w:val="none" w:sz="0" w:space="0" w:color="auto"/>
          </w:divBdr>
        </w:div>
        <w:div w:id="1604222493">
          <w:marLeft w:val="0"/>
          <w:marRight w:val="0"/>
          <w:marTop w:val="0"/>
          <w:marBottom w:val="0"/>
          <w:divBdr>
            <w:top w:val="none" w:sz="0" w:space="0" w:color="auto"/>
            <w:left w:val="none" w:sz="0" w:space="0" w:color="auto"/>
            <w:bottom w:val="none" w:sz="0" w:space="0" w:color="auto"/>
            <w:right w:val="none" w:sz="0" w:space="0" w:color="auto"/>
          </w:divBdr>
        </w:div>
        <w:div w:id="1713730563">
          <w:marLeft w:val="0"/>
          <w:marRight w:val="0"/>
          <w:marTop w:val="0"/>
          <w:marBottom w:val="0"/>
          <w:divBdr>
            <w:top w:val="none" w:sz="0" w:space="0" w:color="auto"/>
            <w:left w:val="none" w:sz="0" w:space="0" w:color="auto"/>
            <w:bottom w:val="none" w:sz="0" w:space="0" w:color="auto"/>
            <w:right w:val="none" w:sz="0" w:space="0" w:color="auto"/>
          </w:divBdr>
        </w:div>
        <w:div w:id="1905751444">
          <w:marLeft w:val="0"/>
          <w:marRight w:val="0"/>
          <w:marTop w:val="0"/>
          <w:marBottom w:val="0"/>
          <w:divBdr>
            <w:top w:val="none" w:sz="0" w:space="0" w:color="auto"/>
            <w:left w:val="none" w:sz="0" w:space="0" w:color="auto"/>
            <w:bottom w:val="none" w:sz="0" w:space="0" w:color="auto"/>
            <w:right w:val="none" w:sz="0" w:space="0" w:color="auto"/>
          </w:divBdr>
        </w:div>
        <w:div w:id="1988313152">
          <w:marLeft w:val="0"/>
          <w:marRight w:val="0"/>
          <w:marTop w:val="0"/>
          <w:marBottom w:val="0"/>
          <w:divBdr>
            <w:top w:val="none" w:sz="0" w:space="0" w:color="auto"/>
            <w:left w:val="none" w:sz="0" w:space="0" w:color="auto"/>
            <w:bottom w:val="none" w:sz="0" w:space="0" w:color="auto"/>
            <w:right w:val="none" w:sz="0" w:space="0" w:color="auto"/>
          </w:divBdr>
        </w:div>
        <w:div w:id="2007513260">
          <w:marLeft w:val="0"/>
          <w:marRight w:val="0"/>
          <w:marTop w:val="0"/>
          <w:marBottom w:val="0"/>
          <w:divBdr>
            <w:top w:val="none" w:sz="0" w:space="0" w:color="auto"/>
            <w:left w:val="none" w:sz="0" w:space="0" w:color="auto"/>
            <w:bottom w:val="none" w:sz="0" w:space="0" w:color="auto"/>
            <w:right w:val="none" w:sz="0" w:space="0" w:color="auto"/>
          </w:divBdr>
        </w:div>
        <w:div w:id="2056351613">
          <w:marLeft w:val="0"/>
          <w:marRight w:val="0"/>
          <w:marTop w:val="0"/>
          <w:marBottom w:val="0"/>
          <w:divBdr>
            <w:top w:val="none" w:sz="0" w:space="0" w:color="auto"/>
            <w:left w:val="none" w:sz="0" w:space="0" w:color="auto"/>
            <w:bottom w:val="none" w:sz="0" w:space="0" w:color="auto"/>
            <w:right w:val="none" w:sz="0" w:space="0" w:color="auto"/>
          </w:divBdr>
        </w:div>
      </w:divsChild>
    </w:div>
    <w:div w:id="556862506">
      <w:bodyDiv w:val="1"/>
      <w:marLeft w:val="0"/>
      <w:marRight w:val="0"/>
      <w:marTop w:val="0"/>
      <w:marBottom w:val="0"/>
      <w:divBdr>
        <w:top w:val="none" w:sz="0" w:space="0" w:color="auto"/>
        <w:left w:val="none" w:sz="0" w:space="0" w:color="auto"/>
        <w:bottom w:val="none" w:sz="0" w:space="0" w:color="auto"/>
        <w:right w:val="none" w:sz="0" w:space="0" w:color="auto"/>
      </w:divBdr>
    </w:div>
    <w:div w:id="559946957">
      <w:bodyDiv w:val="1"/>
      <w:marLeft w:val="0"/>
      <w:marRight w:val="0"/>
      <w:marTop w:val="0"/>
      <w:marBottom w:val="0"/>
      <w:divBdr>
        <w:top w:val="none" w:sz="0" w:space="0" w:color="auto"/>
        <w:left w:val="none" w:sz="0" w:space="0" w:color="auto"/>
        <w:bottom w:val="none" w:sz="0" w:space="0" w:color="auto"/>
        <w:right w:val="none" w:sz="0" w:space="0" w:color="auto"/>
      </w:divBdr>
    </w:div>
    <w:div w:id="571087221">
      <w:bodyDiv w:val="1"/>
      <w:marLeft w:val="0"/>
      <w:marRight w:val="0"/>
      <w:marTop w:val="0"/>
      <w:marBottom w:val="0"/>
      <w:divBdr>
        <w:top w:val="none" w:sz="0" w:space="0" w:color="auto"/>
        <w:left w:val="none" w:sz="0" w:space="0" w:color="auto"/>
        <w:bottom w:val="none" w:sz="0" w:space="0" w:color="auto"/>
        <w:right w:val="none" w:sz="0" w:space="0" w:color="auto"/>
      </w:divBdr>
      <w:divsChild>
        <w:div w:id="1966037966">
          <w:marLeft w:val="0"/>
          <w:marRight w:val="0"/>
          <w:marTop w:val="0"/>
          <w:marBottom w:val="0"/>
          <w:divBdr>
            <w:top w:val="none" w:sz="0" w:space="0" w:color="auto"/>
            <w:left w:val="none" w:sz="0" w:space="0" w:color="auto"/>
            <w:bottom w:val="none" w:sz="0" w:space="0" w:color="auto"/>
            <w:right w:val="none" w:sz="0" w:space="0" w:color="auto"/>
          </w:divBdr>
          <w:divsChild>
            <w:div w:id="1182012330">
              <w:marLeft w:val="0"/>
              <w:marRight w:val="0"/>
              <w:marTop w:val="411"/>
              <w:marBottom w:val="0"/>
              <w:divBdr>
                <w:top w:val="none" w:sz="0" w:space="0" w:color="auto"/>
                <w:left w:val="none" w:sz="0" w:space="0" w:color="auto"/>
                <w:bottom w:val="none" w:sz="0" w:space="0" w:color="auto"/>
                <w:right w:val="none" w:sz="0" w:space="0" w:color="auto"/>
              </w:divBdr>
              <w:divsChild>
                <w:div w:id="1425615273">
                  <w:marLeft w:val="0"/>
                  <w:marRight w:val="0"/>
                  <w:marTop w:val="0"/>
                  <w:marBottom w:val="0"/>
                  <w:divBdr>
                    <w:top w:val="none" w:sz="0" w:space="0" w:color="auto"/>
                    <w:left w:val="none" w:sz="0" w:space="0" w:color="auto"/>
                    <w:bottom w:val="none" w:sz="0" w:space="0" w:color="auto"/>
                    <w:right w:val="none" w:sz="0" w:space="0" w:color="auto"/>
                  </w:divBdr>
                  <w:divsChild>
                    <w:div w:id="1780030445">
                      <w:marLeft w:val="79"/>
                      <w:marRight w:val="79"/>
                      <w:marTop w:val="0"/>
                      <w:marBottom w:val="0"/>
                      <w:divBdr>
                        <w:top w:val="none" w:sz="0" w:space="0" w:color="auto"/>
                        <w:left w:val="none" w:sz="0" w:space="0" w:color="auto"/>
                        <w:bottom w:val="none" w:sz="0" w:space="0" w:color="auto"/>
                        <w:right w:val="none" w:sz="0" w:space="0" w:color="auto"/>
                      </w:divBdr>
                      <w:divsChild>
                        <w:div w:id="704670610">
                          <w:marLeft w:val="0"/>
                          <w:marRight w:val="0"/>
                          <w:marTop w:val="0"/>
                          <w:marBottom w:val="0"/>
                          <w:divBdr>
                            <w:top w:val="dashed" w:sz="6" w:space="0" w:color="DDDDDD"/>
                            <w:left w:val="none" w:sz="0" w:space="0" w:color="auto"/>
                            <w:bottom w:val="none" w:sz="0" w:space="0" w:color="auto"/>
                            <w:right w:val="none" w:sz="0" w:space="0" w:color="auto"/>
                          </w:divBdr>
                          <w:divsChild>
                            <w:div w:id="1052194247">
                              <w:marLeft w:val="0"/>
                              <w:marRight w:val="0"/>
                              <w:marTop w:val="0"/>
                              <w:marBottom w:val="0"/>
                              <w:divBdr>
                                <w:top w:val="none" w:sz="0" w:space="0" w:color="auto"/>
                                <w:left w:val="none" w:sz="0" w:space="0" w:color="auto"/>
                                <w:bottom w:val="none" w:sz="0" w:space="0" w:color="auto"/>
                                <w:right w:val="none" w:sz="0" w:space="0" w:color="auto"/>
                              </w:divBdr>
                              <w:divsChild>
                                <w:div w:id="1328746619">
                                  <w:marLeft w:val="0"/>
                                  <w:marRight w:val="0"/>
                                  <w:marTop w:val="79"/>
                                  <w:marBottom w:val="79"/>
                                  <w:divBdr>
                                    <w:top w:val="none" w:sz="0" w:space="0" w:color="auto"/>
                                    <w:left w:val="none" w:sz="0" w:space="0" w:color="auto"/>
                                    <w:bottom w:val="none" w:sz="0" w:space="0" w:color="auto"/>
                                    <w:right w:val="none" w:sz="0" w:space="0" w:color="auto"/>
                                  </w:divBdr>
                                  <w:divsChild>
                                    <w:div w:id="297075180">
                                      <w:marLeft w:val="0"/>
                                      <w:marRight w:val="0"/>
                                      <w:marTop w:val="0"/>
                                      <w:marBottom w:val="0"/>
                                      <w:divBdr>
                                        <w:top w:val="none" w:sz="0" w:space="0" w:color="auto"/>
                                        <w:left w:val="none" w:sz="0" w:space="0" w:color="auto"/>
                                        <w:bottom w:val="none" w:sz="0" w:space="0" w:color="auto"/>
                                        <w:right w:val="none" w:sz="0" w:space="0" w:color="auto"/>
                                      </w:divBdr>
                                      <w:divsChild>
                                        <w:div w:id="1381124148">
                                          <w:marLeft w:val="554"/>
                                          <w:marRight w:val="0"/>
                                          <w:marTop w:val="0"/>
                                          <w:marBottom w:val="0"/>
                                          <w:divBdr>
                                            <w:top w:val="none" w:sz="0" w:space="0" w:color="auto"/>
                                            <w:left w:val="none" w:sz="0" w:space="0" w:color="auto"/>
                                            <w:bottom w:val="none" w:sz="0" w:space="0" w:color="auto"/>
                                            <w:right w:val="none" w:sz="0" w:space="0" w:color="auto"/>
                                          </w:divBdr>
                                          <w:divsChild>
                                            <w:div w:id="601188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73515393">
      <w:bodyDiv w:val="1"/>
      <w:marLeft w:val="0"/>
      <w:marRight w:val="0"/>
      <w:marTop w:val="0"/>
      <w:marBottom w:val="0"/>
      <w:divBdr>
        <w:top w:val="none" w:sz="0" w:space="0" w:color="auto"/>
        <w:left w:val="none" w:sz="0" w:space="0" w:color="auto"/>
        <w:bottom w:val="none" w:sz="0" w:space="0" w:color="auto"/>
        <w:right w:val="none" w:sz="0" w:space="0" w:color="auto"/>
      </w:divBdr>
    </w:div>
    <w:div w:id="578173193">
      <w:bodyDiv w:val="1"/>
      <w:marLeft w:val="0"/>
      <w:marRight w:val="0"/>
      <w:marTop w:val="0"/>
      <w:marBottom w:val="0"/>
      <w:divBdr>
        <w:top w:val="none" w:sz="0" w:space="0" w:color="auto"/>
        <w:left w:val="none" w:sz="0" w:space="0" w:color="auto"/>
        <w:bottom w:val="none" w:sz="0" w:space="0" w:color="auto"/>
        <w:right w:val="none" w:sz="0" w:space="0" w:color="auto"/>
      </w:divBdr>
    </w:div>
    <w:div w:id="578902705">
      <w:bodyDiv w:val="1"/>
      <w:marLeft w:val="0"/>
      <w:marRight w:val="0"/>
      <w:marTop w:val="0"/>
      <w:marBottom w:val="0"/>
      <w:divBdr>
        <w:top w:val="none" w:sz="0" w:space="0" w:color="auto"/>
        <w:left w:val="none" w:sz="0" w:space="0" w:color="auto"/>
        <w:bottom w:val="none" w:sz="0" w:space="0" w:color="auto"/>
        <w:right w:val="none" w:sz="0" w:space="0" w:color="auto"/>
      </w:divBdr>
    </w:div>
    <w:div w:id="580062265">
      <w:bodyDiv w:val="1"/>
      <w:marLeft w:val="0"/>
      <w:marRight w:val="0"/>
      <w:marTop w:val="0"/>
      <w:marBottom w:val="0"/>
      <w:divBdr>
        <w:top w:val="none" w:sz="0" w:space="0" w:color="auto"/>
        <w:left w:val="none" w:sz="0" w:space="0" w:color="auto"/>
        <w:bottom w:val="none" w:sz="0" w:space="0" w:color="auto"/>
        <w:right w:val="none" w:sz="0" w:space="0" w:color="auto"/>
      </w:divBdr>
      <w:divsChild>
        <w:div w:id="752162555">
          <w:marLeft w:val="0"/>
          <w:marRight w:val="0"/>
          <w:marTop w:val="0"/>
          <w:marBottom w:val="0"/>
          <w:divBdr>
            <w:top w:val="none" w:sz="0" w:space="0" w:color="auto"/>
            <w:left w:val="none" w:sz="0" w:space="0" w:color="auto"/>
            <w:bottom w:val="none" w:sz="0" w:space="0" w:color="auto"/>
            <w:right w:val="none" w:sz="0" w:space="0" w:color="auto"/>
          </w:divBdr>
          <w:divsChild>
            <w:div w:id="960765578">
              <w:marLeft w:val="0"/>
              <w:marRight w:val="0"/>
              <w:marTop w:val="411"/>
              <w:marBottom w:val="0"/>
              <w:divBdr>
                <w:top w:val="none" w:sz="0" w:space="0" w:color="auto"/>
                <w:left w:val="none" w:sz="0" w:space="0" w:color="auto"/>
                <w:bottom w:val="none" w:sz="0" w:space="0" w:color="auto"/>
                <w:right w:val="none" w:sz="0" w:space="0" w:color="auto"/>
              </w:divBdr>
              <w:divsChild>
                <w:div w:id="4987433">
                  <w:marLeft w:val="0"/>
                  <w:marRight w:val="0"/>
                  <w:marTop w:val="0"/>
                  <w:marBottom w:val="0"/>
                  <w:divBdr>
                    <w:top w:val="none" w:sz="0" w:space="0" w:color="auto"/>
                    <w:left w:val="none" w:sz="0" w:space="0" w:color="auto"/>
                    <w:bottom w:val="none" w:sz="0" w:space="0" w:color="auto"/>
                    <w:right w:val="none" w:sz="0" w:space="0" w:color="auto"/>
                  </w:divBdr>
                  <w:divsChild>
                    <w:div w:id="1182430970">
                      <w:marLeft w:val="79"/>
                      <w:marRight w:val="79"/>
                      <w:marTop w:val="0"/>
                      <w:marBottom w:val="0"/>
                      <w:divBdr>
                        <w:top w:val="none" w:sz="0" w:space="0" w:color="auto"/>
                        <w:left w:val="none" w:sz="0" w:space="0" w:color="auto"/>
                        <w:bottom w:val="none" w:sz="0" w:space="0" w:color="auto"/>
                        <w:right w:val="none" w:sz="0" w:space="0" w:color="auto"/>
                      </w:divBdr>
                      <w:divsChild>
                        <w:div w:id="697120974">
                          <w:marLeft w:val="0"/>
                          <w:marRight w:val="0"/>
                          <w:marTop w:val="0"/>
                          <w:marBottom w:val="0"/>
                          <w:divBdr>
                            <w:top w:val="dashed" w:sz="6" w:space="0" w:color="DDDDDD"/>
                            <w:left w:val="none" w:sz="0" w:space="0" w:color="auto"/>
                            <w:bottom w:val="none" w:sz="0" w:space="0" w:color="auto"/>
                            <w:right w:val="none" w:sz="0" w:space="0" w:color="auto"/>
                          </w:divBdr>
                          <w:divsChild>
                            <w:div w:id="695233671">
                              <w:marLeft w:val="0"/>
                              <w:marRight w:val="0"/>
                              <w:marTop w:val="0"/>
                              <w:marBottom w:val="0"/>
                              <w:divBdr>
                                <w:top w:val="none" w:sz="0" w:space="0" w:color="auto"/>
                                <w:left w:val="none" w:sz="0" w:space="0" w:color="auto"/>
                                <w:bottom w:val="none" w:sz="0" w:space="0" w:color="auto"/>
                                <w:right w:val="none" w:sz="0" w:space="0" w:color="auto"/>
                              </w:divBdr>
                              <w:divsChild>
                                <w:div w:id="2002542546">
                                  <w:marLeft w:val="0"/>
                                  <w:marRight w:val="0"/>
                                  <w:marTop w:val="79"/>
                                  <w:marBottom w:val="79"/>
                                  <w:divBdr>
                                    <w:top w:val="none" w:sz="0" w:space="0" w:color="auto"/>
                                    <w:left w:val="none" w:sz="0" w:space="0" w:color="auto"/>
                                    <w:bottom w:val="none" w:sz="0" w:space="0" w:color="auto"/>
                                    <w:right w:val="none" w:sz="0" w:space="0" w:color="auto"/>
                                  </w:divBdr>
                                  <w:divsChild>
                                    <w:div w:id="1250695736">
                                      <w:marLeft w:val="0"/>
                                      <w:marRight w:val="0"/>
                                      <w:marTop w:val="0"/>
                                      <w:marBottom w:val="0"/>
                                      <w:divBdr>
                                        <w:top w:val="none" w:sz="0" w:space="0" w:color="auto"/>
                                        <w:left w:val="none" w:sz="0" w:space="0" w:color="auto"/>
                                        <w:bottom w:val="none" w:sz="0" w:space="0" w:color="auto"/>
                                        <w:right w:val="none" w:sz="0" w:space="0" w:color="auto"/>
                                      </w:divBdr>
                                      <w:divsChild>
                                        <w:div w:id="422651905">
                                          <w:marLeft w:val="554"/>
                                          <w:marRight w:val="0"/>
                                          <w:marTop w:val="0"/>
                                          <w:marBottom w:val="0"/>
                                          <w:divBdr>
                                            <w:top w:val="none" w:sz="0" w:space="0" w:color="auto"/>
                                            <w:left w:val="none" w:sz="0" w:space="0" w:color="auto"/>
                                            <w:bottom w:val="none" w:sz="0" w:space="0" w:color="auto"/>
                                            <w:right w:val="none" w:sz="0" w:space="0" w:color="auto"/>
                                          </w:divBdr>
                                          <w:divsChild>
                                            <w:div w:id="949971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81989664">
      <w:bodyDiv w:val="1"/>
      <w:marLeft w:val="0"/>
      <w:marRight w:val="0"/>
      <w:marTop w:val="0"/>
      <w:marBottom w:val="0"/>
      <w:divBdr>
        <w:top w:val="none" w:sz="0" w:space="0" w:color="auto"/>
        <w:left w:val="none" w:sz="0" w:space="0" w:color="auto"/>
        <w:bottom w:val="none" w:sz="0" w:space="0" w:color="auto"/>
        <w:right w:val="none" w:sz="0" w:space="0" w:color="auto"/>
      </w:divBdr>
    </w:div>
    <w:div w:id="583342193">
      <w:bodyDiv w:val="1"/>
      <w:marLeft w:val="0"/>
      <w:marRight w:val="0"/>
      <w:marTop w:val="0"/>
      <w:marBottom w:val="0"/>
      <w:divBdr>
        <w:top w:val="none" w:sz="0" w:space="0" w:color="auto"/>
        <w:left w:val="none" w:sz="0" w:space="0" w:color="auto"/>
        <w:bottom w:val="none" w:sz="0" w:space="0" w:color="auto"/>
        <w:right w:val="none" w:sz="0" w:space="0" w:color="auto"/>
      </w:divBdr>
    </w:div>
    <w:div w:id="587542545">
      <w:bodyDiv w:val="1"/>
      <w:marLeft w:val="0"/>
      <w:marRight w:val="0"/>
      <w:marTop w:val="0"/>
      <w:marBottom w:val="0"/>
      <w:divBdr>
        <w:top w:val="none" w:sz="0" w:space="0" w:color="auto"/>
        <w:left w:val="none" w:sz="0" w:space="0" w:color="auto"/>
        <w:bottom w:val="none" w:sz="0" w:space="0" w:color="auto"/>
        <w:right w:val="none" w:sz="0" w:space="0" w:color="auto"/>
      </w:divBdr>
    </w:div>
    <w:div w:id="592860786">
      <w:bodyDiv w:val="1"/>
      <w:marLeft w:val="0"/>
      <w:marRight w:val="0"/>
      <w:marTop w:val="0"/>
      <w:marBottom w:val="0"/>
      <w:divBdr>
        <w:top w:val="none" w:sz="0" w:space="0" w:color="auto"/>
        <w:left w:val="none" w:sz="0" w:space="0" w:color="auto"/>
        <w:bottom w:val="none" w:sz="0" w:space="0" w:color="auto"/>
        <w:right w:val="none" w:sz="0" w:space="0" w:color="auto"/>
      </w:divBdr>
      <w:divsChild>
        <w:div w:id="92559942">
          <w:marLeft w:val="461"/>
          <w:marRight w:val="0"/>
          <w:marTop w:val="0"/>
          <w:marBottom w:val="0"/>
          <w:divBdr>
            <w:top w:val="none" w:sz="0" w:space="0" w:color="auto"/>
            <w:left w:val="none" w:sz="0" w:space="0" w:color="auto"/>
            <w:bottom w:val="none" w:sz="0" w:space="0" w:color="auto"/>
            <w:right w:val="none" w:sz="0" w:space="0" w:color="auto"/>
          </w:divBdr>
        </w:div>
        <w:div w:id="646477792">
          <w:marLeft w:val="461"/>
          <w:marRight w:val="0"/>
          <w:marTop w:val="0"/>
          <w:marBottom w:val="0"/>
          <w:divBdr>
            <w:top w:val="none" w:sz="0" w:space="0" w:color="auto"/>
            <w:left w:val="none" w:sz="0" w:space="0" w:color="auto"/>
            <w:bottom w:val="none" w:sz="0" w:space="0" w:color="auto"/>
            <w:right w:val="none" w:sz="0" w:space="0" w:color="auto"/>
          </w:divBdr>
        </w:div>
        <w:div w:id="676537047">
          <w:marLeft w:val="461"/>
          <w:marRight w:val="0"/>
          <w:marTop w:val="0"/>
          <w:marBottom w:val="0"/>
          <w:divBdr>
            <w:top w:val="none" w:sz="0" w:space="0" w:color="auto"/>
            <w:left w:val="none" w:sz="0" w:space="0" w:color="auto"/>
            <w:bottom w:val="none" w:sz="0" w:space="0" w:color="auto"/>
            <w:right w:val="none" w:sz="0" w:space="0" w:color="auto"/>
          </w:divBdr>
        </w:div>
      </w:divsChild>
    </w:div>
    <w:div w:id="593829643">
      <w:bodyDiv w:val="1"/>
      <w:marLeft w:val="0"/>
      <w:marRight w:val="0"/>
      <w:marTop w:val="0"/>
      <w:marBottom w:val="0"/>
      <w:divBdr>
        <w:top w:val="none" w:sz="0" w:space="0" w:color="auto"/>
        <w:left w:val="none" w:sz="0" w:space="0" w:color="auto"/>
        <w:bottom w:val="none" w:sz="0" w:space="0" w:color="auto"/>
        <w:right w:val="none" w:sz="0" w:space="0" w:color="auto"/>
      </w:divBdr>
    </w:div>
    <w:div w:id="597254190">
      <w:bodyDiv w:val="1"/>
      <w:marLeft w:val="0"/>
      <w:marRight w:val="0"/>
      <w:marTop w:val="0"/>
      <w:marBottom w:val="0"/>
      <w:divBdr>
        <w:top w:val="none" w:sz="0" w:space="0" w:color="auto"/>
        <w:left w:val="none" w:sz="0" w:space="0" w:color="auto"/>
        <w:bottom w:val="none" w:sz="0" w:space="0" w:color="auto"/>
        <w:right w:val="none" w:sz="0" w:space="0" w:color="auto"/>
      </w:divBdr>
    </w:div>
    <w:div w:id="597517647">
      <w:bodyDiv w:val="1"/>
      <w:marLeft w:val="0"/>
      <w:marRight w:val="0"/>
      <w:marTop w:val="0"/>
      <w:marBottom w:val="0"/>
      <w:divBdr>
        <w:top w:val="none" w:sz="0" w:space="0" w:color="auto"/>
        <w:left w:val="none" w:sz="0" w:space="0" w:color="auto"/>
        <w:bottom w:val="none" w:sz="0" w:space="0" w:color="auto"/>
        <w:right w:val="none" w:sz="0" w:space="0" w:color="auto"/>
      </w:divBdr>
    </w:div>
    <w:div w:id="601454307">
      <w:bodyDiv w:val="1"/>
      <w:marLeft w:val="0"/>
      <w:marRight w:val="0"/>
      <w:marTop w:val="0"/>
      <w:marBottom w:val="0"/>
      <w:divBdr>
        <w:top w:val="none" w:sz="0" w:space="0" w:color="auto"/>
        <w:left w:val="none" w:sz="0" w:space="0" w:color="auto"/>
        <w:bottom w:val="none" w:sz="0" w:space="0" w:color="auto"/>
        <w:right w:val="none" w:sz="0" w:space="0" w:color="auto"/>
      </w:divBdr>
    </w:div>
    <w:div w:id="602567416">
      <w:bodyDiv w:val="1"/>
      <w:marLeft w:val="0"/>
      <w:marRight w:val="0"/>
      <w:marTop w:val="0"/>
      <w:marBottom w:val="0"/>
      <w:divBdr>
        <w:top w:val="none" w:sz="0" w:space="0" w:color="auto"/>
        <w:left w:val="none" w:sz="0" w:space="0" w:color="auto"/>
        <w:bottom w:val="none" w:sz="0" w:space="0" w:color="auto"/>
        <w:right w:val="none" w:sz="0" w:space="0" w:color="auto"/>
      </w:divBdr>
    </w:div>
    <w:div w:id="605040018">
      <w:bodyDiv w:val="1"/>
      <w:marLeft w:val="0"/>
      <w:marRight w:val="0"/>
      <w:marTop w:val="0"/>
      <w:marBottom w:val="0"/>
      <w:divBdr>
        <w:top w:val="none" w:sz="0" w:space="0" w:color="auto"/>
        <w:left w:val="none" w:sz="0" w:space="0" w:color="auto"/>
        <w:bottom w:val="none" w:sz="0" w:space="0" w:color="auto"/>
        <w:right w:val="none" w:sz="0" w:space="0" w:color="auto"/>
      </w:divBdr>
    </w:div>
    <w:div w:id="605963818">
      <w:bodyDiv w:val="1"/>
      <w:marLeft w:val="0"/>
      <w:marRight w:val="0"/>
      <w:marTop w:val="0"/>
      <w:marBottom w:val="0"/>
      <w:divBdr>
        <w:top w:val="none" w:sz="0" w:space="0" w:color="auto"/>
        <w:left w:val="none" w:sz="0" w:space="0" w:color="auto"/>
        <w:bottom w:val="none" w:sz="0" w:space="0" w:color="auto"/>
        <w:right w:val="none" w:sz="0" w:space="0" w:color="auto"/>
      </w:divBdr>
    </w:div>
    <w:div w:id="606734152">
      <w:bodyDiv w:val="1"/>
      <w:marLeft w:val="0"/>
      <w:marRight w:val="0"/>
      <w:marTop w:val="0"/>
      <w:marBottom w:val="0"/>
      <w:divBdr>
        <w:top w:val="none" w:sz="0" w:space="0" w:color="auto"/>
        <w:left w:val="none" w:sz="0" w:space="0" w:color="auto"/>
        <w:bottom w:val="none" w:sz="0" w:space="0" w:color="auto"/>
        <w:right w:val="none" w:sz="0" w:space="0" w:color="auto"/>
      </w:divBdr>
    </w:div>
    <w:div w:id="609433552">
      <w:bodyDiv w:val="1"/>
      <w:marLeft w:val="0"/>
      <w:marRight w:val="0"/>
      <w:marTop w:val="0"/>
      <w:marBottom w:val="0"/>
      <w:divBdr>
        <w:top w:val="none" w:sz="0" w:space="0" w:color="auto"/>
        <w:left w:val="none" w:sz="0" w:space="0" w:color="auto"/>
        <w:bottom w:val="none" w:sz="0" w:space="0" w:color="auto"/>
        <w:right w:val="none" w:sz="0" w:space="0" w:color="auto"/>
      </w:divBdr>
    </w:div>
    <w:div w:id="610091447">
      <w:bodyDiv w:val="1"/>
      <w:marLeft w:val="0"/>
      <w:marRight w:val="0"/>
      <w:marTop w:val="0"/>
      <w:marBottom w:val="0"/>
      <w:divBdr>
        <w:top w:val="none" w:sz="0" w:space="0" w:color="auto"/>
        <w:left w:val="none" w:sz="0" w:space="0" w:color="auto"/>
        <w:bottom w:val="none" w:sz="0" w:space="0" w:color="auto"/>
        <w:right w:val="none" w:sz="0" w:space="0" w:color="auto"/>
      </w:divBdr>
      <w:divsChild>
        <w:div w:id="1951544228">
          <w:marLeft w:val="0"/>
          <w:marRight w:val="0"/>
          <w:marTop w:val="0"/>
          <w:marBottom w:val="0"/>
          <w:divBdr>
            <w:top w:val="none" w:sz="0" w:space="0" w:color="auto"/>
            <w:left w:val="none" w:sz="0" w:space="0" w:color="auto"/>
            <w:bottom w:val="none" w:sz="0" w:space="0" w:color="auto"/>
            <w:right w:val="none" w:sz="0" w:space="0" w:color="auto"/>
          </w:divBdr>
          <w:divsChild>
            <w:div w:id="649870120">
              <w:marLeft w:val="0"/>
              <w:marRight w:val="0"/>
              <w:marTop w:val="15"/>
              <w:marBottom w:val="0"/>
              <w:divBdr>
                <w:top w:val="none" w:sz="0" w:space="0" w:color="auto"/>
                <w:left w:val="none" w:sz="0" w:space="0" w:color="auto"/>
                <w:bottom w:val="none" w:sz="0" w:space="0" w:color="auto"/>
                <w:right w:val="none" w:sz="0" w:space="0" w:color="auto"/>
              </w:divBdr>
              <w:divsChild>
                <w:div w:id="191111608">
                  <w:marLeft w:val="0"/>
                  <w:marRight w:val="0"/>
                  <w:marTop w:val="0"/>
                  <w:marBottom w:val="0"/>
                  <w:divBdr>
                    <w:top w:val="none" w:sz="0" w:space="0" w:color="auto"/>
                    <w:left w:val="single" w:sz="6" w:space="0" w:color="B5B5B5"/>
                    <w:bottom w:val="none" w:sz="0" w:space="0" w:color="auto"/>
                    <w:right w:val="single" w:sz="6" w:space="0" w:color="B5B5B5"/>
                  </w:divBdr>
                  <w:divsChild>
                    <w:div w:id="1467819478">
                      <w:marLeft w:val="75"/>
                      <w:marRight w:val="75"/>
                      <w:marTop w:val="0"/>
                      <w:marBottom w:val="0"/>
                      <w:divBdr>
                        <w:top w:val="none" w:sz="0" w:space="0" w:color="auto"/>
                        <w:left w:val="none" w:sz="0" w:space="0" w:color="auto"/>
                        <w:bottom w:val="none" w:sz="0" w:space="0" w:color="auto"/>
                        <w:right w:val="none" w:sz="0" w:space="0" w:color="auto"/>
                      </w:divBdr>
                      <w:divsChild>
                        <w:div w:id="1594049596">
                          <w:marLeft w:val="0"/>
                          <w:marRight w:val="0"/>
                          <w:marTop w:val="0"/>
                          <w:marBottom w:val="0"/>
                          <w:divBdr>
                            <w:top w:val="dotted" w:sz="6" w:space="0" w:color="B5B5B5"/>
                            <w:left w:val="none" w:sz="0" w:space="0" w:color="auto"/>
                            <w:bottom w:val="none" w:sz="0" w:space="0" w:color="auto"/>
                            <w:right w:val="none" w:sz="0" w:space="0" w:color="auto"/>
                          </w:divBdr>
                          <w:divsChild>
                            <w:div w:id="570237216">
                              <w:marLeft w:val="0"/>
                              <w:marRight w:val="0"/>
                              <w:marTop w:val="75"/>
                              <w:marBottom w:val="0"/>
                              <w:divBdr>
                                <w:top w:val="none" w:sz="0" w:space="0" w:color="auto"/>
                                <w:left w:val="none" w:sz="0" w:space="0" w:color="auto"/>
                                <w:bottom w:val="none" w:sz="0" w:space="0" w:color="auto"/>
                                <w:right w:val="none" w:sz="0" w:space="0" w:color="auto"/>
                              </w:divBdr>
                              <w:divsChild>
                                <w:div w:id="1738700766">
                                  <w:marLeft w:val="0"/>
                                  <w:marRight w:val="0"/>
                                  <w:marTop w:val="0"/>
                                  <w:marBottom w:val="0"/>
                                  <w:divBdr>
                                    <w:top w:val="none" w:sz="0" w:space="0" w:color="auto"/>
                                    <w:left w:val="none" w:sz="0" w:space="0" w:color="auto"/>
                                    <w:bottom w:val="none" w:sz="0" w:space="0" w:color="auto"/>
                                    <w:right w:val="none" w:sz="0" w:space="0" w:color="auto"/>
                                  </w:divBdr>
                                  <w:divsChild>
                                    <w:div w:id="348069506">
                                      <w:marLeft w:val="0"/>
                                      <w:marRight w:val="0"/>
                                      <w:marTop w:val="0"/>
                                      <w:marBottom w:val="0"/>
                                      <w:divBdr>
                                        <w:top w:val="none" w:sz="0" w:space="0" w:color="auto"/>
                                        <w:left w:val="none" w:sz="0" w:space="0" w:color="auto"/>
                                        <w:bottom w:val="none" w:sz="0" w:space="0" w:color="auto"/>
                                        <w:right w:val="none" w:sz="0" w:space="0" w:color="auto"/>
                                      </w:divBdr>
                                      <w:divsChild>
                                        <w:div w:id="133060217">
                                          <w:marLeft w:val="525"/>
                                          <w:marRight w:val="0"/>
                                          <w:marTop w:val="0"/>
                                          <w:marBottom w:val="0"/>
                                          <w:divBdr>
                                            <w:top w:val="none" w:sz="0" w:space="0" w:color="auto"/>
                                            <w:left w:val="none" w:sz="0" w:space="0" w:color="auto"/>
                                            <w:bottom w:val="none" w:sz="0" w:space="0" w:color="auto"/>
                                            <w:right w:val="none" w:sz="0" w:space="0" w:color="auto"/>
                                          </w:divBdr>
                                          <w:divsChild>
                                            <w:div w:id="96084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16453164">
      <w:bodyDiv w:val="1"/>
      <w:marLeft w:val="0"/>
      <w:marRight w:val="0"/>
      <w:marTop w:val="0"/>
      <w:marBottom w:val="0"/>
      <w:divBdr>
        <w:top w:val="none" w:sz="0" w:space="0" w:color="auto"/>
        <w:left w:val="none" w:sz="0" w:space="0" w:color="auto"/>
        <w:bottom w:val="none" w:sz="0" w:space="0" w:color="auto"/>
        <w:right w:val="none" w:sz="0" w:space="0" w:color="auto"/>
      </w:divBdr>
    </w:div>
    <w:div w:id="623848634">
      <w:bodyDiv w:val="1"/>
      <w:marLeft w:val="0"/>
      <w:marRight w:val="0"/>
      <w:marTop w:val="0"/>
      <w:marBottom w:val="0"/>
      <w:divBdr>
        <w:top w:val="none" w:sz="0" w:space="0" w:color="auto"/>
        <w:left w:val="none" w:sz="0" w:space="0" w:color="auto"/>
        <w:bottom w:val="none" w:sz="0" w:space="0" w:color="auto"/>
        <w:right w:val="none" w:sz="0" w:space="0" w:color="auto"/>
      </w:divBdr>
    </w:div>
    <w:div w:id="628784910">
      <w:bodyDiv w:val="1"/>
      <w:marLeft w:val="0"/>
      <w:marRight w:val="0"/>
      <w:marTop w:val="0"/>
      <w:marBottom w:val="0"/>
      <w:divBdr>
        <w:top w:val="none" w:sz="0" w:space="0" w:color="auto"/>
        <w:left w:val="none" w:sz="0" w:space="0" w:color="auto"/>
        <w:bottom w:val="none" w:sz="0" w:space="0" w:color="auto"/>
        <w:right w:val="none" w:sz="0" w:space="0" w:color="auto"/>
      </w:divBdr>
    </w:div>
    <w:div w:id="628975985">
      <w:bodyDiv w:val="1"/>
      <w:marLeft w:val="0"/>
      <w:marRight w:val="0"/>
      <w:marTop w:val="0"/>
      <w:marBottom w:val="0"/>
      <w:divBdr>
        <w:top w:val="none" w:sz="0" w:space="0" w:color="auto"/>
        <w:left w:val="none" w:sz="0" w:space="0" w:color="auto"/>
        <w:bottom w:val="none" w:sz="0" w:space="0" w:color="auto"/>
        <w:right w:val="none" w:sz="0" w:space="0" w:color="auto"/>
      </w:divBdr>
      <w:divsChild>
        <w:div w:id="1948386920">
          <w:marLeft w:val="0"/>
          <w:marRight w:val="0"/>
          <w:marTop w:val="330"/>
          <w:marBottom w:val="0"/>
          <w:divBdr>
            <w:top w:val="none" w:sz="0" w:space="0" w:color="auto"/>
            <w:left w:val="none" w:sz="0" w:space="0" w:color="auto"/>
            <w:bottom w:val="none" w:sz="0" w:space="0" w:color="auto"/>
            <w:right w:val="none" w:sz="0" w:space="0" w:color="auto"/>
          </w:divBdr>
        </w:div>
        <w:div w:id="479688450">
          <w:marLeft w:val="0"/>
          <w:marRight w:val="0"/>
          <w:marTop w:val="540"/>
          <w:marBottom w:val="0"/>
          <w:divBdr>
            <w:top w:val="none" w:sz="0" w:space="0" w:color="auto"/>
            <w:left w:val="none" w:sz="0" w:space="0" w:color="auto"/>
            <w:bottom w:val="none" w:sz="0" w:space="0" w:color="auto"/>
            <w:right w:val="none" w:sz="0" w:space="0" w:color="auto"/>
          </w:divBdr>
          <w:divsChild>
            <w:div w:id="1088884321">
              <w:marLeft w:val="0"/>
              <w:marRight w:val="0"/>
              <w:marTop w:val="0"/>
              <w:marBottom w:val="0"/>
              <w:divBdr>
                <w:top w:val="none" w:sz="0" w:space="0" w:color="auto"/>
                <w:left w:val="none" w:sz="0" w:space="0" w:color="auto"/>
                <w:bottom w:val="none" w:sz="0" w:space="0" w:color="auto"/>
                <w:right w:val="none" w:sz="0" w:space="0" w:color="auto"/>
              </w:divBdr>
            </w:div>
          </w:divsChild>
        </w:div>
        <w:div w:id="857500036">
          <w:marLeft w:val="0"/>
          <w:marRight w:val="0"/>
          <w:marTop w:val="540"/>
          <w:marBottom w:val="0"/>
          <w:divBdr>
            <w:top w:val="none" w:sz="0" w:space="0" w:color="auto"/>
            <w:left w:val="none" w:sz="0" w:space="0" w:color="auto"/>
            <w:bottom w:val="none" w:sz="0" w:space="0" w:color="auto"/>
            <w:right w:val="none" w:sz="0" w:space="0" w:color="auto"/>
          </w:divBdr>
        </w:div>
      </w:divsChild>
    </w:div>
    <w:div w:id="629163882">
      <w:bodyDiv w:val="1"/>
      <w:marLeft w:val="0"/>
      <w:marRight w:val="0"/>
      <w:marTop w:val="0"/>
      <w:marBottom w:val="0"/>
      <w:divBdr>
        <w:top w:val="none" w:sz="0" w:space="0" w:color="auto"/>
        <w:left w:val="none" w:sz="0" w:space="0" w:color="auto"/>
        <w:bottom w:val="none" w:sz="0" w:space="0" w:color="auto"/>
        <w:right w:val="none" w:sz="0" w:space="0" w:color="auto"/>
      </w:divBdr>
    </w:div>
    <w:div w:id="630794335">
      <w:bodyDiv w:val="1"/>
      <w:marLeft w:val="0"/>
      <w:marRight w:val="0"/>
      <w:marTop w:val="0"/>
      <w:marBottom w:val="0"/>
      <w:divBdr>
        <w:top w:val="none" w:sz="0" w:space="0" w:color="auto"/>
        <w:left w:val="none" w:sz="0" w:space="0" w:color="auto"/>
        <w:bottom w:val="none" w:sz="0" w:space="0" w:color="auto"/>
        <w:right w:val="none" w:sz="0" w:space="0" w:color="auto"/>
      </w:divBdr>
    </w:div>
    <w:div w:id="630939882">
      <w:bodyDiv w:val="1"/>
      <w:marLeft w:val="0"/>
      <w:marRight w:val="0"/>
      <w:marTop w:val="0"/>
      <w:marBottom w:val="0"/>
      <w:divBdr>
        <w:top w:val="none" w:sz="0" w:space="0" w:color="auto"/>
        <w:left w:val="none" w:sz="0" w:space="0" w:color="auto"/>
        <w:bottom w:val="none" w:sz="0" w:space="0" w:color="auto"/>
        <w:right w:val="none" w:sz="0" w:space="0" w:color="auto"/>
      </w:divBdr>
      <w:divsChild>
        <w:div w:id="1439326102">
          <w:marLeft w:val="0"/>
          <w:marRight w:val="0"/>
          <w:marTop w:val="0"/>
          <w:marBottom w:val="120"/>
          <w:divBdr>
            <w:top w:val="none" w:sz="0" w:space="0" w:color="auto"/>
            <w:left w:val="none" w:sz="0" w:space="0" w:color="auto"/>
            <w:bottom w:val="none" w:sz="0" w:space="0" w:color="auto"/>
            <w:right w:val="none" w:sz="0" w:space="0" w:color="auto"/>
          </w:divBdr>
          <w:divsChild>
            <w:div w:id="940452936">
              <w:marLeft w:val="0"/>
              <w:marRight w:val="0"/>
              <w:marTop w:val="0"/>
              <w:marBottom w:val="0"/>
              <w:divBdr>
                <w:top w:val="none" w:sz="0" w:space="0" w:color="auto"/>
                <w:left w:val="none" w:sz="0" w:space="0" w:color="auto"/>
                <w:bottom w:val="none" w:sz="0" w:space="0" w:color="auto"/>
                <w:right w:val="none" w:sz="0" w:space="0" w:color="auto"/>
              </w:divBdr>
              <w:divsChild>
                <w:div w:id="1071931634">
                  <w:marLeft w:val="0"/>
                  <w:marRight w:val="0"/>
                  <w:marTop w:val="0"/>
                  <w:marBottom w:val="0"/>
                  <w:divBdr>
                    <w:top w:val="single" w:sz="6" w:space="10" w:color="DCDCDC"/>
                    <w:left w:val="single" w:sz="6" w:space="10" w:color="DCDCDC"/>
                    <w:bottom w:val="single" w:sz="6" w:space="10" w:color="DCDCDC"/>
                    <w:right w:val="single" w:sz="6" w:space="10" w:color="DCDCDC"/>
                  </w:divBdr>
                  <w:divsChild>
                    <w:div w:id="754127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1598245">
      <w:bodyDiv w:val="1"/>
      <w:marLeft w:val="0"/>
      <w:marRight w:val="0"/>
      <w:marTop w:val="0"/>
      <w:marBottom w:val="0"/>
      <w:divBdr>
        <w:top w:val="none" w:sz="0" w:space="0" w:color="auto"/>
        <w:left w:val="none" w:sz="0" w:space="0" w:color="auto"/>
        <w:bottom w:val="none" w:sz="0" w:space="0" w:color="auto"/>
        <w:right w:val="none" w:sz="0" w:space="0" w:color="auto"/>
      </w:divBdr>
      <w:divsChild>
        <w:div w:id="1234465184">
          <w:marLeft w:val="0"/>
          <w:marRight w:val="0"/>
          <w:marTop w:val="0"/>
          <w:marBottom w:val="0"/>
          <w:divBdr>
            <w:top w:val="none" w:sz="0" w:space="0" w:color="auto"/>
            <w:left w:val="none" w:sz="0" w:space="0" w:color="auto"/>
            <w:bottom w:val="none" w:sz="0" w:space="0" w:color="auto"/>
            <w:right w:val="none" w:sz="0" w:space="0" w:color="auto"/>
          </w:divBdr>
          <w:divsChild>
            <w:div w:id="1653093992">
              <w:marLeft w:val="0"/>
              <w:marRight w:val="0"/>
              <w:marTop w:val="411"/>
              <w:marBottom w:val="0"/>
              <w:divBdr>
                <w:top w:val="none" w:sz="0" w:space="0" w:color="auto"/>
                <w:left w:val="none" w:sz="0" w:space="0" w:color="auto"/>
                <w:bottom w:val="none" w:sz="0" w:space="0" w:color="auto"/>
                <w:right w:val="none" w:sz="0" w:space="0" w:color="auto"/>
              </w:divBdr>
              <w:divsChild>
                <w:div w:id="408846027">
                  <w:marLeft w:val="0"/>
                  <w:marRight w:val="0"/>
                  <w:marTop w:val="0"/>
                  <w:marBottom w:val="0"/>
                  <w:divBdr>
                    <w:top w:val="none" w:sz="0" w:space="0" w:color="auto"/>
                    <w:left w:val="none" w:sz="0" w:space="0" w:color="auto"/>
                    <w:bottom w:val="none" w:sz="0" w:space="0" w:color="auto"/>
                    <w:right w:val="none" w:sz="0" w:space="0" w:color="auto"/>
                  </w:divBdr>
                  <w:divsChild>
                    <w:div w:id="757169592">
                      <w:marLeft w:val="79"/>
                      <w:marRight w:val="79"/>
                      <w:marTop w:val="0"/>
                      <w:marBottom w:val="0"/>
                      <w:divBdr>
                        <w:top w:val="none" w:sz="0" w:space="0" w:color="auto"/>
                        <w:left w:val="none" w:sz="0" w:space="0" w:color="auto"/>
                        <w:bottom w:val="none" w:sz="0" w:space="0" w:color="auto"/>
                        <w:right w:val="none" w:sz="0" w:space="0" w:color="auto"/>
                      </w:divBdr>
                      <w:divsChild>
                        <w:div w:id="153499853">
                          <w:marLeft w:val="0"/>
                          <w:marRight w:val="0"/>
                          <w:marTop w:val="0"/>
                          <w:marBottom w:val="0"/>
                          <w:divBdr>
                            <w:top w:val="dashed" w:sz="6" w:space="0" w:color="DDDDDD"/>
                            <w:left w:val="none" w:sz="0" w:space="0" w:color="auto"/>
                            <w:bottom w:val="none" w:sz="0" w:space="0" w:color="auto"/>
                            <w:right w:val="none" w:sz="0" w:space="0" w:color="auto"/>
                          </w:divBdr>
                          <w:divsChild>
                            <w:div w:id="2062511215">
                              <w:marLeft w:val="0"/>
                              <w:marRight w:val="0"/>
                              <w:marTop w:val="0"/>
                              <w:marBottom w:val="0"/>
                              <w:divBdr>
                                <w:top w:val="none" w:sz="0" w:space="0" w:color="auto"/>
                                <w:left w:val="none" w:sz="0" w:space="0" w:color="auto"/>
                                <w:bottom w:val="none" w:sz="0" w:space="0" w:color="auto"/>
                                <w:right w:val="none" w:sz="0" w:space="0" w:color="auto"/>
                              </w:divBdr>
                              <w:divsChild>
                                <w:div w:id="1094204030">
                                  <w:marLeft w:val="0"/>
                                  <w:marRight w:val="0"/>
                                  <w:marTop w:val="79"/>
                                  <w:marBottom w:val="79"/>
                                  <w:divBdr>
                                    <w:top w:val="none" w:sz="0" w:space="0" w:color="auto"/>
                                    <w:left w:val="none" w:sz="0" w:space="0" w:color="auto"/>
                                    <w:bottom w:val="none" w:sz="0" w:space="0" w:color="auto"/>
                                    <w:right w:val="none" w:sz="0" w:space="0" w:color="auto"/>
                                  </w:divBdr>
                                  <w:divsChild>
                                    <w:div w:id="1625892932">
                                      <w:marLeft w:val="0"/>
                                      <w:marRight w:val="0"/>
                                      <w:marTop w:val="0"/>
                                      <w:marBottom w:val="0"/>
                                      <w:divBdr>
                                        <w:top w:val="none" w:sz="0" w:space="0" w:color="auto"/>
                                        <w:left w:val="none" w:sz="0" w:space="0" w:color="auto"/>
                                        <w:bottom w:val="none" w:sz="0" w:space="0" w:color="auto"/>
                                        <w:right w:val="none" w:sz="0" w:space="0" w:color="auto"/>
                                      </w:divBdr>
                                      <w:divsChild>
                                        <w:div w:id="1040324125">
                                          <w:marLeft w:val="554"/>
                                          <w:marRight w:val="0"/>
                                          <w:marTop w:val="0"/>
                                          <w:marBottom w:val="0"/>
                                          <w:divBdr>
                                            <w:top w:val="none" w:sz="0" w:space="0" w:color="auto"/>
                                            <w:left w:val="none" w:sz="0" w:space="0" w:color="auto"/>
                                            <w:bottom w:val="none" w:sz="0" w:space="0" w:color="auto"/>
                                            <w:right w:val="none" w:sz="0" w:space="0" w:color="auto"/>
                                          </w:divBdr>
                                          <w:divsChild>
                                            <w:div w:id="481770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38192991">
      <w:bodyDiv w:val="1"/>
      <w:marLeft w:val="0"/>
      <w:marRight w:val="0"/>
      <w:marTop w:val="0"/>
      <w:marBottom w:val="0"/>
      <w:divBdr>
        <w:top w:val="none" w:sz="0" w:space="0" w:color="auto"/>
        <w:left w:val="none" w:sz="0" w:space="0" w:color="auto"/>
        <w:bottom w:val="none" w:sz="0" w:space="0" w:color="auto"/>
        <w:right w:val="none" w:sz="0" w:space="0" w:color="auto"/>
      </w:divBdr>
    </w:div>
    <w:div w:id="640698086">
      <w:bodyDiv w:val="1"/>
      <w:marLeft w:val="0"/>
      <w:marRight w:val="0"/>
      <w:marTop w:val="0"/>
      <w:marBottom w:val="0"/>
      <w:divBdr>
        <w:top w:val="none" w:sz="0" w:space="0" w:color="auto"/>
        <w:left w:val="none" w:sz="0" w:space="0" w:color="auto"/>
        <w:bottom w:val="none" w:sz="0" w:space="0" w:color="auto"/>
        <w:right w:val="none" w:sz="0" w:space="0" w:color="auto"/>
      </w:divBdr>
      <w:divsChild>
        <w:div w:id="322975058">
          <w:marLeft w:val="0"/>
          <w:marRight w:val="0"/>
          <w:marTop w:val="0"/>
          <w:marBottom w:val="0"/>
          <w:divBdr>
            <w:top w:val="none" w:sz="0" w:space="0" w:color="auto"/>
            <w:left w:val="none" w:sz="0" w:space="0" w:color="auto"/>
            <w:bottom w:val="none" w:sz="0" w:space="0" w:color="auto"/>
            <w:right w:val="none" w:sz="0" w:space="0" w:color="auto"/>
          </w:divBdr>
          <w:divsChild>
            <w:div w:id="1907760878">
              <w:marLeft w:val="0"/>
              <w:marRight w:val="0"/>
              <w:marTop w:val="15"/>
              <w:marBottom w:val="0"/>
              <w:divBdr>
                <w:top w:val="none" w:sz="0" w:space="0" w:color="auto"/>
                <w:left w:val="none" w:sz="0" w:space="0" w:color="auto"/>
                <w:bottom w:val="none" w:sz="0" w:space="0" w:color="auto"/>
                <w:right w:val="none" w:sz="0" w:space="0" w:color="auto"/>
              </w:divBdr>
              <w:divsChild>
                <w:div w:id="1803881492">
                  <w:marLeft w:val="0"/>
                  <w:marRight w:val="0"/>
                  <w:marTop w:val="0"/>
                  <w:marBottom w:val="0"/>
                  <w:divBdr>
                    <w:top w:val="none" w:sz="0" w:space="0" w:color="auto"/>
                    <w:left w:val="single" w:sz="6" w:space="0" w:color="B5B5B5"/>
                    <w:bottom w:val="none" w:sz="0" w:space="0" w:color="auto"/>
                    <w:right w:val="single" w:sz="6" w:space="0" w:color="B5B5B5"/>
                  </w:divBdr>
                  <w:divsChild>
                    <w:div w:id="836992382">
                      <w:marLeft w:val="75"/>
                      <w:marRight w:val="75"/>
                      <w:marTop w:val="0"/>
                      <w:marBottom w:val="0"/>
                      <w:divBdr>
                        <w:top w:val="none" w:sz="0" w:space="0" w:color="auto"/>
                        <w:left w:val="none" w:sz="0" w:space="0" w:color="auto"/>
                        <w:bottom w:val="none" w:sz="0" w:space="0" w:color="auto"/>
                        <w:right w:val="none" w:sz="0" w:space="0" w:color="auto"/>
                      </w:divBdr>
                      <w:divsChild>
                        <w:div w:id="1541169200">
                          <w:marLeft w:val="0"/>
                          <w:marRight w:val="0"/>
                          <w:marTop w:val="0"/>
                          <w:marBottom w:val="0"/>
                          <w:divBdr>
                            <w:top w:val="dotted" w:sz="6" w:space="0" w:color="B5B5B5"/>
                            <w:left w:val="none" w:sz="0" w:space="0" w:color="auto"/>
                            <w:bottom w:val="none" w:sz="0" w:space="0" w:color="auto"/>
                            <w:right w:val="none" w:sz="0" w:space="0" w:color="auto"/>
                          </w:divBdr>
                          <w:divsChild>
                            <w:div w:id="336229637">
                              <w:marLeft w:val="0"/>
                              <w:marRight w:val="0"/>
                              <w:marTop w:val="75"/>
                              <w:marBottom w:val="0"/>
                              <w:divBdr>
                                <w:top w:val="none" w:sz="0" w:space="0" w:color="auto"/>
                                <w:left w:val="none" w:sz="0" w:space="0" w:color="auto"/>
                                <w:bottom w:val="none" w:sz="0" w:space="0" w:color="auto"/>
                                <w:right w:val="none" w:sz="0" w:space="0" w:color="auto"/>
                              </w:divBdr>
                              <w:divsChild>
                                <w:div w:id="982852881">
                                  <w:marLeft w:val="0"/>
                                  <w:marRight w:val="0"/>
                                  <w:marTop w:val="0"/>
                                  <w:marBottom w:val="0"/>
                                  <w:divBdr>
                                    <w:top w:val="none" w:sz="0" w:space="0" w:color="auto"/>
                                    <w:left w:val="none" w:sz="0" w:space="0" w:color="auto"/>
                                    <w:bottom w:val="none" w:sz="0" w:space="0" w:color="auto"/>
                                    <w:right w:val="none" w:sz="0" w:space="0" w:color="auto"/>
                                  </w:divBdr>
                                  <w:divsChild>
                                    <w:div w:id="730663588">
                                      <w:marLeft w:val="0"/>
                                      <w:marRight w:val="0"/>
                                      <w:marTop w:val="0"/>
                                      <w:marBottom w:val="0"/>
                                      <w:divBdr>
                                        <w:top w:val="none" w:sz="0" w:space="0" w:color="auto"/>
                                        <w:left w:val="none" w:sz="0" w:space="0" w:color="auto"/>
                                        <w:bottom w:val="none" w:sz="0" w:space="0" w:color="auto"/>
                                        <w:right w:val="none" w:sz="0" w:space="0" w:color="auto"/>
                                      </w:divBdr>
                                      <w:divsChild>
                                        <w:div w:id="976031803">
                                          <w:marLeft w:val="525"/>
                                          <w:marRight w:val="0"/>
                                          <w:marTop w:val="0"/>
                                          <w:marBottom w:val="0"/>
                                          <w:divBdr>
                                            <w:top w:val="none" w:sz="0" w:space="0" w:color="auto"/>
                                            <w:left w:val="none" w:sz="0" w:space="0" w:color="auto"/>
                                            <w:bottom w:val="none" w:sz="0" w:space="0" w:color="auto"/>
                                            <w:right w:val="none" w:sz="0" w:space="0" w:color="auto"/>
                                          </w:divBdr>
                                          <w:divsChild>
                                            <w:div w:id="733357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41346265">
      <w:bodyDiv w:val="1"/>
      <w:marLeft w:val="0"/>
      <w:marRight w:val="0"/>
      <w:marTop w:val="0"/>
      <w:marBottom w:val="0"/>
      <w:divBdr>
        <w:top w:val="none" w:sz="0" w:space="0" w:color="auto"/>
        <w:left w:val="none" w:sz="0" w:space="0" w:color="auto"/>
        <w:bottom w:val="none" w:sz="0" w:space="0" w:color="auto"/>
        <w:right w:val="none" w:sz="0" w:space="0" w:color="auto"/>
      </w:divBdr>
    </w:div>
    <w:div w:id="643003760">
      <w:bodyDiv w:val="1"/>
      <w:marLeft w:val="0"/>
      <w:marRight w:val="0"/>
      <w:marTop w:val="0"/>
      <w:marBottom w:val="0"/>
      <w:divBdr>
        <w:top w:val="none" w:sz="0" w:space="0" w:color="auto"/>
        <w:left w:val="none" w:sz="0" w:space="0" w:color="auto"/>
        <w:bottom w:val="none" w:sz="0" w:space="0" w:color="auto"/>
        <w:right w:val="none" w:sz="0" w:space="0" w:color="auto"/>
      </w:divBdr>
    </w:div>
    <w:div w:id="648824977">
      <w:bodyDiv w:val="1"/>
      <w:marLeft w:val="0"/>
      <w:marRight w:val="0"/>
      <w:marTop w:val="0"/>
      <w:marBottom w:val="0"/>
      <w:divBdr>
        <w:top w:val="none" w:sz="0" w:space="0" w:color="auto"/>
        <w:left w:val="none" w:sz="0" w:space="0" w:color="auto"/>
        <w:bottom w:val="none" w:sz="0" w:space="0" w:color="auto"/>
        <w:right w:val="none" w:sz="0" w:space="0" w:color="auto"/>
      </w:divBdr>
    </w:div>
    <w:div w:id="651763351">
      <w:bodyDiv w:val="1"/>
      <w:marLeft w:val="0"/>
      <w:marRight w:val="0"/>
      <w:marTop w:val="0"/>
      <w:marBottom w:val="0"/>
      <w:divBdr>
        <w:top w:val="none" w:sz="0" w:space="0" w:color="auto"/>
        <w:left w:val="none" w:sz="0" w:space="0" w:color="auto"/>
        <w:bottom w:val="none" w:sz="0" w:space="0" w:color="auto"/>
        <w:right w:val="none" w:sz="0" w:space="0" w:color="auto"/>
      </w:divBdr>
    </w:div>
    <w:div w:id="655643965">
      <w:bodyDiv w:val="1"/>
      <w:marLeft w:val="0"/>
      <w:marRight w:val="0"/>
      <w:marTop w:val="0"/>
      <w:marBottom w:val="0"/>
      <w:divBdr>
        <w:top w:val="none" w:sz="0" w:space="0" w:color="auto"/>
        <w:left w:val="none" w:sz="0" w:space="0" w:color="auto"/>
        <w:bottom w:val="none" w:sz="0" w:space="0" w:color="auto"/>
        <w:right w:val="none" w:sz="0" w:space="0" w:color="auto"/>
      </w:divBdr>
    </w:div>
    <w:div w:id="657000873">
      <w:bodyDiv w:val="1"/>
      <w:marLeft w:val="0"/>
      <w:marRight w:val="0"/>
      <w:marTop w:val="0"/>
      <w:marBottom w:val="0"/>
      <w:divBdr>
        <w:top w:val="none" w:sz="0" w:space="0" w:color="auto"/>
        <w:left w:val="none" w:sz="0" w:space="0" w:color="auto"/>
        <w:bottom w:val="none" w:sz="0" w:space="0" w:color="auto"/>
        <w:right w:val="none" w:sz="0" w:space="0" w:color="auto"/>
      </w:divBdr>
    </w:div>
    <w:div w:id="657653784">
      <w:bodyDiv w:val="1"/>
      <w:marLeft w:val="0"/>
      <w:marRight w:val="0"/>
      <w:marTop w:val="0"/>
      <w:marBottom w:val="0"/>
      <w:divBdr>
        <w:top w:val="none" w:sz="0" w:space="0" w:color="auto"/>
        <w:left w:val="none" w:sz="0" w:space="0" w:color="auto"/>
        <w:bottom w:val="none" w:sz="0" w:space="0" w:color="auto"/>
        <w:right w:val="none" w:sz="0" w:space="0" w:color="auto"/>
      </w:divBdr>
      <w:divsChild>
        <w:div w:id="1486900727">
          <w:marLeft w:val="0"/>
          <w:marRight w:val="0"/>
          <w:marTop w:val="0"/>
          <w:marBottom w:val="0"/>
          <w:divBdr>
            <w:top w:val="none" w:sz="0" w:space="0" w:color="auto"/>
            <w:left w:val="none" w:sz="0" w:space="0" w:color="auto"/>
            <w:bottom w:val="none" w:sz="0" w:space="0" w:color="auto"/>
            <w:right w:val="none" w:sz="0" w:space="0" w:color="auto"/>
          </w:divBdr>
          <w:divsChild>
            <w:div w:id="462190609">
              <w:marLeft w:val="0"/>
              <w:marRight w:val="0"/>
              <w:marTop w:val="411"/>
              <w:marBottom w:val="0"/>
              <w:divBdr>
                <w:top w:val="none" w:sz="0" w:space="0" w:color="auto"/>
                <w:left w:val="none" w:sz="0" w:space="0" w:color="auto"/>
                <w:bottom w:val="none" w:sz="0" w:space="0" w:color="auto"/>
                <w:right w:val="none" w:sz="0" w:space="0" w:color="auto"/>
              </w:divBdr>
              <w:divsChild>
                <w:div w:id="110788587">
                  <w:marLeft w:val="0"/>
                  <w:marRight w:val="0"/>
                  <w:marTop w:val="0"/>
                  <w:marBottom w:val="0"/>
                  <w:divBdr>
                    <w:top w:val="none" w:sz="0" w:space="0" w:color="auto"/>
                    <w:left w:val="none" w:sz="0" w:space="0" w:color="auto"/>
                    <w:bottom w:val="none" w:sz="0" w:space="0" w:color="auto"/>
                    <w:right w:val="none" w:sz="0" w:space="0" w:color="auto"/>
                  </w:divBdr>
                  <w:divsChild>
                    <w:div w:id="564799337">
                      <w:marLeft w:val="79"/>
                      <w:marRight w:val="79"/>
                      <w:marTop w:val="0"/>
                      <w:marBottom w:val="0"/>
                      <w:divBdr>
                        <w:top w:val="none" w:sz="0" w:space="0" w:color="auto"/>
                        <w:left w:val="none" w:sz="0" w:space="0" w:color="auto"/>
                        <w:bottom w:val="none" w:sz="0" w:space="0" w:color="auto"/>
                        <w:right w:val="none" w:sz="0" w:space="0" w:color="auto"/>
                      </w:divBdr>
                      <w:divsChild>
                        <w:div w:id="1274898036">
                          <w:marLeft w:val="0"/>
                          <w:marRight w:val="0"/>
                          <w:marTop w:val="0"/>
                          <w:marBottom w:val="0"/>
                          <w:divBdr>
                            <w:top w:val="dashed" w:sz="6" w:space="0" w:color="DDDDDD"/>
                            <w:left w:val="none" w:sz="0" w:space="0" w:color="auto"/>
                            <w:bottom w:val="none" w:sz="0" w:space="0" w:color="auto"/>
                            <w:right w:val="none" w:sz="0" w:space="0" w:color="auto"/>
                          </w:divBdr>
                          <w:divsChild>
                            <w:div w:id="885485071">
                              <w:marLeft w:val="0"/>
                              <w:marRight w:val="0"/>
                              <w:marTop w:val="0"/>
                              <w:marBottom w:val="0"/>
                              <w:divBdr>
                                <w:top w:val="none" w:sz="0" w:space="0" w:color="auto"/>
                                <w:left w:val="none" w:sz="0" w:space="0" w:color="auto"/>
                                <w:bottom w:val="none" w:sz="0" w:space="0" w:color="auto"/>
                                <w:right w:val="none" w:sz="0" w:space="0" w:color="auto"/>
                              </w:divBdr>
                              <w:divsChild>
                                <w:div w:id="2063018702">
                                  <w:marLeft w:val="0"/>
                                  <w:marRight w:val="0"/>
                                  <w:marTop w:val="79"/>
                                  <w:marBottom w:val="79"/>
                                  <w:divBdr>
                                    <w:top w:val="none" w:sz="0" w:space="0" w:color="auto"/>
                                    <w:left w:val="none" w:sz="0" w:space="0" w:color="auto"/>
                                    <w:bottom w:val="none" w:sz="0" w:space="0" w:color="auto"/>
                                    <w:right w:val="none" w:sz="0" w:space="0" w:color="auto"/>
                                  </w:divBdr>
                                  <w:divsChild>
                                    <w:div w:id="231427087">
                                      <w:marLeft w:val="0"/>
                                      <w:marRight w:val="0"/>
                                      <w:marTop w:val="0"/>
                                      <w:marBottom w:val="0"/>
                                      <w:divBdr>
                                        <w:top w:val="none" w:sz="0" w:space="0" w:color="auto"/>
                                        <w:left w:val="none" w:sz="0" w:space="0" w:color="auto"/>
                                        <w:bottom w:val="none" w:sz="0" w:space="0" w:color="auto"/>
                                        <w:right w:val="none" w:sz="0" w:space="0" w:color="auto"/>
                                      </w:divBdr>
                                      <w:divsChild>
                                        <w:div w:id="1066805865">
                                          <w:marLeft w:val="554"/>
                                          <w:marRight w:val="0"/>
                                          <w:marTop w:val="0"/>
                                          <w:marBottom w:val="0"/>
                                          <w:divBdr>
                                            <w:top w:val="none" w:sz="0" w:space="0" w:color="auto"/>
                                            <w:left w:val="none" w:sz="0" w:space="0" w:color="auto"/>
                                            <w:bottom w:val="none" w:sz="0" w:space="0" w:color="auto"/>
                                            <w:right w:val="none" w:sz="0" w:space="0" w:color="auto"/>
                                          </w:divBdr>
                                          <w:divsChild>
                                            <w:div w:id="1736317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61158200">
      <w:bodyDiv w:val="1"/>
      <w:marLeft w:val="0"/>
      <w:marRight w:val="0"/>
      <w:marTop w:val="0"/>
      <w:marBottom w:val="0"/>
      <w:divBdr>
        <w:top w:val="none" w:sz="0" w:space="0" w:color="auto"/>
        <w:left w:val="none" w:sz="0" w:space="0" w:color="auto"/>
        <w:bottom w:val="none" w:sz="0" w:space="0" w:color="auto"/>
        <w:right w:val="none" w:sz="0" w:space="0" w:color="auto"/>
      </w:divBdr>
      <w:divsChild>
        <w:div w:id="1428690363">
          <w:marLeft w:val="0"/>
          <w:marRight w:val="0"/>
          <w:marTop w:val="0"/>
          <w:marBottom w:val="0"/>
          <w:divBdr>
            <w:top w:val="none" w:sz="0" w:space="0" w:color="auto"/>
            <w:left w:val="none" w:sz="0" w:space="0" w:color="auto"/>
            <w:bottom w:val="none" w:sz="0" w:space="0" w:color="auto"/>
            <w:right w:val="none" w:sz="0" w:space="0" w:color="auto"/>
          </w:divBdr>
          <w:divsChild>
            <w:div w:id="2023699635">
              <w:marLeft w:val="0"/>
              <w:marRight w:val="0"/>
              <w:marTop w:val="0"/>
              <w:marBottom w:val="0"/>
              <w:divBdr>
                <w:top w:val="none" w:sz="0" w:space="0" w:color="auto"/>
                <w:left w:val="none" w:sz="0" w:space="0" w:color="auto"/>
                <w:bottom w:val="none" w:sz="0" w:space="0" w:color="auto"/>
                <w:right w:val="none" w:sz="0" w:space="0" w:color="auto"/>
              </w:divBdr>
              <w:divsChild>
                <w:div w:id="998534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8992722">
      <w:bodyDiv w:val="1"/>
      <w:marLeft w:val="0"/>
      <w:marRight w:val="0"/>
      <w:marTop w:val="0"/>
      <w:marBottom w:val="0"/>
      <w:divBdr>
        <w:top w:val="none" w:sz="0" w:space="0" w:color="auto"/>
        <w:left w:val="none" w:sz="0" w:space="0" w:color="auto"/>
        <w:bottom w:val="none" w:sz="0" w:space="0" w:color="auto"/>
        <w:right w:val="none" w:sz="0" w:space="0" w:color="auto"/>
      </w:divBdr>
    </w:div>
    <w:div w:id="672493190">
      <w:bodyDiv w:val="1"/>
      <w:marLeft w:val="0"/>
      <w:marRight w:val="0"/>
      <w:marTop w:val="0"/>
      <w:marBottom w:val="0"/>
      <w:divBdr>
        <w:top w:val="none" w:sz="0" w:space="0" w:color="auto"/>
        <w:left w:val="none" w:sz="0" w:space="0" w:color="auto"/>
        <w:bottom w:val="none" w:sz="0" w:space="0" w:color="auto"/>
        <w:right w:val="none" w:sz="0" w:space="0" w:color="auto"/>
      </w:divBdr>
    </w:div>
    <w:div w:id="673384217">
      <w:bodyDiv w:val="1"/>
      <w:marLeft w:val="0"/>
      <w:marRight w:val="0"/>
      <w:marTop w:val="0"/>
      <w:marBottom w:val="0"/>
      <w:divBdr>
        <w:top w:val="none" w:sz="0" w:space="0" w:color="auto"/>
        <w:left w:val="none" w:sz="0" w:space="0" w:color="auto"/>
        <w:bottom w:val="none" w:sz="0" w:space="0" w:color="auto"/>
        <w:right w:val="none" w:sz="0" w:space="0" w:color="auto"/>
      </w:divBdr>
      <w:divsChild>
        <w:div w:id="459885758">
          <w:marLeft w:val="0"/>
          <w:marRight w:val="0"/>
          <w:marTop w:val="0"/>
          <w:marBottom w:val="0"/>
          <w:divBdr>
            <w:top w:val="none" w:sz="0" w:space="0" w:color="auto"/>
            <w:left w:val="none" w:sz="0" w:space="0" w:color="auto"/>
            <w:bottom w:val="none" w:sz="0" w:space="0" w:color="auto"/>
            <w:right w:val="none" w:sz="0" w:space="0" w:color="auto"/>
          </w:divBdr>
          <w:divsChild>
            <w:div w:id="144249331">
              <w:marLeft w:val="0"/>
              <w:marRight w:val="0"/>
              <w:marTop w:val="411"/>
              <w:marBottom w:val="0"/>
              <w:divBdr>
                <w:top w:val="none" w:sz="0" w:space="0" w:color="auto"/>
                <w:left w:val="none" w:sz="0" w:space="0" w:color="auto"/>
                <w:bottom w:val="none" w:sz="0" w:space="0" w:color="auto"/>
                <w:right w:val="none" w:sz="0" w:space="0" w:color="auto"/>
              </w:divBdr>
              <w:divsChild>
                <w:div w:id="1188249177">
                  <w:marLeft w:val="0"/>
                  <w:marRight w:val="0"/>
                  <w:marTop w:val="0"/>
                  <w:marBottom w:val="0"/>
                  <w:divBdr>
                    <w:top w:val="none" w:sz="0" w:space="0" w:color="auto"/>
                    <w:left w:val="none" w:sz="0" w:space="0" w:color="auto"/>
                    <w:bottom w:val="none" w:sz="0" w:space="0" w:color="auto"/>
                    <w:right w:val="none" w:sz="0" w:space="0" w:color="auto"/>
                  </w:divBdr>
                  <w:divsChild>
                    <w:div w:id="1449204473">
                      <w:marLeft w:val="79"/>
                      <w:marRight w:val="79"/>
                      <w:marTop w:val="0"/>
                      <w:marBottom w:val="0"/>
                      <w:divBdr>
                        <w:top w:val="none" w:sz="0" w:space="0" w:color="auto"/>
                        <w:left w:val="none" w:sz="0" w:space="0" w:color="auto"/>
                        <w:bottom w:val="none" w:sz="0" w:space="0" w:color="auto"/>
                        <w:right w:val="none" w:sz="0" w:space="0" w:color="auto"/>
                      </w:divBdr>
                      <w:divsChild>
                        <w:div w:id="479226322">
                          <w:marLeft w:val="0"/>
                          <w:marRight w:val="0"/>
                          <w:marTop w:val="0"/>
                          <w:marBottom w:val="0"/>
                          <w:divBdr>
                            <w:top w:val="dashed" w:sz="6" w:space="0" w:color="DDDDDD"/>
                            <w:left w:val="none" w:sz="0" w:space="0" w:color="auto"/>
                            <w:bottom w:val="none" w:sz="0" w:space="0" w:color="auto"/>
                            <w:right w:val="none" w:sz="0" w:space="0" w:color="auto"/>
                          </w:divBdr>
                          <w:divsChild>
                            <w:div w:id="991837155">
                              <w:marLeft w:val="0"/>
                              <w:marRight w:val="0"/>
                              <w:marTop w:val="0"/>
                              <w:marBottom w:val="0"/>
                              <w:divBdr>
                                <w:top w:val="none" w:sz="0" w:space="0" w:color="auto"/>
                                <w:left w:val="none" w:sz="0" w:space="0" w:color="auto"/>
                                <w:bottom w:val="none" w:sz="0" w:space="0" w:color="auto"/>
                                <w:right w:val="none" w:sz="0" w:space="0" w:color="auto"/>
                              </w:divBdr>
                              <w:divsChild>
                                <w:div w:id="1877161622">
                                  <w:marLeft w:val="0"/>
                                  <w:marRight w:val="0"/>
                                  <w:marTop w:val="79"/>
                                  <w:marBottom w:val="79"/>
                                  <w:divBdr>
                                    <w:top w:val="none" w:sz="0" w:space="0" w:color="auto"/>
                                    <w:left w:val="none" w:sz="0" w:space="0" w:color="auto"/>
                                    <w:bottom w:val="none" w:sz="0" w:space="0" w:color="auto"/>
                                    <w:right w:val="none" w:sz="0" w:space="0" w:color="auto"/>
                                  </w:divBdr>
                                  <w:divsChild>
                                    <w:div w:id="1737969295">
                                      <w:marLeft w:val="0"/>
                                      <w:marRight w:val="0"/>
                                      <w:marTop w:val="0"/>
                                      <w:marBottom w:val="0"/>
                                      <w:divBdr>
                                        <w:top w:val="none" w:sz="0" w:space="0" w:color="auto"/>
                                        <w:left w:val="none" w:sz="0" w:space="0" w:color="auto"/>
                                        <w:bottom w:val="none" w:sz="0" w:space="0" w:color="auto"/>
                                        <w:right w:val="none" w:sz="0" w:space="0" w:color="auto"/>
                                      </w:divBdr>
                                      <w:divsChild>
                                        <w:div w:id="181551775">
                                          <w:marLeft w:val="554"/>
                                          <w:marRight w:val="0"/>
                                          <w:marTop w:val="0"/>
                                          <w:marBottom w:val="0"/>
                                          <w:divBdr>
                                            <w:top w:val="none" w:sz="0" w:space="0" w:color="auto"/>
                                            <w:left w:val="none" w:sz="0" w:space="0" w:color="auto"/>
                                            <w:bottom w:val="none" w:sz="0" w:space="0" w:color="auto"/>
                                            <w:right w:val="none" w:sz="0" w:space="0" w:color="auto"/>
                                          </w:divBdr>
                                          <w:divsChild>
                                            <w:div w:id="225576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76158873">
      <w:bodyDiv w:val="1"/>
      <w:marLeft w:val="0"/>
      <w:marRight w:val="0"/>
      <w:marTop w:val="0"/>
      <w:marBottom w:val="0"/>
      <w:divBdr>
        <w:top w:val="none" w:sz="0" w:space="0" w:color="auto"/>
        <w:left w:val="none" w:sz="0" w:space="0" w:color="auto"/>
        <w:bottom w:val="none" w:sz="0" w:space="0" w:color="auto"/>
        <w:right w:val="none" w:sz="0" w:space="0" w:color="auto"/>
      </w:divBdr>
    </w:div>
    <w:div w:id="676689881">
      <w:bodyDiv w:val="1"/>
      <w:marLeft w:val="0"/>
      <w:marRight w:val="0"/>
      <w:marTop w:val="0"/>
      <w:marBottom w:val="0"/>
      <w:divBdr>
        <w:top w:val="none" w:sz="0" w:space="0" w:color="auto"/>
        <w:left w:val="none" w:sz="0" w:space="0" w:color="auto"/>
        <w:bottom w:val="none" w:sz="0" w:space="0" w:color="auto"/>
        <w:right w:val="none" w:sz="0" w:space="0" w:color="auto"/>
      </w:divBdr>
    </w:div>
    <w:div w:id="679619992">
      <w:bodyDiv w:val="1"/>
      <w:marLeft w:val="0"/>
      <w:marRight w:val="0"/>
      <w:marTop w:val="0"/>
      <w:marBottom w:val="0"/>
      <w:divBdr>
        <w:top w:val="none" w:sz="0" w:space="0" w:color="auto"/>
        <w:left w:val="none" w:sz="0" w:space="0" w:color="auto"/>
        <w:bottom w:val="none" w:sz="0" w:space="0" w:color="auto"/>
        <w:right w:val="none" w:sz="0" w:space="0" w:color="auto"/>
      </w:divBdr>
    </w:div>
    <w:div w:id="680013170">
      <w:bodyDiv w:val="1"/>
      <w:marLeft w:val="0"/>
      <w:marRight w:val="0"/>
      <w:marTop w:val="0"/>
      <w:marBottom w:val="0"/>
      <w:divBdr>
        <w:top w:val="none" w:sz="0" w:space="0" w:color="auto"/>
        <w:left w:val="none" w:sz="0" w:space="0" w:color="auto"/>
        <w:bottom w:val="none" w:sz="0" w:space="0" w:color="auto"/>
        <w:right w:val="none" w:sz="0" w:space="0" w:color="auto"/>
      </w:divBdr>
    </w:div>
    <w:div w:id="680621802">
      <w:bodyDiv w:val="1"/>
      <w:marLeft w:val="0"/>
      <w:marRight w:val="0"/>
      <w:marTop w:val="0"/>
      <w:marBottom w:val="0"/>
      <w:divBdr>
        <w:top w:val="none" w:sz="0" w:space="0" w:color="auto"/>
        <w:left w:val="none" w:sz="0" w:space="0" w:color="auto"/>
        <w:bottom w:val="none" w:sz="0" w:space="0" w:color="auto"/>
        <w:right w:val="none" w:sz="0" w:space="0" w:color="auto"/>
      </w:divBdr>
    </w:div>
    <w:div w:id="682898642">
      <w:bodyDiv w:val="1"/>
      <w:marLeft w:val="0"/>
      <w:marRight w:val="0"/>
      <w:marTop w:val="0"/>
      <w:marBottom w:val="0"/>
      <w:divBdr>
        <w:top w:val="none" w:sz="0" w:space="0" w:color="auto"/>
        <w:left w:val="none" w:sz="0" w:space="0" w:color="auto"/>
        <w:bottom w:val="none" w:sz="0" w:space="0" w:color="auto"/>
        <w:right w:val="none" w:sz="0" w:space="0" w:color="auto"/>
      </w:divBdr>
    </w:div>
    <w:div w:id="684596957">
      <w:bodyDiv w:val="1"/>
      <w:marLeft w:val="0"/>
      <w:marRight w:val="0"/>
      <w:marTop w:val="0"/>
      <w:marBottom w:val="0"/>
      <w:divBdr>
        <w:top w:val="none" w:sz="0" w:space="0" w:color="auto"/>
        <w:left w:val="none" w:sz="0" w:space="0" w:color="auto"/>
        <w:bottom w:val="none" w:sz="0" w:space="0" w:color="auto"/>
        <w:right w:val="none" w:sz="0" w:space="0" w:color="auto"/>
      </w:divBdr>
    </w:div>
    <w:div w:id="688525205">
      <w:bodyDiv w:val="1"/>
      <w:marLeft w:val="0"/>
      <w:marRight w:val="0"/>
      <w:marTop w:val="0"/>
      <w:marBottom w:val="0"/>
      <w:divBdr>
        <w:top w:val="none" w:sz="0" w:space="0" w:color="auto"/>
        <w:left w:val="none" w:sz="0" w:space="0" w:color="auto"/>
        <w:bottom w:val="none" w:sz="0" w:space="0" w:color="auto"/>
        <w:right w:val="none" w:sz="0" w:space="0" w:color="auto"/>
      </w:divBdr>
    </w:div>
    <w:div w:id="689257873">
      <w:bodyDiv w:val="1"/>
      <w:marLeft w:val="0"/>
      <w:marRight w:val="0"/>
      <w:marTop w:val="0"/>
      <w:marBottom w:val="0"/>
      <w:divBdr>
        <w:top w:val="none" w:sz="0" w:space="0" w:color="auto"/>
        <w:left w:val="none" w:sz="0" w:space="0" w:color="auto"/>
        <w:bottom w:val="none" w:sz="0" w:space="0" w:color="auto"/>
        <w:right w:val="none" w:sz="0" w:space="0" w:color="auto"/>
      </w:divBdr>
    </w:div>
    <w:div w:id="691418263">
      <w:bodyDiv w:val="1"/>
      <w:marLeft w:val="0"/>
      <w:marRight w:val="0"/>
      <w:marTop w:val="0"/>
      <w:marBottom w:val="0"/>
      <w:divBdr>
        <w:top w:val="none" w:sz="0" w:space="0" w:color="auto"/>
        <w:left w:val="none" w:sz="0" w:space="0" w:color="auto"/>
        <w:bottom w:val="none" w:sz="0" w:space="0" w:color="auto"/>
        <w:right w:val="none" w:sz="0" w:space="0" w:color="auto"/>
      </w:divBdr>
    </w:div>
    <w:div w:id="697924430">
      <w:bodyDiv w:val="1"/>
      <w:marLeft w:val="0"/>
      <w:marRight w:val="0"/>
      <w:marTop w:val="0"/>
      <w:marBottom w:val="0"/>
      <w:divBdr>
        <w:top w:val="none" w:sz="0" w:space="0" w:color="auto"/>
        <w:left w:val="none" w:sz="0" w:space="0" w:color="auto"/>
        <w:bottom w:val="none" w:sz="0" w:space="0" w:color="auto"/>
        <w:right w:val="none" w:sz="0" w:space="0" w:color="auto"/>
      </w:divBdr>
      <w:divsChild>
        <w:div w:id="1955557702">
          <w:marLeft w:val="0"/>
          <w:marRight w:val="0"/>
          <w:marTop w:val="0"/>
          <w:marBottom w:val="0"/>
          <w:divBdr>
            <w:top w:val="none" w:sz="0" w:space="0" w:color="auto"/>
            <w:left w:val="none" w:sz="0" w:space="0" w:color="auto"/>
            <w:bottom w:val="none" w:sz="0" w:space="0" w:color="auto"/>
            <w:right w:val="none" w:sz="0" w:space="0" w:color="auto"/>
          </w:divBdr>
          <w:divsChild>
            <w:div w:id="2064450740">
              <w:marLeft w:val="0"/>
              <w:marRight w:val="0"/>
              <w:marTop w:val="411"/>
              <w:marBottom w:val="0"/>
              <w:divBdr>
                <w:top w:val="none" w:sz="0" w:space="0" w:color="auto"/>
                <w:left w:val="none" w:sz="0" w:space="0" w:color="auto"/>
                <w:bottom w:val="none" w:sz="0" w:space="0" w:color="auto"/>
                <w:right w:val="none" w:sz="0" w:space="0" w:color="auto"/>
              </w:divBdr>
              <w:divsChild>
                <w:div w:id="1177691312">
                  <w:marLeft w:val="0"/>
                  <w:marRight w:val="0"/>
                  <w:marTop w:val="0"/>
                  <w:marBottom w:val="0"/>
                  <w:divBdr>
                    <w:top w:val="none" w:sz="0" w:space="0" w:color="auto"/>
                    <w:left w:val="none" w:sz="0" w:space="0" w:color="auto"/>
                    <w:bottom w:val="none" w:sz="0" w:space="0" w:color="auto"/>
                    <w:right w:val="none" w:sz="0" w:space="0" w:color="auto"/>
                  </w:divBdr>
                  <w:divsChild>
                    <w:div w:id="983855734">
                      <w:marLeft w:val="79"/>
                      <w:marRight w:val="79"/>
                      <w:marTop w:val="0"/>
                      <w:marBottom w:val="0"/>
                      <w:divBdr>
                        <w:top w:val="none" w:sz="0" w:space="0" w:color="auto"/>
                        <w:left w:val="none" w:sz="0" w:space="0" w:color="auto"/>
                        <w:bottom w:val="none" w:sz="0" w:space="0" w:color="auto"/>
                        <w:right w:val="none" w:sz="0" w:space="0" w:color="auto"/>
                      </w:divBdr>
                      <w:divsChild>
                        <w:div w:id="1465080109">
                          <w:marLeft w:val="0"/>
                          <w:marRight w:val="0"/>
                          <w:marTop w:val="0"/>
                          <w:marBottom w:val="0"/>
                          <w:divBdr>
                            <w:top w:val="dashed" w:sz="6" w:space="0" w:color="DDDDDD"/>
                            <w:left w:val="none" w:sz="0" w:space="0" w:color="auto"/>
                            <w:bottom w:val="none" w:sz="0" w:space="0" w:color="auto"/>
                            <w:right w:val="none" w:sz="0" w:space="0" w:color="auto"/>
                          </w:divBdr>
                          <w:divsChild>
                            <w:div w:id="1528135071">
                              <w:marLeft w:val="0"/>
                              <w:marRight w:val="0"/>
                              <w:marTop w:val="0"/>
                              <w:marBottom w:val="0"/>
                              <w:divBdr>
                                <w:top w:val="none" w:sz="0" w:space="0" w:color="auto"/>
                                <w:left w:val="none" w:sz="0" w:space="0" w:color="auto"/>
                                <w:bottom w:val="none" w:sz="0" w:space="0" w:color="auto"/>
                                <w:right w:val="none" w:sz="0" w:space="0" w:color="auto"/>
                              </w:divBdr>
                              <w:divsChild>
                                <w:div w:id="1529758213">
                                  <w:marLeft w:val="0"/>
                                  <w:marRight w:val="0"/>
                                  <w:marTop w:val="79"/>
                                  <w:marBottom w:val="79"/>
                                  <w:divBdr>
                                    <w:top w:val="none" w:sz="0" w:space="0" w:color="auto"/>
                                    <w:left w:val="none" w:sz="0" w:space="0" w:color="auto"/>
                                    <w:bottom w:val="none" w:sz="0" w:space="0" w:color="auto"/>
                                    <w:right w:val="none" w:sz="0" w:space="0" w:color="auto"/>
                                  </w:divBdr>
                                  <w:divsChild>
                                    <w:div w:id="1070663479">
                                      <w:marLeft w:val="0"/>
                                      <w:marRight w:val="0"/>
                                      <w:marTop w:val="0"/>
                                      <w:marBottom w:val="0"/>
                                      <w:divBdr>
                                        <w:top w:val="none" w:sz="0" w:space="0" w:color="auto"/>
                                        <w:left w:val="none" w:sz="0" w:space="0" w:color="auto"/>
                                        <w:bottom w:val="none" w:sz="0" w:space="0" w:color="auto"/>
                                        <w:right w:val="none" w:sz="0" w:space="0" w:color="auto"/>
                                      </w:divBdr>
                                      <w:divsChild>
                                        <w:div w:id="1971015213">
                                          <w:marLeft w:val="554"/>
                                          <w:marRight w:val="0"/>
                                          <w:marTop w:val="0"/>
                                          <w:marBottom w:val="0"/>
                                          <w:divBdr>
                                            <w:top w:val="none" w:sz="0" w:space="0" w:color="auto"/>
                                            <w:left w:val="none" w:sz="0" w:space="0" w:color="auto"/>
                                            <w:bottom w:val="none" w:sz="0" w:space="0" w:color="auto"/>
                                            <w:right w:val="none" w:sz="0" w:space="0" w:color="auto"/>
                                          </w:divBdr>
                                          <w:divsChild>
                                            <w:div w:id="1341737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97924907">
      <w:bodyDiv w:val="1"/>
      <w:marLeft w:val="0"/>
      <w:marRight w:val="0"/>
      <w:marTop w:val="0"/>
      <w:marBottom w:val="0"/>
      <w:divBdr>
        <w:top w:val="none" w:sz="0" w:space="0" w:color="auto"/>
        <w:left w:val="none" w:sz="0" w:space="0" w:color="auto"/>
        <w:bottom w:val="none" w:sz="0" w:space="0" w:color="auto"/>
        <w:right w:val="none" w:sz="0" w:space="0" w:color="auto"/>
      </w:divBdr>
    </w:div>
    <w:div w:id="703209802">
      <w:bodyDiv w:val="1"/>
      <w:marLeft w:val="0"/>
      <w:marRight w:val="0"/>
      <w:marTop w:val="0"/>
      <w:marBottom w:val="0"/>
      <w:divBdr>
        <w:top w:val="none" w:sz="0" w:space="0" w:color="auto"/>
        <w:left w:val="none" w:sz="0" w:space="0" w:color="auto"/>
        <w:bottom w:val="none" w:sz="0" w:space="0" w:color="auto"/>
        <w:right w:val="none" w:sz="0" w:space="0" w:color="auto"/>
      </w:divBdr>
    </w:div>
    <w:div w:id="703402383">
      <w:bodyDiv w:val="1"/>
      <w:marLeft w:val="0"/>
      <w:marRight w:val="0"/>
      <w:marTop w:val="0"/>
      <w:marBottom w:val="0"/>
      <w:divBdr>
        <w:top w:val="none" w:sz="0" w:space="0" w:color="auto"/>
        <w:left w:val="none" w:sz="0" w:space="0" w:color="auto"/>
        <w:bottom w:val="none" w:sz="0" w:space="0" w:color="auto"/>
        <w:right w:val="none" w:sz="0" w:space="0" w:color="auto"/>
      </w:divBdr>
    </w:div>
    <w:div w:id="703872284">
      <w:bodyDiv w:val="1"/>
      <w:marLeft w:val="0"/>
      <w:marRight w:val="0"/>
      <w:marTop w:val="0"/>
      <w:marBottom w:val="0"/>
      <w:divBdr>
        <w:top w:val="none" w:sz="0" w:space="0" w:color="auto"/>
        <w:left w:val="none" w:sz="0" w:space="0" w:color="auto"/>
        <w:bottom w:val="none" w:sz="0" w:space="0" w:color="auto"/>
        <w:right w:val="none" w:sz="0" w:space="0" w:color="auto"/>
      </w:divBdr>
    </w:div>
    <w:div w:id="704406985">
      <w:bodyDiv w:val="1"/>
      <w:marLeft w:val="0"/>
      <w:marRight w:val="0"/>
      <w:marTop w:val="0"/>
      <w:marBottom w:val="0"/>
      <w:divBdr>
        <w:top w:val="none" w:sz="0" w:space="0" w:color="auto"/>
        <w:left w:val="none" w:sz="0" w:space="0" w:color="auto"/>
        <w:bottom w:val="none" w:sz="0" w:space="0" w:color="auto"/>
        <w:right w:val="none" w:sz="0" w:space="0" w:color="auto"/>
      </w:divBdr>
    </w:div>
    <w:div w:id="705257312">
      <w:bodyDiv w:val="1"/>
      <w:marLeft w:val="0"/>
      <w:marRight w:val="0"/>
      <w:marTop w:val="0"/>
      <w:marBottom w:val="0"/>
      <w:divBdr>
        <w:top w:val="none" w:sz="0" w:space="0" w:color="auto"/>
        <w:left w:val="none" w:sz="0" w:space="0" w:color="auto"/>
        <w:bottom w:val="none" w:sz="0" w:space="0" w:color="auto"/>
        <w:right w:val="none" w:sz="0" w:space="0" w:color="auto"/>
      </w:divBdr>
    </w:div>
    <w:div w:id="705760647">
      <w:bodyDiv w:val="1"/>
      <w:marLeft w:val="0"/>
      <w:marRight w:val="0"/>
      <w:marTop w:val="0"/>
      <w:marBottom w:val="0"/>
      <w:divBdr>
        <w:top w:val="none" w:sz="0" w:space="0" w:color="auto"/>
        <w:left w:val="none" w:sz="0" w:space="0" w:color="auto"/>
        <w:bottom w:val="none" w:sz="0" w:space="0" w:color="auto"/>
        <w:right w:val="none" w:sz="0" w:space="0" w:color="auto"/>
      </w:divBdr>
    </w:div>
    <w:div w:id="706181811">
      <w:bodyDiv w:val="1"/>
      <w:marLeft w:val="0"/>
      <w:marRight w:val="0"/>
      <w:marTop w:val="0"/>
      <w:marBottom w:val="0"/>
      <w:divBdr>
        <w:top w:val="none" w:sz="0" w:space="0" w:color="auto"/>
        <w:left w:val="none" w:sz="0" w:space="0" w:color="auto"/>
        <w:bottom w:val="none" w:sz="0" w:space="0" w:color="auto"/>
        <w:right w:val="none" w:sz="0" w:space="0" w:color="auto"/>
      </w:divBdr>
    </w:div>
    <w:div w:id="707754604">
      <w:bodyDiv w:val="1"/>
      <w:marLeft w:val="0"/>
      <w:marRight w:val="0"/>
      <w:marTop w:val="0"/>
      <w:marBottom w:val="0"/>
      <w:divBdr>
        <w:top w:val="none" w:sz="0" w:space="0" w:color="auto"/>
        <w:left w:val="none" w:sz="0" w:space="0" w:color="auto"/>
        <w:bottom w:val="none" w:sz="0" w:space="0" w:color="auto"/>
        <w:right w:val="none" w:sz="0" w:space="0" w:color="auto"/>
      </w:divBdr>
      <w:divsChild>
        <w:div w:id="1460371416">
          <w:marLeft w:val="0"/>
          <w:marRight w:val="0"/>
          <w:marTop w:val="0"/>
          <w:marBottom w:val="0"/>
          <w:divBdr>
            <w:top w:val="none" w:sz="0" w:space="0" w:color="auto"/>
            <w:left w:val="none" w:sz="0" w:space="0" w:color="auto"/>
            <w:bottom w:val="none" w:sz="0" w:space="0" w:color="auto"/>
            <w:right w:val="none" w:sz="0" w:space="0" w:color="auto"/>
          </w:divBdr>
          <w:divsChild>
            <w:div w:id="1518304410">
              <w:marLeft w:val="0"/>
              <w:marRight w:val="0"/>
              <w:marTop w:val="0"/>
              <w:marBottom w:val="0"/>
              <w:divBdr>
                <w:top w:val="none" w:sz="0" w:space="0" w:color="auto"/>
                <w:left w:val="none" w:sz="0" w:space="0" w:color="auto"/>
                <w:bottom w:val="none" w:sz="0" w:space="0" w:color="auto"/>
                <w:right w:val="none" w:sz="0" w:space="0" w:color="auto"/>
              </w:divBdr>
              <w:divsChild>
                <w:div w:id="2059744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1461836">
      <w:bodyDiv w:val="1"/>
      <w:marLeft w:val="0"/>
      <w:marRight w:val="0"/>
      <w:marTop w:val="0"/>
      <w:marBottom w:val="0"/>
      <w:divBdr>
        <w:top w:val="none" w:sz="0" w:space="0" w:color="auto"/>
        <w:left w:val="none" w:sz="0" w:space="0" w:color="auto"/>
        <w:bottom w:val="none" w:sz="0" w:space="0" w:color="auto"/>
        <w:right w:val="none" w:sz="0" w:space="0" w:color="auto"/>
      </w:divBdr>
    </w:div>
    <w:div w:id="719208116">
      <w:bodyDiv w:val="1"/>
      <w:marLeft w:val="0"/>
      <w:marRight w:val="0"/>
      <w:marTop w:val="0"/>
      <w:marBottom w:val="0"/>
      <w:divBdr>
        <w:top w:val="none" w:sz="0" w:space="0" w:color="auto"/>
        <w:left w:val="none" w:sz="0" w:space="0" w:color="auto"/>
        <w:bottom w:val="none" w:sz="0" w:space="0" w:color="auto"/>
        <w:right w:val="none" w:sz="0" w:space="0" w:color="auto"/>
      </w:divBdr>
    </w:div>
    <w:div w:id="722027563">
      <w:bodyDiv w:val="1"/>
      <w:marLeft w:val="0"/>
      <w:marRight w:val="0"/>
      <w:marTop w:val="0"/>
      <w:marBottom w:val="0"/>
      <w:divBdr>
        <w:top w:val="none" w:sz="0" w:space="0" w:color="auto"/>
        <w:left w:val="none" w:sz="0" w:space="0" w:color="auto"/>
        <w:bottom w:val="none" w:sz="0" w:space="0" w:color="auto"/>
        <w:right w:val="none" w:sz="0" w:space="0" w:color="auto"/>
      </w:divBdr>
    </w:div>
    <w:div w:id="725959051">
      <w:bodyDiv w:val="1"/>
      <w:marLeft w:val="0"/>
      <w:marRight w:val="0"/>
      <w:marTop w:val="0"/>
      <w:marBottom w:val="0"/>
      <w:divBdr>
        <w:top w:val="none" w:sz="0" w:space="0" w:color="auto"/>
        <w:left w:val="none" w:sz="0" w:space="0" w:color="auto"/>
        <w:bottom w:val="none" w:sz="0" w:space="0" w:color="auto"/>
        <w:right w:val="none" w:sz="0" w:space="0" w:color="auto"/>
      </w:divBdr>
    </w:div>
    <w:div w:id="729960611">
      <w:bodyDiv w:val="1"/>
      <w:marLeft w:val="0"/>
      <w:marRight w:val="0"/>
      <w:marTop w:val="0"/>
      <w:marBottom w:val="0"/>
      <w:divBdr>
        <w:top w:val="none" w:sz="0" w:space="0" w:color="auto"/>
        <w:left w:val="none" w:sz="0" w:space="0" w:color="auto"/>
        <w:bottom w:val="none" w:sz="0" w:space="0" w:color="auto"/>
        <w:right w:val="none" w:sz="0" w:space="0" w:color="auto"/>
      </w:divBdr>
    </w:div>
    <w:div w:id="730081634">
      <w:bodyDiv w:val="1"/>
      <w:marLeft w:val="0"/>
      <w:marRight w:val="0"/>
      <w:marTop w:val="0"/>
      <w:marBottom w:val="0"/>
      <w:divBdr>
        <w:top w:val="none" w:sz="0" w:space="0" w:color="auto"/>
        <w:left w:val="none" w:sz="0" w:space="0" w:color="auto"/>
        <w:bottom w:val="none" w:sz="0" w:space="0" w:color="auto"/>
        <w:right w:val="none" w:sz="0" w:space="0" w:color="auto"/>
      </w:divBdr>
    </w:div>
    <w:div w:id="738210508">
      <w:bodyDiv w:val="1"/>
      <w:marLeft w:val="0"/>
      <w:marRight w:val="0"/>
      <w:marTop w:val="0"/>
      <w:marBottom w:val="0"/>
      <w:divBdr>
        <w:top w:val="none" w:sz="0" w:space="0" w:color="auto"/>
        <w:left w:val="none" w:sz="0" w:space="0" w:color="auto"/>
        <w:bottom w:val="none" w:sz="0" w:space="0" w:color="auto"/>
        <w:right w:val="none" w:sz="0" w:space="0" w:color="auto"/>
      </w:divBdr>
    </w:div>
    <w:div w:id="740980532">
      <w:bodyDiv w:val="1"/>
      <w:marLeft w:val="0"/>
      <w:marRight w:val="0"/>
      <w:marTop w:val="0"/>
      <w:marBottom w:val="0"/>
      <w:divBdr>
        <w:top w:val="none" w:sz="0" w:space="0" w:color="auto"/>
        <w:left w:val="none" w:sz="0" w:space="0" w:color="auto"/>
        <w:bottom w:val="none" w:sz="0" w:space="0" w:color="auto"/>
        <w:right w:val="none" w:sz="0" w:space="0" w:color="auto"/>
      </w:divBdr>
    </w:div>
    <w:div w:id="741297568">
      <w:bodyDiv w:val="1"/>
      <w:marLeft w:val="0"/>
      <w:marRight w:val="0"/>
      <w:marTop w:val="0"/>
      <w:marBottom w:val="0"/>
      <w:divBdr>
        <w:top w:val="none" w:sz="0" w:space="0" w:color="auto"/>
        <w:left w:val="none" w:sz="0" w:space="0" w:color="auto"/>
        <w:bottom w:val="none" w:sz="0" w:space="0" w:color="auto"/>
        <w:right w:val="none" w:sz="0" w:space="0" w:color="auto"/>
      </w:divBdr>
    </w:div>
    <w:div w:id="744643061">
      <w:bodyDiv w:val="1"/>
      <w:marLeft w:val="0"/>
      <w:marRight w:val="0"/>
      <w:marTop w:val="0"/>
      <w:marBottom w:val="0"/>
      <w:divBdr>
        <w:top w:val="none" w:sz="0" w:space="0" w:color="auto"/>
        <w:left w:val="none" w:sz="0" w:space="0" w:color="auto"/>
        <w:bottom w:val="none" w:sz="0" w:space="0" w:color="auto"/>
        <w:right w:val="none" w:sz="0" w:space="0" w:color="auto"/>
      </w:divBdr>
      <w:divsChild>
        <w:div w:id="730736854">
          <w:marLeft w:val="0"/>
          <w:marRight w:val="0"/>
          <w:marTop w:val="0"/>
          <w:marBottom w:val="0"/>
          <w:divBdr>
            <w:top w:val="none" w:sz="0" w:space="0" w:color="auto"/>
            <w:left w:val="none" w:sz="0" w:space="0" w:color="auto"/>
            <w:bottom w:val="none" w:sz="0" w:space="0" w:color="auto"/>
            <w:right w:val="none" w:sz="0" w:space="0" w:color="auto"/>
          </w:divBdr>
          <w:divsChild>
            <w:div w:id="2098478022">
              <w:marLeft w:val="0"/>
              <w:marRight w:val="0"/>
              <w:marTop w:val="0"/>
              <w:marBottom w:val="0"/>
              <w:divBdr>
                <w:top w:val="none" w:sz="0" w:space="0" w:color="auto"/>
                <w:left w:val="none" w:sz="0" w:space="0" w:color="auto"/>
                <w:bottom w:val="none" w:sz="0" w:space="0" w:color="auto"/>
                <w:right w:val="none" w:sz="0" w:space="0" w:color="auto"/>
              </w:divBdr>
              <w:divsChild>
                <w:div w:id="240675664">
                  <w:marLeft w:val="0"/>
                  <w:marRight w:val="0"/>
                  <w:marTop w:val="0"/>
                  <w:marBottom w:val="0"/>
                  <w:divBdr>
                    <w:top w:val="none" w:sz="0" w:space="0" w:color="auto"/>
                    <w:left w:val="none" w:sz="0" w:space="0" w:color="auto"/>
                    <w:bottom w:val="none" w:sz="0" w:space="0" w:color="auto"/>
                    <w:right w:val="none" w:sz="0" w:space="0" w:color="auto"/>
                  </w:divBdr>
                  <w:divsChild>
                    <w:div w:id="1968317176">
                      <w:marLeft w:val="0"/>
                      <w:marRight w:val="0"/>
                      <w:marTop w:val="210"/>
                      <w:marBottom w:val="0"/>
                      <w:divBdr>
                        <w:top w:val="none" w:sz="0" w:space="0" w:color="auto"/>
                        <w:left w:val="none" w:sz="0" w:space="0" w:color="auto"/>
                        <w:bottom w:val="none" w:sz="0" w:space="0" w:color="auto"/>
                        <w:right w:val="none" w:sz="0" w:space="0" w:color="auto"/>
                      </w:divBdr>
                      <w:divsChild>
                        <w:div w:id="310788707">
                          <w:marLeft w:val="0"/>
                          <w:marRight w:val="0"/>
                          <w:marTop w:val="0"/>
                          <w:marBottom w:val="0"/>
                          <w:divBdr>
                            <w:top w:val="none" w:sz="0" w:space="0" w:color="auto"/>
                            <w:left w:val="none" w:sz="0" w:space="0" w:color="auto"/>
                            <w:bottom w:val="none" w:sz="0" w:space="0" w:color="auto"/>
                            <w:right w:val="none" w:sz="0" w:space="0" w:color="auto"/>
                          </w:divBdr>
                          <w:divsChild>
                            <w:div w:id="1562136025">
                              <w:marLeft w:val="0"/>
                              <w:marRight w:val="0"/>
                              <w:marTop w:val="0"/>
                              <w:marBottom w:val="0"/>
                              <w:divBdr>
                                <w:top w:val="none" w:sz="0" w:space="0" w:color="auto"/>
                                <w:left w:val="none" w:sz="0" w:space="0" w:color="auto"/>
                                <w:bottom w:val="none" w:sz="0" w:space="0" w:color="auto"/>
                                <w:right w:val="none" w:sz="0" w:space="0" w:color="auto"/>
                              </w:divBdr>
                              <w:divsChild>
                                <w:div w:id="793326735">
                                  <w:marLeft w:val="0"/>
                                  <w:marRight w:val="0"/>
                                  <w:marTop w:val="0"/>
                                  <w:marBottom w:val="0"/>
                                  <w:divBdr>
                                    <w:top w:val="none" w:sz="0" w:space="0" w:color="auto"/>
                                    <w:left w:val="none" w:sz="0" w:space="0" w:color="auto"/>
                                    <w:bottom w:val="none" w:sz="0" w:space="0" w:color="auto"/>
                                    <w:right w:val="none" w:sz="0" w:space="0" w:color="auto"/>
                                  </w:divBdr>
                                  <w:divsChild>
                                    <w:div w:id="1081482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51925566">
      <w:bodyDiv w:val="1"/>
      <w:marLeft w:val="0"/>
      <w:marRight w:val="0"/>
      <w:marTop w:val="0"/>
      <w:marBottom w:val="0"/>
      <w:divBdr>
        <w:top w:val="none" w:sz="0" w:space="0" w:color="auto"/>
        <w:left w:val="none" w:sz="0" w:space="0" w:color="auto"/>
        <w:bottom w:val="none" w:sz="0" w:space="0" w:color="auto"/>
        <w:right w:val="none" w:sz="0" w:space="0" w:color="auto"/>
      </w:divBdr>
      <w:divsChild>
        <w:div w:id="946083332">
          <w:marLeft w:val="0"/>
          <w:marRight w:val="0"/>
          <w:marTop w:val="0"/>
          <w:marBottom w:val="0"/>
          <w:divBdr>
            <w:top w:val="none" w:sz="0" w:space="0" w:color="auto"/>
            <w:left w:val="none" w:sz="0" w:space="0" w:color="auto"/>
            <w:bottom w:val="none" w:sz="0" w:space="0" w:color="auto"/>
            <w:right w:val="none" w:sz="0" w:space="0" w:color="auto"/>
          </w:divBdr>
          <w:divsChild>
            <w:div w:id="2023318073">
              <w:marLeft w:val="0"/>
              <w:marRight w:val="0"/>
              <w:marTop w:val="411"/>
              <w:marBottom w:val="0"/>
              <w:divBdr>
                <w:top w:val="none" w:sz="0" w:space="0" w:color="auto"/>
                <w:left w:val="none" w:sz="0" w:space="0" w:color="auto"/>
                <w:bottom w:val="none" w:sz="0" w:space="0" w:color="auto"/>
                <w:right w:val="none" w:sz="0" w:space="0" w:color="auto"/>
              </w:divBdr>
              <w:divsChild>
                <w:div w:id="1248422903">
                  <w:marLeft w:val="0"/>
                  <w:marRight w:val="0"/>
                  <w:marTop w:val="0"/>
                  <w:marBottom w:val="0"/>
                  <w:divBdr>
                    <w:top w:val="none" w:sz="0" w:space="0" w:color="auto"/>
                    <w:left w:val="none" w:sz="0" w:space="0" w:color="auto"/>
                    <w:bottom w:val="none" w:sz="0" w:space="0" w:color="auto"/>
                    <w:right w:val="none" w:sz="0" w:space="0" w:color="auto"/>
                  </w:divBdr>
                  <w:divsChild>
                    <w:div w:id="2084177045">
                      <w:marLeft w:val="79"/>
                      <w:marRight w:val="79"/>
                      <w:marTop w:val="0"/>
                      <w:marBottom w:val="0"/>
                      <w:divBdr>
                        <w:top w:val="none" w:sz="0" w:space="0" w:color="auto"/>
                        <w:left w:val="none" w:sz="0" w:space="0" w:color="auto"/>
                        <w:bottom w:val="none" w:sz="0" w:space="0" w:color="auto"/>
                        <w:right w:val="none" w:sz="0" w:space="0" w:color="auto"/>
                      </w:divBdr>
                      <w:divsChild>
                        <w:div w:id="114638258">
                          <w:marLeft w:val="0"/>
                          <w:marRight w:val="0"/>
                          <w:marTop w:val="0"/>
                          <w:marBottom w:val="0"/>
                          <w:divBdr>
                            <w:top w:val="dashed" w:sz="6" w:space="0" w:color="DDDDDD"/>
                            <w:left w:val="none" w:sz="0" w:space="0" w:color="auto"/>
                            <w:bottom w:val="none" w:sz="0" w:space="0" w:color="auto"/>
                            <w:right w:val="none" w:sz="0" w:space="0" w:color="auto"/>
                          </w:divBdr>
                          <w:divsChild>
                            <w:div w:id="1338267167">
                              <w:marLeft w:val="0"/>
                              <w:marRight w:val="0"/>
                              <w:marTop w:val="0"/>
                              <w:marBottom w:val="0"/>
                              <w:divBdr>
                                <w:top w:val="none" w:sz="0" w:space="0" w:color="auto"/>
                                <w:left w:val="none" w:sz="0" w:space="0" w:color="auto"/>
                                <w:bottom w:val="none" w:sz="0" w:space="0" w:color="auto"/>
                                <w:right w:val="none" w:sz="0" w:space="0" w:color="auto"/>
                              </w:divBdr>
                              <w:divsChild>
                                <w:div w:id="1836065263">
                                  <w:marLeft w:val="0"/>
                                  <w:marRight w:val="0"/>
                                  <w:marTop w:val="79"/>
                                  <w:marBottom w:val="79"/>
                                  <w:divBdr>
                                    <w:top w:val="none" w:sz="0" w:space="0" w:color="auto"/>
                                    <w:left w:val="none" w:sz="0" w:space="0" w:color="auto"/>
                                    <w:bottom w:val="none" w:sz="0" w:space="0" w:color="auto"/>
                                    <w:right w:val="none" w:sz="0" w:space="0" w:color="auto"/>
                                  </w:divBdr>
                                  <w:divsChild>
                                    <w:div w:id="1515998827">
                                      <w:marLeft w:val="0"/>
                                      <w:marRight w:val="0"/>
                                      <w:marTop w:val="0"/>
                                      <w:marBottom w:val="0"/>
                                      <w:divBdr>
                                        <w:top w:val="none" w:sz="0" w:space="0" w:color="auto"/>
                                        <w:left w:val="none" w:sz="0" w:space="0" w:color="auto"/>
                                        <w:bottom w:val="none" w:sz="0" w:space="0" w:color="auto"/>
                                        <w:right w:val="none" w:sz="0" w:space="0" w:color="auto"/>
                                      </w:divBdr>
                                      <w:divsChild>
                                        <w:div w:id="584647943">
                                          <w:marLeft w:val="554"/>
                                          <w:marRight w:val="0"/>
                                          <w:marTop w:val="0"/>
                                          <w:marBottom w:val="0"/>
                                          <w:divBdr>
                                            <w:top w:val="none" w:sz="0" w:space="0" w:color="auto"/>
                                            <w:left w:val="none" w:sz="0" w:space="0" w:color="auto"/>
                                            <w:bottom w:val="none" w:sz="0" w:space="0" w:color="auto"/>
                                            <w:right w:val="none" w:sz="0" w:space="0" w:color="auto"/>
                                          </w:divBdr>
                                          <w:divsChild>
                                            <w:div w:id="1122576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53014880">
      <w:bodyDiv w:val="1"/>
      <w:marLeft w:val="0"/>
      <w:marRight w:val="0"/>
      <w:marTop w:val="0"/>
      <w:marBottom w:val="0"/>
      <w:divBdr>
        <w:top w:val="none" w:sz="0" w:space="0" w:color="auto"/>
        <w:left w:val="none" w:sz="0" w:space="0" w:color="auto"/>
        <w:bottom w:val="none" w:sz="0" w:space="0" w:color="auto"/>
        <w:right w:val="none" w:sz="0" w:space="0" w:color="auto"/>
      </w:divBdr>
    </w:div>
    <w:div w:id="756050588">
      <w:bodyDiv w:val="1"/>
      <w:marLeft w:val="0"/>
      <w:marRight w:val="0"/>
      <w:marTop w:val="0"/>
      <w:marBottom w:val="0"/>
      <w:divBdr>
        <w:top w:val="none" w:sz="0" w:space="0" w:color="auto"/>
        <w:left w:val="none" w:sz="0" w:space="0" w:color="auto"/>
        <w:bottom w:val="none" w:sz="0" w:space="0" w:color="auto"/>
        <w:right w:val="none" w:sz="0" w:space="0" w:color="auto"/>
      </w:divBdr>
      <w:divsChild>
        <w:div w:id="369385193">
          <w:marLeft w:val="0"/>
          <w:marRight w:val="0"/>
          <w:marTop w:val="0"/>
          <w:marBottom w:val="0"/>
          <w:divBdr>
            <w:top w:val="none" w:sz="0" w:space="0" w:color="auto"/>
            <w:left w:val="none" w:sz="0" w:space="0" w:color="auto"/>
            <w:bottom w:val="none" w:sz="0" w:space="0" w:color="auto"/>
            <w:right w:val="none" w:sz="0" w:space="0" w:color="auto"/>
          </w:divBdr>
          <w:divsChild>
            <w:div w:id="930237392">
              <w:marLeft w:val="0"/>
              <w:marRight w:val="0"/>
              <w:marTop w:val="411"/>
              <w:marBottom w:val="0"/>
              <w:divBdr>
                <w:top w:val="none" w:sz="0" w:space="0" w:color="auto"/>
                <w:left w:val="none" w:sz="0" w:space="0" w:color="auto"/>
                <w:bottom w:val="none" w:sz="0" w:space="0" w:color="auto"/>
                <w:right w:val="none" w:sz="0" w:space="0" w:color="auto"/>
              </w:divBdr>
              <w:divsChild>
                <w:div w:id="1786997876">
                  <w:marLeft w:val="0"/>
                  <w:marRight w:val="0"/>
                  <w:marTop w:val="0"/>
                  <w:marBottom w:val="0"/>
                  <w:divBdr>
                    <w:top w:val="none" w:sz="0" w:space="0" w:color="auto"/>
                    <w:left w:val="none" w:sz="0" w:space="0" w:color="auto"/>
                    <w:bottom w:val="none" w:sz="0" w:space="0" w:color="auto"/>
                    <w:right w:val="none" w:sz="0" w:space="0" w:color="auto"/>
                  </w:divBdr>
                  <w:divsChild>
                    <w:div w:id="2105224742">
                      <w:marLeft w:val="79"/>
                      <w:marRight w:val="79"/>
                      <w:marTop w:val="0"/>
                      <w:marBottom w:val="0"/>
                      <w:divBdr>
                        <w:top w:val="none" w:sz="0" w:space="0" w:color="auto"/>
                        <w:left w:val="none" w:sz="0" w:space="0" w:color="auto"/>
                        <w:bottom w:val="none" w:sz="0" w:space="0" w:color="auto"/>
                        <w:right w:val="none" w:sz="0" w:space="0" w:color="auto"/>
                      </w:divBdr>
                      <w:divsChild>
                        <w:div w:id="1687558436">
                          <w:marLeft w:val="0"/>
                          <w:marRight w:val="0"/>
                          <w:marTop w:val="0"/>
                          <w:marBottom w:val="0"/>
                          <w:divBdr>
                            <w:top w:val="dashed" w:sz="6" w:space="0" w:color="DDDDDD"/>
                            <w:left w:val="none" w:sz="0" w:space="0" w:color="auto"/>
                            <w:bottom w:val="none" w:sz="0" w:space="0" w:color="auto"/>
                            <w:right w:val="none" w:sz="0" w:space="0" w:color="auto"/>
                          </w:divBdr>
                          <w:divsChild>
                            <w:div w:id="833883083">
                              <w:marLeft w:val="0"/>
                              <w:marRight w:val="0"/>
                              <w:marTop w:val="0"/>
                              <w:marBottom w:val="0"/>
                              <w:divBdr>
                                <w:top w:val="none" w:sz="0" w:space="0" w:color="auto"/>
                                <w:left w:val="none" w:sz="0" w:space="0" w:color="auto"/>
                                <w:bottom w:val="none" w:sz="0" w:space="0" w:color="auto"/>
                                <w:right w:val="none" w:sz="0" w:space="0" w:color="auto"/>
                              </w:divBdr>
                              <w:divsChild>
                                <w:div w:id="678890752">
                                  <w:marLeft w:val="0"/>
                                  <w:marRight w:val="0"/>
                                  <w:marTop w:val="79"/>
                                  <w:marBottom w:val="79"/>
                                  <w:divBdr>
                                    <w:top w:val="none" w:sz="0" w:space="0" w:color="auto"/>
                                    <w:left w:val="none" w:sz="0" w:space="0" w:color="auto"/>
                                    <w:bottom w:val="none" w:sz="0" w:space="0" w:color="auto"/>
                                    <w:right w:val="none" w:sz="0" w:space="0" w:color="auto"/>
                                  </w:divBdr>
                                  <w:divsChild>
                                    <w:div w:id="142478231">
                                      <w:marLeft w:val="0"/>
                                      <w:marRight w:val="0"/>
                                      <w:marTop w:val="0"/>
                                      <w:marBottom w:val="0"/>
                                      <w:divBdr>
                                        <w:top w:val="none" w:sz="0" w:space="0" w:color="auto"/>
                                        <w:left w:val="none" w:sz="0" w:space="0" w:color="auto"/>
                                        <w:bottom w:val="none" w:sz="0" w:space="0" w:color="auto"/>
                                        <w:right w:val="none" w:sz="0" w:space="0" w:color="auto"/>
                                      </w:divBdr>
                                      <w:divsChild>
                                        <w:div w:id="2017615562">
                                          <w:marLeft w:val="554"/>
                                          <w:marRight w:val="0"/>
                                          <w:marTop w:val="0"/>
                                          <w:marBottom w:val="0"/>
                                          <w:divBdr>
                                            <w:top w:val="none" w:sz="0" w:space="0" w:color="auto"/>
                                            <w:left w:val="none" w:sz="0" w:space="0" w:color="auto"/>
                                            <w:bottom w:val="none" w:sz="0" w:space="0" w:color="auto"/>
                                            <w:right w:val="none" w:sz="0" w:space="0" w:color="auto"/>
                                          </w:divBdr>
                                          <w:divsChild>
                                            <w:div w:id="479736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66193638">
      <w:bodyDiv w:val="1"/>
      <w:marLeft w:val="0"/>
      <w:marRight w:val="0"/>
      <w:marTop w:val="0"/>
      <w:marBottom w:val="0"/>
      <w:divBdr>
        <w:top w:val="none" w:sz="0" w:space="0" w:color="auto"/>
        <w:left w:val="none" w:sz="0" w:space="0" w:color="auto"/>
        <w:bottom w:val="none" w:sz="0" w:space="0" w:color="auto"/>
        <w:right w:val="none" w:sz="0" w:space="0" w:color="auto"/>
      </w:divBdr>
    </w:div>
    <w:div w:id="766465671">
      <w:bodyDiv w:val="1"/>
      <w:marLeft w:val="0"/>
      <w:marRight w:val="0"/>
      <w:marTop w:val="0"/>
      <w:marBottom w:val="0"/>
      <w:divBdr>
        <w:top w:val="none" w:sz="0" w:space="0" w:color="auto"/>
        <w:left w:val="none" w:sz="0" w:space="0" w:color="auto"/>
        <w:bottom w:val="none" w:sz="0" w:space="0" w:color="auto"/>
        <w:right w:val="none" w:sz="0" w:space="0" w:color="auto"/>
      </w:divBdr>
    </w:div>
    <w:div w:id="766848785">
      <w:bodyDiv w:val="1"/>
      <w:marLeft w:val="0"/>
      <w:marRight w:val="0"/>
      <w:marTop w:val="0"/>
      <w:marBottom w:val="0"/>
      <w:divBdr>
        <w:top w:val="none" w:sz="0" w:space="0" w:color="auto"/>
        <w:left w:val="none" w:sz="0" w:space="0" w:color="auto"/>
        <w:bottom w:val="none" w:sz="0" w:space="0" w:color="auto"/>
        <w:right w:val="none" w:sz="0" w:space="0" w:color="auto"/>
      </w:divBdr>
    </w:div>
    <w:div w:id="771318693">
      <w:bodyDiv w:val="1"/>
      <w:marLeft w:val="0"/>
      <w:marRight w:val="0"/>
      <w:marTop w:val="0"/>
      <w:marBottom w:val="0"/>
      <w:divBdr>
        <w:top w:val="none" w:sz="0" w:space="0" w:color="auto"/>
        <w:left w:val="none" w:sz="0" w:space="0" w:color="auto"/>
        <w:bottom w:val="none" w:sz="0" w:space="0" w:color="auto"/>
        <w:right w:val="none" w:sz="0" w:space="0" w:color="auto"/>
      </w:divBdr>
    </w:div>
    <w:div w:id="772743549">
      <w:bodyDiv w:val="1"/>
      <w:marLeft w:val="0"/>
      <w:marRight w:val="0"/>
      <w:marTop w:val="0"/>
      <w:marBottom w:val="0"/>
      <w:divBdr>
        <w:top w:val="none" w:sz="0" w:space="0" w:color="auto"/>
        <w:left w:val="none" w:sz="0" w:space="0" w:color="auto"/>
        <w:bottom w:val="none" w:sz="0" w:space="0" w:color="auto"/>
        <w:right w:val="none" w:sz="0" w:space="0" w:color="auto"/>
      </w:divBdr>
    </w:div>
    <w:div w:id="778331429">
      <w:bodyDiv w:val="1"/>
      <w:marLeft w:val="0"/>
      <w:marRight w:val="0"/>
      <w:marTop w:val="0"/>
      <w:marBottom w:val="0"/>
      <w:divBdr>
        <w:top w:val="none" w:sz="0" w:space="0" w:color="auto"/>
        <w:left w:val="none" w:sz="0" w:space="0" w:color="auto"/>
        <w:bottom w:val="none" w:sz="0" w:space="0" w:color="auto"/>
        <w:right w:val="none" w:sz="0" w:space="0" w:color="auto"/>
      </w:divBdr>
    </w:div>
    <w:div w:id="778377068">
      <w:bodyDiv w:val="1"/>
      <w:marLeft w:val="0"/>
      <w:marRight w:val="0"/>
      <w:marTop w:val="0"/>
      <w:marBottom w:val="0"/>
      <w:divBdr>
        <w:top w:val="none" w:sz="0" w:space="0" w:color="auto"/>
        <w:left w:val="none" w:sz="0" w:space="0" w:color="auto"/>
        <w:bottom w:val="none" w:sz="0" w:space="0" w:color="auto"/>
        <w:right w:val="none" w:sz="0" w:space="0" w:color="auto"/>
      </w:divBdr>
    </w:div>
    <w:div w:id="778838196">
      <w:bodyDiv w:val="1"/>
      <w:marLeft w:val="0"/>
      <w:marRight w:val="0"/>
      <w:marTop w:val="0"/>
      <w:marBottom w:val="0"/>
      <w:divBdr>
        <w:top w:val="none" w:sz="0" w:space="0" w:color="auto"/>
        <w:left w:val="none" w:sz="0" w:space="0" w:color="auto"/>
        <w:bottom w:val="none" w:sz="0" w:space="0" w:color="auto"/>
        <w:right w:val="none" w:sz="0" w:space="0" w:color="auto"/>
      </w:divBdr>
    </w:div>
    <w:div w:id="790513447">
      <w:bodyDiv w:val="1"/>
      <w:marLeft w:val="0"/>
      <w:marRight w:val="0"/>
      <w:marTop w:val="0"/>
      <w:marBottom w:val="0"/>
      <w:divBdr>
        <w:top w:val="none" w:sz="0" w:space="0" w:color="auto"/>
        <w:left w:val="none" w:sz="0" w:space="0" w:color="auto"/>
        <w:bottom w:val="none" w:sz="0" w:space="0" w:color="auto"/>
        <w:right w:val="none" w:sz="0" w:space="0" w:color="auto"/>
      </w:divBdr>
    </w:div>
    <w:div w:id="792135173">
      <w:bodyDiv w:val="1"/>
      <w:marLeft w:val="0"/>
      <w:marRight w:val="0"/>
      <w:marTop w:val="0"/>
      <w:marBottom w:val="0"/>
      <w:divBdr>
        <w:top w:val="none" w:sz="0" w:space="0" w:color="auto"/>
        <w:left w:val="none" w:sz="0" w:space="0" w:color="auto"/>
        <w:bottom w:val="none" w:sz="0" w:space="0" w:color="auto"/>
        <w:right w:val="none" w:sz="0" w:space="0" w:color="auto"/>
      </w:divBdr>
    </w:div>
    <w:div w:id="792332154">
      <w:bodyDiv w:val="1"/>
      <w:marLeft w:val="0"/>
      <w:marRight w:val="0"/>
      <w:marTop w:val="0"/>
      <w:marBottom w:val="0"/>
      <w:divBdr>
        <w:top w:val="none" w:sz="0" w:space="0" w:color="auto"/>
        <w:left w:val="none" w:sz="0" w:space="0" w:color="auto"/>
        <w:bottom w:val="none" w:sz="0" w:space="0" w:color="auto"/>
        <w:right w:val="none" w:sz="0" w:space="0" w:color="auto"/>
      </w:divBdr>
    </w:div>
    <w:div w:id="794641773">
      <w:bodyDiv w:val="1"/>
      <w:marLeft w:val="0"/>
      <w:marRight w:val="0"/>
      <w:marTop w:val="0"/>
      <w:marBottom w:val="0"/>
      <w:divBdr>
        <w:top w:val="none" w:sz="0" w:space="0" w:color="auto"/>
        <w:left w:val="none" w:sz="0" w:space="0" w:color="auto"/>
        <w:bottom w:val="none" w:sz="0" w:space="0" w:color="auto"/>
        <w:right w:val="none" w:sz="0" w:space="0" w:color="auto"/>
      </w:divBdr>
      <w:divsChild>
        <w:div w:id="570624756">
          <w:marLeft w:val="0"/>
          <w:marRight w:val="0"/>
          <w:marTop w:val="0"/>
          <w:marBottom w:val="0"/>
          <w:divBdr>
            <w:top w:val="none" w:sz="0" w:space="0" w:color="auto"/>
            <w:left w:val="none" w:sz="0" w:space="0" w:color="auto"/>
            <w:bottom w:val="none" w:sz="0" w:space="0" w:color="auto"/>
            <w:right w:val="none" w:sz="0" w:space="0" w:color="auto"/>
          </w:divBdr>
        </w:div>
        <w:div w:id="1382436549">
          <w:marLeft w:val="0"/>
          <w:marRight w:val="0"/>
          <w:marTop w:val="0"/>
          <w:marBottom w:val="0"/>
          <w:divBdr>
            <w:top w:val="none" w:sz="0" w:space="0" w:color="auto"/>
            <w:left w:val="none" w:sz="0" w:space="0" w:color="auto"/>
            <w:bottom w:val="none" w:sz="0" w:space="0" w:color="auto"/>
            <w:right w:val="none" w:sz="0" w:space="0" w:color="auto"/>
          </w:divBdr>
        </w:div>
        <w:div w:id="1869366561">
          <w:marLeft w:val="0"/>
          <w:marRight w:val="0"/>
          <w:marTop w:val="0"/>
          <w:marBottom w:val="0"/>
          <w:divBdr>
            <w:top w:val="none" w:sz="0" w:space="0" w:color="auto"/>
            <w:left w:val="none" w:sz="0" w:space="0" w:color="auto"/>
            <w:bottom w:val="none" w:sz="0" w:space="0" w:color="auto"/>
            <w:right w:val="none" w:sz="0" w:space="0" w:color="auto"/>
          </w:divBdr>
        </w:div>
      </w:divsChild>
    </w:div>
    <w:div w:id="796948964">
      <w:bodyDiv w:val="1"/>
      <w:marLeft w:val="0"/>
      <w:marRight w:val="0"/>
      <w:marTop w:val="0"/>
      <w:marBottom w:val="0"/>
      <w:divBdr>
        <w:top w:val="none" w:sz="0" w:space="0" w:color="auto"/>
        <w:left w:val="none" w:sz="0" w:space="0" w:color="auto"/>
        <w:bottom w:val="none" w:sz="0" w:space="0" w:color="auto"/>
        <w:right w:val="none" w:sz="0" w:space="0" w:color="auto"/>
      </w:divBdr>
      <w:divsChild>
        <w:div w:id="1871338333">
          <w:marLeft w:val="0"/>
          <w:marRight w:val="0"/>
          <w:marTop w:val="0"/>
          <w:marBottom w:val="0"/>
          <w:divBdr>
            <w:top w:val="none" w:sz="0" w:space="0" w:color="auto"/>
            <w:left w:val="none" w:sz="0" w:space="0" w:color="auto"/>
            <w:bottom w:val="none" w:sz="0" w:space="0" w:color="auto"/>
            <w:right w:val="none" w:sz="0" w:space="0" w:color="auto"/>
          </w:divBdr>
        </w:div>
      </w:divsChild>
    </w:div>
    <w:div w:id="808715533">
      <w:bodyDiv w:val="1"/>
      <w:marLeft w:val="0"/>
      <w:marRight w:val="0"/>
      <w:marTop w:val="0"/>
      <w:marBottom w:val="0"/>
      <w:divBdr>
        <w:top w:val="none" w:sz="0" w:space="0" w:color="auto"/>
        <w:left w:val="none" w:sz="0" w:space="0" w:color="auto"/>
        <w:bottom w:val="none" w:sz="0" w:space="0" w:color="auto"/>
        <w:right w:val="none" w:sz="0" w:space="0" w:color="auto"/>
      </w:divBdr>
    </w:div>
    <w:div w:id="811144039">
      <w:bodyDiv w:val="1"/>
      <w:marLeft w:val="0"/>
      <w:marRight w:val="0"/>
      <w:marTop w:val="0"/>
      <w:marBottom w:val="0"/>
      <w:divBdr>
        <w:top w:val="none" w:sz="0" w:space="0" w:color="auto"/>
        <w:left w:val="none" w:sz="0" w:space="0" w:color="auto"/>
        <w:bottom w:val="none" w:sz="0" w:space="0" w:color="auto"/>
        <w:right w:val="none" w:sz="0" w:space="0" w:color="auto"/>
      </w:divBdr>
    </w:div>
    <w:div w:id="815340348">
      <w:bodyDiv w:val="1"/>
      <w:marLeft w:val="0"/>
      <w:marRight w:val="0"/>
      <w:marTop w:val="0"/>
      <w:marBottom w:val="0"/>
      <w:divBdr>
        <w:top w:val="none" w:sz="0" w:space="0" w:color="auto"/>
        <w:left w:val="none" w:sz="0" w:space="0" w:color="auto"/>
        <w:bottom w:val="none" w:sz="0" w:space="0" w:color="auto"/>
        <w:right w:val="none" w:sz="0" w:space="0" w:color="auto"/>
      </w:divBdr>
    </w:div>
    <w:div w:id="815343996">
      <w:bodyDiv w:val="1"/>
      <w:marLeft w:val="0"/>
      <w:marRight w:val="0"/>
      <w:marTop w:val="0"/>
      <w:marBottom w:val="0"/>
      <w:divBdr>
        <w:top w:val="none" w:sz="0" w:space="0" w:color="auto"/>
        <w:left w:val="none" w:sz="0" w:space="0" w:color="auto"/>
        <w:bottom w:val="none" w:sz="0" w:space="0" w:color="auto"/>
        <w:right w:val="none" w:sz="0" w:space="0" w:color="auto"/>
      </w:divBdr>
      <w:divsChild>
        <w:div w:id="90973992">
          <w:marLeft w:val="0"/>
          <w:marRight w:val="0"/>
          <w:marTop w:val="0"/>
          <w:marBottom w:val="0"/>
          <w:divBdr>
            <w:top w:val="none" w:sz="0" w:space="0" w:color="auto"/>
            <w:left w:val="none" w:sz="0" w:space="0" w:color="auto"/>
            <w:bottom w:val="none" w:sz="0" w:space="0" w:color="auto"/>
            <w:right w:val="none" w:sz="0" w:space="0" w:color="auto"/>
          </w:divBdr>
        </w:div>
        <w:div w:id="566037293">
          <w:marLeft w:val="0"/>
          <w:marRight w:val="0"/>
          <w:marTop w:val="0"/>
          <w:marBottom w:val="0"/>
          <w:divBdr>
            <w:top w:val="none" w:sz="0" w:space="0" w:color="auto"/>
            <w:left w:val="none" w:sz="0" w:space="0" w:color="auto"/>
            <w:bottom w:val="none" w:sz="0" w:space="0" w:color="auto"/>
            <w:right w:val="none" w:sz="0" w:space="0" w:color="auto"/>
          </w:divBdr>
        </w:div>
        <w:div w:id="612052263">
          <w:marLeft w:val="0"/>
          <w:marRight w:val="0"/>
          <w:marTop w:val="0"/>
          <w:marBottom w:val="0"/>
          <w:divBdr>
            <w:top w:val="none" w:sz="0" w:space="0" w:color="auto"/>
            <w:left w:val="none" w:sz="0" w:space="0" w:color="auto"/>
            <w:bottom w:val="none" w:sz="0" w:space="0" w:color="auto"/>
            <w:right w:val="none" w:sz="0" w:space="0" w:color="auto"/>
          </w:divBdr>
        </w:div>
        <w:div w:id="984896297">
          <w:marLeft w:val="0"/>
          <w:marRight w:val="0"/>
          <w:marTop w:val="0"/>
          <w:marBottom w:val="0"/>
          <w:divBdr>
            <w:top w:val="none" w:sz="0" w:space="0" w:color="auto"/>
            <w:left w:val="none" w:sz="0" w:space="0" w:color="auto"/>
            <w:bottom w:val="none" w:sz="0" w:space="0" w:color="auto"/>
            <w:right w:val="none" w:sz="0" w:space="0" w:color="auto"/>
          </w:divBdr>
        </w:div>
        <w:div w:id="1120106970">
          <w:marLeft w:val="0"/>
          <w:marRight w:val="0"/>
          <w:marTop w:val="0"/>
          <w:marBottom w:val="0"/>
          <w:divBdr>
            <w:top w:val="none" w:sz="0" w:space="0" w:color="auto"/>
            <w:left w:val="none" w:sz="0" w:space="0" w:color="auto"/>
            <w:bottom w:val="none" w:sz="0" w:space="0" w:color="auto"/>
            <w:right w:val="none" w:sz="0" w:space="0" w:color="auto"/>
          </w:divBdr>
        </w:div>
        <w:div w:id="1193691251">
          <w:marLeft w:val="0"/>
          <w:marRight w:val="0"/>
          <w:marTop w:val="0"/>
          <w:marBottom w:val="0"/>
          <w:divBdr>
            <w:top w:val="none" w:sz="0" w:space="0" w:color="auto"/>
            <w:left w:val="none" w:sz="0" w:space="0" w:color="auto"/>
            <w:bottom w:val="none" w:sz="0" w:space="0" w:color="auto"/>
            <w:right w:val="none" w:sz="0" w:space="0" w:color="auto"/>
          </w:divBdr>
        </w:div>
        <w:div w:id="1205142547">
          <w:marLeft w:val="0"/>
          <w:marRight w:val="0"/>
          <w:marTop w:val="0"/>
          <w:marBottom w:val="0"/>
          <w:divBdr>
            <w:top w:val="none" w:sz="0" w:space="0" w:color="auto"/>
            <w:left w:val="none" w:sz="0" w:space="0" w:color="auto"/>
            <w:bottom w:val="none" w:sz="0" w:space="0" w:color="auto"/>
            <w:right w:val="none" w:sz="0" w:space="0" w:color="auto"/>
          </w:divBdr>
        </w:div>
        <w:div w:id="1214079865">
          <w:marLeft w:val="0"/>
          <w:marRight w:val="0"/>
          <w:marTop w:val="0"/>
          <w:marBottom w:val="0"/>
          <w:divBdr>
            <w:top w:val="none" w:sz="0" w:space="0" w:color="auto"/>
            <w:left w:val="none" w:sz="0" w:space="0" w:color="auto"/>
            <w:bottom w:val="none" w:sz="0" w:space="0" w:color="auto"/>
            <w:right w:val="none" w:sz="0" w:space="0" w:color="auto"/>
          </w:divBdr>
        </w:div>
        <w:div w:id="1253320769">
          <w:marLeft w:val="0"/>
          <w:marRight w:val="0"/>
          <w:marTop w:val="0"/>
          <w:marBottom w:val="0"/>
          <w:divBdr>
            <w:top w:val="none" w:sz="0" w:space="0" w:color="auto"/>
            <w:left w:val="none" w:sz="0" w:space="0" w:color="auto"/>
            <w:bottom w:val="none" w:sz="0" w:space="0" w:color="auto"/>
            <w:right w:val="none" w:sz="0" w:space="0" w:color="auto"/>
          </w:divBdr>
        </w:div>
        <w:div w:id="1256741376">
          <w:marLeft w:val="0"/>
          <w:marRight w:val="0"/>
          <w:marTop w:val="0"/>
          <w:marBottom w:val="0"/>
          <w:divBdr>
            <w:top w:val="none" w:sz="0" w:space="0" w:color="auto"/>
            <w:left w:val="none" w:sz="0" w:space="0" w:color="auto"/>
            <w:bottom w:val="none" w:sz="0" w:space="0" w:color="auto"/>
            <w:right w:val="none" w:sz="0" w:space="0" w:color="auto"/>
          </w:divBdr>
        </w:div>
        <w:div w:id="1261915624">
          <w:marLeft w:val="0"/>
          <w:marRight w:val="0"/>
          <w:marTop w:val="0"/>
          <w:marBottom w:val="0"/>
          <w:divBdr>
            <w:top w:val="none" w:sz="0" w:space="0" w:color="auto"/>
            <w:left w:val="none" w:sz="0" w:space="0" w:color="auto"/>
            <w:bottom w:val="none" w:sz="0" w:space="0" w:color="auto"/>
            <w:right w:val="none" w:sz="0" w:space="0" w:color="auto"/>
          </w:divBdr>
        </w:div>
        <w:div w:id="1326788986">
          <w:marLeft w:val="0"/>
          <w:marRight w:val="0"/>
          <w:marTop w:val="0"/>
          <w:marBottom w:val="0"/>
          <w:divBdr>
            <w:top w:val="none" w:sz="0" w:space="0" w:color="auto"/>
            <w:left w:val="none" w:sz="0" w:space="0" w:color="auto"/>
            <w:bottom w:val="none" w:sz="0" w:space="0" w:color="auto"/>
            <w:right w:val="none" w:sz="0" w:space="0" w:color="auto"/>
          </w:divBdr>
        </w:div>
        <w:div w:id="1618102592">
          <w:marLeft w:val="0"/>
          <w:marRight w:val="0"/>
          <w:marTop w:val="0"/>
          <w:marBottom w:val="0"/>
          <w:divBdr>
            <w:top w:val="none" w:sz="0" w:space="0" w:color="auto"/>
            <w:left w:val="none" w:sz="0" w:space="0" w:color="auto"/>
            <w:bottom w:val="none" w:sz="0" w:space="0" w:color="auto"/>
            <w:right w:val="none" w:sz="0" w:space="0" w:color="auto"/>
          </w:divBdr>
        </w:div>
        <w:div w:id="1697464920">
          <w:marLeft w:val="0"/>
          <w:marRight w:val="0"/>
          <w:marTop w:val="0"/>
          <w:marBottom w:val="0"/>
          <w:divBdr>
            <w:top w:val="none" w:sz="0" w:space="0" w:color="auto"/>
            <w:left w:val="none" w:sz="0" w:space="0" w:color="auto"/>
            <w:bottom w:val="none" w:sz="0" w:space="0" w:color="auto"/>
            <w:right w:val="none" w:sz="0" w:space="0" w:color="auto"/>
          </w:divBdr>
        </w:div>
        <w:div w:id="1974208799">
          <w:marLeft w:val="0"/>
          <w:marRight w:val="0"/>
          <w:marTop w:val="0"/>
          <w:marBottom w:val="0"/>
          <w:divBdr>
            <w:top w:val="none" w:sz="0" w:space="0" w:color="auto"/>
            <w:left w:val="none" w:sz="0" w:space="0" w:color="auto"/>
            <w:bottom w:val="none" w:sz="0" w:space="0" w:color="auto"/>
            <w:right w:val="none" w:sz="0" w:space="0" w:color="auto"/>
          </w:divBdr>
        </w:div>
        <w:div w:id="2075352295">
          <w:marLeft w:val="0"/>
          <w:marRight w:val="0"/>
          <w:marTop w:val="0"/>
          <w:marBottom w:val="0"/>
          <w:divBdr>
            <w:top w:val="none" w:sz="0" w:space="0" w:color="auto"/>
            <w:left w:val="none" w:sz="0" w:space="0" w:color="auto"/>
            <w:bottom w:val="none" w:sz="0" w:space="0" w:color="auto"/>
            <w:right w:val="none" w:sz="0" w:space="0" w:color="auto"/>
          </w:divBdr>
        </w:div>
      </w:divsChild>
    </w:div>
    <w:div w:id="821043494">
      <w:bodyDiv w:val="1"/>
      <w:marLeft w:val="0"/>
      <w:marRight w:val="0"/>
      <w:marTop w:val="0"/>
      <w:marBottom w:val="0"/>
      <w:divBdr>
        <w:top w:val="none" w:sz="0" w:space="0" w:color="auto"/>
        <w:left w:val="none" w:sz="0" w:space="0" w:color="auto"/>
        <w:bottom w:val="none" w:sz="0" w:space="0" w:color="auto"/>
        <w:right w:val="none" w:sz="0" w:space="0" w:color="auto"/>
      </w:divBdr>
    </w:div>
    <w:div w:id="822087315">
      <w:bodyDiv w:val="1"/>
      <w:marLeft w:val="0"/>
      <w:marRight w:val="0"/>
      <w:marTop w:val="0"/>
      <w:marBottom w:val="0"/>
      <w:divBdr>
        <w:top w:val="none" w:sz="0" w:space="0" w:color="auto"/>
        <w:left w:val="none" w:sz="0" w:space="0" w:color="auto"/>
        <w:bottom w:val="none" w:sz="0" w:space="0" w:color="auto"/>
        <w:right w:val="none" w:sz="0" w:space="0" w:color="auto"/>
      </w:divBdr>
    </w:div>
    <w:div w:id="825976386">
      <w:bodyDiv w:val="1"/>
      <w:marLeft w:val="0"/>
      <w:marRight w:val="0"/>
      <w:marTop w:val="0"/>
      <w:marBottom w:val="0"/>
      <w:divBdr>
        <w:top w:val="none" w:sz="0" w:space="0" w:color="auto"/>
        <w:left w:val="none" w:sz="0" w:space="0" w:color="auto"/>
        <w:bottom w:val="none" w:sz="0" w:space="0" w:color="auto"/>
        <w:right w:val="none" w:sz="0" w:space="0" w:color="auto"/>
      </w:divBdr>
    </w:div>
    <w:div w:id="826559322">
      <w:bodyDiv w:val="1"/>
      <w:marLeft w:val="0"/>
      <w:marRight w:val="0"/>
      <w:marTop w:val="0"/>
      <w:marBottom w:val="0"/>
      <w:divBdr>
        <w:top w:val="none" w:sz="0" w:space="0" w:color="auto"/>
        <w:left w:val="none" w:sz="0" w:space="0" w:color="auto"/>
        <w:bottom w:val="none" w:sz="0" w:space="0" w:color="auto"/>
        <w:right w:val="none" w:sz="0" w:space="0" w:color="auto"/>
      </w:divBdr>
      <w:divsChild>
        <w:div w:id="1275674169">
          <w:marLeft w:val="0"/>
          <w:marRight w:val="0"/>
          <w:marTop w:val="0"/>
          <w:marBottom w:val="0"/>
          <w:divBdr>
            <w:top w:val="none" w:sz="0" w:space="0" w:color="auto"/>
            <w:left w:val="none" w:sz="0" w:space="0" w:color="auto"/>
            <w:bottom w:val="none" w:sz="0" w:space="0" w:color="auto"/>
            <w:right w:val="none" w:sz="0" w:space="0" w:color="auto"/>
          </w:divBdr>
          <w:divsChild>
            <w:div w:id="399137156">
              <w:marLeft w:val="0"/>
              <w:marRight w:val="0"/>
              <w:marTop w:val="411"/>
              <w:marBottom w:val="0"/>
              <w:divBdr>
                <w:top w:val="none" w:sz="0" w:space="0" w:color="auto"/>
                <w:left w:val="none" w:sz="0" w:space="0" w:color="auto"/>
                <w:bottom w:val="none" w:sz="0" w:space="0" w:color="auto"/>
                <w:right w:val="none" w:sz="0" w:space="0" w:color="auto"/>
              </w:divBdr>
              <w:divsChild>
                <w:div w:id="2094085755">
                  <w:marLeft w:val="0"/>
                  <w:marRight w:val="0"/>
                  <w:marTop w:val="0"/>
                  <w:marBottom w:val="0"/>
                  <w:divBdr>
                    <w:top w:val="none" w:sz="0" w:space="0" w:color="auto"/>
                    <w:left w:val="none" w:sz="0" w:space="0" w:color="auto"/>
                    <w:bottom w:val="none" w:sz="0" w:space="0" w:color="auto"/>
                    <w:right w:val="none" w:sz="0" w:space="0" w:color="auto"/>
                  </w:divBdr>
                  <w:divsChild>
                    <w:div w:id="478500990">
                      <w:marLeft w:val="79"/>
                      <w:marRight w:val="79"/>
                      <w:marTop w:val="0"/>
                      <w:marBottom w:val="0"/>
                      <w:divBdr>
                        <w:top w:val="none" w:sz="0" w:space="0" w:color="auto"/>
                        <w:left w:val="none" w:sz="0" w:space="0" w:color="auto"/>
                        <w:bottom w:val="none" w:sz="0" w:space="0" w:color="auto"/>
                        <w:right w:val="none" w:sz="0" w:space="0" w:color="auto"/>
                      </w:divBdr>
                      <w:divsChild>
                        <w:div w:id="1333528510">
                          <w:marLeft w:val="0"/>
                          <w:marRight w:val="0"/>
                          <w:marTop w:val="0"/>
                          <w:marBottom w:val="0"/>
                          <w:divBdr>
                            <w:top w:val="dashed" w:sz="6" w:space="0" w:color="DDDDDD"/>
                            <w:left w:val="none" w:sz="0" w:space="0" w:color="auto"/>
                            <w:bottom w:val="none" w:sz="0" w:space="0" w:color="auto"/>
                            <w:right w:val="none" w:sz="0" w:space="0" w:color="auto"/>
                          </w:divBdr>
                          <w:divsChild>
                            <w:div w:id="623386665">
                              <w:marLeft w:val="0"/>
                              <w:marRight w:val="0"/>
                              <w:marTop w:val="0"/>
                              <w:marBottom w:val="0"/>
                              <w:divBdr>
                                <w:top w:val="none" w:sz="0" w:space="0" w:color="auto"/>
                                <w:left w:val="none" w:sz="0" w:space="0" w:color="auto"/>
                                <w:bottom w:val="none" w:sz="0" w:space="0" w:color="auto"/>
                                <w:right w:val="none" w:sz="0" w:space="0" w:color="auto"/>
                              </w:divBdr>
                              <w:divsChild>
                                <w:div w:id="336032530">
                                  <w:marLeft w:val="0"/>
                                  <w:marRight w:val="0"/>
                                  <w:marTop w:val="79"/>
                                  <w:marBottom w:val="79"/>
                                  <w:divBdr>
                                    <w:top w:val="none" w:sz="0" w:space="0" w:color="auto"/>
                                    <w:left w:val="none" w:sz="0" w:space="0" w:color="auto"/>
                                    <w:bottom w:val="none" w:sz="0" w:space="0" w:color="auto"/>
                                    <w:right w:val="none" w:sz="0" w:space="0" w:color="auto"/>
                                  </w:divBdr>
                                  <w:divsChild>
                                    <w:div w:id="514422472">
                                      <w:marLeft w:val="0"/>
                                      <w:marRight w:val="0"/>
                                      <w:marTop w:val="0"/>
                                      <w:marBottom w:val="0"/>
                                      <w:divBdr>
                                        <w:top w:val="none" w:sz="0" w:space="0" w:color="auto"/>
                                        <w:left w:val="none" w:sz="0" w:space="0" w:color="auto"/>
                                        <w:bottom w:val="none" w:sz="0" w:space="0" w:color="auto"/>
                                        <w:right w:val="none" w:sz="0" w:space="0" w:color="auto"/>
                                      </w:divBdr>
                                      <w:divsChild>
                                        <w:div w:id="1980307368">
                                          <w:marLeft w:val="554"/>
                                          <w:marRight w:val="0"/>
                                          <w:marTop w:val="0"/>
                                          <w:marBottom w:val="0"/>
                                          <w:divBdr>
                                            <w:top w:val="none" w:sz="0" w:space="0" w:color="auto"/>
                                            <w:left w:val="none" w:sz="0" w:space="0" w:color="auto"/>
                                            <w:bottom w:val="none" w:sz="0" w:space="0" w:color="auto"/>
                                            <w:right w:val="none" w:sz="0" w:space="0" w:color="auto"/>
                                          </w:divBdr>
                                          <w:divsChild>
                                            <w:div w:id="1007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28329604">
      <w:bodyDiv w:val="1"/>
      <w:marLeft w:val="0"/>
      <w:marRight w:val="0"/>
      <w:marTop w:val="0"/>
      <w:marBottom w:val="0"/>
      <w:divBdr>
        <w:top w:val="none" w:sz="0" w:space="0" w:color="auto"/>
        <w:left w:val="none" w:sz="0" w:space="0" w:color="auto"/>
        <w:bottom w:val="none" w:sz="0" w:space="0" w:color="auto"/>
        <w:right w:val="none" w:sz="0" w:space="0" w:color="auto"/>
      </w:divBdr>
    </w:div>
    <w:div w:id="836457524">
      <w:bodyDiv w:val="1"/>
      <w:marLeft w:val="0"/>
      <w:marRight w:val="0"/>
      <w:marTop w:val="0"/>
      <w:marBottom w:val="0"/>
      <w:divBdr>
        <w:top w:val="none" w:sz="0" w:space="0" w:color="auto"/>
        <w:left w:val="none" w:sz="0" w:space="0" w:color="auto"/>
        <w:bottom w:val="none" w:sz="0" w:space="0" w:color="auto"/>
        <w:right w:val="none" w:sz="0" w:space="0" w:color="auto"/>
      </w:divBdr>
    </w:div>
    <w:div w:id="837422223">
      <w:bodyDiv w:val="1"/>
      <w:marLeft w:val="0"/>
      <w:marRight w:val="0"/>
      <w:marTop w:val="0"/>
      <w:marBottom w:val="0"/>
      <w:divBdr>
        <w:top w:val="none" w:sz="0" w:space="0" w:color="auto"/>
        <w:left w:val="none" w:sz="0" w:space="0" w:color="auto"/>
        <w:bottom w:val="none" w:sz="0" w:space="0" w:color="auto"/>
        <w:right w:val="none" w:sz="0" w:space="0" w:color="auto"/>
      </w:divBdr>
    </w:div>
    <w:div w:id="840700884">
      <w:bodyDiv w:val="1"/>
      <w:marLeft w:val="0"/>
      <w:marRight w:val="0"/>
      <w:marTop w:val="0"/>
      <w:marBottom w:val="0"/>
      <w:divBdr>
        <w:top w:val="none" w:sz="0" w:space="0" w:color="auto"/>
        <w:left w:val="none" w:sz="0" w:space="0" w:color="auto"/>
        <w:bottom w:val="none" w:sz="0" w:space="0" w:color="auto"/>
        <w:right w:val="none" w:sz="0" w:space="0" w:color="auto"/>
      </w:divBdr>
    </w:div>
    <w:div w:id="846285386">
      <w:bodyDiv w:val="1"/>
      <w:marLeft w:val="0"/>
      <w:marRight w:val="0"/>
      <w:marTop w:val="0"/>
      <w:marBottom w:val="0"/>
      <w:divBdr>
        <w:top w:val="none" w:sz="0" w:space="0" w:color="auto"/>
        <w:left w:val="none" w:sz="0" w:space="0" w:color="auto"/>
        <w:bottom w:val="none" w:sz="0" w:space="0" w:color="auto"/>
        <w:right w:val="none" w:sz="0" w:space="0" w:color="auto"/>
      </w:divBdr>
    </w:div>
    <w:div w:id="848258140">
      <w:bodyDiv w:val="1"/>
      <w:marLeft w:val="0"/>
      <w:marRight w:val="0"/>
      <w:marTop w:val="0"/>
      <w:marBottom w:val="0"/>
      <w:divBdr>
        <w:top w:val="none" w:sz="0" w:space="0" w:color="auto"/>
        <w:left w:val="none" w:sz="0" w:space="0" w:color="auto"/>
        <w:bottom w:val="none" w:sz="0" w:space="0" w:color="auto"/>
        <w:right w:val="none" w:sz="0" w:space="0" w:color="auto"/>
      </w:divBdr>
    </w:div>
    <w:div w:id="853416535">
      <w:bodyDiv w:val="1"/>
      <w:marLeft w:val="0"/>
      <w:marRight w:val="0"/>
      <w:marTop w:val="0"/>
      <w:marBottom w:val="0"/>
      <w:divBdr>
        <w:top w:val="none" w:sz="0" w:space="0" w:color="auto"/>
        <w:left w:val="none" w:sz="0" w:space="0" w:color="auto"/>
        <w:bottom w:val="none" w:sz="0" w:space="0" w:color="auto"/>
        <w:right w:val="none" w:sz="0" w:space="0" w:color="auto"/>
      </w:divBdr>
    </w:div>
    <w:div w:id="854461312">
      <w:bodyDiv w:val="1"/>
      <w:marLeft w:val="0"/>
      <w:marRight w:val="0"/>
      <w:marTop w:val="0"/>
      <w:marBottom w:val="0"/>
      <w:divBdr>
        <w:top w:val="none" w:sz="0" w:space="0" w:color="auto"/>
        <w:left w:val="none" w:sz="0" w:space="0" w:color="auto"/>
        <w:bottom w:val="none" w:sz="0" w:space="0" w:color="auto"/>
        <w:right w:val="none" w:sz="0" w:space="0" w:color="auto"/>
      </w:divBdr>
      <w:divsChild>
        <w:div w:id="1415275084">
          <w:marLeft w:val="0"/>
          <w:marRight w:val="0"/>
          <w:marTop w:val="0"/>
          <w:marBottom w:val="0"/>
          <w:divBdr>
            <w:top w:val="none" w:sz="0" w:space="0" w:color="auto"/>
            <w:left w:val="none" w:sz="0" w:space="0" w:color="auto"/>
            <w:bottom w:val="none" w:sz="0" w:space="0" w:color="auto"/>
            <w:right w:val="none" w:sz="0" w:space="0" w:color="auto"/>
          </w:divBdr>
          <w:divsChild>
            <w:div w:id="599948659">
              <w:marLeft w:val="0"/>
              <w:marRight w:val="0"/>
              <w:marTop w:val="411"/>
              <w:marBottom w:val="0"/>
              <w:divBdr>
                <w:top w:val="none" w:sz="0" w:space="0" w:color="auto"/>
                <w:left w:val="none" w:sz="0" w:space="0" w:color="auto"/>
                <w:bottom w:val="none" w:sz="0" w:space="0" w:color="auto"/>
                <w:right w:val="none" w:sz="0" w:space="0" w:color="auto"/>
              </w:divBdr>
              <w:divsChild>
                <w:div w:id="103691415">
                  <w:marLeft w:val="0"/>
                  <w:marRight w:val="0"/>
                  <w:marTop w:val="0"/>
                  <w:marBottom w:val="0"/>
                  <w:divBdr>
                    <w:top w:val="none" w:sz="0" w:space="0" w:color="auto"/>
                    <w:left w:val="none" w:sz="0" w:space="0" w:color="auto"/>
                    <w:bottom w:val="none" w:sz="0" w:space="0" w:color="auto"/>
                    <w:right w:val="none" w:sz="0" w:space="0" w:color="auto"/>
                  </w:divBdr>
                  <w:divsChild>
                    <w:div w:id="1563440172">
                      <w:marLeft w:val="79"/>
                      <w:marRight w:val="79"/>
                      <w:marTop w:val="0"/>
                      <w:marBottom w:val="0"/>
                      <w:divBdr>
                        <w:top w:val="none" w:sz="0" w:space="0" w:color="auto"/>
                        <w:left w:val="none" w:sz="0" w:space="0" w:color="auto"/>
                        <w:bottom w:val="none" w:sz="0" w:space="0" w:color="auto"/>
                        <w:right w:val="none" w:sz="0" w:space="0" w:color="auto"/>
                      </w:divBdr>
                      <w:divsChild>
                        <w:div w:id="1641616234">
                          <w:marLeft w:val="0"/>
                          <w:marRight w:val="0"/>
                          <w:marTop w:val="0"/>
                          <w:marBottom w:val="0"/>
                          <w:divBdr>
                            <w:top w:val="dashed" w:sz="6" w:space="0" w:color="DDDDDD"/>
                            <w:left w:val="none" w:sz="0" w:space="0" w:color="auto"/>
                            <w:bottom w:val="none" w:sz="0" w:space="0" w:color="auto"/>
                            <w:right w:val="none" w:sz="0" w:space="0" w:color="auto"/>
                          </w:divBdr>
                          <w:divsChild>
                            <w:div w:id="586160015">
                              <w:marLeft w:val="0"/>
                              <w:marRight w:val="0"/>
                              <w:marTop w:val="0"/>
                              <w:marBottom w:val="0"/>
                              <w:divBdr>
                                <w:top w:val="none" w:sz="0" w:space="0" w:color="auto"/>
                                <w:left w:val="none" w:sz="0" w:space="0" w:color="auto"/>
                                <w:bottom w:val="none" w:sz="0" w:space="0" w:color="auto"/>
                                <w:right w:val="none" w:sz="0" w:space="0" w:color="auto"/>
                              </w:divBdr>
                              <w:divsChild>
                                <w:div w:id="399181755">
                                  <w:marLeft w:val="0"/>
                                  <w:marRight w:val="0"/>
                                  <w:marTop w:val="79"/>
                                  <w:marBottom w:val="79"/>
                                  <w:divBdr>
                                    <w:top w:val="none" w:sz="0" w:space="0" w:color="auto"/>
                                    <w:left w:val="none" w:sz="0" w:space="0" w:color="auto"/>
                                    <w:bottom w:val="none" w:sz="0" w:space="0" w:color="auto"/>
                                    <w:right w:val="none" w:sz="0" w:space="0" w:color="auto"/>
                                  </w:divBdr>
                                  <w:divsChild>
                                    <w:div w:id="1072393871">
                                      <w:marLeft w:val="0"/>
                                      <w:marRight w:val="0"/>
                                      <w:marTop w:val="0"/>
                                      <w:marBottom w:val="0"/>
                                      <w:divBdr>
                                        <w:top w:val="none" w:sz="0" w:space="0" w:color="auto"/>
                                        <w:left w:val="none" w:sz="0" w:space="0" w:color="auto"/>
                                        <w:bottom w:val="none" w:sz="0" w:space="0" w:color="auto"/>
                                        <w:right w:val="none" w:sz="0" w:space="0" w:color="auto"/>
                                      </w:divBdr>
                                      <w:divsChild>
                                        <w:div w:id="2046370483">
                                          <w:marLeft w:val="554"/>
                                          <w:marRight w:val="0"/>
                                          <w:marTop w:val="0"/>
                                          <w:marBottom w:val="0"/>
                                          <w:divBdr>
                                            <w:top w:val="none" w:sz="0" w:space="0" w:color="auto"/>
                                            <w:left w:val="none" w:sz="0" w:space="0" w:color="auto"/>
                                            <w:bottom w:val="none" w:sz="0" w:space="0" w:color="auto"/>
                                            <w:right w:val="none" w:sz="0" w:space="0" w:color="auto"/>
                                          </w:divBdr>
                                          <w:divsChild>
                                            <w:div w:id="256670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55535629">
      <w:bodyDiv w:val="1"/>
      <w:marLeft w:val="0"/>
      <w:marRight w:val="0"/>
      <w:marTop w:val="0"/>
      <w:marBottom w:val="0"/>
      <w:divBdr>
        <w:top w:val="none" w:sz="0" w:space="0" w:color="auto"/>
        <w:left w:val="none" w:sz="0" w:space="0" w:color="auto"/>
        <w:bottom w:val="none" w:sz="0" w:space="0" w:color="auto"/>
        <w:right w:val="none" w:sz="0" w:space="0" w:color="auto"/>
      </w:divBdr>
    </w:div>
    <w:div w:id="859196623">
      <w:bodyDiv w:val="1"/>
      <w:marLeft w:val="0"/>
      <w:marRight w:val="0"/>
      <w:marTop w:val="0"/>
      <w:marBottom w:val="0"/>
      <w:divBdr>
        <w:top w:val="none" w:sz="0" w:space="0" w:color="auto"/>
        <w:left w:val="none" w:sz="0" w:space="0" w:color="auto"/>
        <w:bottom w:val="none" w:sz="0" w:space="0" w:color="auto"/>
        <w:right w:val="none" w:sz="0" w:space="0" w:color="auto"/>
      </w:divBdr>
      <w:divsChild>
        <w:div w:id="1293053114">
          <w:marLeft w:val="0"/>
          <w:marRight w:val="0"/>
          <w:marTop w:val="0"/>
          <w:marBottom w:val="0"/>
          <w:divBdr>
            <w:top w:val="none" w:sz="0" w:space="0" w:color="auto"/>
            <w:left w:val="none" w:sz="0" w:space="0" w:color="auto"/>
            <w:bottom w:val="none" w:sz="0" w:space="0" w:color="auto"/>
            <w:right w:val="none" w:sz="0" w:space="0" w:color="auto"/>
          </w:divBdr>
          <w:divsChild>
            <w:div w:id="389111273">
              <w:marLeft w:val="0"/>
              <w:marRight w:val="0"/>
              <w:marTop w:val="411"/>
              <w:marBottom w:val="0"/>
              <w:divBdr>
                <w:top w:val="none" w:sz="0" w:space="0" w:color="auto"/>
                <w:left w:val="none" w:sz="0" w:space="0" w:color="auto"/>
                <w:bottom w:val="none" w:sz="0" w:space="0" w:color="auto"/>
                <w:right w:val="none" w:sz="0" w:space="0" w:color="auto"/>
              </w:divBdr>
              <w:divsChild>
                <w:div w:id="1782064808">
                  <w:marLeft w:val="0"/>
                  <w:marRight w:val="0"/>
                  <w:marTop w:val="0"/>
                  <w:marBottom w:val="0"/>
                  <w:divBdr>
                    <w:top w:val="none" w:sz="0" w:space="0" w:color="auto"/>
                    <w:left w:val="none" w:sz="0" w:space="0" w:color="auto"/>
                    <w:bottom w:val="none" w:sz="0" w:space="0" w:color="auto"/>
                    <w:right w:val="none" w:sz="0" w:space="0" w:color="auto"/>
                  </w:divBdr>
                  <w:divsChild>
                    <w:div w:id="1887907609">
                      <w:marLeft w:val="79"/>
                      <w:marRight w:val="79"/>
                      <w:marTop w:val="0"/>
                      <w:marBottom w:val="0"/>
                      <w:divBdr>
                        <w:top w:val="none" w:sz="0" w:space="0" w:color="auto"/>
                        <w:left w:val="none" w:sz="0" w:space="0" w:color="auto"/>
                        <w:bottom w:val="none" w:sz="0" w:space="0" w:color="auto"/>
                        <w:right w:val="none" w:sz="0" w:space="0" w:color="auto"/>
                      </w:divBdr>
                      <w:divsChild>
                        <w:div w:id="859471113">
                          <w:marLeft w:val="0"/>
                          <w:marRight w:val="0"/>
                          <w:marTop w:val="0"/>
                          <w:marBottom w:val="0"/>
                          <w:divBdr>
                            <w:top w:val="dashed" w:sz="6" w:space="0" w:color="DDDDDD"/>
                            <w:left w:val="none" w:sz="0" w:space="0" w:color="auto"/>
                            <w:bottom w:val="none" w:sz="0" w:space="0" w:color="auto"/>
                            <w:right w:val="none" w:sz="0" w:space="0" w:color="auto"/>
                          </w:divBdr>
                          <w:divsChild>
                            <w:div w:id="279991293">
                              <w:marLeft w:val="0"/>
                              <w:marRight w:val="0"/>
                              <w:marTop w:val="0"/>
                              <w:marBottom w:val="0"/>
                              <w:divBdr>
                                <w:top w:val="none" w:sz="0" w:space="0" w:color="auto"/>
                                <w:left w:val="none" w:sz="0" w:space="0" w:color="auto"/>
                                <w:bottom w:val="none" w:sz="0" w:space="0" w:color="auto"/>
                                <w:right w:val="none" w:sz="0" w:space="0" w:color="auto"/>
                              </w:divBdr>
                              <w:divsChild>
                                <w:div w:id="365985207">
                                  <w:marLeft w:val="0"/>
                                  <w:marRight w:val="0"/>
                                  <w:marTop w:val="79"/>
                                  <w:marBottom w:val="79"/>
                                  <w:divBdr>
                                    <w:top w:val="none" w:sz="0" w:space="0" w:color="auto"/>
                                    <w:left w:val="none" w:sz="0" w:space="0" w:color="auto"/>
                                    <w:bottom w:val="none" w:sz="0" w:space="0" w:color="auto"/>
                                    <w:right w:val="none" w:sz="0" w:space="0" w:color="auto"/>
                                  </w:divBdr>
                                  <w:divsChild>
                                    <w:div w:id="748694975">
                                      <w:marLeft w:val="0"/>
                                      <w:marRight w:val="0"/>
                                      <w:marTop w:val="0"/>
                                      <w:marBottom w:val="0"/>
                                      <w:divBdr>
                                        <w:top w:val="none" w:sz="0" w:space="0" w:color="auto"/>
                                        <w:left w:val="none" w:sz="0" w:space="0" w:color="auto"/>
                                        <w:bottom w:val="none" w:sz="0" w:space="0" w:color="auto"/>
                                        <w:right w:val="none" w:sz="0" w:space="0" w:color="auto"/>
                                      </w:divBdr>
                                      <w:divsChild>
                                        <w:div w:id="1586189612">
                                          <w:marLeft w:val="554"/>
                                          <w:marRight w:val="0"/>
                                          <w:marTop w:val="0"/>
                                          <w:marBottom w:val="0"/>
                                          <w:divBdr>
                                            <w:top w:val="none" w:sz="0" w:space="0" w:color="auto"/>
                                            <w:left w:val="none" w:sz="0" w:space="0" w:color="auto"/>
                                            <w:bottom w:val="none" w:sz="0" w:space="0" w:color="auto"/>
                                            <w:right w:val="none" w:sz="0" w:space="0" w:color="auto"/>
                                          </w:divBdr>
                                          <w:divsChild>
                                            <w:div w:id="326860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61093035">
      <w:bodyDiv w:val="1"/>
      <w:marLeft w:val="0"/>
      <w:marRight w:val="0"/>
      <w:marTop w:val="0"/>
      <w:marBottom w:val="0"/>
      <w:divBdr>
        <w:top w:val="none" w:sz="0" w:space="0" w:color="auto"/>
        <w:left w:val="none" w:sz="0" w:space="0" w:color="auto"/>
        <w:bottom w:val="none" w:sz="0" w:space="0" w:color="auto"/>
        <w:right w:val="none" w:sz="0" w:space="0" w:color="auto"/>
      </w:divBdr>
    </w:div>
    <w:div w:id="865753884">
      <w:bodyDiv w:val="1"/>
      <w:marLeft w:val="0"/>
      <w:marRight w:val="0"/>
      <w:marTop w:val="0"/>
      <w:marBottom w:val="0"/>
      <w:divBdr>
        <w:top w:val="none" w:sz="0" w:space="0" w:color="auto"/>
        <w:left w:val="none" w:sz="0" w:space="0" w:color="auto"/>
        <w:bottom w:val="none" w:sz="0" w:space="0" w:color="auto"/>
        <w:right w:val="none" w:sz="0" w:space="0" w:color="auto"/>
      </w:divBdr>
    </w:div>
    <w:div w:id="865944435">
      <w:bodyDiv w:val="1"/>
      <w:marLeft w:val="0"/>
      <w:marRight w:val="0"/>
      <w:marTop w:val="0"/>
      <w:marBottom w:val="0"/>
      <w:divBdr>
        <w:top w:val="none" w:sz="0" w:space="0" w:color="auto"/>
        <w:left w:val="none" w:sz="0" w:space="0" w:color="auto"/>
        <w:bottom w:val="none" w:sz="0" w:space="0" w:color="auto"/>
        <w:right w:val="none" w:sz="0" w:space="0" w:color="auto"/>
      </w:divBdr>
    </w:div>
    <w:div w:id="868490416">
      <w:bodyDiv w:val="1"/>
      <w:marLeft w:val="0"/>
      <w:marRight w:val="0"/>
      <w:marTop w:val="0"/>
      <w:marBottom w:val="0"/>
      <w:divBdr>
        <w:top w:val="none" w:sz="0" w:space="0" w:color="auto"/>
        <w:left w:val="none" w:sz="0" w:space="0" w:color="auto"/>
        <w:bottom w:val="none" w:sz="0" w:space="0" w:color="auto"/>
        <w:right w:val="none" w:sz="0" w:space="0" w:color="auto"/>
      </w:divBdr>
    </w:div>
    <w:div w:id="869340689">
      <w:bodyDiv w:val="1"/>
      <w:marLeft w:val="0"/>
      <w:marRight w:val="0"/>
      <w:marTop w:val="0"/>
      <w:marBottom w:val="0"/>
      <w:divBdr>
        <w:top w:val="none" w:sz="0" w:space="0" w:color="auto"/>
        <w:left w:val="none" w:sz="0" w:space="0" w:color="auto"/>
        <w:bottom w:val="none" w:sz="0" w:space="0" w:color="auto"/>
        <w:right w:val="none" w:sz="0" w:space="0" w:color="auto"/>
      </w:divBdr>
    </w:div>
    <w:div w:id="874196118">
      <w:bodyDiv w:val="1"/>
      <w:marLeft w:val="0"/>
      <w:marRight w:val="0"/>
      <w:marTop w:val="0"/>
      <w:marBottom w:val="0"/>
      <w:divBdr>
        <w:top w:val="none" w:sz="0" w:space="0" w:color="auto"/>
        <w:left w:val="none" w:sz="0" w:space="0" w:color="auto"/>
        <w:bottom w:val="none" w:sz="0" w:space="0" w:color="auto"/>
        <w:right w:val="none" w:sz="0" w:space="0" w:color="auto"/>
      </w:divBdr>
    </w:div>
    <w:div w:id="874342633">
      <w:bodyDiv w:val="1"/>
      <w:marLeft w:val="0"/>
      <w:marRight w:val="0"/>
      <w:marTop w:val="0"/>
      <w:marBottom w:val="0"/>
      <w:divBdr>
        <w:top w:val="none" w:sz="0" w:space="0" w:color="auto"/>
        <w:left w:val="none" w:sz="0" w:space="0" w:color="auto"/>
        <w:bottom w:val="none" w:sz="0" w:space="0" w:color="auto"/>
        <w:right w:val="none" w:sz="0" w:space="0" w:color="auto"/>
      </w:divBdr>
    </w:div>
    <w:div w:id="882208736">
      <w:bodyDiv w:val="1"/>
      <w:marLeft w:val="0"/>
      <w:marRight w:val="0"/>
      <w:marTop w:val="0"/>
      <w:marBottom w:val="0"/>
      <w:divBdr>
        <w:top w:val="none" w:sz="0" w:space="0" w:color="auto"/>
        <w:left w:val="none" w:sz="0" w:space="0" w:color="auto"/>
        <w:bottom w:val="none" w:sz="0" w:space="0" w:color="auto"/>
        <w:right w:val="none" w:sz="0" w:space="0" w:color="auto"/>
      </w:divBdr>
    </w:div>
    <w:div w:id="886717898">
      <w:bodyDiv w:val="1"/>
      <w:marLeft w:val="0"/>
      <w:marRight w:val="0"/>
      <w:marTop w:val="0"/>
      <w:marBottom w:val="0"/>
      <w:divBdr>
        <w:top w:val="none" w:sz="0" w:space="0" w:color="auto"/>
        <w:left w:val="none" w:sz="0" w:space="0" w:color="auto"/>
        <w:bottom w:val="none" w:sz="0" w:space="0" w:color="auto"/>
        <w:right w:val="none" w:sz="0" w:space="0" w:color="auto"/>
      </w:divBdr>
    </w:div>
    <w:div w:id="891579114">
      <w:bodyDiv w:val="1"/>
      <w:marLeft w:val="0"/>
      <w:marRight w:val="0"/>
      <w:marTop w:val="0"/>
      <w:marBottom w:val="0"/>
      <w:divBdr>
        <w:top w:val="none" w:sz="0" w:space="0" w:color="auto"/>
        <w:left w:val="none" w:sz="0" w:space="0" w:color="auto"/>
        <w:bottom w:val="none" w:sz="0" w:space="0" w:color="auto"/>
        <w:right w:val="none" w:sz="0" w:space="0" w:color="auto"/>
      </w:divBdr>
    </w:div>
    <w:div w:id="895819438">
      <w:bodyDiv w:val="1"/>
      <w:marLeft w:val="0"/>
      <w:marRight w:val="0"/>
      <w:marTop w:val="0"/>
      <w:marBottom w:val="0"/>
      <w:divBdr>
        <w:top w:val="none" w:sz="0" w:space="0" w:color="auto"/>
        <w:left w:val="none" w:sz="0" w:space="0" w:color="auto"/>
        <w:bottom w:val="none" w:sz="0" w:space="0" w:color="auto"/>
        <w:right w:val="none" w:sz="0" w:space="0" w:color="auto"/>
      </w:divBdr>
      <w:divsChild>
        <w:div w:id="1909682282">
          <w:marLeft w:val="0"/>
          <w:marRight w:val="0"/>
          <w:marTop w:val="0"/>
          <w:marBottom w:val="0"/>
          <w:divBdr>
            <w:top w:val="none" w:sz="0" w:space="0" w:color="auto"/>
            <w:left w:val="none" w:sz="0" w:space="0" w:color="auto"/>
            <w:bottom w:val="none" w:sz="0" w:space="0" w:color="auto"/>
            <w:right w:val="none" w:sz="0" w:space="0" w:color="auto"/>
          </w:divBdr>
          <w:divsChild>
            <w:div w:id="1744182390">
              <w:marLeft w:val="0"/>
              <w:marRight w:val="0"/>
              <w:marTop w:val="411"/>
              <w:marBottom w:val="0"/>
              <w:divBdr>
                <w:top w:val="none" w:sz="0" w:space="0" w:color="auto"/>
                <w:left w:val="none" w:sz="0" w:space="0" w:color="auto"/>
                <w:bottom w:val="none" w:sz="0" w:space="0" w:color="auto"/>
                <w:right w:val="none" w:sz="0" w:space="0" w:color="auto"/>
              </w:divBdr>
              <w:divsChild>
                <w:div w:id="781804477">
                  <w:marLeft w:val="0"/>
                  <w:marRight w:val="0"/>
                  <w:marTop w:val="0"/>
                  <w:marBottom w:val="0"/>
                  <w:divBdr>
                    <w:top w:val="none" w:sz="0" w:space="0" w:color="auto"/>
                    <w:left w:val="none" w:sz="0" w:space="0" w:color="auto"/>
                    <w:bottom w:val="none" w:sz="0" w:space="0" w:color="auto"/>
                    <w:right w:val="none" w:sz="0" w:space="0" w:color="auto"/>
                  </w:divBdr>
                  <w:divsChild>
                    <w:div w:id="300382217">
                      <w:marLeft w:val="79"/>
                      <w:marRight w:val="79"/>
                      <w:marTop w:val="0"/>
                      <w:marBottom w:val="0"/>
                      <w:divBdr>
                        <w:top w:val="none" w:sz="0" w:space="0" w:color="auto"/>
                        <w:left w:val="none" w:sz="0" w:space="0" w:color="auto"/>
                        <w:bottom w:val="none" w:sz="0" w:space="0" w:color="auto"/>
                        <w:right w:val="none" w:sz="0" w:space="0" w:color="auto"/>
                      </w:divBdr>
                      <w:divsChild>
                        <w:div w:id="1706559092">
                          <w:marLeft w:val="0"/>
                          <w:marRight w:val="0"/>
                          <w:marTop w:val="0"/>
                          <w:marBottom w:val="0"/>
                          <w:divBdr>
                            <w:top w:val="dashed" w:sz="6" w:space="0" w:color="DDDDDD"/>
                            <w:left w:val="none" w:sz="0" w:space="0" w:color="auto"/>
                            <w:bottom w:val="none" w:sz="0" w:space="0" w:color="auto"/>
                            <w:right w:val="none" w:sz="0" w:space="0" w:color="auto"/>
                          </w:divBdr>
                          <w:divsChild>
                            <w:div w:id="1212039869">
                              <w:marLeft w:val="0"/>
                              <w:marRight w:val="0"/>
                              <w:marTop w:val="0"/>
                              <w:marBottom w:val="0"/>
                              <w:divBdr>
                                <w:top w:val="none" w:sz="0" w:space="0" w:color="auto"/>
                                <w:left w:val="none" w:sz="0" w:space="0" w:color="auto"/>
                                <w:bottom w:val="none" w:sz="0" w:space="0" w:color="auto"/>
                                <w:right w:val="none" w:sz="0" w:space="0" w:color="auto"/>
                              </w:divBdr>
                              <w:divsChild>
                                <w:div w:id="1953440776">
                                  <w:marLeft w:val="0"/>
                                  <w:marRight w:val="0"/>
                                  <w:marTop w:val="79"/>
                                  <w:marBottom w:val="79"/>
                                  <w:divBdr>
                                    <w:top w:val="none" w:sz="0" w:space="0" w:color="auto"/>
                                    <w:left w:val="none" w:sz="0" w:space="0" w:color="auto"/>
                                    <w:bottom w:val="none" w:sz="0" w:space="0" w:color="auto"/>
                                    <w:right w:val="none" w:sz="0" w:space="0" w:color="auto"/>
                                  </w:divBdr>
                                  <w:divsChild>
                                    <w:div w:id="97533732">
                                      <w:marLeft w:val="0"/>
                                      <w:marRight w:val="0"/>
                                      <w:marTop w:val="0"/>
                                      <w:marBottom w:val="0"/>
                                      <w:divBdr>
                                        <w:top w:val="none" w:sz="0" w:space="0" w:color="auto"/>
                                        <w:left w:val="none" w:sz="0" w:space="0" w:color="auto"/>
                                        <w:bottom w:val="none" w:sz="0" w:space="0" w:color="auto"/>
                                        <w:right w:val="none" w:sz="0" w:space="0" w:color="auto"/>
                                      </w:divBdr>
                                      <w:divsChild>
                                        <w:div w:id="164587584">
                                          <w:marLeft w:val="554"/>
                                          <w:marRight w:val="0"/>
                                          <w:marTop w:val="0"/>
                                          <w:marBottom w:val="0"/>
                                          <w:divBdr>
                                            <w:top w:val="none" w:sz="0" w:space="0" w:color="auto"/>
                                            <w:left w:val="none" w:sz="0" w:space="0" w:color="auto"/>
                                            <w:bottom w:val="none" w:sz="0" w:space="0" w:color="auto"/>
                                            <w:right w:val="none" w:sz="0" w:space="0" w:color="auto"/>
                                          </w:divBdr>
                                          <w:divsChild>
                                            <w:div w:id="673187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08081538">
      <w:bodyDiv w:val="1"/>
      <w:marLeft w:val="0"/>
      <w:marRight w:val="0"/>
      <w:marTop w:val="0"/>
      <w:marBottom w:val="0"/>
      <w:divBdr>
        <w:top w:val="none" w:sz="0" w:space="0" w:color="auto"/>
        <w:left w:val="none" w:sz="0" w:space="0" w:color="auto"/>
        <w:bottom w:val="none" w:sz="0" w:space="0" w:color="auto"/>
        <w:right w:val="none" w:sz="0" w:space="0" w:color="auto"/>
      </w:divBdr>
    </w:div>
    <w:div w:id="909924679">
      <w:bodyDiv w:val="1"/>
      <w:marLeft w:val="0"/>
      <w:marRight w:val="0"/>
      <w:marTop w:val="0"/>
      <w:marBottom w:val="0"/>
      <w:divBdr>
        <w:top w:val="none" w:sz="0" w:space="0" w:color="auto"/>
        <w:left w:val="none" w:sz="0" w:space="0" w:color="auto"/>
        <w:bottom w:val="none" w:sz="0" w:space="0" w:color="auto"/>
        <w:right w:val="none" w:sz="0" w:space="0" w:color="auto"/>
      </w:divBdr>
    </w:div>
    <w:div w:id="910391109">
      <w:bodyDiv w:val="1"/>
      <w:marLeft w:val="0"/>
      <w:marRight w:val="0"/>
      <w:marTop w:val="0"/>
      <w:marBottom w:val="0"/>
      <w:divBdr>
        <w:top w:val="none" w:sz="0" w:space="0" w:color="auto"/>
        <w:left w:val="none" w:sz="0" w:space="0" w:color="auto"/>
        <w:bottom w:val="none" w:sz="0" w:space="0" w:color="auto"/>
        <w:right w:val="none" w:sz="0" w:space="0" w:color="auto"/>
      </w:divBdr>
    </w:div>
    <w:div w:id="918365346">
      <w:bodyDiv w:val="1"/>
      <w:marLeft w:val="0"/>
      <w:marRight w:val="0"/>
      <w:marTop w:val="0"/>
      <w:marBottom w:val="0"/>
      <w:divBdr>
        <w:top w:val="none" w:sz="0" w:space="0" w:color="auto"/>
        <w:left w:val="none" w:sz="0" w:space="0" w:color="auto"/>
        <w:bottom w:val="none" w:sz="0" w:space="0" w:color="auto"/>
        <w:right w:val="none" w:sz="0" w:space="0" w:color="auto"/>
      </w:divBdr>
    </w:div>
    <w:div w:id="920139793">
      <w:bodyDiv w:val="1"/>
      <w:marLeft w:val="0"/>
      <w:marRight w:val="0"/>
      <w:marTop w:val="0"/>
      <w:marBottom w:val="0"/>
      <w:divBdr>
        <w:top w:val="none" w:sz="0" w:space="0" w:color="auto"/>
        <w:left w:val="none" w:sz="0" w:space="0" w:color="auto"/>
        <w:bottom w:val="none" w:sz="0" w:space="0" w:color="auto"/>
        <w:right w:val="none" w:sz="0" w:space="0" w:color="auto"/>
      </w:divBdr>
    </w:div>
    <w:div w:id="928123901">
      <w:bodyDiv w:val="1"/>
      <w:marLeft w:val="0"/>
      <w:marRight w:val="0"/>
      <w:marTop w:val="0"/>
      <w:marBottom w:val="0"/>
      <w:divBdr>
        <w:top w:val="none" w:sz="0" w:space="0" w:color="auto"/>
        <w:left w:val="none" w:sz="0" w:space="0" w:color="auto"/>
        <w:bottom w:val="none" w:sz="0" w:space="0" w:color="auto"/>
        <w:right w:val="none" w:sz="0" w:space="0" w:color="auto"/>
      </w:divBdr>
    </w:div>
    <w:div w:id="928544377">
      <w:bodyDiv w:val="1"/>
      <w:marLeft w:val="0"/>
      <w:marRight w:val="0"/>
      <w:marTop w:val="0"/>
      <w:marBottom w:val="0"/>
      <w:divBdr>
        <w:top w:val="none" w:sz="0" w:space="0" w:color="auto"/>
        <w:left w:val="none" w:sz="0" w:space="0" w:color="auto"/>
        <w:bottom w:val="none" w:sz="0" w:space="0" w:color="auto"/>
        <w:right w:val="none" w:sz="0" w:space="0" w:color="auto"/>
      </w:divBdr>
    </w:div>
    <w:div w:id="932974705">
      <w:bodyDiv w:val="1"/>
      <w:marLeft w:val="0"/>
      <w:marRight w:val="0"/>
      <w:marTop w:val="0"/>
      <w:marBottom w:val="0"/>
      <w:divBdr>
        <w:top w:val="none" w:sz="0" w:space="0" w:color="auto"/>
        <w:left w:val="none" w:sz="0" w:space="0" w:color="auto"/>
        <w:bottom w:val="none" w:sz="0" w:space="0" w:color="auto"/>
        <w:right w:val="none" w:sz="0" w:space="0" w:color="auto"/>
      </w:divBdr>
    </w:div>
    <w:div w:id="935017423">
      <w:bodyDiv w:val="1"/>
      <w:marLeft w:val="0"/>
      <w:marRight w:val="0"/>
      <w:marTop w:val="0"/>
      <w:marBottom w:val="0"/>
      <w:divBdr>
        <w:top w:val="none" w:sz="0" w:space="0" w:color="auto"/>
        <w:left w:val="none" w:sz="0" w:space="0" w:color="auto"/>
        <w:bottom w:val="none" w:sz="0" w:space="0" w:color="auto"/>
        <w:right w:val="none" w:sz="0" w:space="0" w:color="auto"/>
      </w:divBdr>
      <w:divsChild>
        <w:div w:id="1576934306">
          <w:marLeft w:val="475"/>
          <w:marRight w:val="0"/>
          <w:marTop w:val="0"/>
          <w:marBottom w:val="0"/>
          <w:divBdr>
            <w:top w:val="none" w:sz="0" w:space="0" w:color="auto"/>
            <w:left w:val="none" w:sz="0" w:space="0" w:color="auto"/>
            <w:bottom w:val="none" w:sz="0" w:space="0" w:color="auto"/>
            <w:right w:val="none" w:sz="0" w:space="0" w:color="auto"/>
          </w:divBdr>
        </w:div>
        <w:div w:id="1862893539">
          <w:marLeft w:val="475"/>
          <w:marRight w:val="0"/>
          <w:marTop w:val="0"/>
          <w:marBottom w:val="0"/>
          <w:divBdr>
            <w:top w:val="none" w:sz="0" w:space="0" w:color="auto"/>
            <w:left w:val="none" w:sz="0" w:space="0" w:color="auto"/>
            <w:bottom w:val="none" w:sz="0" w:space="0" w:color="auto"/>
            <w:right w:val="none" w:sz="0" w:space="0" w:color="auto"/>
          </w:divBdr>
        </w:div>
      </w:divsChild>
    </w:div>
    <w:div w:id="937252513">
      <w:bodyDiv w:val="1"/>
      <w:marLeft w:val="0"/>
      <w:marRight w:val="0"/>
      <w:marTop w:val="0"/>
      <w:marBottom w:val="0"/>
      <w:divBdr>
        <w:top w:val="none" w:sz="0" w:space="0" w:color="auto"/>
        <w:left w:val="none" w:sz="0" w:space="0" w:color="auto"/>
        <w:bottom w:val="none" w:sz="0" w:space="0" w:color="auto"/>
        <w:right w:val="none" w:sz="0" w:space="0" w:color="auto"/>
      </w:divBdr>
    </w:div>
    <w:div w:id="938875274">
      <w:bodyDiv w:val="1"/>
      <w:marLeft w:val="0"/>
      <w:marRight w:val="0"/>
      <w:marTop w:val="0"/>
      <w:marBottom w:val="0"/>
      <w:divBdr>
        <w:top w:val="none" w:sz="0" w:space="0" w:color="auto"/>
        <w:left w:val="none" w:sz="0" w:space="0" w:color="auto"/>
        <w:bottom w:val="none" w:sz="0" w:space="0" w:color="auto"/>
        <w:right w:val="none" w:sz="0" w:space="0" w:color="auto"/>
      </w:divBdr>
    </w:div>
    <w:div w:id="944770453">
      <w:bodyDiv w:val="1"/>
      <w:marLeft w:val="0"/>
      <w:marRight w:val="0"/>
      <w:marTop w:val="0"/>
      <w:marBottom w:val="0"/>
      <w:divBdr>
        <w:top w:val="none" w:sz="0" w:space="0" w:color="auto"/>
        <w:left w:val="none" w:sz="0" w:space="0" w:color="auto"/>
        <w:bottom w:val="none" w:sz="0" w:space="0" w:color="auto"/>
        <w:right w:val="none" w:sz="0" w:space="0" w:color="auto"/>
      </w:divBdr>
    </w:div>
    <w:div w:id="945045196">
      <w:bodyDiv w:val="1"/>
      <w:marLeft w:val="0"/>
      <w:marRight w:val="0"/>
      <w:marTop w:val="0"/>
      <w:marBottom w:val="0"/>
      <w:divBdr>
        <w:top w:val="none" w:sz="0" w:space="0" w:color="auto"/>
        <w:left w:val="none" w:sz="0" w:space="0" w:color="auto"/>
        <w:bottom w:val="none" w:sz="0" w:space="0" w:color="auto"/>
        <w:right w:val="none" w:sz="0" w:space="0" w:color="auto"/>
      </w:divBdr>
      <w:divsChild>
        <w:div w:id="1175000067">
          <w:marLeft w:val="0"/>
          <w:marRight w:val="0"/>
          <w:marTop w:val="0"/>
          <w:marBottom w:val="0"/>
          <w:divBdr>
            <w:top w:val="none" w:sz="0" w:space="0" w:color="auto"/>
            <w:left w:val="none" w:sz="0" w:space="0" w:color="auto"/>
            <w:bottom w:val="none" w:sz="0" w:space="0" w:color="auto"/>
            <w:right w:val="none" w:sz="0" w:space="0" w:color="auto"/>
          </w:divBdr>
          <w:divsChild>
            <w:div w:id="1748259724">
              <w:marLeft w:val="0"/>
              <w:marRight w:val="0"/>
              <w:marTop w:val="411"/>
              <w:marBottom w:val="0"/>
              <w:divBdr>
                <w:top w:val="none" w:sz="0" w:space="0" w:color="auto"/>
                <w:left w:val="none" w:sz="0" w:space="0" w:color="auto"/>
                <w:bottom w:val="none" w:sz="0" w:space="0" w:color="auto"/>
                <w:right w:val="none" w:sz="0" w:space="0" w:color="auto"/>
              </w:divBdr>
              <w:divsChild>
                <w:div w:id="632441170">
                  <w:marLeft w:val="0"/>
                  <w:marRight w:val="0"/>
                  <w:marTop w:val="0"/>
                  <w:marBottom w:val="0"/>
                  <w:divBdr>
                    <w:top w:val="none" w:sz="0" w:space="0" w:color="auto"/>
                    <w:left w:val="none" w:sz="0" w:space="0" w:color="auto"/>
                    <w:bottom w:val="none" w:sz="0" w:space="0" w:color="auto"/>
                    <w:right w:val="none" w:sz="0" w:space="0" w:color="auto"/>
                  </w:divBdr>
                  <w:divsChild>
                    <w:div w:id="1633514672">
                      <w:marLeft w:val="79"/>
                      <w:marRight w:val="79"/>
                      <w:marTop w:val="0"/>
                      <w:marBottom w:val="0"/>
                      <w:divBdr>
                        <w:top w:val="none" w:sz="0" w:space="0" w:color="auto"/>
                        <w:left w:val="none" w:sz="0" w:space="0" w:color="auto"/>
                        <w:bottom w:val="none" w:sz="0" w:space="0" w:color="auto"/>
                        <w:right w:val="none" w:sz="0" w:space="0" w:color="auto"/>
                      </w:divBdr>
                      <w:divsChild>
                        <w:div w:id="1110785654">
                          <w:marLeft w:val="0"/>
                          <w:marRight w:val="0"/>
                          <w:marTop w:val="0"/>
                          <w:marBottom w:val="0"/>
                          <w:divBdr>
                            <w:top w:val="dashed" w:sz="6" w:space="0" w:color="DDDDDD"/>
                            <w:left w:val="none" w:sz="0" w:space="0" w:color="auto"/>
                            <w:bottom w:val="none" w:sz="0" w:space="0" w:color="auto"/>
                            <w:right w:val="none" w:sz="0" w:space="0" w:color="auto"/>
                          </w:divBdr>
                          <w:divsChild>
                            <w:div w:id="58135024">
                              <w:marLeft w:val="0"/>
                              <w:marRight w:val="0"/>
                              <w:marTop w:val="0"/>
                              <w:marBottom w:val="0"/>
                              <w:divBdr>
                                <w:top w:val="none" w:sz="0" w:space="0" w:color="auto"/>
                                <w:left w:val="none" w:sz="0" w:space="0" w:color="auto"/>
                                <w:bottom w:val="none" w:sz="0" w:space="0" w:color="auto"/>
                                <w:right w:val="none" w:sz="0" w:space="0" w:color="auto"/>
                              </w:divBdr>
                              <w:divsChild>
                                <w:div w:id="318075492">
                                  <w:marLeft w:val="0"/>
                                  <w:marRight w:val="0"/>
                                  <w:marTop w:val="79"/>
                                  <w:marBottom w:val="79"/>
                                  <w:divBdr>
                                    <w:top w:val="none" w:sz="0" w:space="0" w:color="auto"/>
                                    <w:left w:val="none" w:sz="0" w:space="0" w:color="auto"/>
                                    <w:bottom w:val="none" w:sz="0" w:space="0" w:color="auto"/>
                                    <w:right w:val="none" w:sz="0" w:space="0" w:color="auto"/>
                                  </w:divBdr>
                                  <w:divsChild>
                                    <w:div w:id="335349617">
                                      <w:marLeft w:val="0"/>
                                      <w:marRight w:val="0"/>
                                      <w:marTop w:val="0"/>
                                      <w:marBottom w:val="0"/>
                                      <w:divBdr>
                                        <w:top w:val="none" w:sz="0" w:space="0" w:color="auto"/>
                                        <w:left w:val="none" w:sz="0" w:space="0" w:color="auto"/>
                                        <w:bottom w:val="none" w:sz="0" w:space="0" w:color="auto"/>
                                        <w:right w:val="none" w:sz="0" w:space="0" w:color="auto"/>
                                      </w:divBdr>
                                      <w:divsChild>
                                        <w:div w:id="1801024684">
                                          <w:marLeft w:val="554"/>
                                          <w:marRight w:val="0"/>
                                          <w:marTop w:val="0"/>
                                          <w:marBottom w:val="0"/>
                                          <w:divBdr>
                                            <w:top w:val="none" w:sz="0" w:space="0" w:color="auto"/>
                                            <w:left w:val="none" w:sz="0" w:space="0" w:color="auto"/>
                                            <w:bottom w:val="none" w:sz="0" w:space="0" w:color="auto"/>
                                            <w:right w:val="none" w:sz="0" w:space="0" w:color="auto"/>
                                          </w:divBdr>
                                          <w:divsChild>
                                            <w:div w:id="797529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45847703">
      <w:bodyDiv w:val="1"/>
      <w:marLeft w:val="0"/>
      <w:marRight w:val="0"/>
      <w:marTop w:val="0"/>
      <w:marBottom w:val="0"/>
      <w:divBdr>
        <w:top w:val="none" w:sz="0" w:space="0" w:color="auto"/>
        <w:left w:val="none" w:sz="0" w:space="0" w:color="auto"/>
        <w:bottom w:val="none" w:sz="0" w:space="0" w:color="auto"/>
        <w:right w:val="none" w:sz="0" w:space="0" w:color="auto"/>
      </w:divBdr>
    </w:div>
    <w:div w:id="948048836">
      <w:bodyDiv w:val="1"/>
      <w:marLeft w:val="0"/>
      <w:marRight w:val="0"/>
      <w:marTop w:val="0"/>
      <w:marBottom w:val="0"/>
      <w:divBdr>
        <w:top w:val="none" w:sz="0" w:space="0" w:color="auto"/>
        <w:left w:val="none" w:sz="0" w:space="0" w:color="auto"/>
        <w:bottom w:val="none" w:sz="0" w:space="0" w:color="auto"/>
        <w:right w:val="none" w:sz="0" w:space="0" w:color="auto"/>
      </w:divBdr>
    </w:div>
    <w:div w:id="948246670">
      <w:bodyDiv w:val="1"/>
      <w:marLeft w:val="0"/>
      <w:marRight w:val="0"/>
      <w:marTop w:val="0"/>
      <w:marBottom w:val="0"/>
      <w:divBdr>
        <w:top w:val="none" w:sz="0" w:space="0" w:color="auto"/>
        <w:left w:val="none" w:sz="0" w:space="0" w:color="auto"/>
        <w:bottom w:val="none" w:sz="0" w:space="0" w:color="auto"/>
        <w:right w:val="none" w:sz="0" w:space="0" w:color="auto"/>
      </w:divBdr>
    </w:div>
    <w:div w:id="951206111">
      <w:bodyDiv w:val="1"/>
      <w:marLeft w:val="0"/>
      <w:marRight w:val="0"/>
      <w:marTop w:val="0"/>
      <w:marBottom w:val="0"/>
      <w:divBdr>
        <w:top w:val="none" w:sz="0" w:space="0" w:color="auto"/>
        <w:left w:val="none" w:sz="0" w:space="0" w:color="auto"/>
        <w:bottom w:val="none" w:sz="0" w:space="0" w:color="auto"/>
        <w:right w:val="none" w:sz="0" w:space="0" w:color="auto"/>
      </w:divBdr>
    </w:div>
    <w:div w:id="955717476">
      <w:bodyDiv w:val="1"/>
      <w:marLeft w:val="0"/>
      <w:marRight w:val="0"/>
      <w:marTop w:val="0"/>
      <w:marBottom w:val="0"/>
      <w:divBdr>
        <w:top w:val="none" w:sz="0" w:space="0" w:color="auto"/>
        <w:left w:val="none" w:sz="0" w:space="0" w:color="auto"/>
        <w:bottom w:val="none" w:sz="0" w:space="0" w:color="auto"/>
        <w:right w:val="none" w:sz="0" w:space="0" w:color="auto"/>
      </w:divBdr>
    </w:div>
    <w:div w:id="957101437">
      <w:bodyDiv w:val="1"/>
      <w:marLeft w:val="0"/>
      <w:marRight w:val="0"/>
      <w:marTop w:val="0"/>
      <w:marBottom w:val="0"/>
      <w:divBdr>
        <w:top w:val="none" w:sz="0" w:space="0" w:color="auto"/>
        <w:left w:val="none" w:sz="0" w:space="0" w:color="auto"/>
        <w:bottom w:val="none" w:sz="0" w:space="0" w:color="auto"/>
        <w:right w:val="none" w:sz="0" w:space="0" w:color="auto"/>
      </w:divBdr>
    </w:div>
    <w:div w:id="960841559">
      <w:bodyDiv w:val="1"/>
      <w:marLeft w:val="0"/>
      <w:marRight w:val="0"/>
      <w:marTop w:val="0"/>
      <w:marBottom w:val="0"/>
      <w:divBdr>
        <w:top w:val="none" w:sz="0" w:space="0" w:color="auto"/>
        <w:left w:val="none" w:sz="0" w:space="0" w:color="auto"/>
        <w:bottom w:val="none" w:sz="0" w:space="0" w:color="auto"/>
        <w:right w:val="none" w:sz="0" w:space="0" w:color="auto"/>
      </w:divBdr>
    </w:div>
    <w:div w:id="961693866">
      <w:bodyDiv w:val="1"/>
      <w:marLeft w:val="0"/>
      <w:marRight w:val="0"/>
      <w:marTop w:val="0"/>
      <w:marBottom w:val="0"/>
      <w:divBdr>
        <w:top w:val="none" w:sz="0" w:space="0" w:color="auto"/>
        <w:left w:val="none" w:sz="0" w:space="0" w:color="auto"/>
        <w:bottom w:val="none" w:sz="0" w:space="0" w:color="auto"/>
        <w:right w:val="none" w:sz="0" w:space="0" w:color="auto"/>
      </w:divBdr>
    </w:div>
    <w:div w:id="967318352">
      <w:bodyDiv w:val="1"/>
      <w:marLeft w:val="0"/>
      <w:marRight w:val="0"/>
      <w:marTop w:val="0"/>
      <w:marBottom w:val="0"/>
      <w:divBdr>
        <w:top w:val="none" w:sz="0" w:space="0" w:color="auto"/>
        <w:left w:val="none" w:sz="0" w:space="0" w:color="auto"/>
        <w:bottom w:val="none" w:sz="0" w:space="0" w:color="auto"/>
        <w:right w:val="none" w:sz="0" w:space="0" w:color="auto"/>
      </w:divBdr>
    </w:div>
    <w:div w:id="969440360">
      <w:bodyDiv w:val="1"/>
      <w:marLeft w:val="0"/>
      <w:marRight w:val="0"/>
      <w:marTop w:val="0"/>
      <w:marBottom w:val="0"/>
      <w:divBdr>
        <w:top w:val="none" w:sz="0" w:space="0" w:color="auto"/>
        <w:left w:val="none" w:sz="0" w:space="0" w:color="auto"/>
        <w:bottom w:val="none" w:sz="0" w:space="0" w:color="auto"/>
        <w:right w:val="none" w:sz="0" w:space="0" w:color="auto"/>
      </w:divBdr>
    </w:div>
    <w:div w:id="974683003">
      <w:bodyDiv w:val="1"/>
      <w:marLeft w:val="0"/>
      <w:marRight w:val="0"/>
      <w:marTop w:val="0"/>
      <w:marBottom w:val="0"/>
      <w:divBdr>
        <w:top w:val="none" w:sz="0" w:space="0" w:color="auto"/>
        <w:left w:val="none" w:sz="0" w:space="0" w:color="auto"/>
        <w:bottom w:val="none" w:sz="0" w:space="0" w:color="auto"/>
        <w:right w:val="none" w:sz="0" w:space="0" w:color="auto"/>
      </w:divBdr>
    </w:div>
    <w:div w:id="974797050">
      <w:bodyDiv w:val="1"/>
      <w:marLeft w:val="0"/>
      <w:marRight w:val="0"/>
      <w:marTop w:val="0"/>
      <w:marBottom w:val="0"/>
      <w:divBdr>
        <w:top w:val="none" w:sz="0" w:space="0" w:color="auto"/>
        <w:left w:val="none" w:sz="0" w:space="0" w:color="auto"/>
        <w:bottom w:val="none" w:sz="0" w:space="0" w:color="auto"/>
        <w:right w:val="none" w:sz="0" w:space="0" w:color="auto"/>
      </w:divBdr>
    </w:div>
    <w:div w:id="977301517">
      <w:bodyDiv w:val="1"/>
      <w:marLeft w:val="0"/>
      <w:marRight w:val="0"/>
      <w:marTop w:val="0"/>
      <w:marBottom w:val="0"/>
      <w:divBdr>
        <w:top w:val="none" w:sz="0" w:space="0" w:color="auto"/>
        <w:left w:val="none" w:sz="0" w:space="0" w:color="auto"/>
        <w:bottom w:val="none" w:sz="0" w:space="0" w:color="auto"/>
        <w:right w:val="none" w:sz="0" w:space="0" w:color="auto"/>
      </w:divBdr>
    </w:div>
    <w:div w:id="977340366">
      <w:bodyDiv w:val="1"/>
      <w:marLeft w:val="0"/>
      <w:marRight w:val="0"/>
      <w:marTop w:val="0"/>
      <w:marBottom w:val="0"/>
      <w:divBdr>
        <w:top w:val="none" w:sz="0" w:space="0" w:color="auto"/>
        <w:left w:val="none" w:sz="0" w:space="0" w:color="auto"/>
        <w:bottom w:val="none" w:sz="0" w:space="0" w:color="auto"/>
        <w:right w:val="none" w:sz="0" w:space="0" w:color="auto"/>
      </w:divBdr>
    </w:div>
    <w:div w:id="983584568">
      <w:bodyDiv w:val="1"/>
      <w:marLeft w:val="0"/>
      <w:marRight w:val="0"/>
      <w:marTop w:val="0"/>
      <w:marBottom w:val="0"/>
      <w:divBdr>
        <w:top w:val="none" w:sz="0" w:space="0" w:color="auto"/>
        <w:left w:val="none" w:sz="0" w:space="0" w:color="auto"/>
        <w:bottom w:val="none" w:sz="0" w:space="0" w:color="auto"/>
        <w:right w:val="none" w:sz="0" w:space="0" w:color="auto"/>
      </w:divBdr>
    </w:div>
    <w:div w:id="988097717">
      <w:bodyDiv w:val="1"/>
      <w:marLeft w:val="0"/>
      <w:marRight w:val="0"/>
      <w:marTop w:val="0"/>
      <w:marBottom w:val="0"/>
      <w:divBdr>
        <w:top w:val="none" w:sz="0" w:space="0" w:color="auto"/>
        <w:left w:val="none" w:sz="0" w:space="0" w:color="auto"/>
        <w:bottom w:val="none" w:sz="0" w:space="0" w:color="auto"/>
        <w:right w:val="none" w:sz="0" w:space="0" w:color="auto"/>
      </w:divBdr>
    </w:div>
    <w:div w:id="992954025">
      <w:bodyDiv w:val="1"/>
      <w:marLeft w:val="0"/>
      <w:marRight w:val="0"/>
      <w:marTop w:val="0"/>
      <w:marBottom w:val="0"/>
      <w:divBdr>
        <w:top w:val="none" w:sz="0" w:space="0" w:color="auto"/>
        <w:left w:val="none" w:sz="0" w:space="0" w:color="auto"/>
        <w:bottom w:val="none" w:sz="0" w:space="0" w:color="auto"/>
        <w:right w:val="none" w:sz="0" w:space="0" w:color="auto"/>
      </w:divBdr>
      <w:divsChild>
        <w:div w:id="1127550318">
          <w:marLeft w:val="0"/>
          <w:marRight w:val="0"/>
          <w:marTop w:val="0"/>
          <w:marBottom w:val="0"/>
          <w:divBdr>
            <w:top w:val="none" w:sz="0" w:space="0" w:color="auto"/>
            <w:left w:val="none" w:sz="0" w:space="0" w:color="auto"/>
            <w:bottom w:val="none" w:sz="0" w:space="0" w:color="auto"/>
            <w:right w:val="none" w:sz="0" w:space="0" w:color="auto"/>
          </w:divBdr>
        </w:div>
      </w:divsChild>
    </w:div>
    <w:div w:id="994840470">
      <w:bodyDiv w:val="1"/>
      <w:marLeft w:val="0"/>
      <w:marRight w:val="0"/>
      <w:marTop w:val="0"/>
      <w:marBottom w:val="0"/>
      <w:divBdr>
        <w:top w:val="none" w:sz="0" w:space="0" w:color="auto"/>
        <w:left w:val="none" w:sz="0" w:space="0" w:color="auto"/>
        <w:bottom w:val="none" w:sz="0" w:space="0" w:color="auto"/>
        <w:right w:val="none" w:sz="0" w:space="0" w:color="auto"/>
      </w:divBdr>
    </w:div>
    <w:div w:id="1010571030">
      <w:bodyDiv w:val="1"/>
      <w:marLeft w:val="0"/>
      <w:marRight w:val="0"/>
      <w:marTop w:val="0"/>
      <w:marBottom w:val="0"/>
      <w:divBdr>
        <w:top w:val="none" w:sz="0" w:space="0" w:color="auto"/>
        <w:left w:val="none" w:sz="0" w:space="0" w:color="auto"/>
        <w:bottom w:val="none" w:sz="0" w:space="0" w:color="auto"/>
        <w:right w:val="none" w:sz="0" w:space="0" w:color="auto"/>
      </w:divBdr>
    </w:div>
    <w:div w:id="1013267174">
      <w:bodyDiv w:val="1"/>
      <w:marLeft w:val="0"/>
      <w:marRight w:val="0"/>
      <w:marTop w:val="0"/>
      <w:marBottom w:val="0"/>
      <w:divBdr>
        <w:top w:val="none" w:sz="0" w:space="0" w:color="auto"/>
        <w:left w:val="none" w:sz="0" w:space="0" w:color="auto"/>
        <w:bottom w:val="none" w:sz="0" w:space="0" w:color="auto"/>
        <w:right w:val="none" w:sz="0" w:space="0" w:color="auto"/>
      </w:divBdr>
      <w:divsChild>
        <w:div w:id="1682008753">
          <w:marLeft w:val="0"/>
          <w:marRight w:val="0"/>
          <w:marTop w:val="0"/>
          <w:marBottom w:val="0"/>
          <w:divBdr>
            <w:top w:val="none" w:sz="0" w:space="0" w:color="auto"/>
            <w:left w:val="none" w:sz="0" w:space="0" w:color="auto"/>
            <w:bottom w:val="none" w:sz="0" w:space="0" w:color="auto"/>
            <w:right w:val="none" w:sz="0" w:space="0" w:color="auto"/>
          </w:divBdr>
          <w:divsChild>
            <w:div w:id="2013602901">
              <w:marLeft w:val="0"/>
              <w:marRight w:val="0"/>
              <w:marTop w:val="0"/>
              <w:marBottom w:val="0"/>
              <w:divBdr>
                <w:top w:val="none" w:sz="0" w:space="0" w:color="auto"/>
                <w:left w:val="none" w:sz="0" w:space="0" w:color="auto"/>
                <w:bottom w:val="none" w:sz="0" w:space="0" w:color="auto"/>
                <w:right w:val="none" w:sz="0" w:space="0" w:color="auto"/>
              </w:divBdr>
              <w:divsChild>
                <w:div w:id="500118101">
                  <w:marLeft w:val="0"/>
                  <w:marRight w:val="0"/>
                  <w:marTop w:val="0"/>
                  <w:marBottom w:val="0"/>
                  <w:divBdr>
                    <w:top w:val="none" w:sz="0" w:space="0" w:color="auto"/>
                    <w:left w:val="none" w:sz="0" w:space="0" w:color="auto"/>
                    <w:bottom w:val="none" w:sz="0" w:space="0" w:color="auto"/>
                    <w:right w:val="none" w:sz="0" w:space="0" w:color="auto"/>
                  </w:divBdr>
                  <w:divsChild>
                    <w:div w:id="1826553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076254">
      <w:bodyDiv w:val="1"/>
      <w:marLeft w:val="0"/>
      <w:marRight w:val="0"/>
      <w:marTop w:val="0"/>
      <w:marBottom w:val="0"/>
      <w:divBdr>
        <w:top w:val="none" w:sz="0" w:space="0" w:color="auto"/>
        <w:left w:val="none" w:sz="0" w:space="0" w:color="auto"/>
        <w:bottom w:val="none" w:sz="0" w:space="0" w:color="auto"/>
        <w:right w:val="none" w:sz="0" w:space="0" w:color="auto"/>
      </w:divBdr>
    </w:div>
    <w:div w:id="1020863034">
      <w:bodyDiv w:val="1"/>
      <w:marLeft w:val="0"/>
      <w:marRight w:val="0"/>
      <w:marTop w:val="0"/>
      <w:marBottom w:val="0"/>
      <w:divBdr>
        <w:top w:val="none" w:sz="0" w:space="0" w:color="auto"/>
        <w:left w:val="none" w:sz="0" w:space="0" w:color="auto"/>
        <w:bottom w:val="none" w:sz="0" w:space="0" w:color="auto"/>
        <w:right w:val="none" w:sz="0" w:space="0" w:color="auto"/>
      </w:divBdr>
      <w:divsChild>
        <w:div w:id="872307504">
          <w:marLeft w:val="0"/>
          <w:marRight w:val="0"/>
          <w:marTop w:val="0"/>
          <w:marBottom w:val="150"/>
          <w:divBdr>
            <w:top w:val="none" w:sz="0" w:space="0" w:color="auto"/>
            <w:left w:val="none" w:sz="0" w:space="0" w:color="auto"/>
            <w:bottom w:val="none" w:sz="0" w:space="0" w:color="auto"/>
            <w:right w:val="none" w:sz="0" w:space="0" w:color="auto"/>
          </w:divBdr>
        </w:div>
        <w:div w:id="981933199">
          <w:marLeft w:val="0"/>
          <w:marRight w:val="0"/>
          <w:marTop w:val="0"/>
          <w:marBottom w:val="150"/>
          <w:divBdr>
            <w:top w:val="none" w:sz="0" w:space="0" w:color="auto"/>
            <w:left w:val="none" w:sz="0" w:space="0" w:color="auto"/>
            <w:bottom w:val="none" w:sz="0" w:space="0" w:color="auto"/>
            <w:right w:val="none" w:sz="0" w:space="0" w:color="auto"/>
          </w:divBdr>
        </w:div>
        <w:div w:id="1642691024">
          <w:marLeft w:val="0"/>
          <w:marRight w:val="0"/>
          <w:marTop w:val="0"/>
          <w:marBottom w:val="150"/>
          <w:divBdr>
            <w:top w:val="none" w:sz="0" w:space="0" w:color="auto"/>
            <w:left w:val="none" w:sz="0" w:space="0" w:color="auto"/>
            <w:bottom w:val="none" w:sz="0" w:space="0" w:color="auto"/>
            <w:right w:val="none" w:sz="0" w:space="0" w:color="auto"/>
          </w:divBdr>
        </w:div>
      </w:divsChild>
    </w:div>
    <w:div w:id="1023942507">
      <w:bodyDiv w:val="1"/>
      <w:marLeft w:val="0"/>
      <w:marRight w:val="0"/>
      <w:marTop w:val="0"/>
      <w:marBottom w:val="0"/>
      <w:divBdr>
        <w:top w:val="none" w:sz="0" w:space="0" w:color="auto"/>
        <w:left w:val="none" w:sz="0" w:space="0" w:color="auto"/>
        <w:bottom w:val="none" w:sz="0" w:space="0" w:color="auto"/>
        <w:right w:val="none" w:sz="0" w:space="0" w:color="auto"/>
      </w:divBdr>
    </w:div>
    <w:div w:id="1024598015">
      <w:bodyDiv w:val="1"/>
      <w:marLeft w:val="0"/>
      <w:marRight w:val="0"/>
      <w:marTop w:val="0"/>
      <w:marBottom w:val="0"/>
      <w:divBdr>
        <w:top w:val="none" w:sz="0" w:space="0" w:color="auto"/>
        <w:left w:val="none" w:sz="0" w:space="0" w:color="auto"/>
        <w:bottom w:val="none" w:sz="0" w:space="0" w:color="auto"/>
        <w:right w:val="none" w:sz="0" w:space="0" w:color="auto"/>
      </w:divBdr>
    </w:div>
    <w:div w:id="1024944687">
      <w:bodyDiv w:val="1"/>
      <w:marLeft w:val="0"/>
      <w:marRight w:val="0"/>
      <w:marTop w:val="0"/>
      <w:marBottom w:val="0"/>
      <w:divBdr>
        <w:top w:val="none" w:sz="0" w:space="0" w:color="auto"/>
        <w:left w:val="none" w:sz="0" w:space="0" w:color="auto"/>
        <w:bottom w:val="none" w:sz="0" w:space="0" w:color="auto"/>
        <w:right w:val="none" w:sz="0" w:space="0" w:color="auto"/>
      </w:divBdr>
      <w:divsChild>
        <w:div w:id="2031180090">
          <w:marLeft w:val="0"/>
          <w:marRight w:val="0"/>
          <w:marTop w:val="330"/>
          <w:marBottom w:val="0"/>
          <w:divBdr>
            <w:top w:val="none" w:sz="0" w:space="0" w:color="auto"/>
            <w:left w:val="none" w:sz="0" w:space="0" w:color="auto"/>
            <w:bottom w:val="none" w:sz="0" w:space="0" w:color="auto"/>
            <w:right w:val="none" w:sz="0" w:space="0" w:color="auto"/>
          </w:divBdr>
        </w:div>
        <w:div w:id="525412815">
          <w:marLeft w:val="0"/>
          <w:marRight w:val="0"/>
          <w:marTop w:val="330"/>
          <w:marBottom w:val="0"/>
          <w:divBdr>
            <w:top w:val="none" w:sz="0" w:space="0" w:color="auto"/>
            <w:left w:val="none" w:sz="0" w:space="0" w:color="auto"/>
            <w:bottom w:val="none" w:sz="0" w:space="0" w:color="auto"/>
            <w:right w:val="none" w:sz="0" w:space="0" w:color="auto"/>
          </w:divBdr>
        </w:div>
        <w:div w:id="221991159">
          <w:marLeft w:val="0"/>
          <w:marRight w:val="0"/>
          <w:marTop w:val="330"/>
          <w:marBottom w:val="0"/>
          <w:divBdr>
            <w:top w:val="none" w:sz="0" w:space="0" w:color="auto"/>
            <w:left w:val="none" w:sz="0" w:space="0" w:color="auto"/>
            <w:bottom w:val="none" w:sz="0" w:space="0" w:color="auto"/>
            <w:right w:val="none" w:sz="0" w:space="0" w:color="auto"/>
          </w:divBdr>
        </w:div>
        <w:div w:id="1086076797">
          <w:marLeft w:val="0"/>
          <w:marRight w:val="0"/>
          <w:marTop w:val="330"/>
          <w:marBottom w:val="0"/>
          <w:divBdr>
            <w:top w:val="none" w:sz="0" w:space="0" w:color="auto"/>
            <w:left w:val="none" w:sz="0" w:space="0" w:color="auto"/>
            <w:bottom w:val="none" w:sz="0" w:space="0" w:color="auto"/>
            <w:right w:val="none" w:sz="0" w:space="0" w:color="auto"/>
          </w:divBdr>
        </w:div>
        <w:div w:id="1542012658">
          <w:marLeft w:val="0"/>
          <w:marRight w:val="0"/>
          <w:marTop w:val="330"/>
          <w:marBottom w:val="0"/>
          <w:divBdr>
            <w:top w:val="none" w:sz="0" w:space="0" w:color="auto"/>
            <w:left w:val="none" w:sz="0" w:space="0" w:color="auto"/>
            <w:bottom w:val="none" w:sz="0" w:space="0" w:color="auto"/>
            <w:right w:val="none" w:sz="0" w:space="0" w:color="auto"/>
          </w:divBdr>
        </w:div>
        <w:div w:id="1645310281">
          <w:marLeft w:val="0"/>
          <w:marRight w:val="0"/>
          <w:marTop w:val="330"/>
          <w:marBottom w:val="0"/>
          <w:divBdr>
            <w:top w:val="none" w:sz="0" w:space="0" w:color="auto"/>
            <w:left w:val="none" w:sz="0" w:space="0" w:color="auto"/>
            <w:bottom w:val="none" w:sz="0" w:space="0" w:color="auto"/>
            <w:right w:val="none" w:sz="0" w:space="0" w:color="auto"/>
          </w:divBdr>
        </w:div>
        <w:div w:id="501748137">
          <w:marLeft w:val="0"/>
          <w:marRight w:val="0"/>
          <w:marTop w:val="330"/>
          <w:marBottom w:val="0"/>
          <w:divBdr>
            <w:top w:val="none" w:sz="0" w:space="0" w:color="auto"/>
            <w:left w:val="none" w:sz="0" w:space="0" w:color="auto"/>
            <w:bottom w:val="none" w:sz="0" w:space="0" w:color="auto"/>
            <w:right w:val="none" w:sz="0" w:space="0" w:color="auto"/>
          </w:divBdr>
        </w:div>
        <w:div w:id="1744989854">
          <w:marLeft w:val="0"/>
          <w:marRight w:val="0"/>
          <w:marTop w:val="540"/>
          <w:marBottom w:val="0"/>
          <w:divBdr>
            <w:top w:val="none" w:sz="0" w:space="0" w:color="auto"/>
            <w:left w:val="none" w:sz="0" w:space="0" w:color="auto"/>
            <w:bottom w:val="none" w:sz="0" w:space="0" w:color="auto"/>
            <w:right w:val="none" w:sz="0" w:space="0" w:color="auto"/>
          </w:divBdr>
          <w:divsChild>
            <w:div w:id="328018553">
              <w:marLeft w:val="0"/>
              <w:marRight w:val="0"/>
              <w:marTop w:val="0"/>
              <w:marBottom w:val="0"/>
              <w:divBdr>
                <w:top w:val="none" w:sz="0" w:space="0" w:color="auto"/>
                <w:left w:val="none" w:sz="0" w:space="0" w:color="auto"/>
                <w:bottom w:val="none" w:sz="0" w:space="0" w:color="auto"/>
                <w:right w:val="none" w:sz="0" w:space="0" w:color="auto"/>
              </w:divBdr>
            </w:div>
          </w:divsChild>
        </w:div>
        <w:div w:id="1093434442">
          <w:marLeft w:val="0"/>
          <w:marRight w:val="0"/>
          <w:marTop w:val="540"/>
          <w:marBottom w:val="0"/>
          <w:divBdr>
            <w:top w:val="none" w:sz="0" w:space="0" w:color="auto"/>
            <w:left w:val="none" w:sz="0" w:space="0" w:color="auto"/>
            <w:bottom w:val="none" w:sz="0" w:space="0" w:color="auto"/>
            <w:right w:val="none" w:sz="0" w:space="0" w:color="auto"/>
          </w:divBdr>
        </w:div>
      </w:divsChild>
    </w:div>
    <w:div w:id="1026518442">
      <w:bodyDiv w:val="1"/>
      <w:marLeft w:val="0"/>
      <w:marRight w:val="0"/>
      <w:marTop w:val="0"/>
      <w:marBottom w:val="0"/>
      <w:divBdr>
        <w:top w:val="none" w:sz="0" w:space="0" w:color="auto"/>
        <w:left w:val="none" w:sz="0" w:space="0" w:color="auto"/>
        <w:bottom w:val="none" w:sz="0" w:space="0" w:color="auto"/>
        <w:right w:val="none" w:sz="0" w:space="0" w:color="auto"/>
      </w:divBdr>
    </w:div>
    <w:div w:id="1027412181">
      <w:bodyDiv w:val="1"/>
      <w:marLeft w:val="0"/>
      <w:marRight w:val="0"/>
      <w:marTop w:val="0"/>
      <w:marBottom w:val="0"/>
      <w:divBdr>
        <w:top w:val="none" w:sz="0" w:space="0" w:color="auto"/>
        <w:left w:val="none" w:sz="0" w:space="0" w:color="auto"/>
        <w:bottom w:val="none" w:sz="0" w:space="0" w:color="auto"/>
        <w:right w:val="none" w:sz="0" w:space="0" w:color="auto"/>
      </w:divBdr>
    </w:div>
    <w:div w:id="1030960299">
      <w:bodyDiv w:val="1"/>
      <w:marLeft w:val="0"/>
      <w:marRight w:val="0"/>
      <w:marTop w:val="0"/>
      <w:marBottom w:val="0"/>
      <w:divBdr>
        <w:top w:val="none" w:sz="0" w:space="0" w:color="auto"/>
        <w:left w:val="none" w:sz="0" w:space="0" w:color="auto"/>
        <w:bottom w:val="none" w:sz="0" w:space="0" w:color="auto"/>
        <w:right w:val="none" w:sz="0" w:space="0" w:color="auto"/>
      </w:divBdr>
    </w:div>
    <w:div w:id="1034623194">
      <w:bodyDiv w:val="1"/>
      <w:marLeft w:val="0"/>
      <w:marRight w:val="0"/>
      <w:marTop w:val="0"/>
      <w:marBottom w:val="0"/>
      <w:divBdr>
        <w:top w:val="none" w:sz="0" w:space="0" w:color="auto"/>
        <w:left w:val="none" w:sz="0" w:space="0" w:color="auto"/>
        <w:bottom w:val="none" w:sz="0" w:space="0" w:color="auto"/>
        <w:right w:val="none" w:sz="0" w:space="0" w:color="auto"/>
      </w:divBdr>
    </w:div>
    <w:div w:id="1035615405">
      <w:bodyDiv w:val="1"/>
      <w:marLeft w:val="0"/>
      <w:marRight w:val="0"/>
      <w:marTop w:val="0"/>
      <w:marBottom w:val="0"/>
      <w:divBdr>
        <w:top w:val="none" w:sz="0" w:space="0" w:color="auto"/>
        <w:left w:val="none" w:sz="0" w:space="0" w:color="auto"/>
        <w:bottom w:val="none" w:sz="0" w:space="0" w:color="auto"/>
        <w:right w:val="none" w:sz="0" w:space="0" w:color="auto"/>
      </w:divBdr>
    </w:div>
    <w:div w:id="1035737441">
      <w:bodyDiv w:val="1"/>
      <w:marLeft w:val="0"/>
      <w:marRight w:val="0"/>
      <w:marTop w:val="0"/>
      <w:marBottom w:val="0"/>
      <w:divBdr>
        <w:top w:val="none" w:sz="0" w:space="0" w:color="auto"/>
        <w:left w:val="none" w:sz="0" w:space="0" w:color="auto"/>
        <w:bottom w:val="none" w:sz="0" w:space="0" w:color="auto"/>
        <w:right w:val="none" w:sz="0" w:space="0" w:color="auto"/>
      </w:divBdr>
    </w:div>
    <w:div w:id="1036001307">
      <w:bodyDiv w:val="1"/>
      <w:marLeft w:val="0"/>
      <w:marRight w:val="0"/>
      <w:marTop w:val="0"/>
      <w:marBottom w:val="0"/>
      <w:divBdr>
        <w:top w:val="none" w:sz="0" w:space="0" w:color="auto"/>
        <w:left w:val="none" w:sz="0" w:space="0" w:color="auto"/>
        <w:bottom w:val="none" w:sz="0" w:space="0" w:color="auto"/>
        <w:right w:val="none" w:sz="0" w:space="0" w:color="auto"/>
      </w:divBdr>
    </w:div>
    <w:div w:id="1038626755">
      <w:bodyDiv w:val="1"/>
      <w:marLeft w:val="0"/>
      <w:marRight w:val="0"/>
      <w:marTop w:val="0"/>
      <w:marBottom w:val="0"/>
      <w:divBdr>
        <w:top w:val="none" w:sz="0" w:space="0" w:color="auto"/>
        <w:left w:val="none" w:sz="0" w:space="0" w:color="auto"/>
        <w:bottom w:val="none" w:sz="0" w:space="0" w:color="auto"/>
        <w:right w:val="none" w:sz="0" w:space="0" w:color="auto"/>
      </w:divBdr>
    </w:div>
    <w:div w:id="1043602443">
      <w:bodyDiv w:val="1"/>
      <w:marLeft w:val="0"/>
      <w:marRight w:val="0"/>
      <w:marTop w:val="0"/>
      <w:marBottom w:val="0"/>
      <w:divBdr>
        <w:top w:val="none" w:sz="0" w:space="0" w:color="auto"/>
        <w:left w:val="none" w:sz="0" w:space="0" w:color="auto"/>
        <w:bottom w:val="none" w:sz="0" w:space="0" w:color="auto"/>
        <w:right w:val="none" w:sz="0" w:space="0" w:color="auto"/>
      </w:divBdr>
    </w:div>
    <w:div w:id="1043746955">
      <w:bodyDiv w:val="1"/>
      <w:marLeft w:val="0"/>
      <w:marRight w:val="0"/>
      <w:marTop w:val="0"/>
      <w:marBottom w:val="0"/>
      <w:divBdr>
        <w:top w:val="none" w:sz="0" w:space="0" w:color="auto"/>
        <w:left w:val="none" w:sz="0" w:space="0" w:color="auto"/>
        <w:bottom w:val="none" w:sz="0" w:space="0" w:color="auto"/>
        <w:right w:val="none" w:sz="0" w:space="0" w:color="auto"/>
      </w:divBdr>
      <w:divsChild>
        <w:div w:id="108623665">
          <w:marLeft w:val="0"/>
          <w:marRight w:val="0"/>
          <w:marTop w:val="0"/>
          <w:marBottom w:val="0"/>
          <w:divBdr>
            <w:top w:val="none" w:sz="0" w:space="0" w:color="auto"/>
            <w:left w:val="none" w:sz="0" w:space="0" w:color="auto"/>
            <w:bottom w:val="none" w:sz="0" w:space="0" w:color="auto"/>
            <w:right w:val="none" w:sz="0" w:space="0" w:color="auto"/>
          </w:divBdr>
          <w:divsChild>
            <w:div w:id="685987436">
              <w:marLeft w:val="0"/>
              <w:marRight w:val="0"/>
              <w:marTop w:val="411"/>
              <w:marBottom w:val="0"/>
              <w:divBdr>
                <w:top w:val="none" w:sz="0" w:space="0" w:color="auto"/>
                <w:left w:val="none" w:sz="0" w:space="0" w:color="auto"/>
                <w:bottom w:val="none" w:sz="0" w:space="0" w:color="auto"/>
                <w:right w:val="none" w:sz="0" w:space="0" w:color="auto"/>
              </w:divBdr>
              <w:divsChild>
                <w:div w:id="1496604459">
                  <w:marLeft w:val="0"/>
                  <w:marRight w:val="0"/>
                  <w:marTop w:val="0"/>
                  <w:marBottom w:val="0"/>
                  <w:divBdr>
                    <w:top w:val="none" w:sz="0" w:space="0" w:color="auto"/>
                    <w:left w:val="none" w:sz="0" w:space="0" w:color="auto"/>
                    <w:bottom w:val="none" w:sz="0" w:space="0" w:color="auto"/>
                    <w:right w:val="none" w:sz="0" w:space="0" w:color="auto"/>
                  </w:divBdr>
                  <w:divsChild>
                    <w:div w:id="1654482980">
                      <w:marLeft w:val="79"/>
                      <w:marRight w:val="79"/>
                      <w:marTop w:val="0"/>
                      <w:marBottom w:val="0"/>
                      <w:divBdr>
                        <w:top w:val="none" w:sz="0" w:space="0" w:color="auto"/>
                        <w:left w:val="none" w:sz="0" w:space="0" w:color="auto"/>
                        <w:bottom w:val="none" w:sz="0" w:space="0" w:color="auto"/>
                        <w:right w:val="none" w:sz="0" w:space="0" w:color="auto"/>
                      </w:divBdr>
                      <w:divsChild>
                        <w:div w:id="1932811750">
                          <w:marLeft w:val="0"/>
                          <w:marRight w:val="0"/>
                          <w:marTop w:val="0"/>
                          <w:marBottom w:val="0"/>
                          <w:divBdr>
                            <w:top w:val="dashed" w:sz="6" w:space="0" w:color="DDDDDD"/>
                            <w:left w:val="none" w:sz="0" w:space="0" w:color="auto"/>
                            <w:bottom w:val="none" w:sz="0" w:space="0" w:color="auto"/>
                            <w:right w:val="none" w:sz="0" w:space="0" w:color="auto"/>
                          </w:divBdr>
                          <w:divsChild>
                            <w:div w:id="237717622">
                              <w:marLeft w:val="0"/>
                              <w:marRight w:val="0"/>
                              <w:marTop w:val="0"/>
                              <w:marBottom w:val="0"/>
                              <w:divBdr>
                                <w:top w:val="none" w:sz="0" w:space="0" w:color="auto"/>
                                <w:left w:val="none" w:sz="0" w:space="0" w:color="auto"/>
                                <w:bottom w:val="none" w:sz="0" w:space="0" w:color="auto"/>
                                <w:right w:val="none" w:sz="0" w:space="0" w:color="auto"/>
                              </w:divBdr>
                              <w:divsChild>
                                <w:div w:id="434833816">
                                  <w:marLeft w:val="0"/>
                                  <w:marRight w:val="0"/>
                                  <w:marTop w:val="79"/>
                                  <w:marBottom w:val="79"/>
                                  <w:divBdr>
                                    <w:top w:val="none" w:sz="0" w:space="0" w:color="auto"/>
                                    <w:left w:val="none" w:sz="0" w:space="0" w:color="auto"/>
                                    <w:bottom w:val="none" w:sz="0" w:space="0" w:color="auto"/>
                                    <w:right w:val="none" w:sz="0" w:space="0" w:color="auto"/>
                                  </w:divBdr>
                                  <w:divsChild>
                                    <w:div w:id="2066640170">
                                      <w:marLeft w:val="0"/>
                                      <w:marRight w:val="0"/>
                                      <w:marTop w:val="0"/>
                                      <w:marBottom w:val="0"/>
                                      <w:divBdr>
                                        <w:top w:val="none" w:sz="0" w:space="0" w:color="auto"/>
                                        <w:left w:val="none" w:sz="0" w:space="0" w:color="auto"/>
                                        <w:bottom w:val="none" w:sz="0" w:space="0" w:color="auto"/>
                                        <w:right w:val="none" w:sz="0" w:space="0" w:color="auto"/>
                                      </w:divBdr>
                                      <w:divsChild>
                                        <w:div w:id="1192762376">
                                          <w:marLeft w:val="554"/>
                                          <w:marRight w:val="0"/>
                                          <w:marTop w:val="0"/>
                                          <w:marBottom w:val="0"/>
                                          <w:divBdr>
                                            <w:top w:val="none" w:sz="0" w:space="0" w:color="auto"/>
                                            <w:left w:val="none" w:sz="0" w:space="0" w:color="auto"/>
                                            <w:bottom w:val="none" w:sz="0" w:space="0" w:color="auto"/>
                                            <w:right w:val="none" w:sz="0" w:space="0" w:color="auto"/>
                                          </w:divBdr>
                                          <w:divsChild>
                                            <w:div w:id="444156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45375880">
      <w:bodyDiv w:val="1"/>
      <w:marLeft w:val="0"/>
      <w:marRight w:val="0"/>
      <w:marTop w:val="0"/>
      <w:marBottom w:val="0"/>
      <w:divBdr>
        <w:top w:val="none" w:sz="0" w:space="0" w:color="auto"/>
        <w:left w:val="none" w:sz="0" w:space="0" w:color="auto"/>
        <w:bottom w:val="none" w:sz="0" w:space="0" w:color="auto"/>
        <w:right w:val="none" w:sz="0" w:space="0" w:color="auto"/>
      </w:divBdr>
      <w:divsChild>
        <w:div w:id="1382096556">
          <w:marLeft w:val="0"/>
          <w:marRight w:val="0"/>
          <w:marTop w:val="0"/>
          <w:marBottom w:val="0"/>
          <w:divBdr>
            <w:top w:val="none" w:sz="0" w:space="0" w:color="auto"/>
            <w:left w:val="none" w:sz="0" w:space="0" w:color="auto"/>
            <w:bottom w:val="none" w:sz="0" w:space="0" w:color="auto"/>
            <w:right w:val="none" w:sz="0" w:space="0" w:color="auto"/>
          </w:divBdr>
          <w:divsChild>
            <w:div w:id="1449397591">
              <w:marLeft w:val="0"/>
              <w:marRight w:val="0"/>
              <w:marTop w:val="0"/>
              <w:marBottom w:val="0"/>
              <w:divBdr>
                <w:top w:val="none" w:sz="0" w:space="0" w:color="auto"/>
                <w:left w:val="none" w:sz="0" w:space="0" w:color="auto"/>
                <w:bottom w:val="none" w:sz="0" w:space="0" w:color="auto"/>
                <w:right w:val="none" w:sz="0" w:space="0" w:color="auto"/>
              </w:divBdr>
              <w:divsChild>
                <w:div w:id="1185052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487741">
      <w:bodyDiv w:val="1"/>
      <w:marLeft w:val="0"/>
      <w:marRight w:val="0"/>
      <w:marTop w:val="0"/>
      <w:marBottom w:val="0"/>
      <w:divBdr>
        <w:top w:val="none" w:sz="0" w:space="0" w:color="auto"/>
        <w:left w:val="none" w:sz="0" w:space="0" w:color="auto"/>
        <w:bottom w:val="none" w:sz="0" w:space="0" w:color="auto"/>
        <w:right w:val="none" w:sz="0" w:space="0" w:color="auto"/>
      </w:divBdr>
      <w:divsChild>
        <w:div w:id="581184461">
          <w:marLeft w:val="0"/>
          <w:marRight w:val="0"/>
          <w:marTop w:val="0"/>
          <w:marBottom w:val="0"/>
          <w:divBdr>
            <w:top w:val="none" w:sz="0" w:space="0" w:color="auto"/>
            <w:left w:val="none" w:sz="0" w:space="0" w:color="auto"/>
            <w:bottom w:val="none" w:sz="0" w:space="0" w:color="auto"/>
            <w:right w:val="none" w:sz="0" w:space="0" w:color="auto"/>
          </w:divBdr>
          <w:divsChild>
            <w:div w:id="1654724480">
              <w:marLeft w:val="0"/>
              <w:marRight w:val="0"/>
              <w:marTop w:val="0"/>
              <w:marBottom w:val="0"/>
              <w:divBdr>
                <w:top w:val="none" w:sz="0" w:space="0" w:color="auto"/>
                <w:left w:val="none" w:sz="0" w:space="0" w:color="auto"/>
                <w:bottom w:val="none" w:sz="0" w:space="0" w:color="auto"/>
                <w:right w:val="none" w:sz="0" w:space="0" w:color="auto"/>
              </w:divBdr>
              <w:divsChild>
                <w:div w:id="1379085748">
                  <w:marLeft w:val="0"/>
                  <w:marRight w:val="0"/>
                  <w:marTop w:val="0"/>
                  <w:marBottom w:val="0"/>
                  <w:divBdr>
                    <w:top w:val="none" w:sz="0" w:space="0" w:color="auto"/>
                    <w:left w:val="none" w:sz="0" w:space="0" w:color="auto"/>
                    <w:bottom w:val="none" w:sz="0" w:space="0" w:color="auto"/>
                    <w:right w:val="none" w:sz="0" w:space="0" w:color="auto"/>
                  </w:divBdr>
                </w:div>
              </w:divsChild>
            </w:div>
            <w:div w:id="1941329928">
              <w:marLeft w:val="0"/>
              <w:marRight w:val="0"/>
              <w:marTop w:val="0"/>
              <w:marBottom w:val="0"/>
              <w:divBdr>
                <w:top w:val="none" w:sz="0" w:space="0" w:color="auto"/>
                <w:left w:val="none" w:sz="0" w:space="0" w:color="auto"/>
                <w:bottom w:val="none" w:sz="0" w:space="0" w:color="auto"/>
                <w:right w:val="none" w:sz="0" w:space="0" w:color="auto"/>
              </w:divBdr>
              <w:divsChild>
                <w:div w:id="371658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9487976">
          <w:marLeft w:val="0"/>
          <w:marRight w:val="0"/>
          <w:marTop w:val="0"/>
          <w:marBottom w:val="0"/>
          <w:divBdr>
            <w:top w:val="none" w:sz="0" w:space="0" w:color="auto"/>
            <w:left w:val="none" w:sz="0" w:space="0" w:color="auto"/>
            <w:bottom w:val="none" w:sz="0" w:space="0" w:color="auto"/>
            <w:right w:val="none" w:sz="0" w:space="0" w:color="auto"/>
          </w:divBdr>
          <w:divsChild>
            <w:div w:id="520247919">
              <w:marLeft w:val="0"/>
              <w:marRight w:val="0"/>
              <w:marTop w:val="0"/>
              <w:marBottom w:val="0"/>
              <w:divBdr>
                <w:top w:val="none" w:sz="0" w:space="0" w:color="auto"/>
                <w:left w:val="none" w:sz="0" w:space="0" w:color="auto"/>
                <w:bottom w:val="none" w:sz="0" w:space="0" w:color="auto"/>
                <w:right w:val="none" w:sz="0" w:space="0" w:color="auto"/>
              </w:divBdr>
              <w:divsChild>
                <w:div w:id="2089108989">
                  <w:marLeft w:val="0"/>
                  <w:marRight w:val="0"/>
                  <w:marTop w:val="0"/>
                  <w:marBottom w:val="0"/>
                  <w:divBdr>
                    <w:top w:val="none" w:sz="0" w:space="0" w:color="auto"/>
                    <w:left w:val="none" w:sz="0" w:space="0" w:color="auto"/>
                    <w:bottom w:val="none" w:sz="0" w:space="0" w:color="auto"/>
                    <w:right w:val="none" w:sz="0" w:space="0" w:color="auto"/>
                  </w:divBdr>
                </w:div>
              </w:divsChild>
            </w:div>
            <w:div w:id="1885365077">
              <w:marLeft w:val="0"/>
              <w:marRight w:val="0"/>
              <w:marTop w:val="0"/>
              <w:marBottom w:val="0"/>
              <w:divBdr>
                <w:top w:val="none" w:sz="0" w:space="0" w:color="auto"/>
                <w:left w:val="none" w:sz="0" w:space="0" w:color="auto"/>
                <w:bottom w:val="none" w:sz="0" w:space="0" w:color="auto"/>
                <w:right w:val="none" w:sz="0" w:space="0" w:color="auto"/>
              </w:divBdr>
              <w:divsChild>
                <w:div w:id="1626698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9039142">
      <w:bodyDiv w:val="1"/>
      <w:marLeft w:val="0"/>
      <w:marRight w:val="0"/>
      <w:marTop w:val="0"/>
      <w:marBottom w:val="0"/>
      <w:divBdr>
        <w:top w:val="none" w:sz="0" w:space="0" w:color="auto"/>
        <w:left w:val="none" w:sz="0" w:space="0" w:color="auto"/>
        <w:bottom w:val="none" w:sz="0" w:space="0" w:color="auto"/>
        <w:right w:val="none" w:sz="0" w:space="0" w:color="auto"/>
      </w:divBdr>
      <w:divsChild>
        <w:div w:id="1056705788">
          <w:marLeft w:val="0"/>
          <w:marRight w:val="0"/>
          <w:marTop w:val="0"/>
          <w:marBottom w:val="0"/>
          <w:divBdr>
            <w:top w:val="none" w:sz="0" w:space="0" w:color="auto"/>
            <w:left w:val="none" w:sz="0" w:space="0" w:color="auto"/>
            <w:bottom w:val="none" w:sz="0" w:space="0" w:color="auto"/>
            <w:right w:val="none" w:sz="0" w:space="0" w:color="auto"/>
          </w:divBdr>
        </w:div>
      </w:divsChild>
    </w:div>
    <w:div w:id="1057317237">
      <w:bodyDiv w:val="1"/>
      <w:marLeft w:val="0"/>
      <w:marRight w:val="0"/>
      <w:marTop w:val="0"/>
      <w:marBottom w:val="0"/>
      <w:divBdr>
        <w:top w:val="none" w:sz="0" w:space="0" w:color="auto"/>
        <w:left w:val="none" w:sz="0" w:space="0" w:color="auto"/>
        <w:bottom w:val="none" w:sz="0" w:space="0" w:color="auto"/>
        <w:right w:val="none" w:sz="0" w:space="0" w:color="auto"/>
      </w:divBdr>
    </w:div>
    <w:div w:id="1068722257">
      <w:bodyDiv w:val="1"/>
      <w:marLeft w:val="0"/>
      <w:marRight w:val="0"/>
      <w:marTop w:val="0"/>
      <w:marBottom w:val="0"/>
      <w:divBdr>
        <w:top w:val="none" w:sz="0" w:space="0" w:color="auto"/>
        <w:left w:val="none" w:sz="0" w:space="0" w:color="auto"/>
        <w:bottom w:val="none" w:sz="0" w:space="0" w:color="auto"/>
        <w:right w:val="none" w:sz="0" w:space="0" w:color="auto"/>
      </w:divBdr>
    </w:div>
    <w:div w:id="1071080038">
      <w:bodyDiv w:val="1"/>
      <w:marLeft w:val="0"/>
      <w:marRight w:val="0"/>
      <w:marTop w:val="0"/>
      <w:marBottom w:val="0"/>
      <w:divBdr>
        <w:top w:val="none" w:sz="0" w:space="0" w:color="auto"/>
        <w:left w:val="none" w:sz="0" w:space="0" w:color="auto"/>
        <w:bottom w:val="none" w:sz="0" w:space="0" w:color="auto"/>
        <w:right w:val="none" w:sz="0" w:space="0" w:color="auto"/>
      </w:divBdr>
      <w:divsChild>
        <w:div w:id="274991439">
          <w:marLeft w:val="0"/>
          <w:marRight w:val="0"/>
          <w:marTop w:val="0"/>
          <w:marBottom w:val="0"/>
          <w:divBdr>
            <w:top w:val="none" w:sz="0" w:space="0" w:color="auto"/>
            <w:left w:val="none" w:sz="0" w:space="0" w:color="auto"/>
            <w:bottom w:val="none" w:sz="0" w:space="0" w:color="auto"/>
            <w:right w:val="none" w:sz="0" w:space="0" w:color="auto"/>
          </w:divBdr>
        </w:div>
        <w:div w:id="862013643">
          <w:marLeft w:val="0"/>
          <w:marRight w:val="0"/>
          <w:marTop w:val="0"/>
          <w:marBottom w:val="0"/>
          <w:divBdr>
            <w:top w:val="none" w:sz="0" w:space="0" w:color="auto"/>
            <w:left w:val="none" w:sz="0" w:space="0" w:color="auto"/>
            <w:bottom w:val="none" w:sz="0" w:space="0" w:color="auto"/>
            <w:right w:val="none" w:sz="0" w:space="0" w:color="auto"/>
          </w:divBdr>
        </w:div>
        <w:div w:id="1116175996">
          <w:marLeft w:val="0"/>
          <w:marRight w:val="0"/>
          <w:marTop w:val="0"/>
          <w:marBottom w:val="0"/>
          <w:divBdr>
            <w:top w:val="none" w:sz="0" w:space="0" w:color="auto"/>
            <w:left w:val="none" w:sz="0" w:space="0" w:color="auto"/>
            <w:bottom w:val="none" w:sz="0" w:space="0" w:color="auto"/>
            <w:right w:val="none" w:sz="0" w:space="0" w:color="auto"/>
          </w:divBdr>
        </w:div>
        <w:div w:id="2109882411">
          <w:marLeft w:val="0"/>
          <w:marRight w:val="0"/>
          <w:marTop w:val="0"/>
          <w:marBottom w:val="0"/>
          <w:divBdr>
            <w:top w:val="none" w:sz="0" w:space="0" w:color="auto"/>
            <w:left w:val="none" w:sz="0" w:space="0" w:color="auto"/>
            <w:bottom w:val="none" w:sz="0" w:space="0" w:color="auto"/>
            <w:right w:val="none" w:sz="0" w:space="0" w:color="auto"/>
          </w:divBdr>
        </w:div>
      </w:divsChild>
    </w:div>
    <w:div w:id="1074206989">
      <w:bodyDiv w:val="1"/>
      <w:marLeft w:val="0"/>
      <w:marRight w:val="0"/>
      <w:marTop w:val="0"/>
      <w:marBottom w:val="0"/>
      <w:divBdr>
        <w:top w:val="none" w:sz="0" w:space="0" w:color="auto"/>
        <w:left w:val="none" w:sz="0" w:space="0" w:color="auto"/>
        <w:bottom w:val="none" w:sz="0" w:space="0" w:color="auto"/>
        <w:right w:val="none" w:sz="0" w:space="0" w:color="auto"/>
      </w:divBdr>
    </w:div>
    <w:div w:id="1076123870">
      <w:bodyDiv w:val="1"/>
      <w:marLeft w:val="0"/>
      <w:marRight w:val="0"/>
      <w:marTop w:val="0"/>
      <w:marBottom w:val="0"/>
      <w:divBdr>
        <w:top w:val="none" w:sz="0" w:space="0" w:color="auto"/>
        <w:left w:val="none" w:sz="0" w:space="0" w:color="auto"/>
        <w:bottom w:val="none" w:sz="0" w:space="0" w:color="auto"/>
        <w:right w:val="none" w:sz="0" w:space="0" w:color="auto"/>
      </w:divBdr>
    </w:div>
    <w:div w:id="1078332194">
      <w:bodyDiv w:val="1"/>
      <w:marLeft w:val="0"/>
      <w:marRight w:val="0"/>
      <w:marTop w:val="0"/>
      <w:marBottom w:val="0"/>
      <w:divBdr>
        <w:top w:val="none" w:sz="0" w:space="0" w:color="auto"/>
        <w:left w:val="none" w:sz="0" w:space="0" w:color="auto"/>
        <w:bottom w:val="none" w:sz="0" w:space="0" w:color="auto"/>
        <w:right w:val="none" w:sz="0" w:space="0" w:color="auto"/>
      </w:divBdr>
    </w:div>
    <w:div w:id="1088040369">
      <w:bodyDiv w:val="1"/>
      <w:marLeft w:val="0"/>
      <w:marRight w:val="0"/>
      <w:marTop w:val="0"/>
      <w:marBottom w:val="0"/>
      <w:divBdr>
        <w:top w:val="none" w:sz="0" w:space="0" w:color="auto"/>
        <w:left w:val="none" w:sz="0" w:space="0" w:color="auto"/>
        <w:bottom w:val="none" w:sz="0" w:space="0" w:color="auto"/>
        <w:right w:val="none" w:sz="0" w:space="0" w:color="auto"/>
      </w:divBdr>
    </w:div>
    <w:div w:id="1089741496">
      <w:bodyDiv w:val="1"/>
      <w:marLeft w:val="0"/>
      <w:marRight w:val="0"/>
      <w:marTop w:val="0"/>
      <w:marBottom w:val="0"/>
      <w:divBdr>
        <w:top w:val="none" w:sz="0" w:space="0" w:color="auto"/>
        <w:left w:val="none" w:sz="0" w:space="0" w:color="auto"/>
        <w:bottom w:val="none" w:sz="0" w:space="0" w:color="auto"/>
        <w:right w:val="none" w:sz="0" w:space="0" w:color="auto"/>
      </w:divBdr>
    </w:div>
    <w:div w:id="1094522027">
      <w:bodyDiv w:val="1"/>
      <w:marLeft w:val="0"/>
      <w:marRight w:val="0"/>
      <w:marTop w:val="0"/>
      <w:marBottom w:val="0"/>
      <w:divBdr>
        <w:top w:val="none" w:sz="0" w:space="0" w:color="auto"/>
        <w:left w:val="none" w:sz="0" w:space="0" w:color="auto"/>
        <w:bottom w:val="none" w:sz="0" w:space="0" w:color="auto"/>
        <w:right w:val="none" w:sz="0" w:space="0" w:color="auto"/>
      </w:divBdr>
    </w:div>
    <w:div w:id="1095327437">
      <w:bodyDiv w:val="1"/>
      <w:marLeft w:val="0"/>
      <w:marRight w:val="0"/>
      <w:marTop w:val="0"/>
      <w:marBottom w:val="0"/>
      <w:divBdr>
        <w:top w:val="none" w:sz="0" w:space="0" w:color="auto"/>
        <w:left w:val="none" w:sz="0" w:space="0" w:color="auto"/>
        <w:bottom w:val="none" w:sz="0" w:space="0" w:color="auto"/>
        <w:right w:val="none" w:sz="0" w:space="0" w:color="auto"/>
      </w:divBdr>
      <w:divsChild>
        <w:div w:id="912081446">
          <w:marLeft w:val="0"/>
          <w:marRight w:val="0"/>
          <w:marTop w:val="0"/>
          <w:marBottom w:val="0"/>
          <w:divBdr>
            <w:top w:val="none" w:sz="0" w:space="0" w:color="auto"/>
            <w:left w:val="none" w:sz="0" w:space="0" w:color="auto"/>
            <w:bottom w:val="none" w:sz="0" w:space="0" w:color="auto"/>
            <w:right w:val="none" w:sz="0" w:space="0" w:color="auto"/>
          </w:divBdr>
          <w:divsChild>
            <w:div w:id="1427992849">
              <w:marLeft w:val="0"/>
              <w:marRight w:val="0"/>
              <w:marTop w:val="0"/>
              <w:marBottom w:val="0"/>
              <w:divBdr>
                <w:top w:val="none" w:sz="0" w:space="0" w:color="auto"/>
                <w:left w:val="none" w:sz="0" w:space="0" w:color="auto"/>
                <w:bottom w:val="none" w:sz="0" w:space="0" w:color="auto"/>
                <w:right w:val="none" w:sz="0" w:space="0" w:color="auto"/>
              </w:divBdr>
              <w:divsChild>
                <w:div w:id="1320496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7601832">
      <w:bodyDiv w:val="1"/>
      <w:marLeft w:val="0"/>
      <w:marRight w:val="0"/>
      <w:marTop w:val="0"/>
      <w:marBottom w:val="0"/>
      <w:divBdr>
        <w:top w:val="none" w:sz="0" w:space="0" w:color="auto"/>
        <w:left w:val="none" w:sz="0" w:space="0" w:color="auto"/>
        <w:bottom w:val="none" w:sz="0" w:space="0" w:color="auto"/>
        <w:right w:val="none" w:sz="0" w:space="0" w:color="auto"/>
      </w:divBdr>
      <w:divsChild>
        <w:div w:id="586041318">
          <w:marLeft w:val="0"/>
          <w:marRight w:val="0"/>
          <w:marTop w:val="0"/>
          <w:marBottom w:val="0"/>
          <w:divBdr>
            <w:top w:val="none" w:sz="0" w:space="0" w:color="auto"/>
            <w:left w:val="none" w:sz="0" w:space="0" w:color="auto"/>
            <w:bottom w:val="none" w:sz="0" w:space="0" w:color="auto"/>
            <w:right w:val="none" w:sz="0" w:space="0" w:color="auto"/>
          </w:divBdr>
        </w:div>
        <w:div w:id="731579514">
          <w:marLeft w:val="0"/>
          <w:marRight w:val="0"/>
          <w:marTop w:val="0"/>
          <w:marBottom w:val="0"/>
          <w:divBdr>
            <w:top w:val="none" w:sz="0" w:space="0" w:color="auto"/>
            <w:left w:val="none" w:sz="0" w:space="0" w:color="auto"/>
            <w:bottom w:val="none" w:sz="0" w:space="0" w:color="auto"/>
            <w:right w:val="none" w:sz="0" w:space="0" w:color="auto"/>
          </w:divBdr>
        </w:div>
        <w:div w:id="1800302504">
          <w:marLeft w:val="0"/>
          <w:marRight w:val="0"/>
          <w:marTop w:val="0"/>
          <w:marBottom w:val="0"/>
          <w:divBdr>
            <w:top w:val="none" w:sz="0" w:space="0" w:color="auto"/>
            <w:left w:val="none" w:sz="0" w:space="0" w:color="auto"/>
            <w:bottom w:val="none" w:sz="0" w:space="0" w:color="auto"/>
            <w:right w:val="none" w:sz="0" w:space="0" w:color="auto"/>
          </w:divBdr>
        </w:div>
      </w:divsChild>
    </w:div>
    <w:div w:id="1100835899">
      <w:bodyDiv w:val="1"/>
      <w:marLeft w:val="0"/>
      <w:marRight w:val="0"/>
      <w:marTop w:val="0"/>
      <w:marBottom w:val="0"/>
      <w:divBdr>
        <w:top w:val="none" w:sz="0" w:space="0" w:color="auto"/>
        <w:left w:val="none" w:sz="0" w:space="0" w:color="auto"/>
        <w:bottom w:val="none" w:sz="0" w:space="0" w:color="auto"/>
        <w:right w:val="none" w:sz="0" w:space="0" w:color="auto"/>
      </w:divBdr>
    </w:div>
    <w:div w:id="1103646455">
      <w:bodyDiv w:val="1"/>
      <w:marLeft w:val="0"/>
      <w:marRight w:val="0"/>
      <w:marTop w:val="0"/>
      <w:marBottom w:val="0"/>
      <w:divBdr>
        <w:top w:val="none" w:sz="0" w:space="0" w:color="auto"/>
        <w:left w:val="none" w:sz="0" w:space="0" w:color="auto"/>
        <w:bottom w:val="none" w:sz="0" w:space="0" w:color="auto"/>
        <w:right w:val="none" w:sz="0" w:space="0" w:color="auto"/>
      </w:divBdr>
      <w:divsChild>
        <w:div w:id="1027099041">
          <w:marLeft w:val="0"/>
          <w:marRight w:val="0"/>
          <w:marTop w:val="0"/>
          <w:marBottom w:val="0"/>
          <w:divBdr>
            <w:top w:val="none" w:sz="0" w:space="0" w:color="auto"/>
            <w:left w:val="none" w:sz="0" w:space="0" w:color="auto"/>
            <w:bottom w:val="none" w:sz="0" w:space="0" w:color="auto"/>
            <w:right w:val="none" w:sz="0" w:space="0" w:color="auto"/>
          </w:divBdr>
          <w:divsChild>
            <w:div w:id="820345112">
              <w:marLeft w:val="0"/>
              <w:marRight w:val="0"/>
              <w:marTop w:val="411"/>
              <w:marBottom w:val="0"/>
              <w:divBdr>
                <w:top w:val="none" w:sz="0" w:space="0" w:color="auto"/>
                <w:left w:val="none" w:sz="0" w:space="0" w:color="auto"/>
                <w:bottom w:val="none" w:sz="0" w:space="0" w:color="auto"/>
                <w:right w:val="none" w:sz="0" w:space="0" w:color="auto"/>
              </w:divBdr>
              <w:divsChild>
                <w:div w:id="1945383163">
                  <w:marLeft w:val="0"/>
                  <w:marRight w:val="0"/>
                  <w:marTop w:val="0"/>
                  <w:marBottom w:val="0"/>
                  <w:divBdr>
                    <w:top w:val="none" w:sz="0" w:space="0" w:color="auto"/>
                    <w:left w:val="none" w:sz="0" w:space="0" w:color="auto"/>
                    <w:bottom w:val="none" w:sz="0" w:space="0" w:color="auto"/>
                    <w:right w:val="none" w:sz="0" w:space="0" w:color="auto"/>
                  </w:divBdr>
                  <w:divsChild>
                    <w:div w:id="881088731">
                      <w:marLeft w:val="79"/>
                      <w:marRight w:val="79"/>
                      <w:marTop w:val="0"/>
                      <w:marBottom w:val="0"/>
                      <w:divBdr>
                        <w:top w:val="none" w:sz="0" w:space="0" w:color="auto"/>
                        <w:left w:val="none" w:sz="0" w:space="0" w:color="auto"/>
                        <w:bottom w:val="none" w:sz="0" w:space="0" w:color="auto"/>
                        <w:right w:val="none" w:sz="0" w:space="0" w:color="auto"/>
                      </w:divBdr>
                      <w:divsChild>
                        <w:div w:id="2060089611">
                          <w:marLeft w:val="0"/>
                          <w:marRight w:val="0"/>
                          <w:marTop w:val="0"/>
                          <w:marBottom w:val="0"/>
                          <w:divBdr>
                            <w:top w:val="dashed" w:sz="6" w:space="0" w:color="DDDDDD"/>
                            <w:left w:val="none" w:sz="0" w:space="0" w:color="auto"/>
                            <w:bottom w:val="none" w:sz="0" w:space="0" w:color="auto"/>
                            <w:right w:val="none" w:sz="0" w:space="0" w:color="auto"/>
                          </w:divBdr>
                          <w:divsChild>
                            <w:div w:id="1311711891">
                              <w:marLeft w:val="0"/>
                              <w:marRight w:val="0"/>
                              <w:marTop w:val="0"/>
                              <w:marBottom w:val="0"/>
                              <w:divBdr>
                                <w:top w:val="none" w:sz="0" w:space="0" w:color="auto"/>
                                <w:left w:val="none" w:sz="0" w:space="0" w:color="auto"/>
                                <w:bottom w:val="none" w:sz="0" w:space="0" w:color="auto"/>
                                <w:right w:val="none" w:sz="0" w:space="0" w:color="auto"/>
                              </w:divBdr>
                              <w:divsChild>
                                <w:div w:id="1771856194">
                                  <w:marLeft w:val="0"/>
                                  <w:marRight w:val="0"/>
                                  <w:marTop w:val="79"/>
                                  <w:marBottom w:val="79"/>
                                  <w:divBdr>
                                    <w:top w:val="none" w:sz="0" w:space="0" w:color="auto"/>
                                    <w:left w:val="none" w:sz="0" w:space="0" w:color="auto"/>
                                    <w:bottom w:val="none" w:sz="0" w:space="0" w:color="auto"/>
                                    <w:right w:val="none" w:sz="0" w:space="0" w:color="auto"/>
                                  </w:divBdr>
                                  <w:divsChild>
                                    <w:div w:id="550965956">
                                      <w:marLeft w:val="0"/>
                                      <w:marRight w:val="0"/>
                                      <w:marTop w:val="0"/>
                                      <w:marBottom w:val="0"/>
                                      <w:divBdr>
                                        <w:top w:val="none" w:sz="0" w:space="0" w:color="auto"/>
                                        <w:left w:val="none" w:sz="0" w:space="0" w:color="auto"/>
                                        <w:bottom w:val="none" w:sz="0" w:space="0" w:color="auto"/>
                                        <w:right w:val="none" w:sz="0" w:space="0" w:color="auto"/>
                                      </w:divBdr>
                                      <w:divsChild>
                                        <w:div w:id="1815830622">
                                          <w:marLeft w:val="554"/>
                                          <w:marRight w:val="0"/>
                                          <w:marTop w:val="0"/>
                                          <w:marBottom w:val="0"/>
                                          <w:divBdr>
                                            <w:top w:val="none" w:sz="0" w:space="0" w:color="auto"/>
                                            <w:left w:val="none" w:sz="0" w:space="0" w:color="auto"/>
                                            <w:bottom w:val="none" w:sz="0" w:space="0" w:color="auto"/>
                                            <w:right w:val="none" w:sz="0" w:space="0" w:color="auto"/>
                                          </w:divBdr>
                                          <w:divsChild>
                                            <w:div w:id="279924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08356501">
      <w:bodyDiv w:val="1"/>
      <w:marLeft w:val="0"/>
      <w:marRight w:val="0"/>
      <w:marTop w:val="0"/>
      <w:marBottom w:val="0"/>
      <w:divBdr>
        <w:top w:val="none" w:sz="0" w:space="0" w:color="auto"/>
        <w:left w:val="none" w:sz="0" w:space="0" w:color="auto"/>
        <w:bottom w:val="none" w:sz="0" w:space="0" w:color="auto"/>
        <w:right w:val="none" w:sz="0" w:space="0" w:color="auto"/>
      </w:divBdr>
      <w:divsChild>
        <w:div w:id="1371489997">
          <w:marLeft w:val="0"/>
          <w:marRight w:val="0"/>
          <w:marTop w:val="0"/>
          <w:marBottom w:val="0"/>
          <w:divBdr>
            <w:top w:val="none" w:sz="0" w:space="0" w:color="auto"/>
            <w:left w:val="none" w:sz="0" w:space="0" w:color="auto"/>
            <w:bottom w:val="none" w:sz="0" w:space="0" w:color="auto"/>
            <w:right w:val="none" w:sz="0" w:space="0" w:color="auto"/>
          </w:divBdr>
          <w:divsChild>
            <w:div w:id="783381648">
              <w:marLeft w:val="0"/>
              <w:marRight w:val="0"/>
              <w:marTop w:val="0"/>
              <w:marBottom w:val="0"/>
              <w:divBdr>
                <w:top w:val="none" w:sz="0" w:space="0" w:color="auto"/>
                <w:left w:val="none" w:sz="0" w:space="0" w:color="auto"/>
                <w:bottom w:val="none" w:sz="0" w:space="0" w:color="auto"/>
                <w:right w:val="none" w:sz="0" w:space="0" w:color="auto"/>
              </w:divBdr>
              <w:divsChild>
                <w:div w:id="185095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0201559">
      <w:bodyDiv w:val="1"/>
      <w:marLeft w:val="0"/>
      <w:marRight w:val="0"/>
      <w:marTop w:val="0"/>
      <w:marBottom w:val="0"/>
      <w:divBdr>
        <w:top w:val="none" w:sz="0" w:space="0" w:color="auto"/>
        <w:left w:val="none" w:sz="0" w:space="0" w:color="auto"/>
        <w:bottom w:val="none" w:sz="0" w:space="0" w:color="auto"/>
        <w:right w:val="none" w:sz="0" w:space="0" w:color="auto"/>
      </w:divBdr>
    </w:div>
    <w:div w:id="1113016123">
      <w:bodyDiv w:val="1"/>
      <w:marLeft w:val="0"/>
      <w:marRight w:val="0"/>
      <w:marTop w:val="0"/>
      <w:marBottom w:val="0"/>
      <w:divBdr>
        <w:top w:val="none" w:sz="0" w:space="0" w:color="auto"/>
        <w:left w:val="none" w:sz="0" w:space="0" w:color="auto"/>
        <w:bottom w:val="none" w:sz="0" w:space="0" w:color="auto"/>
        <w:right w:val="none" w:sz="0" w:space="0" w:color="auto"/>
      </w:divBdr>
    </w:div>
    <w:div w:id="1113088549">
      <w:bodyDiv w:val="1"/>
      <w:marLeft w:val="0"/>
      <w:marRight w:val="0"/>
      <w:marTop w:val="0"/>
      <w:marBottom w:val="0"/>
      <w:divBdr>
        <w:top w:val="none" w:sz="0" w:space="0" w:color="auto"/>
        <w:left w:val="none" w:sz="0" w:space="0" w:color="auto"/>
        <w:bottom w:val="none" w:sz="0" w:space="0" w:color="auto"/>
        <w:right w:val="none" w:sz="0" w:space="0" w:color="auto"/>
      </w:divBdr>
    </w:div>
    <w:div w:id="1114524243">
      <w:bodyDiv w:val="1"/>
      <w:marLeft w:val="0"/>
      <w:marRight w:val="0"/>
      <w:marTop w:val="0"/>
      <w:marBottom w:val="0"/>
      <w:divBdr>
        <w:top w:val="none" w:sz="0" w:space="0" w:color="auto"/>
        <w:left w:val="none" w:sz="0" w:space="0" w:color="auto"/>
        <w:bottom w:val="none" w:sz="0" w:space="0" w:color="auto"/>
        <w:right w:val="none" w:sz="0" w:space="0" w:color="auto"/>
      </w:divBdr>
    </w:div>
    <w:div w:id="1117137875">
      <w:bodyDiv w:val="1"/>
      <w:marLeft w:val="0"/>
      <w:marRight w:val="0"/>
      <w:marTop w:val="0"/>
      <w:marBottom w:val="0"/>
      <w:divBdr>
        <w:top w:val="none" w:sz="0" w:space="0" w:color="auto"/>
        <w:left w:val="none" w:sz="0" w:space="0" w:color="auto"/>
        <w:bottom w:val="none" w:sz="0" w:space="0" w:color="auto"/>
        <w:right w:val="none" w:sz="0" w:space="0" w:color="auto"/>
      </w:divBdr>
      <w:divsChild>
        <w:div w:id="394280499">
          <w:marLeft w:val="0"/>
          <w:marRight w:val="0"/>
          <w:marTop w:val="0"/>
          <w:marBottom w:val="0"/>
          <w:divBdr>
            <w:top w:val="none" w:sz="0" w:space="0" w:color="auto"/>
            <w:left w:val="none" w:sz="0" w:space="0" w:color="auto"/>
            <w:bottom w:val="none" w:sz="0" w:space="0" w:color="auto"/>
            <w:right w:val="none" w:sz="0" w:space="0" w:color="auto"/>
          </w:divBdr>
          <w:divsChild>
            <w:div w:id="589434074">
              <w:marLeft w:val="0"/>
              <w:marRight w:val="0"/>
              <w:marTop w:val="0"/>
              <w:marBottom w:val="0"/>
              <w:divBdr>
                <w:top w:val="none" w:sz="0" w:space="0" w:color="auto"/>
                <w:left w:val="none" w:sz="0" w:space="0" w:color="auto"/>
                <w:bottom w:val="none" w:sz="0" w:space="0" w:color="auto"/>
                <w:right w:val="none" w:sz="0" w:space="0" w:color="auto"/>
              </w:divBdr>
              <w:divsChild>
                <w:div w:id="1278099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0687461">
      <w:bodyDiv w:val="1"/>
      <w:marLeft w:val="0"/>
      <w:marRight w:val="0"/>
      <w:marTop w:val="0"/>
      <w:marBottom w:val="0"/>
      <w:divBdr>
        <w:top w:val="none" w:sz="0" w:space="0" w:color="auto"/>
        <w:left w:val="none" w:sz="0" w:space="0" w:color="auto"/>
        <w:bottom w:val="none" w:sz="0" w:space="0" w:color="auto"/>
        <w:right w:val="none" w:sz="0" w:space="0" w:color="auto"/>
      </w:divBdr>
    </w:div>
    <w:div w:id="1130585831">
      <w:bodyDiv w:val="1"/>
      <w:marLeft w:val="0"/>
      <w:marRight w:val="0"/>
      <w:marTop w:val="0"/>
      <w:marBottom w:val="0"/>
      <w:divBdr>
        <w:top w:val="none" w:sz="0" w:space="0" w:color="auto"/>
        <w:left w:val="none" w:sz="0" w:space="0" w:color="auto"/>
        <w:bottom w:val="none" w:sz="0" w:space="0" w:color="auto"/>
        <w:right w:val="none" w:sz="0" w:space="0" w:color="auto"/>
      </w:divBdr>
    </w:div>
    <w:div w:id="1131023174">
      <w:bodyDiv w:val="1"/>
      <w:marLeft w:val="0"/>
      <w:marRight w:val="0"/>
      <w:marTop w:val="0"/>
      <w:marBottom w:val="0"/>
      <w:divBdr>
        <w:top w:val="none" w:sz="0" w:space="0" w:color="auto"/>
        <w:left w:val="none" w:sz="0" w:space="0" w:color="auto"/>
        <w:bottom w:val="none" w:sz="0" w:space="0" w:color="auto"/>
        <w:right w:val="none" w:sz="0" w:space="0" w:color="auto"/>
      </w:divBdr>
      <w:divsChild>
        <w:div w:id="488718442">
          <w:marLeft w:val="0"/>
          <w:marRight w:val="0"/>
          <w:marTop w:val="0"/>
          <w:marBottom w:val="0"/>
          <w:divBdr>
            <w:top w:val="none" w:sz="0" w:space="0" w:color="auto"/>
            <w:left w:val="none" w:sz="0" w:space="0" w:color="auto"/>
            <w:bottom w:val="none" w:sz="0" w:space="0" w:color="auto"/>
            <w:right w:val="none" w:sz="0" w:space="0" w:color="auto"/>
          </w:divBdr>
        </w:div>
        <w:div w:id="1201354745">
          <w:marLeft w:val="0"/>
          <w:marRight w:val="0"/>
          <w:marTop w:val="0"/>
          <w:marBottom w:val="0"/>
          <w:divBdr>
            <w:top w:val="none" w:sz="0" w:space="0" w:color="auto"/>
            <w:left w:val="none" w:sz="0" w:space="0" w:color="auto"/>
            <w:bottom w:val="none" w:sz="0" w:space="0" w:color="auto"/>
            <w:right w:val="none" w:sz="0" w:space="0" w:color="auto"/>
          </w:divBdr>
        </w:div>
        <w:div w:id="1237931449">
          <w:marLeft w:val="0"/>
          <w:marRight w:val="0"/>
          <w:marTop w:val="0"/>
          <w:marBottom w:val="0"/>
          <w:divBdr>
            <w:top w:val="none" w:sz="0" w:space="0" w:color="auto"/>
            <w:left w:val="none" w:sz="0" w:space="0" w:color="auto"/>
            <w:bottom w:val="none" w:sz="0" w:space="0" w:color="auto"/>
            <w:right w:val="none" w:sz="0" w:space="0" w:color="auto"/>
          </w:divBdr>
        </w:div>
        <w:div w:id="1409381203">
          <w:marLeft w:val="0"/>
          <w:marRight w:val="0"/>
          <w:marTop w:val="0"/>
          <w:marBottom w:val="0"/>
          <w:divBdr>
            <w:top w:val="none" w:sz="0" w:space="0" w:color="auto"/>
            <w:left w:val="none" w:sz="0" w:space="0" w:color="auto"/>
            <w:bottom w:val="none" w:sz="0" w:space="0" w:color="auto"/>
            <w:right w:val="none" w:sz="0" w:space="0" w:color="auto"/>
          </w:divBdr>
        </w:div>
        <w:div w:id="1430469381">
          <w:marLeft w:val="0"/>
          <w:marRight w:val="0"/>
          <w:marTop w:val="0"/>
          <w:marBottom w:val="0"/>
          <w:divBdr>
            <w:top w:val="none" w:sz="0" w:space="0" w:color="auto"/>
            <w:left w:val="none" w:sz="0" w:space="0" w:color="auto"/>
            <w:bottom w:val="none" w:sz="0" w:space="0" w:color="auto"/>
            <w:right w:val="none" w:sz="0" w:space="0" w:color="auto"/>
          </w:divBdr>
        </w:div>
        <w:div w:id="1436706751">
          <w:marLeft w:val="0"/>
          <w:marRight w:val="0"/>
          <w:marTop w:val="0"/>
          <w:marBottom w:val="0"/>
          <w:divBdr>
            <w:top w:val="none" w:sz="0" w:space="0" w:color="auto"/>
            <w:left w:val="none" w:sz="0" w:space="0" w:color="auto"/>
            <w:bottom w:val="none" w:sz="0" w:space="0" w:color="auto"/>
            <w:right w:val="none" w:sz="0" w:space="0" w:color="auto"/>
          </w:divBdr>
        </w:div>
      </w:divsChild>
    </w:div>
    <w:div w:id="1135758829">
      <w:bodyDiv w:val="1"/>
      <w:marLeft w:val="0"/>
      <w:marRight w:val="0"/>
      <w:marTop w:val="0"/>
      <w:marBottom w:val="0"/>
      <w:divBdr>
        <w:top w:val="none" w:sz="0" w:space="0" w:color="auto"/>
        <w:left w:val="none" w:sz="0" w:space="0" w:color="auto"/>
        <w:bottom w:val="none" w:sz="0" w:space="0" w:color="auto"/>
        <w:right w:val="none" w:sz="0" w:space="0" w:color="auto"/>
      </w:divBdr>
    </w:div>
    <w:div w:id="1139037244">
      <w:bodyDiv w:val="1"/>
      <w:marLeft w:val="0"/>
      <w:marRight w:val="0"/>
      <w:marTop w:val="0"/>
      <w:marBottom w:val="0"/>
      <w:divBdr>
        <w:top w:val="none" w:sz="0" w:space="0" w:color="auto"/>
        <w:left w:val="none" w:sz="0" w:space="0" w:color="auto"/>
        <w:bottom w:val="none" w:sz="0" w:space="0" w:color="auto"/>
        <w:right w:val="none" w:sz="0" w:space="0" w:color="auto"/>
      </w:divBdr>
      <w:divsChild>
        <w:div w:id="1452090993">
          <w:marLeft w:val="0"/>
          <w:marRight w:val="0"/>
          <w:marTop w:val="0"/>
          <w:marBottom w:val="0"/>
          <w:divBdr>
            <w:top w:val="none" w:sz="0" w:space="0" w:color="auto"/>
            <w:left w:val="none" w:sz="0" w:space="0" w:color="auto"/>
            <w:bottom w:val="none" w:sz="0" w:space="0" w:color="auto"/>
            <w:right w:val="none" w:sz="0" w:space="0" w:color="auto"/>
          </w:divBdr>
          <w:divsChild>
            <w:div w:id="1135222365">
              <w:marLeft w:val="0"/>
              <w:marRight w:val="0"/>
              <w:marTop w:val="411"/>
              <w:marBottom w:val="0"/>
              <w:divBdr>
                <w:top w:val="none" w:sz="0" w:space="0" w:color="auto"/>
                <w:left w:val="none" w:sz="0" w:space="0" w:color="auto"/>
                <w:bottom w:val="none" w:sz="0" w:space="0" w:color="auto"/>
                <w:right w:val="none" w:sz="0" w:space="0" w:color="auto"/>
              </w:divBdr>
              <w:divsChild>
                <w:div w:id="502596887">
                  <w:marLeft w:val="0"/>
                  <w:marRight w:val="0"/>
                  <w:marTop w:val="0"/>
                  <w:marBottom w:val="0"/>
                  <w:divBdr>
                    <w:top w:val="none" w:sz="0" w:space="0" w:color="auto"/>
                    <w:left w:val="none" w:sz="0" w:space="0" w:color="auto"/>
                    <w:bottom w:val="none" w:sz="0" w:space="0" w:color="auto"/>
                    <w:right w:val="none" w:sz="0" w:space="0" w:color="auto"/>
                  </w:divBdr>
                  <w:divsChild>
                    <w:div w:id="434249037">
                      <w:marLeft w:val="79"/>
                      <w:marRight w:val="79"/>
                      <w:marTop w:val="0"/>
                      <w:marBottom w:val="0"/>
                      <w:divBdr>
                        <w:top w:val="none" w:sz="0" w:space="0" w:color="auto"/>
                        <w:left w:val="none" w:sz="0" w:space="0" w:color="auto"/>
                        <w:bottom w:val="none" w:sz="0" w:space="0" w:color="auto"/>
                        <w:right w:val="none" w:sz="0" w:space="0" w:color="auto"/>
                      </w:divBdr>
                      <w:divsChild>
                        <w:div w:id="855965817">
                          <w:marLeft w:val="0"/>
                          <w:marRight w:val="0"/>
                          <w:marTop w:val="0"/>
                          <w:marBottom w:val="0"/>
                          <w:divBdr>
                            <w:top w:val="dashed" w:sz="6" w:space="0" w:color="DDDDDD"/>
                            <w:left w:val="none" w:sz="0" w:space="0" w:color="auto"/>
                            <w:bottom w:val="none" w:sz="0" w:space="0" w:color="auto"/>
                            <w:right w:val="none" w:sz="0" w:space="0" w:color="auto"/>
                          </w:divBdr>
                          <w:divsChild>
                            <w:div w:id="1645158066">
                              <w:marLeft w:val="0"/>
                              <w:marRight w:val="0"/>
                              <w:marTop w:val="0"/>
                              <w:marBottom w:val="0"/>
                              <w:divBdr>
                                <w:top w:val="none" w:sz="0" w:space="0" w:color="auto"/>
                                <w:left w:val="none" w:sz="0" w:space="0" w:color="auto"/>
                                <w:bottom w:val="none" w:sz="0" w:space="0" w:color="auto"/>
                                <w:right w:val="none" w:sz="0" w:space="0" w:color="auto"/>
                              </w:divBdr>
                              <w:divsChild>
                                <w:div w:id="1405880580">
                                  <w:marLeft w:val="0"/>
                                  <w:marRight w:val="0"/>
                                  <w:marTop w:val="79"/>
                                  <w:marBottom w:val="79"/>
                                  <w:divBdr>
                                    <w:top w:val="none" w:sz="0" w:space="0" w:color="auto"/>
                                    <w:left w:val="none" w:sz="0" w:space="0" w:color="auto"/>
                                    <w:bottom w:val="none" w:sz="0" w:space="0" w:color="auto"/>
                                    <w:right w:val="none" w:sz="0" w:space="0" w:color="auto"/>
                                  </w:divBdr>
                                  <w:divsChild>
                                    <w:div w:id="1011952031">
                                      <w:marLeft w:val="0"/>
                                      <w:marRight w:val="0"/>
                                      <w:marTop w:val="0"/>
                                      <w:marBottom w:val="0"/>
                                      <w:divBdr>
                                        <w:top w:val="none" w:sz="0" w:space="0" w:color="auto"/>
                                        <w:left w:val="none" w:sz="0" w:space="0" w:color="auto"/>
                                        <w:bottom w:val="none" w:sz="0" w:space="0" w:color="auto"/>
                                        <w:right w:val="none" w:sz="0" w:space="0" w:color="auto"/>
                                      </w:divBdr>
                                      <w:divsChild>
                                        <w:div w:id="2026900566">
                                          <w:marLeft w:val="554"/>
                                          <w:marRight w:val="0"/>
                                          <w:marTop w:val="0"/>
                                          <w:marBottom w:val="0"/>
                                          <w:divBdr>
                                            <w:top w:val="none" w:sz="0" w:space="0" w:color="auto"/>
                                            <w:left w:val="none" w:sz="0" w:space="0" w:color="auto"/>
                                            <w:bottom w:val="none" w:sz="0" w:space="0" w:color="auto"/>
                                            <w:right w:val="none" w:sz="0" w:space="0" w:color="auto"/>
                                          </w:divBdr>
                                          <w:divsChild>
                                            <w:div w:id="1266423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51673287">
      <w:bodyDiv w:val="1"/>
      <w:marLeft w:val="0"/>
      <w:marRight w:val="0"/>
      <w:marTop w:val="0"/>
      <w:marBottom w:val="0"/>
      <w:divBdr>
        <w:top w:val="none" w:sz="0" w:space="0" w:color="auto"/>
        <w:left w:val="none" w:sz="0" w:space="0" w:color="auto"/>
        <w:bottom w:val="none" w:sz="0" w:space="0" w:color="auto"/>
        <w:right w:val="none" w:sz="0" w:space="0" w:color="auto"/>
      </w:divBdr>
    </w:div>
    <w:div w:id="1155756032">
      <w:bodyDiv w:val="1"/>
      <w:marLeft w:val="0"/>
      <w:marRight w:val="0"/>
      <w:marTop w:val="0"/>
      <w:marBottom w:val="0"/>
      <w:divBdr>
        <w:top w:val="none" w:sz="0" w:space="0" w:color="auto"/>
        <w:left w:val="none" w:sz="0" w:space="0" w:color="auto"/>
        <w:bottom w:val="none" w:sz="0" w:space="0" w:color="auto"/>
        <w:right w:val="none" w:sz="0" w:space="0" w:color="auto"/>
      </w:divBdr>
    </w:div>
    <w:div w:id="1155803609">
      <w:bodyDiv w:val="1"/>
      <w:marLeft w:val="0"/>
      <w:marRight w:val="0"/>
      <w:marTop w:val="0"/>
      <w:marBottom w:val="0"/>
      <w:divBdr>
        <w:top w:val="none" w:sz="0" w:space="0" w:color="auto"/>
        <w:left w:val="none" w:sz="0" w:space="0" w:color="auto"/>
        <w:bottom w:val="none" w:sz="0" w:space="0" w:color="auto"/>
        <w:right w:val="none" w:sz="0" w:space="0" w:color="auto"/>
      </w:divBdr>
    </w:div>
    <w:div w:id="1160847939">
      <w:bodyDiv w:val="1"/>
      <w:marLeft w:val="0"/>
      <w:marRight w:val="0"/>
      <w:marTop w:val="0"/>
      <w:marBottom w:val="0"/>
      <w:divBdr>
        <w:top w:val="none" w:sz="0" w:space="0" w:color="auto"/>
        <w:left w:val="none" w:sz="0" w:space="0" w:color="auto"/>
        <w:bottom w:val="none" w:sz="0" w:space="0" w:color="auto"/>
        <w:right w:val="none" w:sz="0" w:space="0" w:color="auto"/>
      </w:divBdr>
    </w:div>
    <w:div w:id="1162312828">
      <w:bodyDiv w:val="1"/>
      <w:marLeft w:val="0"/>
      <w:marRight w:val="0"/>
      <w:marTop w:val="0"/>
      <w:marBottom w:val="0"/>
      <w:divBdr>
        <w:top w:val="none" w:sz="0" w:space="0" w:color="auto"/>
        <w:left w:val="none" w:sz="0" w:space="0" w:color="auto"/>
        <w:bottom w:val="none" w:sz="0" w:space="0" w:color="auto"/>
        <w:right w:val="none" w:sz="0" w:space="0" w:color="auto"/>
      </w:divBdr>
    </w:div>
    <w:div w:id="1165197039">
      <w:bodyDiv w:val="1"/>
      <w:marLeft w:val="0"/>
      <w:marRight w:val="0"/>
      <w:marTop w:val="0"/>
      <w:marBottom w:val="0"/>
      <w:divBdr>
        <w:top w:val="none" w:sz="0" w:space="0" w:color="auto"/>
        <w:left w:val="none" w:sz="0" w:space="0" w:color="auto"/>
        <w:bottom w:val="none" w:sz="0" w:space="0" w:color="auto"/>
        <w:right w:val="none" w:sz="0" w:space="0" w:color="auto"/>
      </w:divBdr>
    </w:div>
    <w:div w:id="1165366205">
      <w:bodyDiv w:val="1"/>
      <w:marLeft w:val="0"/>
      <w:marRight w:val="0"/>
      <w:marTop w:val="0"/>
      <w:marBottom w:val="0"/>
      <w:divBdr>
        <w:top w:val="none" w:sz="0" w:space="0" w:color="auto"/>
        <w:left w:val="none" w:sz="0" w:space="0" w:color="auto"/>
        <w:bottom w:val="none" w:sz="0" w:space="0" w:color="auto"/>
        <w:right w:val="none" w:sz="0" w:space="0" w:color="auto"/>
      </w:divBdr>
      <w:divsChild>
        <w:div w:id="1677224535">
          <w:marLeft w:val="0"/>
          <w:marRight w:val="0"/>
          <w:marTop w:val="0"/>
          <w:marBottom w:val="0"/>
          <w:divBdr>
            <w:top w:val="none" w:sz="0" w:space="0" w:color="auto"/>
            <w:left w:val="none" w:sz="0" w:space="0" w:color="auto"/>
            <w:bottom w:val="none" w:sz="0" w:space="0" w:color="auto"/>
            <w:right w:val="none" w:sz="0" w:space="0" w:color="auto"/>
          </w:divBdr>
        </w:div>
      </w:divsChild>
    </w:div>
    <w:div w:id="1169251145">
      <w:bodyDiv w:val="1"/>
      <w:marLeft w:val="0"/>
      <w:marRight w:val="0"/>
      <w:marTop w:val="0"/>
      <w:marBottom w:val="0"/>
      <w:divBdr>
        <w:top w:val="none" w:sz="0" w:space="0" w:color="auto"/>
        <w:left w:val="none" w:sz="0" w:space="0" w:color="auto"/>
        <w:bottom w:val="none" w:sz="0" w:space="0" w:color="auto"/>
        <w:right w:val="none" w:sz="0" w:space="0" w:color="auto"/>
      </w:divBdr>
    </w:div>
    <w:div w:id="1177692356">
      <w:bodyDiv w:val="1"/>
      <w:marLeft w:val="0"/>
      <w:marRight w:val="0"/>
      <w:marTop w:val="0"/>
      <w:marBottom w:val="0"/>
      <w:divBdr>
        <w:top w:val="none" w:sz="0" w:space="0" w:color="auto"/>
        <w:left w:val="none" w:sz="0" w:space="0" w:color="auto"/>
        <w:bottom w:val="none" w:sz="0" w:space="0" w:color="auto"/>
        <w:right w:val="none" w:sz="0" w:space="0" w:color="auto"/>
      </w:divBdr>
    </w:div>
    <w:div w:id="1179537259">
      <w:bodyDiv w:val="1"/>
      <w:marLeft w:val="0"/>
      <w:marRight w:val="0"/>
      <w:marTop w:val="0"/>
      <w:marBottom w:val="0"/>
      <w:divBdr>
        <w:top w:val="none" w:sz="0" w:space="0" w:color="auto"/>
        <w:left w:val="none" w:sz="0" w:space="0" w:color="auto"/>
        <w:bottom w:val="none" w:sz="0" w:space="0" w:color="auto"/>
        <w:right w:val="none" w:sz="0" w:space="0" w:color="auto"/>
      </w:divBdr>
    </w:div>
    <w:div w:id="1184174800">
      <w:bodyDiv w:val="1"/>
      <w:marLeft w:val="0"/>
      <w:marRight w:val="0"/>
      <w:marTop w:val="0"/>
      <w:marBottom w:val="0"/>
      <w:divBdr>
        <w:top w:val="none" w:sz="0" w:space="0" w:color="auto"/>
        <w:left w:val="none" w:sz="0" w:space="0" w:color="auto"/>
        <w:bottom w:val="none" w:sz="0" w:space="0" w:color="auto"/>
        <w:right w:val="none" w:sz="0" w:space="0" w:color="auto"/>
      </w:divBdr>
      <w:divsChild>
        <w:div w:id="1237400769">
          <w:marLeft w:val="0"/>
          <w:marRight w:val="0"/>
          <w:marTop w:val="0"/>
          <w:marBottom w:val="0"/>
          <w:divBdr>
            <w:top w:val="none" w:sz="0" w:space="0" w:color="auto"/>
            <w:left w:val="none" w:sz="0" w:space="0" w:color="auto"/>
            <w:bottom w:val="none" w:sz="0" w:space="0" w:color="auto"/>
            <w:right w:val="none" w:sz="0" w:space="0" w:color="auto"/>
          </w:divBdr>
          <w:divsChild>
            <w:div w:id="409273610">
              <w:marLeft w:val="0"/>
              <w:marRight w:val="0"/>
              <w:marTop w:val="411"/>
              <w:marBottom w:val="0"/>
              <w:divBdr>
                <w:top w:val="none" w:sz="0" w:space="0" w:color="auto"/>
                <w:left w:val="none" w:sz="0" w:space="0" w:color="auto"/>
                <w:bottom w:val="none" w:sz="0" w:space="0" w:color="auto"/>
                <w:right w:val="none" w:sz="0" w:space="0" w:color="auto"/>
              </w:divBdr>
              <w:divsChild>
                <w:div w:id="277875900">
                  <w:marLeft w:val="0"/>
                  <w:marRight w:val="0"/>
                  <w:marTop w:val="0"/>
                  <w:marBottom w:val="0"/>
                  <w:divBdr>
                    <w:top w:val="none" w:sz="0" w:space="0" w:color="auto"/>
                    <w:left w:val="none" w:sz="0" w:space="0" w:color="auto"/>
                    <w:bottom w:val="none" w:sz="0" w:space="0" w:color="auto"/>
                    <w:right w:val="none" w:sz="0" w:space="0" w:color="auto"/>
                  </w:divBdr>
                  <w:divsChild>
                    <w:div w:id="41366982">
                      <w:marLeft w:val="79"/>
                      <w:marRight w:val="79"/>
                      <w:marTop w:val="0"/>
                      <w:marBottom w:val="0"/>
                      <w:divBdr>
                        <w:top w:val="none" w:sz="0" w:space="0" w:color="auto"/>
                        <w:left w:val="none" w:sz="0" w:space="0" w:color="auto"/>
                        <w:bottom w:val="none" w:sz="0" w:space="0" w:color="auto"/>
                        <w:right w:val="none" w:sz="0" w:space="0" w:color="auto"/>
                      </w:divBdr>
                      <w:divsChild>
                        <w:div w:id="362023980">
                          <w:marLeft w:val="0"/>
                          <w:marRight w:val="0"/>
                          <w:marTop w:val="0"/>
                          <w:marBottom w:val="0"/>
                          <w:divBdr>
                            <w:top w:val="dashed" w:sz="6" w:space="0" w:color="DDDDDD"/>
                            <w:left w:val="none" w:sz="0" w:space="0" w:color="auto"/>
                            <w:bottom w:val="none" w:sz="0" w:space="0" w:color="auto"/>
                            <w:right w:val="none" w:sz="0" w:space="0" w:color="auto"/>
                          </w:divBdr>
                          <w:divsChild>
                            <w:div w:id="360982821">
                              <w:marLeft w:val="0"/>
                              <w:marRight w:val="0"/>
                              <w:marTop w:val="0"/>
                              <w:marBottom w:val="0"/>
                              <w:divBdr>
                                <w:top w:val="none" w:sz="0" w:space="0" w:color="auto"/>
                                <w:left w:val="none" w:sz="0" w:space="0" w:color="auto"/>
                                <w:bottom w:val="none" w:sz="0" w:space="0" w:color="auto"/>
                                <w:right w:val="none" w:sz="0" w:space="0" w:color="auto"/>
                              </w:divBdr>
                              <w:divsChild>
                                <w:div w:id="889224765">
                                  <w:marLeft w:val="0"/>
                                  <w:marRight w:val="0"/>
                                  <w:marTop w:val="79"/>
                                  <w:marBottom w:val="79"/>
                                  <w:divBdr>
                                    <w:top w:val="none" w:sz="0" w:space="0" w:color="auto"/>
                                    <w:left w:val="none" w:sz="0" w:space="0" w:color="auto"/>
                                    <w:bottom w:val="none" w:sz="0" w:space="0" w:color="auto"/>
                                    <w:right w:val="none" w:sz="0" w:space="0" w:color="auto"/>
                                  </w:divBdr>
                                  <w:divsChild>
                                    <w:div w:id="742217108">
                                      <w:marLeft w:val="0"/>
                                      <w:marRight w:val="0"/>
                                      <w:marTop w:val="0"/>
                                      <w:marBottom w:val="0"/>
                                      <w:divBdr>
                                        <w:top w:val="none" w:sz="0" w:space="0" w:color="auto"/>
                                        <w:left w:val="none" w:sz="0" w:space="0" w:color="auto"/>
                                        <w:bottom w:val="none" w:sz="0" w:space="0" w:color="auto"/>
                                        <w:right w:val="none" w:sz="0" w:space="0" w:color="auto"/>
                                      </w:divBdr>
                                      <w:divsChild>
                                        <w:div w:id="1155606188">
                                          <w:marLeft w:val="554"/>
                                          <w:marRight w:val="0"/>
                                          <w:marTop w:val="0"/>
                                          <w:marBottom w:val="0"/>
                                          <w:divBdr>
                                            <w:top w:val="none" w:sz="0" w:space="0" w:color="auto"/>
                                            <w:left w:val="none" w:sz="0" w:space="0" w:color="auto"/>
                                            <w:bottom w:val="none" w:sz="0" w:space="0" w:color="auto"/>
                                            <w:right w:val="none" w:sz="0" w:space="0" w:color="auto"/>
                                          </w:divBdr>
                                          <w:divsChild>
                                            <w:div w:id="1639410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94810590">
      <w:bodyDiv w:val="1"/>
      <w:marLeft w:val="0"/>
      <w:marRight w:val="0"/>
      <w:marTop w:val="0"/>
      <w:marBottom w:val="0"/>
      <w:divBdr>
        <w:top w:val="none" w:sz="0" w:space="0" w:color="auto"/>
        <w:left w:val="none" w:sz="0" w:space="0" w:color="auto"/>
        <w:bottom w:val="none" w:sz="0" w:space="0" w:color="auto"/>
        <w:right w:val="none" w:sz="0" w:space="0" w:color="auto"/>
      </w:divBdr>
    </w:div>
    <w:div w:id="1194920598">
      <w:bodyDiv w:val="1"/>
      <w:marLeft w:val="0"/>
      <w:marRight w:val="0"/>
      <w:marTop w:val="0"/>
      <w:marBottom w:val="0"/>
      <w:divBdr>
        <w:top w:val="none" w:sz="0" w:space="0" w:color="auto"/>
        <w:left w:val="none" w:sz="0" w:space="0" w:color="auto"/>
        <w:bottom w:val="none" w:sz="0" w:space="0" w:color="auto"/>
        <w:right w:val="none" w:sz="0" w:space="0" w:color="auto"/>
      </w:divBdr>
    </w:div>
    <w:div w:id="1198738079">
      <w:bodyDiv w:val="1"/>
      <w:marLeft w:val="0"/>
      <w:marRight w:val="0"/>
      <w:marTop w:val="0"/>
      <w:marBottom w:val="0"/>
      <w:divBdr>
        <w:top w:val="none" w:sz="0" w:space="0" w:color="auto"/>
        <w:left w:val="none" w:sz="0" w:space="0" w:color="auto"/>
        <w:bottom w:val="none" w:sz="0" w:space="0" w:color="auto"/>
        <w:right w:val="none" w:sz="0" w:space="0" w:color="auto"/>
      </w:divBdr>
    </w:div>
    <w:div w:id="1199316606">
      <w:bodyDiv w:val="1"/>
      <w:marLeft w:val="0"/>
      <w:marRight w:val="0"/>
      <w:marTop w:val="0"/>
      <w:marBottom w:val="0"/>
      <w:divBdr>
        <w:top w:val="none" w:sz="0" w:space="0" w:color="auto"/>
        <w:left w:val="none" w:sz="0" w:space="0" w:color="auto"/>
        <w:bottom w:val="none" w:sz="0" w:space="0" w:color="auto"/>
        <w:right w:val="none" w:sz="0" w:space="0" w:color="auto"/>
      </w:divBdr>
    </w:div>
    <w:div w:id="1204174030">
      <w:bodyDiv w:val="1"/>
      <w:marLeft w:val="0"/>
      <w:marRight w:val="0"/>
      <w:marTop w:val="0"/>
      <w:marBottom w:val="0"/>
      <w:divBdr>
        <w:top w:val="none" w:sz="0" w:space="0" w:color="auto"/>
        <w:left w:val="none" w:sz="0" w:space="0" w:color="auto"/>
        <w:bottom w:val="none" w:sz="0" w:space="0" w:color="auto"/>
        <w:right w:val="none" w:sz="0" w:space="0" w:color="auto"/>
      </w:divBdr>
    </w:div>
    <w:div w:id="1204707623">
      <w:bodyDiv w:val="1"/>
      <w:marLeft w:val="0"/>
      <w:marRight w:val="0"/>
      <w:marTop w:val="0"/>
      <w:marBottom w:val="0"/>
      <w:divBdr>
        <w:top w:val="none" w:sz="0" w:space="0" w:color="auto"/>
        <w:left w:val="none" w:sz="0" w:space="0" w:color="auto"/>
        <w:bottom w:val="none" w:sz="0" w:space="0" w:color="auto"/>
        <w:right w:val="none" w:sz="0" w:space="0" w:color="auto"/>
      </w:divBdr>
    </w:div>
    <w:div w:id="1207185977">
      <w:bodyDiv w:val="1"/>
      <w:marLeft w:val="0"/>
      <w:marRight w:val="0"/>
      <w:marTop w:val="0"/>
      <w:marBottom w:val="0"/>
      <w:divBdr>
        <w:top w:val="none" w:sz="0" w:space="0" w:color="auto"/>
        <w:left w:val="none" w:sz="0" w:space="0" w:color="auto"/>
        <w:bottom w:val="none" w:sz="0" w:space="0" w:color="auto"/>
        <w:right w:val="none" w:sz="0" w:space="0" w:color="auto"/>
      </w:divBdr>
    </w:div>
    <w:div w:id="1207336411">
      <w:bodyDiv w:val="1"/>
      <w:marLeft w:val="0"/>
      <w:marRight w:val="0"/>
      <w:marTop w:val="0"/>
      <w:marBottom w:val="0"/>
      <w:divBdr>
        <w:top w:val="none" w:sz="0" w:space="0" w:color="auto"/>
        <w:left w:val="none" w:sz="0" w:space="0" w:color="auto"/>
        <w:bottom w:val="none" w:sz="0" w:space="0" w:color="auto"/>
        <w:right w:val="none" w:sz="0" w:space="0" w:color="auto"/>
      </w:divBdr>
    </w:div>
    <w:div w:id="1208101107">
      <w:bodyDiv w:val="1"/>
      <w:marLeft w:val="0"/>
      <w:marRight w:val="0"/>
      <w:marTop w:val="0"/>
      <w:marBottom w:val="0"/>
      <w:divBdr>
        <w:top w:val="none" w:sz="0" w:space="0" w:color="auto"/>
        <w:left w:val="none" w:sz="0" w:space="0" w:color="auto"/>
        <w:bottom w:val="none" w:sz="0" w:space="0" w:color="auto"/>
        <w:right w:val="none" w:sz="0" w:space="0" w:color="auto"/>
      </w:divBdr>
    </w:div>
    <w:div w:id="1214079106">
      <w:bodyDiv w:val="1"/>
      <w:marLeft w:val="0"/>
      <w:marRight w:val="0"/>
      <w:marTop w:val="0"/>
      <w:marBottom w:val="0"/>
      <w:divBdr>
        <w:top w:val="none" w:sz="0" w:space="0" w:color="auto"/>
        <w:left w:val="none" w:sz="0" w:space="0" w:color="auto"/>
        <w:bottom w:val="none" w:sz="0" w:space="0" w:color="auto"/>
        <w:right w:val="none" w:sz="0" w:space="0" w:color="auto"/>
      </w:divBdr>
    </w:div>
    <w:div w:id="1217932150">
      <w:bodyDiv w:val="1"/>
      <w:marLeft w:val="0"/>
      <w:marRight w:val="0"/>
      <w:marTop w:val="0"/>
      <w:marBottom w:val="0"/>
      <w:divBdr>
        <w:top w:val="none" w:sz="0" w:space="0" w:color="auto"/>
        <w:left w:val="none" w:sz="0" w:space="0" w:color="auto"/>
        <w:bottom w:val="none" w:sz="0" w:space="0" w:color="auto"/>
        <w:right w:val="none" w:sz="0" w:space="0" w:color="auto"/>
      </w:divBdr>
    </w:div>
    <w:div w:id="1222054382">
      <w:bodyDiv w:val="1"/>
      <w:marLeft w:val="0"/>
      <w:marRight w:val="0"/>
      <w:marTop w:val="0"/>
      <w:marBottom w:val="0"/>
      <w:divBdr>
        <w:top w:val="none" w:sz="0" w:space="0" w:color="auto"/>
        <w:left w:val="none" w:sz="0" w:space="0" w:color="auto"/>
        <w:bottom w:val="none" w:sz="0" w:space="0" w:color="auto"/>
        <w:right w:val="none" w:sz="0" w:space="0" w:color="auto"/>
      </w:divBdr>
    </w:div>
    <w:div w:id="1223326884">
      <w:bodyDiv w:val="1"/>
      <w:marLeft w:val="0"/>
      <w:marRight w:val="0"/>
      <w:marTop w:val="0"/>
      <w:marBottom w:val="0"/>
      <w:divBdr>
        <w:top w:val="none" w:sz="0" w:space="0" w:color="auto"/>
        <w:left w:val="none" w:sz="0" w:space="0" w:color="auto"/>
        <w:bottom w:val="none" w:sz="0" w:space="0" w:color="auto"/>
        <w:right w:val="none" w:sz="0" w:space="0" w:color="auto"/>
      </w:divBdr>
    </w:div>
    <w:div w:id="1224296331">
      <w:bodyDiv w:val="1"/>
      <w:marLeft w:val="0"/>
      <w:marRight w:val="0"/>
      <w:marTop w:val="0"/>
      <w:marBottom w:val="0"/>
      <w:divBdr>
        <w:top w:val="none" w:sz="0" w:space="0" w:color="auto"/>
        <w:left w:val="none" w:sz="0" w:space="0" w:color="auto"/>
        <w:bottom w:val="none" w:sz="0" w:space="0" w:color="auto"/>
        <w:right w:val="none" w:sz="0" w:space="0" w:color="auto"/>
      </w:divBdr>
    </w:div>
    <w:div w:id="1227259230">
      <w:bodyDiv w:val="1"/>
      <w:marLeft w:val="0"/>
      <w:marRight w:val="0"/>
      <w:marTop w:val="0"/>
      <w:marBottom w:val="0"/>
      <w:divBdr>
        <w:top w:val="none" w:sz="0" w:space="0" w:color="auto"/>
        <w:left w:val="none" w:sz="0" w:space="0" w:color="auto"/>
        <w:bottom w:val="none" w:sz="0" w:space="0" w:color="auto"/>
        <w:right w:val="none" w:sz="0" w:space="0" w:color="auto"/>
      </w:divBdr>
    </w:div>
    <w:div w:id="1234655118">
      <w:bodyDiv w:val="1"/>
      <w:marLeft w:val="0"/>
      <w:marRight w:val="0"/>
      <w:marTop w:val="0"/>
      <w:marBottom w:val="0"/>
      <w:divBdr>
        <w:top w:val="none" w:sz="0" w:space="0" w:color="auto"/>
        <w:left w:val="none" w:sz="0" w:space="0" w:color="auto"/>
        <w:bottom w:val="none" w:sz="0" w:space="0" w:color="auto"/>
        <w:right w:val="none" w:sz="0" w:space="0" w:color="auto"/>
      </w:divBdr>
      <w:divsChild>
        <w:div w:id="60568735">
          <w:marLeft w:val="0"/>
          <w:marRight w:val="0"/>
          <w:marTop w:val="0"/>
          <w:marBottom w:val="0"/>
          <w:divBdr>
            <w:top w:val="none" w:sz="0" w:space="0" w:color="auto"/>
            <w:left w:val="none" w:sz="0" w:space="0" w:color="auto"/>
            <w:bottom w:val="none" w:sz="0" w:space="0" w:color="auto"/>
            <w:right w:val="none" w:sz="0" w:space="0" w:color="auto"/>
          </w:divBdr>
        </w:div>
      </w:divsChild>
    </w:div>
    <w:div w:id="1245917995">
      <w:bodyDiv w:val="1"/>
      <w:marLeft w:val="0"/>
      <w:marRight w:val="0"/>
      <w:marTop w:val="0"/>
      <w:marBottom w:val="0"/>
      <w:divBdr>
        <w:top w:val="none" w:sz="0" w:space="0" w:color="auto"/>
        <w:left w:val="none" w:sz="0" w:space="0" w:color="auto"/>
        <w:bottom w:val="none" w:sz="0" w:space="0" w:color="auto"/>
        <w:right w:val="none" w:sz="0" w:space="0" w:color="auto"/>
      </w:divBdr>
    </w:div>
    <w:div w:id="1249998460">
      <w:bodyDiv w:val="1"/>
      <w:marLeft w:val="0"/>
      <w:marRight w:val="0"/>
      <w:marTop w:val="0"/>
      <w:marBottom w:val="0"/>
      <w:divBdr>
        <w:top w:val="none" w:sz="0" w:space="0" w:color="auto"/>
        <w:left w:val="none" w:sz="0" w:space="0" w:color="auto"/>
        <w:bottom w:val="none" w:sz="0" w:space="0" w:color="auto"/>
        <w:right w:val="none" w:sz="0" w:space="0" w:color="auto"/>
      </w:divBdr>
    </w:div>
    <w:div w:id="1254435202">
      <w:bodyDiv w:val="1"/>
      <w:marLeft w:val="0"/>
      <w:marRight w:val="0"/>
      <w:marTop w:val="0"/>
      <w:marBottom w:val="0"/>
      <w:divBdr>
        <w:top w:val="none" w:sz="0" w:space="0" w:color="auto"/>
        <w:left w:val="none" w:sz="0" w:space="0" w:color="auto"/>
        <w:bottom w:val="none" w:sz="0" w:space="0" w:color="auto"/>
        <w:right w:val="none" w:sz="0" w:space="0" w:color="auto"/>
      </w:divBdr>
      <w:divsChild>
        <w:div w:id="270475706">
          <w:marLeft w:val="0"/>
          <w:marRight w:val="0"/>
          <w:marTop w:val="0"/>
          <w:marBottom w:val="0"/>
          <w:divBdr>
            <w:top w:val="none" w:sz="0" w:space="0" w:color="auto"/>
            <w:left w:val="none" w:sz="0" w:space="0" w:color="auto"/>
            <w:bottom w:val="none" w:sz="0" w:space="0" w:color="auto"/>
            <w:right w:val="none" w:sz="0" w:space="0" w:color="auto"/>
          </w:divBdr>
        </w:div>
        <w:div w:id="775953060">
          <w:marLeft w:val="0"/>
          <w:marRight w:val="0"/>
          <w:marTop w:val="0"/>
          <w:marBottom w:val="0"/>
          <w:divBdr>
            <w:top w:val="none" w:sz="0" w:space="0" w:color="auto"/>
            <w:left w:val="none" w:sz="0" w:space="0" w:color="auto"/>
            <w:bottom w:val="none" w:sz="0" w:space="0" w:color="auto"/>
            <w:right w:val="none" w:sz="0" w:space="0" w:color="auto"/>
          </w:divBdr>
        </w:div>
        <w:div w:id="1364408019">
          <w:marLeft w:val="0"/>
          <w:marRight w:val="0"/>
          <w:marTop w:val="0"/>
          <w:marBottom w:val="0"/>
          <w:divBdr>
            <w:top w:val="none" w:sz="0" w:space="0" w:color="auto"/>
            <w:left w:val="none" w:sz="0" w:space="0" w:color="auto"/>
            <w:bottom w:val="none" w:sz="0" w:space="0" w:color="auto"/>
            <w:right w:val="none" w:sz="0" w:space="0" w:color="auto"/>
          </w:divBdr>
        </w:div>
        <w:div w:id="1691881348">
          <w:marLeft w:val="0"/>
          <w:marRight w:val="0"/>
          <w:marTop w:val="0"/>
          <w:marBottom w:val="0"/>
          <w:divBdr>
            <w:top w:val="none" w:sz="0" w:space="0" w:color="auto"/>
            <w:left w:val="none" w:sz="0" w:space="0" w:color="auto"/>
            <w:bottom w:val="none" w:sz="0" w:space="0" w:color="auto"/>
            <w:right w:val="none" w:sz="0" w:space="0" w:color="auto"/>
          </w:divBdr>
        </w:div>
      </w:divsChild>
    </w:div>
    <w:div w:id="1256329665">
      <w:bodyDiv w:val="1"/>
      <w:marLeft w:val="0"/>
      <w:marRight w:val="0"/>
      <w:marTop w:val="0"/>
      <w:marBottom w:val="0"/>
      <w:divBdr>
        <w:top w:val="none" w:sz="0" w:space="0" w:color="auto"/>
        <w:left w:val="none" w:sz="0" w:space="0" w:color="auto"/>
        <w:bottom w:val="none" w:sz="0" w:space="0" w:color="auto"/>
        <w:right w:val="none" w:sz="0" w:space="0" w:color="auto"/>
      </w:divBdr>
      <w:divsChild>
        <w:div w:id="864098825">
          <w:marLeft w:val="547"/>
          <w:marRight w:val="0"/>
          <w:marTop w:val="77"/>
          <w:marBottom w:val="0"/>
          <w:divBdr>
            <w:top w:val="none" w:sz="0" w:space="0" w:color="auto"/>
            <w:left w:val="none" w:sz="0" w:space="0" w:color="auto"/>
            <w:bottom w:val="none" w:sz="0" w:space="0" w:color="auto"/>
            <w:right w:val="none" w:sz="0" w:space="0" w:color="auto"/>
          </w:divBdr>
        </w:div>
      </w:divsChild>
    </w:div>
    <w:div w:id="1260018378">
      <w:bodyDiv w:val="1"/>
      <w:marLeft w:val="0"/>
      <w:marRight w:val="0"/>
      <w:marTop w:val="0"/>
      <w:marBottom w:val="0"/>
      <w:divBdr>
        <w:top w:val="none" w:sz="0" w:space="0" w:color="auto"/>
        <w:left w:val="none" w:sz="0" w:space="0" w:color="auto"/>
        <w:bottom w:val="none" w:sz="0" w:space="0" w:color="auto"/>
        <w:right w:val="none" w:sz="0" w:space="0" w:color="auto"/>
      </w:divBdr>
    </w:div>
    <w:div w:id="1260412968">
      <w:bodyDiv w:val="1"/>
      <w:marLeft w:val="0"/>
      <w:marRight w:val="0"/>
      <w:marTop w:val="0"/>
      <w:marBottom w:val="0"/>
      <w:divBdr>
        <w:top w:val="none" w:sz="0" w:space="0" w:color="auto"/>
        <w:left w:val="none" w:sz="0" w:space="0" w:color="auto"/>
        <w:bottom w:val="none" w:sz="0" w:space="0" w:color="auto"/>
        <w:right w:val="none" w:sz="0" w:space="0" w:color="auto"/>
      </w:divBdr>
    </w:div>
    <w:div w:id="1263103207">
      <w:bodyDiv w:val="1"/>
      <w:marLeft w:val="0"/>
      <w:marRight w:val="0"/>
      <w:marTop w:val="0"/>
      <w:marBottom w:val="0"/>
      <w:divBdr>
        <w:top w:val="none" w:sz="0" w:space="0" w:color="auto"/>
        <w:left w:val="none" w:sz="0" w:space="0" w:color="auto"/>
        <w:bottom w:val="none" w:sz="0" w:space="0" w:color="auto"/>
        <w:right w:val="none" w:sz="0" w:space="0" w:color="auto"/>
      </w:divBdr>
    </w:div>
    <w:div w:id="1266504302">
      <w:bodyDiv w:val="1"/>
      <w:marLeft w:val="0"/>
      <w:marRight w:val="0"/>
      <w:marTop w:val="0"/>
      <w:marBottom w:val="0"/>
      <w:divBdr>
        <w:top w:val="none" w:sz="0" w:space="0" w:color="auto"/>
        <w:left w:val="none" w:sz="0" w:space="0" w:color="auto"/>
        <w:bottom w:val="none" w:sz="0" w:space="0" w:color="auto"/>
        <w:right w:val="none" w:sz="0" w:space="0" w:color="auto"/>
      </w:divBdr>
    </w:div>
    <w:div w:id="1268199565">
      <w:bodyDiv w:val="1"/>
      <w:marLeft w:val="0"/>
      <w:marRight w:val="0"/>
      <w:marTop w:val="0"/>
      <w:marBottom w:val="0"/>
      <w:divBdr>
        <w:top w:val="none" w:sz="0" w:space="0" w:color="auto"/>
        <w:left w:val="none" w:sz="0" w:space="0" w:color="auto"/>
        <w:bottom w:val="none" w:sz="0" w:space="0" w:color="auto"/>
        <w:right w:val="none" w:sz="0" w:space="0" w:color="auto"/>
      </w:divBdr>
    </w:div>
    <w:div w:id="1269122670">
      <w:bodyDiv w:val="1"/>
      <w:marLeft w:val="0"/>
      <w:marRight w:val="0"/>
      <w:marTop w:val="0"/>
      <w:marBottom w:val="0"/>
      <w:divBdr>
        <w:top w:val="none" w:sz="0" w:space="0" w:color="auto"/>
        <w:left w:val="none" w:sz="0" w:space="0" w:color="auto"/>
        <w:bottom w:val="none" w:sz="0" w:space="0" w:color="auto"/>
        <w:right w:val="none" w:sz="0" w:space="0" w:color="auto"/>
      </w:divBdr>
    </w:div>
    <w:div w:id="1269699479">
      <w:bodyDiv w:val="1"/>
      <w:marLeft w:val="0"/>
      <w:marRight w:val="0"/>
      <w:marTop w:val="0"/>
      <w:marBottom w:val="0"/>
      <w:divBdr>
        <w:top w:val="none" w:sz="0" w:space="0" w:color="auto"/>
        <w:left w:val="none" w:sz="0" w:space="0" w:color="auto"/>
        <w:bottom w:val="none" w:sz="0" w:space="0" w:color="auto"/>
        <w:right w:val="none" w:sz="0" w:space="0" w:color="auto"/>
      </w:divBdr>
    </w:div>
    <w:div w:id="1272517497">
      <w:bodyDiv w:val="1"/>
      <w:marLeft w:val="0"/>
      <w:marRight w:val="0"/>
      <w:marTop w:val="0"/>
      <w:marBottom w:val="0"/>
      <w:divBdr>
        <w:top w:val="none" w:sz="0" w:space="0" w:color="auto"/>
        <w:left w:val="none" w:sz="0" w:space="0" w:color="auto"/>
        <w:bottom w:val="none" w:sz="0" w:space="0" w:color="auto"/>
        <w:right w:val="none" w:sz="0" w:space="0" w:color="auto"/>
      </w:divBdr>
    </w:div>
    <w:div w:id="1276593647">
      <w:bodyDiv w:val="1"/>
      <w:marLeft w:val="0"/>
      <w:marRight w:val="0"/>
      <w:marTop w:val="0"/>
      <w:marBottom w:val="0"/>
      <w:divBdr>
        <w:top w:val="none" w:sz="0" w:space="0" w:color="auto"/>
        <w:left w:val="none" w:sz="0" w:space="0" w:color="auto"/>
        <w:bottom w:val="none" w:sz="0" w:space="0" w:color="auto"/>
        <w:right w:val="none" w:sz="0" w:space="0" w:color="auto"/>
      </w:divBdr>
    </w:div>
    <w:div w:id="1277105582">
      <w:bodyDiv w:val="1"/>
      <w:marLeft w:val="0"/>
      <w:marRight w:val="0"/>
      <w:marTop w:val="0"/>
      <w:marBottom w:val="0"/>
      <w:divBdr>
        <w:top w:val="none" w:sz="0" w:space="0" w:color="auto"/>
        <w:left w:val="none" w:sz="0" w:space="0" w:color="auto"/>
        <w:bottom w:val="none" w:sz="0" w:space="0" w:color="auto"/>
        <w:right w:val="none" w:sz="0" w:space="0" w:color="auto"/>
      </w:divBdr>
    </w:div>
    <w:div w:id="1284724316">
      <w:bodyDiv w:val="1"/>
      <w:marLeft w:val="0"/>
      <w:marRight w:val="0"/>
      <w:marTop w:val="0"/>
      <w:marBottom w:val="0"/>
      <w:divBdr>
        <w:top w:val="none" w:sz="0" w:space="0" w:color="auto"/>
        <w:left w:val="none" w:sz="0" w:space="0" w:color="auto"/>
        <w:bottom w:val="none" w:sz="0" w:space="0" w:color="auto"/>
        <w:right w:val="none" w:sz="0" w:space="0" w:color="auto"/>
      </w:divBdr>
    </w:div>
    <w:div w:id="1286698144">
      <w:bodyDiv w:val="1"/>
      <w:marLeft w:val="0"/>
      <w:marRight w:val="0"/>
      <w:marTop w:val="0"/>
      <w:marBottom w:val="0"/>
      <w:divBdr>
        <w:top w:val="none" w:sz="0" w:space="0" w:color="auto"/>
        <w:left w:val="none" w:sz="0" w:space="0" w:color="auto"/>
        <w:bottom w:val="none" w:sz="0" w:space="0" w:color="auto"/>
        <w:right w:val="none" w:sz="0" w:space="0" w:color="auto"/>
      </w:divBdr>
      <w:divsChild>
        <w:div w:id="301616035">
          <w:marLeft w:val="0"/>
          <w:marRight w:val="0"/>
          <w:marTop w:val="0"/>
          <w:marBottom w:val="0"/>
          <w:divBdr>
            <w:top w:val="none" w:sz="0" w:space="0" w:color="auto"/>
            <w:left w:val="none" w:sz="0" w:space="0" w:color="auto"/>
            <w:bottom w:val="none" w:sz="0" w:space="0" w:color="auto"/>
            <w:right w:val="none" w:sz="0" w:space="0" w:color="auto"/>
          </w:divBdr>
          <w:divsChild>
            <w:div w:id="236793146">
              <w:marLeft w:val="0"/>
              <w:marRight w:val="0"/>
              <w:marTop w:val="15"/>
              <w:marBottom w:val="0"/>
              <w:divBdr>
                <w:top w:val="none" w:sz="0" w:space="0" w:color="auto"/>
                <w:left w:val="none" w:sz="0" w:space="0" w:color="auto"/>
                <w:bottom w:val="none" w:sz="0" w:space="0" w:color="auto"/>
                <w:right w:val="none" w:sz="0" w:space="0" w:color="auto"/>
              </w:divBdr>
              <w:divsChild>
                <w:div w:id="1485898562">
                  <w:marLeft w:val="0"/>
                  <w:marRight w:val="0"/>
                  <w:marTop w:val="0"/>
                  <w:marBottom w:val="0"/>
                  <w:divBdr>
                    <w:top w:val="none" w:sz="0" w:space="0" w:color="auto"/>
                    <w:left w:val="single" w:sz="6" w:space="0" w:color="B5B5B5"/>
                    <w:bottom w:val="none" w:sz="0" w:space="0" w:color="auto"/>
                    <w:right w:val="single" w:sz="6" w:space="0" w:color="B5B5B5"/>
                  </w:divBdr>
                  <w:divsChild>
                    <w:div w:id="968435610">
                      <w:marLeft w:val="75"/>
                      <w:marRight w:val="75"/>
                      <w:marTop w:val="0"/>
                      <w:marBottom w:val="0"/>
                      <w:divBdr>
                        <w:top w:val="none" w:sz="0" w:space="0" w:color="auto"/>
                        <w:left w:val="none" w:sz="0" w:space="0" w:color="auto"/>
                        <w:bottom w:val="none" w:sz="0" w:space="0" w:color="auto"/>
                        <w:right w:val="none" w:sz="0" w:space="0" w:color="auto"/>
                      </w:divBdr>
                      <w:divsChild>
                        <w:div w:id="695932000">
                          <w:marLeft w:val="0"/>
                          <w:marRight w:val="0"/>
                          <w:marTop w:val="0"/>
                          <w:marBottom w:val="0"/>
                          <w:divBdr>
                            <w:top w:val="dotted" w:sz="6" w:space="0" w:color="B5B5B5"/>
                            <w:left w:val="none" w:sz="0" w:space="0" w:color="auto"/>
                            <w:bottom w:val="none" w:sz="0" w:space="0" w:color="auto"/>
                            <w:right w:val="none" w:sz="0" w:space="0" w:color="auto"/>
                          </w:divBdr>
                          <w:divsChild>
                            <w:div w:id="822507990">
                              <w:marLeft w:val="0"/>
                              <w:marRight w:val="0"/>
                              <w:marTop w:val="75"/>
                              <w:marBottom w:val="0"/>
                              <w:divBdr>
                                <w:top w:val="none" w:sz="0" w:space="0" w:color="auto"/>
                                <w:left w:val="none" w:sz="0" w:space="0" w:color="auto"/>
                                <w:bottom w:val="none" w:sz="0" w:space="0" w:color="auto"/>
                                <w:right w:val="none" w:sz="0" w:space="0" w:color="auto"/>
                              </w:divBdr>
                              <w:divsChild>
                                <w:div w:id="180123594">
                                  <w:marLeft w:val="0"/>
                                  <w:marRight w:val="0"/>
                                  <w:marTop w:val="0"/>
                                  <w:marBottom w:val="0"/>
                                  <w:divBdr>
                                    <w:top w:val="none" w:sz="0" w:space="0" w:color="auto"/>
                                    <w:left w:val="none" w:sz="0" w:space="0" w:color="auto"/>
                                    <w:bottom w:val="none" w:sz="0" w:space="0" w:color="auto"/>
                                    <w:right w:val="none" w:sz="0" w:space="0" w:color="auto"/>
                                  </w:divBdr>
                                  <w:divsChild>
                                    <w:div w:id="783422642">
                                      <w:marLeft w:val="0"/>
                                      <w:marRight w:val="0"/>
                                      <w:marTop w:val="0"/>
                                      <w:marBottom w:val="0"/>
                                      <w:divBdr>
                                        <w:top w:val="none" w:sz="0" w:space="0" w:color="auto"/>
                                        <w:left w:val="none" w:sz="0" w:space="0" w:color="auto"/>
                                        <w:bottom w:val="none" w:sz="0" w:space="0" w:color="auto"/>
                                        <w:right w:val="none" w:sz="0" w:space="0" w:color="auto"/>
                                      </w:divBdr>
                                      <w:divsChild>
                                        <w:div w:id="1265841260">
                                          <w:marLeft w:val="525"/>
                                          <w:marRight w:val="0"/>
                                          <w:marTop w:val="0"/>
                                          <w:marBottom w:val="0"/>
                                          <w:divBdr>
                                            <w:top w:val="none" w:sz="0" w:space="0" w:color="auto"/>
                                            <w:left w:val="none" w:sz="0" w:space="0" w:color="auto"/>
                                            <w:bottom w:val="none" w:sz="0" w:space="0" w:color="auto"/>
                                            <w:right w:val="none" w:sz="0" w:space="0" w:color="auto"/>
                                          </w:divBdr>
                                          <w:divsChild>
                                            <w:div w:id="1524319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90621851">
      <w:bodyDiv w:val="1"/>
      <w:marLeft w:val="0"/>
      <w:marRight w:val="0"/>
      <w:marTop w:val="0"/>
      <w:marBottom w:val="0"/>
      <w:divBdr>
        <w:top w:val="none" w:sz="0" w:space="0" w:color="auto"/>
        <w:left w:val="none" w:sz="0" w:space="0" w:color="auto"/>
        <w:bottom w:val="none" w:sz="0" w:space="0" w:color="auto"/>
        <w:right w:val="none" w:sz="0" w:space="0" w:color="auto"/>
      </w:divBdr>
    </w:div>
    <w:div w:id="1291086981">
      <w:bodyDiv w:val="1"/>
      <w:marLeft w:val="0"/>
      <w:marRight w:val="0"/>
      <w:marTop w:val="0"/>
      <w:marBottom w:val="0"/>
      <w:divBdr>
        <w:top w:val="none" w:sz="0" w:space="0" w:color="auto"/>
        <w:left w:val="none" w:sz="0" w:space="0" w:color="auto"/>
        <w:bottom w:val="none" w:sz="0" w:space="0" w:color="auto"/>
        <w:right w:val="none" w:sz="0" w:space="0" w:color="auto"/>
      </w:divBdr>
    </w:div>
    <w:div w:id="1293562328">
      <w:bodyDiv w:val="1"/>
      <w:marLeft w:val="0"/>
      <w:marRight w:val="0"/>
      <w:marTop w:val="0"/>
      <w:marBottom w:val="0"/>
      <w:divBdr>
        <w:top w:val="none" w:sz="0" w:space="0" w:color="auto"/>
        <w:left w:val="none" w:sz="0" w:space="0" w:color="auto"/>
        <w:bottom w:val="none" w:sz="0" w:space="0" w:color="auto"/>
        <w:right w:val="none" w:sz="0" w:space="0" w:color="auto"/>
      </w:divBdr>
    </w:div>
    <w:div w:id="1298532913">
      <w:bodyDiv w:val="1"/>
      <w:marLeft w:val="0"/>
      <w:marRight w:val="0"/>
      <w:marTop w:val="0"/>
      <w:marBottom w:val="0"/>
      <w:divBdr>
        <w:top w:val="none" w:sz="0" w:space="0" w:color="auto"/>
        <w:left w:val="none" w:sz="0" w:space="0" w:color="auto"/>
        <w:bottom w:val="none" w:sz="0" w:space="0" w:color="auto"/>
        <w:right w:val="none" w:sz="0" w:space="0" w:color="auto"/>
      </w:divBdr>
    </w:div>
    <w:div w:id="1302886999">
      <w:bodyDiv w:val="1"/>
      <w:marLeft w:val="0"/>
      <w:marRight w:val="0"/>
      <w:marTop w:val="0"/>
      <w:marBottom w:val="0"/>
      <w:divBdr>
        <w:top w:val="none" w:sz="0" w:space="0" w:color="auto"/>
        <w:left w:val="none" w:sz="0" w:space="0" w:color="auto"/>
        <w:bottom w:val="none" w:sz="0" w:space="0" w:color="auto"/>
        <w:right w:val="none" w:sz="0" w:space="0" w:color="auto"/>
      </w:divBdr>
      <w:divsChild>
        <w:div w:id="1405026459">
          <w:marLeft w:val="0"/>
          <w:marRight w:val="0"/>
          <w:marTop w:val="0"/>
          <w:marBottom w:val="0"/>
          <w:divBdr>
            <w:top w:val="none" w:sz="0" w:space="0" w:color="auto"/>
            <w:left w:val="none" w:sz="0" w:space="0" w:color="auto"/>
            <w:bottom w:val="none" w:sz="0" w:space="0" w:color="auto"/>
            <w:right w:val="none" w:sz="0" w:space="0" w:color="auto"/>
          </w:divBdr>
          <w:divsChild>
            <w:div w:id="1780953587">
              <w:marLeft w:val="0"/>
              <w:marRight w:val="0"/>
              <w:marTop w:val="411"/>
              <w:marBottom w:val="0"/>
              <w:divBdr>
                <w:top w:val="none" w:sz="0" w:space="0" w:color="auto"/>
                <w:left w:val="none" w:sz="0" w:space="0" w:color="auto"/>
                <w:bottom w:val="none" w:sz="0" w:space="0" w:color="auto"/>
                <w:right w:val="none" w:sz="0" w:space="0" w:color="auto"/>
              </w:divBdr>
              <w:divsChild>
                <w:div w:id="24259940">
                  <w:marLeft w:val="0"/>
                  <w:marRight w:val="0"/>
                  <w:marTop w:val="0"/>
                  <w:marBottom w:val="0"/>
                  <w:divBdr>
                    <w:top w:val="none" w:sz="0" w:space="0" w:color="auto"/>
                    <w:left w:val="none" w:sz="0" w:space="0" w:color="auto"/>
                    <w:bottom w:val="none" w:sz="0" w:space="0" w:color="auto"/>
                    <w:right w:val="none" w:sz="0" w:space="0" w:color="auto"/>
                  </w:divBdr>
                  <w:divsChild>
                    <w:div w:id="1750151785">
                      <w:marLeft w:val="79"/>
                      <w:marRight w:val="79"/>
                      <w:marTop w:val="0"/>
                      <w:marBottom w:val="0"/>
                      <w:divBdr>
                        <w:top w:val="none" w:sz="0" w:space="0" w:color="auto"/>
                        <w:left w:val="none" w:sz="0" w:space="0" w:color="auto"/>
                        <w:bottom w:val="none" w:sz="0" w:space="0" w:color="auto"/>
                        <w:right w:val="none" w:sz="0" w:space="0" w:color="auto"/>
                      </w:divBdr>
                      <w:divsChild>
                        <w:div w:id="2106881855">
                          <w:marLeft w:val="0"/>
                          <w:marRight w:val="0"/>
                          <w:marTop w:val="0"/>
                          <w:marBottom w:val="0"/>
                          <w:divBdr>
                            <w:top w:val="dashed" w:sz="6" w:space="0" w:color="DDDDDD"/>
                            <w:left w:val="none" w:sz="0" w:space="0" w:color="auto"/>
                            <w:bottom w:val="none" w:sz="0" w:space="0" w:color="auto"/>
                            <w:right w:val="none" w:sz="0" w:space="0" w:color="auto"/>
                          </w:divBdr>
                          <w:divsChild>
                            <w:div w:id="805976228">
                              <w:marLeft w:val="0"/>
                              <w:marRight w:val="0"/>
                              <w:marTop w:val="0"/>
                              <w:marBottom w:val="0"/>
                              <w:divBdr>
                                <w:top w:val="none" w:sz="0" w:space="0" w:color="auto"/>
                                <w:left w:val="none" w:sz="0" w:space="0" w:color="auto"/>
                                <w:bottom w:val="none" w:sz="0" w:space="0" w:color="auto"/>
                                <w:right w:val="none" w:sz="0" w:space="0" w:color="auto"/>
                              </w:divBdr>
                              <w:divsChild>
                                <w:div w:id="957221783">
                                  <w:marLeft w:val="0"/>
                                  <w:marRight w:val="0"/>
                                  <w:marTop w:val="79"/>
                                  <w:marBottom w:val="79"/>
                                  <w:divBdr>
                                    <w:top w:val="none" w:sz="0" w:space="0" w:color="auto"/>
                                    <w:left w:val="none" w:sz="0" w:space="0" w:color="auto"/>
                                    <w:bottom w:val="none" w:sz="0" w:space="0" w:color="auto"/>
                                    <w:right w:val="none" w:sz="0" w:space="0" w:color="auto"/>
                                  </w:divBdr>
                                  <w:divsChild>
                                    <w:div w:id="893275793">
                                      <w:marLeft w:val="0"/>
                                      <w:marRight w:val="0"/>
                                      <w:marTop w:val="0"/>
                                      <w:marBottom w:val="0"/>
                                      <w:divBdr>
                                        <w:top w:val="none" w:sz="0" w:space="0" w:color="auto"/>
                                        <w:left w:val="none" w:sz="0" w:space="0" w:color="auto"/>
                                        <w:bottom w:val="none" w:sz="0" w:space="0" w:color="auto"/>
                                        <w:right w:val="none" w:sz="0" w:space="0" w:color="auto"/>
                                      </w:divBdr>
                                      <w:divsChild>
                                        <w:div w:id="652952005">
                                          <w:marLeft w:val="554"/>
                                          <w:marRight w:val="0"/>
                                          <w:marTop w:val="0"/>
                                          <w:marBottom w:val="0"/>
                                          <w:divBdr>
                                            <w:top w:val="none" w:sz="0" w:space="0" w:color="auto"/>
                                            <w:left w:val="none" w:sz="0" w:space="0" w:color="auto"/>
                                            <w:bottom w:val="none" w:sz="0" w:space="0" w:color="auto"/>
                                            <w:right w:val="none" w:sz="0" w:space="0" w:color="auto"/>
                                          </w:divBdr>
                                          <w:divsChild>
                                            <w:div w:id="1832016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12058210">
      <w:bodyDiv w:val="1"/>
      <w:marLeft w:val="0"/>
      <w:marRight w:val="0"/>
      <w:marTop w:val="0"/>
      <w:marBottom w:val="0"/>
      <w:divBdr>
        <w:top w:val="none" w:sz="0" w:space="0" w:color="auto"/>
        <w:left w:val="none" w:sz="0" w:space="0" w:color="auto"/>
        <w:bottom w:val="none" w:sz="0" w:space="0" w:color="auto"/>
        <w:right w:val="none" w:sz="0" w:space="0" w:color="auto"/>
      </w:divBdr>
      <w:divsChild>
        <w:div w:id="2016878176">
          <w:marLeft w:val="0"/>
          <w:marRight w:val="0"/>
          <w:marTop w:val="0"/>
          <w:marBottom w:val="0"/>
          <w:divBdr>
            <w:top w:val="none" w:sz="0" w:space="0" w:color="auto"/>
            <w:left w:val="none" w:sz="0" w:space="0" w:color="auto"/>
            <w:bottom w:val="none" w:sz="0" w:space="0" w:color="auto"/>
            <w:right w:val="none" w:sz="0" w:space="0" w:color="auto"/>
          </w:divBdr>
          <w:divsChild>
            <w:div w:id="1596741861">
              <w:marLeft w:val="0"/>
              <w:marRight w:val="0"/>
              <w:marTop w:val="411"/>
              <w:marBottom w:val="0"/>
              <w:divBdr>
                <w:top w:val="none" w:sz="0" w:space="0" w:color="auto"/>
                <w:left w:val="none" w:sz="0" w:space="0" w:color="auto"/>
                <w:bottom w:val="none" w:sz="0" w:space="0" w:color="auto"/>
                <w:right w:val="none" w:sz="0" w:space="0" w:color="auto"/>
              </w:divBdr>
              <w:divsChild>
                <w:div w:id="1817411365">
                  <w:marLeft w:val="0"/>
                  <w:marRight w:val="0"/>
                  <w:marTop w:val="0"/>
                  <w:marBottom w:val="0"/>
                  <w:divBdr>
                    <w:top w:val="none" w:sz="0" w:space="0" w:color="auto"/>
                    <w:left w:val="none" w:sz="0" w:space="0" w:color="auto"/>
                    <w:bottom w:val="none" w:sz="0" w:space="0" w:color="auto"/>
                    <w:right w:val="none" w:sz="0" w:space="0" w:color="auto"/>
                  </w:divBdr>
                  <w:divsChild>
                    <w:div w:id="858198564">
                      <w:marLeft w:val="79"/>
                      <w:marRight w:val="79"/>
                      <w:marTop w:val="0"/>
                      <w:marBottom w:val="0"/>
                      <w:divBdr>
                        <w:top w:val="none" w:sz="0" w:space="0" w:color="auto"/>
                        <w:left w:val="none" w:sz="0" w:space="0" w:color="auto"/>
                        <w:bottom w:val="none" w:sz="0" w:space="0" w:color="auto"/>
                        <w:right w:val="none" w:sz="0" w:space="0" w:color="auto"/>
                      </w:divBdr>
                      <w:divsChild>
                        <w:div w:id="1450389188">
                          <w:marLeft w:val="0"/>
                          <w:marRight w:val="0"/>
                          <w:marTop w:val="0"/>
                          <w:marBottom w:val="0"/>
                          <w:divBdr>
                            <w:top w:val="dashed" w:sz="6" w:space="0" w:color="DDDDDD"/>
                            <w:left w:val="none" w:sz="0" w:space="0" w:color="auto"/>
                            <w:bottom w:val="none" w:sz="0" w:space="0" w:color="auto"/>
                            <w:right w:val="none" w:sz="0" w:space="0" w:color="auto"/>
                          </w:divBdr>
                          <w:divsChild>
                            <w:div w:id="456610020">
                              <w:marLeft w:val="0"/>
                              <w:marRight w:val="0"/>
                              <w:marTop w:val="0"/>
                              <w:marBottom w:val="0"/>
                              <w:divBdr>
                                <w:top w:val="none" w:sz="0" w:space="0" w:color="auto"/>
                                <w:left w:val="none" w:sz="0" w:space="0" w:color="auto"/>
                                <w:bottom w:val="none" w:sz="0" w:space="0" w:color="auto"/>
                                <w:right w:val="none" w:sz="0" w:space="0" w:color="auto"/>
                              </w:divBdr>
                              <w:divsChild>
                                <w:div w:id="1366248327">
                                  <w:marLeft w:val="0"/>
                                  <w:marRight w:val="0"/>
                                  <w:marTop w:val="79"/>
                                  <w:marBottom w:val="79"/>
                                  <w:divBdr>
                                    <w:top w:val="none" w:sz="0" w:space="0" w:color="auto"/>
                                    <w:left w:val="none" w:sz="0" w:space="0" w:color="auto"/>
                                    <w:bottom w:val="none" w:sz="0" w:space="0" w:color="auto"/>
                                    <w:right w:val="none" w:sz="0" w:space="0" w:color="auto"/>
                                  </w:divBdr>
                                  <w:divsChild>
                                    <w:div w:id="115562070">
                                      <w:marLeft w:val="0"/>
                                      <w:marRight w:val="0"/>
                                      <w:marTop w:val="0"/>
                                      <w:marBottom w:val="0"/>
                                      <w:divBdr>
                                        <w:top w:val="none" w:sz="0" w:space="0" w:color="auto"/>
                                        <w:left w:val="none" w:sz="0" w:space="0" w:color="auto"/>
                                        <w:bottom w:val="none" w:sz="0" w:space="0" w:color="auto"/>
                                        <w:right w:val="none" w:sz="0" w:space="0" w:color="auto"/>
                                      </w:divBdr>
                                      <w:divsChild>
                                        <w:div w:id="2086104645">
                                          <w:marLeft w:val="554"/>
                                          <w:marRight w:val="0"/>
                                          <w:marTop w:val="0"/>
                                          <w:marBottom w:val="0"/>
                                          <w:divBdr>
                                            <w:top w:val="none" w:sz="0" w:space="0" w:color="auto"/>
                                            <w:left w:val="none" w:sz="0" w:space="0" w:color="auto"/>
                                            <w:bottom w:val="none" w:sz="0" w:space="0" w:color="auto"/>
                                            <w:right w:val="none" w:sz="0" w:space="0" w:color="auto"/>
                                          </w:divBdr>
                                          <w:divsChild>
                                            <w:div w:id="646473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13413766">
      <w:bodyDiv w:val="1"/>
      <w:marLeft w:val="0"/>
      <w:marRight w:val="0"/>
      <w:marTop w:val="0"/>
      <w:marBottom w:val="0"/>
      <w:divBdr>
        <w:top w:val="none" w:sz="0" w:space="0" w:color="auto"/>
        <w:left w:val="none" w:sz="0" w:space="0" w:color="auto"/>
        <w:bottom w:val="none" w:sz="0" w:space="0" w:color="auto"/>
        <w:right w:val="none" w:sz="0" w:space="0" w:color="auto"/>
      </w:divBdr>
    </w:div>
    <w:div w:id="1316301552">
      <w:bodyDiv w:val="1"/>
      <w:marLeft w:val="0"/>
      <w:marRight w:val="0"/>
      <w:marTop w:val="0"/>
      <w:marBottom w:val="0"/>
      <w:divBdr>
        <w:top w:val="none" w:sz="0" w:space="0" w:color="auto"/>
        <w:left w:val="none" w:sz="0" w:space="0" w:color="auto"/>
        <w:bottom w:val="none" w:sz="0" w:space="0" w:color="auto"/>
        <w:right w:val="none" w:sz="0" w:space="0" w:color="auto"/>
      </w:divBdr>
    </w:div>
    <w:div w:id="1316378710">
      <w:bodyDiv w:val="1"/>
      <w:marLeft w:val="0"/>
      <w:marRight w:val="0"/>
      <w:marTop w:val="0"/>
      <w:marBottom w:val="0"/>
      <w:divBdr>
        <w:top w:val="none" w:sz="0" w:space="0" w:color="auto"/>
        <w:left w:val="none" w:sz="0" w:space="0" w:color="auto"/>
        <w:bottom w:val="none" w:sz="0" w:space="0" w:color="auto"/>
        <w:right w:val="none" w:sz="0" w:space="0" w:color="auto"/>
      </w:divBdr>
    </w:div>
    <w:div w:id="1318341231">
      <w:bodyDiv w:val="1"/>
      <w:marLeft w:val="0"/>
      <w:marRight w:val="0"/>
      <w:marTop w:val="0"/>
      <w:marBottom w:val="0"/>
      <w:divBdr>
        <w:top w:val="none" w:sz="0" w:space="0" w:color="auto"/>
        <w:left w:val="none" w:sz="0" w:space="0" w:color="auto"/>
        <w:bottom w:val="none" w:sz="0" w:space="0" w:color="auto"/>
        <w:right w:val="none" w:sz="0" w:space="0" w:color="auto"/>
      </w:divBdr>
    </w:div>
    <w:div w:id="1323267268">
      <w:bodyDiv w:val="1"/>
      <w:marLeft w:val="0"/>
      <w:marRight w:val="0"/>
      <w:marTop w:val="0"/>
      <w:marBottom w:val="0"/>
      <w:divBdr>
        <w:top w:val="none" w:sz="0" w:space="0" w:color="auto"/>
        <w:left w:val="none" w:sz="0" w:space="0" w:color="auto"/>
        <w:bottom w:val="none" w:sz="0" w:space="0" w:color="auto"/>
        <w:right w:val="none" w:sz="0" w:space="0" w:color="auto"/>
      </w:divBdr>
    </w:div>
    <w:div w:id="1326124698">
      <w:bodyDiv w:val="1"/>
      <w:marLeft w:val="0"/>
      <w:marRight w:val="0"/>
      <w:marTop w:val="0"/>
      <w:marBottom w:val="0"/>
      <w:divBdr>
        <w:top w:val="none" w:sz="0" w:space="0" w:color="auto"/>
        <w:left w:val="none" w:sz="0" w:space="0" w:color="auto"/>
        <w:bottom w:val="none" w:sz="0" w:space="0" w:color="auto"/>
        <w:right w:val="none" w:sz="0" w:space="0" w:color="auto"/>
      </w:divBdr>
    </w:div>
    <w:div w:id="1326665173">
      <w:bodyDiv w:val="1"/>
      <w:marLeft w:val="0"/>
      <w:marRight w:val="0"/>
      <w:marTop w:val="0"/>
      <w:marBottom w:val="0"/>
      <w:divBdr>
        <w:top w:val="none" w:sz="0" w:space="0" w:color="auto"/>
        <w:left w:val="none" w:sz="0" w:space="0" w:color="auto"/>
        <w:bottom w:val="none" w:sz="0" w:space="0" w:color="auto"/>
        <w:right w:val="none" w:sz="0" w:space="0" w:color="auto"/>
      </w:divBdr>
    </w:div>
    <w:div w:id="1329284458">
      <w:bodyDiv w:val="1"/>
      <w:marLeft w:val="0"/>
      <w:marRight w:val="0"/>
      <w:marTop w:val="0"/>
      <w:marBottom w:val="0"/>
      <w:divBdr>
        <w:top w:val="none" w:sz="0" w:space="0" w:color="auto"/>
        <w:left w:val="none" w:sz="0" w:space="0" w:color="auto"/>
        <w:bottom w:val="none" w:sz="0" w:space="0" w:color="auto"/>
        <w:right w:val="none" w:sz="0" w:space="0" w:color="auto"/>
      </w:divBdr>
    </w:div>
    <w:div w:id="1340233167">
      <w:bodyDiv w:val="1"/>
      <w:marLeft w:val="0"/>
      <w:marRight w:val="0"/>
      <w:marTop w:val="0"/>
      <w:marBottom w:val="0"/>
      <w:divBdr>
        <w:top w:val="none" w:sz="0" w:space="0" w:color="auto"/>
        <w:left w:val="none" w:sz="0" w:space="0" w:color="auto"/>
        <w:bottom w:val="none" w:sz="0" w:space="0" w:color="auto"/>
        <w:right w:val="none" w:sz="0" w:space="0" w:color="auto"/>
      </w:divBdr>
    </w:div>
    <w:div w:id="1341812071">
      <w:bodyDiv w:val="1"/>
      <w:marLeft w:val="0"/>
      <w:marRight w:val="0"/>
      <w:marTop w:val="0"/>
      <w:marBottom w:val="0"/>
      <w:divBdr>
        <w:top w:val="none" w:sz="0" w:space="0" w:color="auto"/>
        <w:left w:val="none" w:sz="0" w:space="0" w:color="auto"/>
        <w:bottom w:val="none" w:sz="0" w:space="0" w:color="auto"/>
        <w:right w:val="none" w:sz="0" w:space="0" w:color="auto"/>
      </w:divBdr>
    </w:div>
    <w:div w:id="1344896901">
      <w:bodyDiv w:val="1"/>
      <w:marLeft w:val="0"/>
      <w:marRight w:val="0"/>
      <w:marTop w:val="0"/>
      <w:marBottom w:val="0"/>
      <w:divBdr>
        <w:top w:val="none" w:sz="0" w:space="0" w:color="auto"/>
        <w:left w:val="none" w:sz="0" w:space="0" w:color="auto"/>
        <w:bottom w:val="none" w:sz="0" w:space="0" w:color="auto"/>
        <w:right w:val="none" w:sz="0" w:space="0" w:color="auto"/>
      </w:divBdr>
    </w:div>
    <w:div w:id="1349599553">
      <w:bodyDiv w:val="1"/>
      <w:marLeft w:val="0"/>
      <w:marRight w:val="0"/>
      <w:marTop w:val="0"/>
      <w:marBottom w:val="0"/>
      <w:divBdr>
        <w:top w:val="none" w:sz="0" w:space="0" w:color="auto"/>
        <w:left w:val="none" w:sz="0" w:space="0" w:color="auto"/>
        <w:bottom w:val="none" w:sz="0" w:space="0" w:color="auto"/>
        <w:right w:val="none" w:sz="0" w:space="0" w:color="auto"/>
      </w:divBdr>
    </w:div>
    <w:div w:id="1352609059">
      <w:bodyDiv w:val="1"/>
      <w:marLeft w:val="0"/>
      <w:marRight w:val="0"/>
      <w:marTop w:val="0"/>
      <w:marBottom w:val="0"/>
      <w:divBdr>
        <w:top w:val="none" w:sz="0" w:space="0" w:color="auto"/>
        <w:left w:val="none" w:sz="0" w:space="0" w:color="auto"/>
        <w:bottom w:val="none" w:sz="0" w:space="0" w:color="auto"/>
        <w:right w:val="none" w:sz="0" w:space="0" w:color="auto"/>
      </w:divBdr>
    </w:div>
    <w:div w:id="1353455737">
      <w:bodyDiv w:val="1"/>
      <w:marLeft w:val="0"/>
      <w:marRight w:val="0"/>
      <w:marTop w:val="0"/>
      <w:marBottom w:val="0"/>
      <w:divBdr>
        <w:top w:val="none" w:sz="0" w:space="0" w:color="auto"/>
        <w:left w:val="none" w:sz="0" w:space="0" w:color="auto"/>
        <w:bottom w:val="none" w:sz="0" w:space="0" w:color="auto"/>
        <w:right w:val="none" w:sz="0" w:space="0" w:color="auto"/>
      </w:divBdr>
    </w:div>
    <w:div w:id="1357151565">
      <w:bodyDiv w:val="1"/>
      <w:marLeft w:val="0"/>
      <w:marRight w:val="0"/>
      <w:marTop w:val="0"/>
      <w:marBottom w:val="0"/>
      <w:divBdr>
        <w:top w:val="none" w:sz="0" w:space="0" w:color="auto"/>
        <w:left w:val="none" w:sz="0" w:space="0" w:color="auto"/>
        <w:bottom w:val="none" w:sz="0" w:space="0" w:color="auto"/>
        <w:right w:val="none" w:sz="0" w:space="0" w:color="auto"/>
      </w:divBdr>
    </w:div>
    <w:div w:id="1360624800">
      <w:bodyDiv w:val="1"/>
      <w:marLeft w:val="0"/>
      <w:marRight w:val="0"/>
      <w:marTop w:val="0"/>
      <w:marBottom w:val="0"/>
      <w:divBdr>
        <w:top w:val="none" w:sz="0" w:space="0" w:color="auto"/>
        <w:left w:val="none" w:sz="0" w:space="0" w:color="auto"/>
        <w:bottom w:val="none" w:sz="0" w:space="0" w:color="auto"/>
        <w:right w:val="none" w:sz="0" w:space="0" w:color="auto"/>
      </w:divBdr>
    </w:div>
    <w:div w:id="1363164090">
      <w:bodyDiv w:val="1"/>
      <w:marLeft w:val="0"/>
      <w:marRight w:val="0"/>
      <w:marTop w:val="0"/>
      <w:marBottom w:val="0"/>
      <w:divBdr>
        <w:top w:val="none" w:sz="0" w:space="0" w:color="auto"/>
        <w:left w:val="none" w:sz="0" w:space="0" w:color="auto"/>
        <w:bottom w:val="none" w:sz="0" w:space="0" w:color="auto"/>
        <w:right w:val="none" w:sz="0" w:space="0" w:color="auto"/>
      </w:divBdr>
    </w:div>
    <w:div w:id="1368876346">
      <w:bodyDiv w:val="1"/>
      <w:marLeft w:val="0"/>
      <w:marRight w:val="0"/>
      <w:marTop w:val="0"/>
      <w:marBottom w:val="0"/>
      <w:divBdr>
        <w:top w:val="none" w:sz="0" w:space="0" w:color="auto"/>
        <w:left w:val="none" w:sz="0" w:space="0" w:color="auto"/>
        <w:bottom w:val="none" w:sz="0" w:space="0" w:color="auto"/>
        <w:right w:val="none" w:sz="0" w:space="0" w:color="auto"/>
      </w:divBdr>
    </w:div>
    <w:div w:id="1369255102">
      <w:bodyDiv w:val="1"/>
      <w:marLeft w:val="0"/>
      <w:marRight w:val="0"/>
      <w:marTop w:val="0"/>
      <w:marBottom w:val="0"/>
      <w:divBdr>
        <w:top w:val="none" w:sz="0" w:space="0" w:color="auto"/>
        <w:left w:val="none" w:sz="0" w:space="0" w:color="auto"/>
        <w:bottom w:val="none" w:sz="0" w:space="0" w:color="auto"/>
        <w:right w:val="none" w:sz="0" w:space="0" w:color="auto"/>
      </w:divBdr>
      <w:divsChild>
        <w:div w:id="253516965">
          <w:marLeft w:val="0"/>
          <w:marRight w:val="0"/>
          <w:marTop w:val="0"/>
          <w:marBottom w:val="0"/>
          <w:divBdr>
            <w:top w:val="none" w:sz="0" w:space="0" w:color="auto"/>
            <w:left w:val="none" w:sz="0" w:space="0" w:color="auto"/>
            <w:bottom w:val="none" w:sz="0" w:space="0" w:color="auto"/>
            <w:right w:val="none" w:sz="0" w:space="0" w:color="auto"/>
          </w:divBdr>
        </w:div>
      </w:divsChild>
    </w:div>
    <w:div w:id="1369451187">
      <w:bodyDiv w:val="1"/>
      <w:marLeft w:val="0"/>
      <w:marRight w:val="0"/>
      <w:marTop w:val="0"/>
      <w:marBottom w:val="0"/>
      <w:divBdr>
        <w:top w:val="none" w:sz="0" w:space="0" w:color="auto"/>
        <w:left w:val="none" w:sz="0" w:space="0" w:color="auto"/>
        <w:bottom w:val="none" w:sz="0" w:space="0" w:color="auto"/>
        <w:right w:val="none" w:sz="0" w:space="0" w:color="auto"/>
      </w:divBdr>
    </w:div>
    <w:div w:id="1369599600">
      <w:bodyDiv w:val="1"/>
      <w:marLeft w:val="0"/>
      <w:marRight w:val="0"/>
      <w:marTop w:val="0"/>
      <w:marBottom w:val="0"/>
      <w:divBdr>
        <w:top w:val="none" w:sz="0" w:space="0" w:color="auto"/>
        <w:left w:val="none" w:sz="0" w:space="0" w:color="auto"/>
        <w:bottom w:val="none" w:sz="0" w:space="0" w:color="auto"/>
        <w:right w:val="none" w:sz="0" w:space="0" w:color="auto"/>
      </w:divBdr>
    </w:div>
    <w:div w:id="1375080045">
      <w:bodyDiv w:val="1"/>
      <w:marLeft w:val="0"/>
      <w:marRight w:val="0"/>
      <w:marTop w:val="0"/>
      <w:marBottom w:val="0"/>
      <w:divBdr>
        <w:top w:val="none" w:sz="0" w:space="0" w:color="auto"/>
        <w:left w:val="none" w:sz="0" w:space="0" w:color="auto"/>
        <w:bottom w:val="none" w:sz="0" w:space="0" w:color="auto"/>
        <w:right w:val="none" w:sz="0" w:space="0" w:color="auto"/>
      </w:divBdr>
    </w:div>
    <w:div w:id="1380861394">
      <w:bodyDiv w:val="1"/>
      <w:marLeft w:val="0"/>
      <w:marRight w:val="0"/>
      <w:marTop w:val="0"/>
      <w:marBottom w:val="0"/>
      <w:divBdr>
        <w:top w:val="none" w:sz="0" w:space="0" w:color="auto"/>
        <w:left w:val="none" w:sz="0" w:space="0" w:color="auto"/>
        <w:bottom w:val="none" w:sz="0" w:space="0" w:color="auto"/>
        <w:right w:val="none" w:sz="0" w:space="0" w:color="auto"/>
      </w:divBdr>
      <w:divsChild>
        <w:div w:id="274215131">
          <w:marLeft w:val="0"/>
          <w:marRight w:val="0"/>
          <w:marTop w:val="0"/>
          <w:marBottom w:val="0"/>
          <w:divBdr>
            <w:top w:val="none" w:sz="0" w:space="0" w:color="auto"/>
            <w:left w:val="none" w:sz="0" w:space="0" w:color="auto"/>
            <w:bottom w:val="none" w:sz="0" w:space="0" w:color="auto"/>
            <w:right w:val="none" w:sz="0" w:space="0" w:color="auto"/>
          </w:divBdr>
        </w:div>
      </w:divsChild>
    </w:div>
    <w:div w:id="1383795872">
      <w:bodyDiv w:val="1"/>
      <w:marLeft w:val="0"/>
      <w:marRight w:val="0"/>
      <w:marTop w:val="0"/>
      <w:marBottom w:val="0"/>
      <w:divBdr>
        <w:top w:val="none" w:sz="0" w:space="0" w:color="auto"/>
        <w:left w:val="none" w:sz="0" w:space="0" w:color="auto"/>
        <w:bottom w:val="none" w:sz="0" w:space="0" w:color="auto"/>
        <w:right w:val="none" w:sz="0" w:space="0" w:color="auto"/>
      </w:divBdr>
      <w:divsChild>
        <w:div w:id="1252205456">
          <w:marLeft w:val="0"/>
          <w:marRight w:val="0"/>
          <w:marTop w:val="0"/>
          <w:marBottom w:val="0"/>
          <w:divBdr>
            <w:top w:val="none" w:sz="0" w:space="0" w:color="auto"/>
            <w:left w:val="none" w:sz="0" w:space="0" w:color="auto"/>
            <w:bottom w:val="none" w:sz="0" w:space="0" w:color="auto"/>
            <w:right w:val="none" w:sz="0" w:space="0" w:color="auto"/>
          </w:divBdr>
        </w:div>
      </w:divsChild>
    </w:div>
    <w:div w:id="1385256411">
      <w:bodyDiv w:val="1"/>
      <w:marLeft w:val="0"/>
      <w:marRight w:val="0"/>
      <w:marTop w:val="0"/>
      <w:marBottom w:val="0"/>
      <w:divBdr>
        <w:top w:val="none" w:sz="0" w:space="0" w:color="auto"/>
        <w:left w:val="none" w:sz="0" w:space="0" w:color="auto"/>
        <w:bottom w:val="none" w:sz="0" w:space="0" w:color="auto"/>
        <w:right w:val="none" w:sz="0" w:space="0" w:color="auto"/>
      </w:divBdr>
    </w:div>
    <w:div w:id="1386442502">
      <w:bodyDiv w:val="1"/>
      <w:marLeft w:val="0"/>
      <w:marRight w:val="0"/>
      <w:marTop w:val="0"/>
      <w:marBottom w:val="0"/>
      <w:divBdr>
        <w:top w:val="none" w:sz="0" w:space="0" w:color="auto"/>
        <w:left w:val="none" w:sz="0" w:space="0" w:color="auto"/>
        <w:bottom w:val="none" w:sz="0" w:space="0" w:color="auto"/>
        <w:right w:val="none" w:sz="0" w:space="0" w:color="auto"/>
      </w:divBdr>
    </w:div>
    <w:div w:id="1387796938">
      <w:bodyDiv w:val="1"/>
      <w:marLeft w:val="0"/>
      <w:marRight w:val="0"/>
      <w:marTop w:val="0"/>
      <w:marBottom w:val="0"/>
      <w:divBdr>
        <w:top w:val="none" w:sz="0" w:space="0" w:color="auto"/>
        <w:left w:val="none" w:sz="0" w:space="0" w:color="auto"/>
        <w:bottom w:val="none" w:sz="0" w:space="0" w:color="auto"/>
        <w:right w:val="none" w:sz="0" w:space="0" w:color="auto"/>
      </w:divBdr>
      <w:divsChild>
        <w:div w:id="2123957444">
          <w:marLeft w:val="0"/>
          <w:marRight w:val="0"/>
          <w:marTop w:val="0"/>
          <w:marBottom w:val="0"/>
          <w:divBdr>
            <w:top w:val="none" w:sz="0" w:space="0" w:color="auto"/>
            <w:left w:val="none" w:sz="0" w:space="0" w:color="auto"/>
            <w:bottom w:val="none" w:sz="0" w:space="0" w:color="auto"/>
            <w:right w:val="none" w:sz="0" w:space="0" w:color="auto"/>
          </w:divBdr>
          <w:divsChild>
            <w:div w:id="104930189">
              <w:marLeft w:val="0"/>
              <w:marRight w:val="0"/>
              <w:marTop w:val="15"/>
              <w:marBottom w:val="0"/>
              <w:divBdr>
                <w:top w:val="none" w:sz="0" w:space="0" w:color="auto"/>
                <w:left w:val="none" w:sz="0" w:space="0" w:color="auto"/>
                <w:bottom w:val="none" w:sz="0" w:space="0" w:color="auto"/>
                <w:right w:val="none" w:sz="0" w:space="0" w:color="auto"/>
              </w:divBdr>
              <w:divsChild>
                <w:div w:id="1325741417">
                  <w:marLeft w:val="0"/>
                  <w:marRight w:val="0"/>
                  <w:marTop w:val="0"/>
                  <w:marBottom w:val="0"/>
                  <w:divBdr>
                    <w:top w:val="none" w:sz="0" w:space="0" w:color="auto"/>
                    <w:left w:val="single" w:sz="6" w:space="0" w:color="B5B5B5"/>
                    <w:bottom w:val="none" w:sz="0" w:space="0" w:color="auto"/>
                    <w:right w:val="single" w:sz="6" w:space="0" w:color="B5B5B5"/>
                  </w:divBdr>
                  <w:divsChild>
                    <w:div w:id="1704014500">
                      <w:marLeft w:val="75"/>
                      <w:marRight w:val="75"/>
                      <w:marTop w:val="0"/>
                      <w:marBottom w:val="0"/>
                      <w:divBdr>
                        <w:top w:val="none" w:sz="0" w:space="0" w:color="auto"/>
                        <w:left w:val="none" w:sz="0" w:space="0" w:color="auto"/>
                        <w:bottom w:val="none" w:sz="0" w:space="0" w:color="auto"/>
                        <w:right w:val="none" w:sz="0" w:space="0" w:color="auto"/>
                      </w:divBdr>
                      <w:divsChild>
                        <w:div w:id="681123601">
                          <w:marLeft w:val="0"/>
                          <w:marRight w:val="0"/>
                          <w:marTop w:val="0"/>
                          <w:marBottom w:val="0"/>
                          <w:divBdr>
                            <w:top w:val="dotted" w:sz="6" w:space="0" w:color="B5B5B5"/>
                            <w:left w:val="none" w:sz="0" w:space="0" w:color="auto"/>
                            <w:bottom w:val="none" w:sz="0" w:space="0" w:color="auto"/>
                            <w:right w:val="none" w:sz="0" w:space="0" w:color="auto"/>
                          </w:divBdr>
                          <w:divsChild>
                            <w:div w:id="1371683505">
                              <w:marLeft w:val="0"/>
                              <w:marRight w:val="0"/>
                              <w:marTop w:val="75"/>
                              <w:marBottom w:val="0"/>
                              <w:divBdr>
                                <w:top w:val="none" w:sz="0" w:space="0" w:color="auto"/>
                                <w:left w:val="none" w:sz="0" w:space="0" w:color="auto"/>
                                <w:bottom w:val="none" w:sz="0" w:space="0" w:color="auto"/>
                                <w:right w:val="none" w:sz="0" w:space="0" w:color="auto"/>
                              </w:divBdr>
                              <w:divsChild>
                                <w:div w:id="239363852">
                                  <w:marLeft w:val="0"/>
                                  <w:marRight w:val="0"/>
                                  <w:marTop w:val="0"/>
                                  <w:marBottom w:val="0"/>
                                  <w:divBdr>
                                    <w:top w:val="none" w:sz="0" w:space="0" w:color="auto"/>
                                    <w:left w:val="none" w:sz="0" w:space="0" w:color="auto"/>
                                    <w:bottom w:val="none" w:sz="0" w:space="0" w:color="auto"/>
                                    <w:right w:val="none" w:sz="0" w:space="0" w:color="auto"/>
                                  </w:divBdr>
                                  <w:divsChild>
                                    <w:div w:id="952631440">
                                      <w:marLeft w:val="0"/>
                                      <w:marRight w:val="0"/>
                                      <w:marTop w:val="0"/>
                                      <w:marBottom w:val="0"/>
                                      <w:divBdr>
                                        <w:top w:val="none" w:sz="0" w:space="0" w:color="auto"/>
                                        <w:left w:val="none" w:sz="0" w:space="0" w:color="auto"/>
                                        <w:bottom w:val="none" w:sz="0" w:space="0" w:color="auto"/>
                                        <w:right w:val="none" w:sz="0" w:space="0" w:color="auto"/>
                                      </w:divBdr>
                                      <w:divsChild>
                                        <w:div w:id="1548178319">
                                          <w:marLeft w:val="525"/>
                                          <w:marRight w:val="0"/>
                                          <w:marTop w:val="0"/>
                                          <w:marBottom w:val="0"/>
                                          <w:divBdr>
                                            <w:top w:val="none" w:sz="0" w:space="0" w:color="auto"/>
                                            <w:left w:val="none" w:sz="0" w:space="0" w:color="auto"/>
                                            <w:bottom w:val="none" w:sz="0" w:space="0" w:color="auto"/>
                                            <w:right w:val="none" w:sz="0" w:space="0" w:color="auto"/>
                                          </w:divBdr>
                                          <w:divsChild>
                                            <w:div w:id="515651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90879379">
      <w:bodyDiv w:val="1"/>
      <w:marLeft w:val="0"/>
      <w:marRight w:val="0"/>
      <w:marTop w:val="0"/>
      <w:marBottom w:val="0"/>
      <w:divBdr>
        <w:top w:val="none" w:sz="0" w:space="0" w:color="auto"/>
        <w:left w:val="none" w:sz="0" w:space="0" w:color="auto"/>
        <w:bottom w:val="none" w:sz="0" w:space="0" w:color="auto"/>
        <w:right w:val="none" w:sz="0" w:space="0" w:color="auto"/>
      </w:divBdr>
      <w:divsChild>
        <w:div w:id="469638598">
          <w:marLeft w:val="0"/>
          <w:marRight w:val="0"/>
          <w:marTop w:val="0"/>
          <w:marBottom w:val="0"/>
          <w:divBdr>
            <w:top w:val="none" w:sz="0" w:space="0" w:color="auto"/>
            <w:left w:val="none" w:sz="0" w:space="0" w:color="auto"/>
            <w:bottom w:val="none" w:sz="0" w:space="0" w:color="auto"/>
            <w:right w:val="none" w:sz="0" w:space="0" w:color="auto"/>
          </w:divBdr>
          <w:divsChild>
            <w:div w:id="1089621712">
              <w:marLeft w:val="0"/>
              <w:marRight w:val="0"/>
              <w:marTop w:val="411"/>
              <w:marBottom w:val="0"/>
              <w:divBdr>
                <w:top w:val="none" w:sz="0" w:space="0" w:color="auto"/>
                <w:left w:val="none" w:sz="0" w:space="0" w:color="auto"/>
                <w:bottom w:val="none" w:sz="0" w:space="0" w:color="auto"/>
                <w:right w:val="none" w:sz="0" w:space="0" w:color="auto"/>
              </w:divBdr>
              <w:divsChild>
                <w:div w:id="380596350">
                  <w:marLeft w:val="0"/>
                  <w:marRight w:val="0"/>
                  <w:marTop w:val="0"/>
                  <w:marBottom w:val="0"/>
                  <w:divBdr>
                    <w:top w:val="none" w:sz="0" w:space="0" w:color="auto"/>
                    <w:left w:val="none" w:sz="0" w:space="0" w:color="auto"/>
                    <w:bottom w:val="none" w:sz="0" w:space="0" w:color="auto"/>
                    <w:right w:val="none" w:sz="0" w:space="0" w:color="auto"/>
                  </w:divBdr>
                  <w:divsChild>
                    <w:div w:id="775713964">
                      <w:marLeft w:val="79"/>
                      <w:marRight w:val="79"/>
                      <w:marTop w:val="0"/>
                      <w:marBottom w:val="0"/>
                      <w:divBdr>
                        <w:top w:val="none" w:sz="0" w:space="0" w:color="auto"/>
                        <w:left w:val="none" w:sz="0" w:space="0" w:color="auto"/>
                        <w:bottom w:val="none" w:sz="0" w:space="0" w:color="auto"/>
                        <w:right w:val="none" w:sz="0" w:space="0" w:color="auto"/>
                      </w:divBdr>
                      <w:divsChild>
                        <w:div w:id="1621262049">
                          <w:marLeft w:val="0"/>
                          <w:marRight w:val="0"/>
                          <w:marTop w:val="0"/>
                          <w:marBottom w:val="0"/>
                          <w:divBdr>
                            <w:top w:val="dashed" w:sz="6" w:space="0" w:color="DDDDDD"/>
                            <w:left w:val="none" w:sz="0" w:space="0" w:color="auto"/>
                            <w:bottom w:val="none" w:sz="0" w:space="0" w:color="auto"/>
                            <w:right w:val="none" w:sz="0" w:space="0" w:color="auto"/>
                          </w:divBdr>
                          <w:divsChild>
                            <w:div w:id="1892301507">
                              <w:marLeft w:val="0"/>
                              <w:marRight w:val="0"/>
                              <w:marTop w:val="0"/>
                              <w:marBottom w:val="0"/>
                              <w:divBdr>
                                <w:top w:val="none" w:sz="0" w:space="0" w:color="auto"/>
                                <w:left w:val="none" w:sz="0" w:space="0" w:color="auto"/>
                                <w:bottom w:val="none" w:sz="0" w:space="0" w:color="auto"/>
                                <w:right w:val="none" w:sz="0" w:space="0" w:color="auto"/>
                              </w:divBdr>
                              <w:divsChild>
                                <w:div w:id="1982731885">
                                  <w:marLeft w:val="0"/>
                                  <w:marRight w:val="0"/>
                                  <w:marTop w:val="79"/>
                                  <w:marBottom w:val="79"/>
                                  <w:divBdr>
                                    <w:top w:val="none" w:sz="0" w:space="0" w:color="auto"/>
                                    <w:left w:val="none" w:sz="0" w:space="0" w:color="auto"/>
                                    <w:bottom w:val="none" w:sz="0" w:space="0" w:color="auto"/>
                                    <w:right w:val="none" w:sz="0" w:space="0" w:color="auto"/>
                                  </w:divBdr>
                                  <w:divsChild>
                                    <w:div w:id="1225917824">
                                      <w:marLeft w:val="0"/>
                                      <w:marRight w:val="0"/>
                                      <w:marTop w:val="0"/>
                                      <w:marBottom w:val="0"/>
                                      <w:divBdr>
                                        <w:top w:val="none" w:sz="0" w:space="0" w:color="auto"/>
                                        <w:left w:val="none" w:sz="0" w:space="0" w:color="auto"/>
                                        <w:bottom w:val="none" w:sz="0" w:space="0" w:color="auto"/>
                                        <w:right w:val="none" w:sz="0" w:space="0" w:color="auto"/>
                                      </w:divBdr>
                                      <w:divsChild>
                                        <w:div w:id="1693410630">
                                          <w:marLeft w:val="554"/>
                                          <w:marRight w:val="0"/>
                                          <w:marTop w:val="0"/>
                                          <w:marBottom w:val="0"/>
                                          <w:divBdr>
                                            <w:top w:val="none" w:sz="0" w:space="0" w:color="auto"/>
                                            <w:left w:val="none" w:sz="0" w:space="0" w:color="auto"/>
                                            <w:bottom w:val="none" w:sz="0" w:space="0" w:color="auto"/>
                                            <w:right w:val="none" w:sz="0" w:space="0" w:color="auto"/>
                                          </w:divBdr>
                                          <w:divsChild>
                                            <w:div w:id="1241910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92968421">
      <w:bodyDiv w:val="1"/>
      <w:marLeft w:val="0"/>
      <w:marRight w:val="0"/>
      <w:marTop w:val="0"/>
      <w:marBottom w:val="0"/>
      <w:divBdr>
        <w:top w:val="none" w:sz="0" w:space="0" w:color="auto"/>
        <w:left w:val="none" w:sz="0" w:space="0" w:color="auto"/>
        <w:bottom w:val="none" w:sz="0" w:space="0" w:color="auto"/>
        <w:right w:val="none" w:sz="0" w:space="0" w:color="auto"/>
      </w:divBdr>
    </w:div>
    <w:div w:id="1393037007">
      <w:bodyDiv w:val="1"/>
      <w:marLeft w:val="0"/>
      <w:marRight w:val="0"/>
      <w:marTop w:val="0"/>
      <w:marBottom w:val="0"/>
      <w:divBdr>
        <w:top w:val="none" w:sz="0" w:space="0" w:color="auto"/>
        <w:left w:val="none" w:sz="0" w:space="0" w:color="auto"/>
        <w:bottom w:val="none" w:sz="0" w:space="0" w:color="auto"/>
        <w:right w:val="none" w:sz="0" w:space="0" w:color="auto"/>
      </w:divBdr>
    </w:div>
    <w:div w:id="1398093611">
      <w:bodyDiv w:val="1"/>
      <w:marLeft w:val="0"/>
      <w:marRight w:val="0"/>
      <w:marTop w:val="0"/>
      <w:marBottom w:val="0"/>
      <w:divBdr>
        <w:top w:val="none" w:sz="0" w:space="0" w:color="auto"/>
        <w:left w:val="none" w:sz="0" w:space="0" w:color="auto"/>
        <w:bottom w:val="none" w:sz="0" w:space="0" w:color="auto"/>
        <w:right w:val="none" w:sz="0" w:space="0" w:color="auto"/>
      </w:divBdr>
      <w:divsChild>
        <w:div w:id="220021510">
          <w:marLeft w:val="0"/>
          <w:marRight w:val="0"/>
          <w:marTop w:val="0"/>
          <w:marBottom w:val="0"/>
          <w:divBdr>
            <w:top w:val="none" w:sz="0" w:space="0" w:color="auto"/>
            <w:left w:val="none" w:sz="0" w:space="0" w:color="auto"/>
            <w:bottom w:val="none" w:sz="0" w:space="0" w:color="auto"/>
            <w:right w:val="none" w:sz="0" w:space="0" w:color="auto"/>
          </w:divBdr>
          <w:divsChild>
            <w:div w:id="1606574437">
              <w:marLeft w:val="0"/>
              <w:marRight w:val="0"/>
              <w:marTop w:val="0"/>
              <w:marBottom w:val="0"/>
              <w:divBdr>
                <w:top w:val="none" w:sz="0" w:space="0" w:color="auto"/>
                <w:left w:val="none" w:sz="0" w:space="0" w:color="auto"/>
                <w:bottom w:val="none" w:sz="0" w:space="0" w:color="auto"/>
                <w:right w:val="none" w:sz="0" w:space="0" w:color="auto"/>
              </w:divBdr>
              <w:divsChild>
                <w:div w:id="1075009501">
                  <w:marLeft w:val="0"/>
                  <w:marRight w:val="0"/>
                  <w:marTop w:val="0"/>
                  <w:marBottom w:val="0"/>
                  <w:divBdr>
                    <w:top w:val="none" w:sz="0" w:space="0" w:color="auto"/>
                    <w:left w:val="none" w:sz="0" w:space="0" w:color="auto"/>
                    <w:bottom w:val="none" w:sz="0" w:space="0" w:color="auto"/>
                    <w:right w:val="none" w:sz="0" w:space="0" w:color="auto"/>
                  </w:divBdr>
                  <w:divsChild>
                    <w:div w:id="1554078341">
                      <w:marLeft w:val="0"/>
                      <w:marRight w:val="0"/>
                      <w:marTop w:val="0"/>
                      <w:marBottom w:val="0"/>
                      <w:divBdr>
                        <w:top w:val="none" w:sz="0" w:space="0" w:color="auto"/>
                        <w:left w:val="none" w:sz="0" w:space="0" w:color="auto"/>
                        <w:bottom w:val="none" w:sz="0" w:space="0" w:color="auto"/>
                        <w:right w:val="none" w:sz="0" w:space="0" w:color="auto"/>
                      </w:divBdr>
                      <w:divsChild>
                        <w:div w:id="1771663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8241439">
      <w:bodyDiv w:val="1"/>
      <w:marLeft w:val="0"/>
      <w:marRight w:val="0"/>
      <w:marTop w:val="0"/>
      <w:marBottom w:val="0"/>
      <w:divBdr>
        <w:top w:val="none" w:sz="0" w:space="0" w:color="auto"/>
        <w:left w:val="none" w:sz="0" w:space="0" w:color="auto"/>
        <w:bottom w:val="none" w:sz="0" w:space="0" w:color="auto"/>
        <w:right w:val="none" w:sz="0" w:space="0" w:color="auto"/>
      </w:divBdr>
    </w:div>
    <w:div w:id="1406801647">
      <w:bodyDiv w:val="1"/>
      <w:marLeft w:val="0"/>
      <w:marRight w:val="0"/>
      <w:marTop w:val="0"/>
      <w:marBottom w:val="0"/>
      <w:divBdr>
        <w:top w:val="none" w:sz="0" w:space="0" w:color="auto"/>
        <w:left w:val="none" w:sz="0" w:space="0" w:color="auto"/>
        <w:bottom w:val="none" w:sz="0" w:space="0" w:color="auto"/>
        <w:right w:val="none" w:sz="0" w:space="0" w:color="auto"/>
      </w:divBdr>
    </w:div>
    <w:div w:id="1408267126">
      <w:bodyDiv w:val="1"/>
      <w:marLeft w:val="0"/>
      <w:marRight w:val="0"/>
      <w:marTop w:val="0"/>
      <w:marBottom w:val="0"/>
      <w:divBdr>
        <w:top w:val="none" w:sz="0" w:space="0" w:color="auto"/>
        <w:left w:val="none" w:sz="0" w:space="0" w:color="auto"/>
        <w:bottom w:val="none" w:sz="0" w:space="0" w:color="auto"/>
        <w:right w:val="none" w:sz="0" w:space="0" w:color="auto"/>
      </w:divBdr>
    </w:div>
    <w:div w:id="1416708010">
      <w:bodyDiv w:val="1"/>
      <w:marLeft w:val="0"/>
      <w:marRight w:val="0"/>
      <w:marTop w:val="0"/>
      <w:marBottom w:val="0"/>
      <w:divBdr>
        <w:top w:val="none" w:sz="0" w:space="0" w:color="auto"/>
        <w:left w:val="none" w:sz="0" w:space="0" w:color="auto"/>
        <w:bottom w:val="none" w:sz="0" w:space="0" w:color="auto"/>
        <w:right w:val="none" w:sz="0" w:space="0" w:color="auto"/>
      </w:divBdr>
    </w:div>
    <w:div w:id="1421214969">
      <w:bodyDiv w:val="1"/>
      <w:marLeft w:val="0"/>
      <w:marRight w:val="0"/>
      <w:marTop w:val="0"/>
      <w:marBottom w:val="0"/>
      <w:divBdr>
        <w:top w:val="none" w:sz="0" w:space="0" w:color="auto"/>
        <w:left w:val="none" w:sz="0" w:space="0" w:color="auto"/>
        <w:bottom w:val="none" w:sz="0" w:space="0" w:color="auto"/>
        <w:right w:val="none" w:sz="0" w:space="0" w:color="auto"/>
      </w:divBdr>
    </w:div>
    <w:div w:id="1424105582">
      <w:bodyDiv w:val="1"/>
      <w:marLeft w:val="0"/>
      <w:marRight w:val="0"/>
      <w:marTop w:val="0"/>
      <w:marBottom w:val="0"/>
      <w:divBdr>
        <w:top w:val="none" w:sz="0" w:space="0" w:color="auto"/>
        <w:left w:val="none" w:sz="0" w:space="0" w:color="auto"/>
        <w:bottom w:val="none" w:sz="0" w:space="0" w:color="auto"/>
        <w:right w:val="none" w:sz="0" w:space="0" w:color="auto"/>
      </w:divBdr>
    </w:div>
    <w:div w:id="1427266176">
      <w:bodyDiv w:val="1"/>
      <w:marLeft w:val="0"/>
      <w:marRight w:val="0"/>
      <w:marTop w:val="0"/>
      <w:marBottom w:val="0"/>
      <w:divBdr>
        <w:top w:val="none" w:sz="0" w:space="0" w:color="auto"/>
        <w:left w:val="none" w:sz="0" w:space="0" w:color="auto"/>
        <w:bottom w:val="none" w:sz="0" w:space="0" w:color="auto"/>
        <w:right w:val="none" w:sz="0" w:space="0" w:color="auto"/>
      </w:divBdr>
    </w:div>
    <w:div w:id="1437826805">
      <w:bodyDiv w:val="1"/>
      <w:marLeft w:val="0"/>
      <w:marRight w:val="0"/>
      <w:marTop w:val="0"/>
      <w:marBottom w:val="0"/>
      <w:divBdr>
        <w:top w:val="none" w:sz="0" w:space="0" w:color="auto"/>
        <w:left w:val="none" w:sz="0" w:space="0" w:color="auto"/>
        <w:bottom w:val="none" w:sz="0" w:space="0" w:color="auto"/>
        <w:right w:val="none" w:sz="0" w:space="0" w:color="auto"/>
      </w:divBdr>
    </w:div>
    <w:div w:id="1438141651">
      <w:bodyDiv w:val="1"/>
      <w:marLeft w:val="0"/>
      <w:marRight w:val="0"/>
      <w:marTop w:val="0"/>
      <w:marBottom w:val="0"/>
      <w:divBdr>
        <w:top w:val="none" w:sz="0" w:space="0" w:color="auto"/>
        <w:left w:val="none" w:sz="0" w:space="0" w:color="auto"/>
        <w:bottom w:val="none" w:sz="0" w:space="0" w:color="auto"/>
        <w:right w:val="none" w:sz="0" w:space="0" w:color="auto"/>
      </w:divBdr>
    </w:div>
    <w:div w:id="1440880848">
      <w:bodyDiv w:val="1"/>
      <w:marLeft w:val="0"/>
      <w:marRight w:val="0"/>
      <w:marTop w:val="0"/>
      <w:marBottom w:val="0"/>
      <w:divBdr>
        <w:top w:val="none" w:sz="0" w:space="0" w:color="auto"/>
        <w:left w:val="none" w:sz="0" w:space="0" w:color="auto"/>
        <w:bottom w:val="none" w:sz="0" w:space="0" w:color="auto"/>
        <w:right w:val="none" w:sz="0" w:space="0" w:color="auto"/>
      </w:divBdr>
      <w:divsChild>
        <w:div w:id="1349991323">
          <w:marLeft w:val="0"/>
          <w:marRight w:val="0"/>
          <w:marTop w:val="0"/>
          <w:marBottom w:val="0"/>
          <w:divBdr>
            <w:top w:val="none" w:sz="0" w:space="0" w:color="auto"/>
            <w:left w:val="none" w:sz="0" w:space="0" w:color="auto"/>
            <w:bottom w:val="none" w:sz="0" w:space="0" w:color="auto"/>
            <w:right w:val="none" w:sz="0" w:space="0" w:color="auto"/>
          </w:divBdr>
        </w:div>
      </w:divsChild>
    </w:div>
    <w:div w:id="1450276256">
      <w:bodyDiv w:val="1"/>
      <w:marLeft w:val="0"/>
      <w:marRight w:val="0"/>
      <w:marTop w:val="0"/>
      <w:marBottom w:val="0"/>
      <w:divBdr>
        <w:top w:val="none" w:sz="0" w:space="0" w:color="auto"/>
        <w:left w:val="none" w:sz="0" w:space="0" w:color="auto"/>
        <w:bottom w:val="none" w:sz="0" w:space="0" w:color="auto"/>
        <w:right w:val="none" w:sz="0" w:space="0" w:color="auto"/>
      </w:divBdr>
      <w:divsChild>
        <w:div w:id="606620366">
          <w:marLeft w:val="0"/>
          <w:marRight w:val="0"/>
          <w:marTop w:val="0"/>
          <w:marBottom w:val="0"/>
          <w:divBdr>
            <w:top w:val="none" w:sz="0" w:space="0" w:color="auto"/>
            <w:left w:val="none" w:sz="0" w:space="0" w:color="auto"/>
            <w:bottom w:val="none" w:sz="0" w:space="0" w:color="auto"/>
            <w:right w:val="none" w:sz="0" w:space="0" w:color="auto"/>
          </w:divBdr>
          <w:divsChild>
            <w:div w:id="1794207599">
              <w:marLeft w:val="0"/>
              <w:marRight w:val="0"/>
              <w:marTop w:val="15"/>
              <w:marBottom w:val="0"/>
              <w:divBdr>
                <w:top w:val="none" w:sz="0" w:space="0" w:color="auto"/>
                <w:left w:val="none" w:sz="0" w:space="0" w:color="auto"/>
                <w:bottom w:val="none" w:sz="0" w:space="0" w:color="auto"/>
                <w:right w:val="none" w:sz="0" w:space="0" w:color="auto"/>
              </w:divBdr>
              <w:divsChild>
                <w:div w:id="1792359224">
                  <w:marLeft w:val="0"/>
                  <w:marRight w:val="0"/>
                  <w:marTop w:val="0"/>
                  <w:marBottom w:val="0"/>
                  <w:divBdr>
                    <w:top w:val="none" w:sz="0" w:space="0" w:color="auto"/>
                    <w:left w:val="single" w:sz="6" w:space="0" w:color="B5B5B5"/>
                    <w:bottom w:val="none" w:sz="0" w:space="0" w:color="auto"/>
                    <w:right w:val="single" w:sz="6" w:space="0" w:color="B5B5B5"/>
                  </w:divBdr>
                  <w:divsChild>
                    <w:div w:id="106655468">
                      <w:marLeft w:val="75"/>
                      <w:marRight w:val="75"/>
                      <w:marTop w:val="0"/>
                      <w:marBottom w:val="0"/>
                      <w:divBdr>
                        <w:top w:val="none" w:sz="0" w:space="0" w:color="auto"/>
                        <w:left w:val="none" w:sz="0" w:space="0" w:color="auto"/>
                        <w:bottom w:val="none" w:sz="0" w:space="0" w:color="auto"/>
                        <w:right w:val="none" w:sz="0" w:space="0" w:color="auto"/>
                      </w:divBdr>
                      <w:divsChild>
                        <w:div w:id="270206683">
                          <w:marLeft w:val="0"/>
                          <w:marRight w:val="0"/>
                          <w:marTop w:val="0"/>
                          <w:marBottom w:val="0"/>
                          <w:divBdr>
                            <w:top w:val="dotted" w:sz="6" w:space="0" w:color="B5B5B5"/>
                            <w:left w:val="none" w:sz="0" w:space="0" w:color="auto"/>
                            <w:bottom w:val="none" w:sz="0" w:space="0" w:color="auto"/>
                            <w:right w:val="none" w:sz="0" w:space="0" w:color="auto"/>
                          </w:divBdr>
                          <w:divsChild>
                            <w:div w:id="1095706043">
                              <w:marLeft w:val="0"/>
                              <w:marRight w:val="0"/>
                              <w:marTop w:val="75"/>
                              <w:marBottom w:val="0"/>
                              <w:divBdr>
                                <w:top w:val="none" w:sz="0" w:space="0" w:color="auto"/>
                                <w:left w:val="none" w:sz="0" w:space="0" w:color="auto"/>
                                <w:bottom w:val="none" w:sz="0" w:space="0" w:color="auto"/>
                                <w:right w:val="none" w:sz="0" w:space="0" w:color="auto"/>
                              </w:divBdr>
                              <w:divsChild>
                                <w:div w:id="881594514">
                                  <w:marLeft w:val="0"/>
                                  <w:marRight w:val="0"/>
                                  <w:marTop w:val="0"/>
                                  <w:marBottom w:val="0"/>
                                  <w:divBdr>
                                    <w:top w:val="none" w:sz="0" w:space="0" w:color="auto"/>
                                    <w:left w:val="none" w:sz="0" w:space="0" w:color="auto"/>
                                    <w:bottom w:val="none" w:sz="0" w:space="0" w:color="auto"/>
                                    <w:right w:val="none" w:sz="0" w:space="0" w:color="auto"/>
                                  </w:divBdr>
                                  <w:divsChild>
                                    <w:div w:id="801113990">
                                      <w:marLeft w:val="0"/>
                                      <w:marRight w:val="0"/>
                                      <w:marTop w:val="0"/>
                                      <w:marBottom w:val="0"/>
                                      <w:divBdr>
                                        <w:top w:val="none" w:sz="0" w:space="0" w:color="auto"/>
                                        <w:left w:val="none" w:sz="0" w:space="0" w:color="auto"/>
                                        <w:bottom w:val="none" w:sz="0" w:space="0" w:color="auto"/>
                                        <w:right w:val="none" w:sz="0" w:space="0" w:color="auto"/>
                                      </w:divBdr>
                                      <w:divsChild>
                                        <w:div w:id="1862627791">
                                          <w:marLeft w:val="525"/>
                                          <w:marRight w:val="0"/>
                                          <w:marTop w:val="0"/>
                                          <w:marBottom w:val="0"/>
                                          <w:divBdr>
                                            <w:top w:val="none" w:sz="0" w:space="0" w:color="auto"/>
                                            <w:left w:val="none" w:sz="0" w:space="0" w:color="auto"/>
                                            <w:bottom w:val="none" w:sz="0" w:space="0" w:color="auto"/>
                                            <w:right w:val="none" w:sz="0" w:space="0" w:color="auto"/>
                                          </w:divBdr>
                                          <w:divsChild>
                                            <w:div w:id="1639993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51777838">
      <w:bodyDiv w:val="1"/>
      <w:marLeft w:val="0"/>
      <w:marRight w:val="0"/>
      <w:marTop w:val="0"/>
      <w:marBottom w:val="0"/>
      <w:divBdr>
        <w:top w:val="none" w:sz="0" w:space="0" w:color="auto"/>
        <w:left w:val="none" w:sz="0" w:space="0" w:color="auto"/>
        <w:bottom w:val="none" w:sz="0" w:space="0" w:color="auto"/>
        <w:right w:val="none" w:sz="0" w:space="0" w:color="auto"/>
      </w:divBdr>
    </w:div>
    <w:div w:id="1451826524">
      <w:bodyDiv w:val="1"/>
      <w:marLeft w:val="0"/>
      <w:marRight w:val="0"/>
      <w:marTop w:val="0"/>
      <w:marBottom w:val="0"/>
      <w:divBdr>
        <w:top w:val="none" w:sz="0" w:space="0" w:color="auto"/>
        <w:left w:val="none" w:sz="0" w:space="0" w:color="auto"/>
        <w:bottom w:val="none" w:sz="0" w:space="0" w:color="auto"/>
        <w:right w:val="none" w:sz="0" w:space="0" w:color="auto"/>
      </w:divBdr>
      <w:divsChild>
        <w:div w:id="1198784774">
          <w:marLeft w:val="0"/>
          <w:marRight w:val="0"/>
          <w:marTop w:val="0"/>
          <w:marBottom w:val="0"/>
          <w:divBdr>
            <w:top w:val="none" w:sz="0" w:space="0" w:color="auto"/>
            <w:left w:val="none" w:sz="0" w:space="0" w:color="auto"/>
            <w:bottom w:val="none" w:sz="0" w:space="0" w:color="auto"/>
            <w:right w:val="none" w:sz="0" w:space="0" w:color="auto"/>
          </w:divBdr>
          <w:divsChild>
            <w:div w:id="570774342">
              <w:marLeft w:val="0"/>
              <w:marRight w:val="0"/>
              <w:marTop w:val="411"/>
              <w:marBottom w:val="0"/>
              <w:divBdr>
                <w:top w:val="none" w:sz="0" w:space="0" w:color="auto"/>
                <w:left w:val="none" w:sz="0" w:space="0" w:color="auto"/>
                <w:bottom w:val="none" w:sz="0" w:space="0" w:color="auto"/>
                <w:right w:val="none" w:sz="0" w:space="0" w:color="auto"/>
              </w:divBdr>
              <w:divsChild>
                <w:div w:id="158622948">
                  <w:marLeft w:val="0"/>
                  <w:marRight w:val="0"/>
                  <w:marTop w:val="0"/>
                  <w:marBottom w:val="0"/>
                  <w:divBdr>
                    <w:top w:val="none" w:sz="0" w:space="0" w:color="auto"/>
                    <w:left w:val="none" w:sz="0" w:space="0" w:color="auto"/>
                    <w:bottom w:val="none" w:sz="0" w:space="0" w:color="auto"/>
                    <w:right w:val="none" w:sz="0" w:space="0" w:color="auto"/>
                  </w:divBdr>
                  <w:divsChild>
                    <w:div w:id="65614665">
                      <w:marLeft w:val="79"/>
                      <w:marRight w:val="79"/>
                      <w:marTop w:val="0"/>
                      <w:marBottom w:val="0"/>
                      <w:divBdr>
                        <w:top w:val="none" w:sz="0" w:space="0" w:color="auto"/>
                        <w:left w:val="none" w:sz="0" w:space="0" w:color="auto"/>
                        <w:bottom w:val="none" w:sz="0" w:space="0" w:color="auto"/>
                        <w:right w:val="none" w:sz="0" w:space="0" w:color="auto"/>
                      </w:divBdr>
                      <w:divsChild>
                        <w:div w:id="20129835">
                          <w:marLeft w:val="0"/>
                          <w:marRight w:val="0"/>
                          <w:marTop w:val="0"/>
                          <w:marBottom w:val="0"/>
                          <w:divBdr>
                            <w:top w:val="dashed" w:sz="6" w:space="0" w:color="DDDDDD"/>
                            <w:left w:val="none" w:sz="0" w:space="0" w:color="auto"/>
                            <w:bottom w:val="none" w:sz="0" w:space="0" w:color="auto"/>
                            <w:right w:val="none" w:sz="0" w:space="0" w:color="auto"/>
                          </w:divBdr>
                          <w:divsChild>
                            <w:div w:id="1931770091">
                              <w:marLeft w:val="0"/>
                              <w:marRight w:val="0"/>
                              <w:marTop w:val="0"/>
                              <w:marBottom w:val="0"/>
                              <w:divBdr>
                                <w:top w:val="none" w:sz="0" w:space="0" w:color="auto"/>
                                <w:left w:val="none" w:sz="0" w:space="0" w:color="auto"/>
                                <w:bottom w:val="none" w:sz="0" w:space="0" w:color="auto"/>
                                <w:right w:val="none" w:sz="0" w:space="0" w:color="auto"/>
                              </w:divBdr>
                              <w:divsChild>
                                <w:div w:id="1083647502">
                                  <w:marLeft w:val="0"/>
                                  <w:marRight w:val="0"/>
                                  <w:marTop w:val="79"/>
                                  <w:marBottom w:val="79"/>
                                  <w:divBdr>
                                    <w:top w:val="none" w:sz="0" w:space="0" w:color="auto"/>
                                    <w:left w:val="none" w:sz="0" w:space="0" w:color="auto"/>
                                    <w:bottom w:val="none" w:sz="0" w:space="0" w:color="auto"/>
                                    <w:right w:val="none" w:sz="0" w:space="0" w:color="auto"/>
                                  </w:divBdr>
                                  <w:divsChild>
                                    <w:div w:id="862551804">
                                      <w:marLeft w:val="0"/>
                                      <w:marRight w:val="0"/>
                                      <w:marTop w:val="0"/>
                                      <w:marBottom w:val="0"/>
                                      <w:divBdr>
                                        <w:top w:val="none" w:sz="0" w:space="0" w:color="auto"/>
                                        <w:left w:val="none" w:sz="0" w:space="0" w:color="auto"/>
                                        <w:bottom w:val="none" w:sz="0" w:space="0" w:color="auto"/>
                                        <w:right w:val="none" w:sz="0" w:space="0" w:color="auto"/>
                                      </w:divBdr>
                                      <w:divsChild>
                                        <w:div w:id="942151403">
                                          <w:marLeft w:val="554"/>
                                          <w:marRight w:val="0"/>
                                          <w:marTop w:val="0"/>
                                          <w:marBottom w:val="0"/>
                                          <w:divBdr>
                                            <w:top w:val="none" w:sz="0" w:space="0" w:color="auto"/>
                                            <w:left w:val="none" w:sz="0" w:space="0" w:color="auto"/>
                                            <w:bottom w:val="none" w:sz="0" w:space="0" w:color="auto"/>
                                            <w:right w:val="none" w:sz="0" w:space="0" w:color="auto"/>
                                          </w:divBdr>
                                          <w:divsChild>
                                            <w:div w:id="1515875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53402595">
      <w:bodyDiv w:val="1"/>
      <w:marLeft w:val="0"/>
      <w:marRight w:val="0"/>
      <w:marTop w:val="0"/>
      <w:marBottom w:val="0"/>
      <w:divBdr>
        <w:top w:val="none" w:sz="0" w:space="0" w:color="auto"/>
        <w:left w:val="none" w:sz="0" w:space="0" w:color="auto"/>
        <w:bottom w:val="none" w:sz="0" w:space="0" w:color="auto"/>
        <w:right w:val="none" w:sz="0" w:space="0" w:color="auto"/>
      </w:divBdr>
    </w:div>
    <w:div w:id="1453939355">
      <w:bodyDiv w:val="1"/>
      <w:marLeft w:val="0"/>
      <w:marRight w:val="0"/>
      <w:marTop w:val="0"/>
      <w:marBottom w:val="0"/>
      <w:divBdr>
        <w:top w:val="none" w:sz="0" w:space="0" w:color="auto"/>
        <w:left w:val="none" w:sz="0" w:space="0" w:color="auto"/>
        <w:bottom w:val="none" w:sz="0" w:space="0" w:color="auto"/>
        <w:right w:val="none" w:sz="0" w:space="0" w:color="auto"/>
      </w:divBdr>
      <w:divsChild>
        <w:div w:id="251939137">
          <w:marLeft w:val="446"/>
          <w:marRight w:val="0"/>
          <w:marTop w:val="0"/>
          <w:marBottom w:val="120"/>
          <w:divBdr>
            <w:top w:val="none" w:sz="0" w:space="0" w:color="auto"/>
            <w:left w:val="none" w:sz="0" w:space="0" w:color="auto"/>
            <w:bottom w:val="none" w:sz="0" w:space="0" w:color="auto"/>
            <w:right w:val="none" w:sz="0" w:space="0" w:color="auto"/>
          </w:divBdr>
        </w:div>
      </w:divsChild>
    </w:div>
    <w:div w:id="1454593250">
      <w:bodyDiv w:val="1"/>
      <w:marLeft w:val="0"/>
      <w:marRight w:val="0"/>
      <w:marTop w:val="0"/>
      <w:marBottom w:val="0"/>
      <w:divBdr>
        <w:top w:val="none" w:sz="0" w:space="0" w:color="auto"/>
        <w:left w:val="none" w:sz="0" w:space="0" w:color="auto"/>
        <w:bottom w:val="none" w:sz="0" w:space="0" w:color="auto"/>
        <w:right w:val="none" w:sz="0" w:space="0" w:color="auto"/>
      </w:divBdr>
      <w:divsChild>
        <w:div w:id="1143087619">
          <w:marLeft w:val="0"/>
          <w:marRight w:val="0"/>
          <w:marTop w:val="0"/>
          <w:marBottom w:val="0"/>
          <w:divBdr>
            <w:top w:val="none" w:sz="0" w:space="0" w:color="auto"/>
            <w:left w:val="none" w:sz="0" w:space="0" w:color="auto"/>
            <w:bottom w:val="none" w:sz="0" w:space="0" w:color="auto"/>
            <w:right w:val="none" w:sz="0" w:space="0" w:color="auto"/>
          </w:divBdr>
        </w:div>
      </w:divsChild>
    </w:div>
    <w:div w:id="1455562275">
      <w:bodyDiv w:val="1"/>
      <w:marLeft w:val="0"/>
      <w:marRight w:val="0"/>
      <w:marTop w:val="0"/>
      <w:marBottom w:val="0"/>
      <w:divBdr>
        <w:top w:val="none" w:sz="0" w:space="0" w:color="auto"/>
        <w:left w:val="none" w:sz="0" w:space="0" w:color="auto"/>
        <w:bottom w:val="none" w:sz="0" w:space="0" w:color="auto"/>
        <w:right w:val="none" w:sz="0" w:space="0" w:color="auto"/>
      </w:divBdr>
    </w:div>
    <w:div w:id="1463423764">
      <w:bodyDiv w:val="1"/>
      <w:marLeft w:val="0"/>
      <w:marRight w:val="0"/>
      <w:marTop w:val="0"/>
      <w:marBottom w:val="0"/>
      <w:divBdr>
        <w:top w:val="none" w:sz="0" w:space="0" w:color="auto"/>
        <w:left w:val="none" w:sz="0" w:space="0" w:color="auto"/>
        <w:bottom w:val="none" w:sz="0" w:space="0" w:color="auto"/>
        <w:right w:val="none" w:sz="0" w:space="0" w:color="auto"/>
      </w:divBdr>
    </w:div>
    <w:div w:id="1464033765">
      <w:bodyDiv w:val="1"/>
      <w:marLeft w:val="0"/>
      <w:marRight w:val="0"/>
      <w:marTop w:val="0"/>
      <w:marBottom w:val="0"/>
      <w:divBdr>
        <w:top w:val="none" w:sz="0" w:space="0" w:color="auto"/>
        <w:left w:val="none" w:sz="0" w:space="0" w:color="auto"/>
        <w:bottom w:val="none" w:sz="0" w:space="0" w:color="auto"/>
        <w:right w:val="none" w:sz="0" w:space="0" w:color="auto"/>
      </w:divBdr>
    </w:div>
    <w:div w:id="1471942805">
      <w:bodyDiv w:val="1"/>
      <w:marLeft w:val="0"/>
      <w:marRight w:val="0"/>
      <w:marTop w:val="0"/>
      <w:marBottom w:val="0"/>
      <w:divBdr>
        <w:top w:val="none" w:sz="0" w:space="0" w:color="auto"/>
        <w:left w:val="none" w:sz="0" w:space="0" w:color="auto"/>
        <w:bottom w:val="none" w:sz="0" w:space="0" w:color="auto"/>
        <w:right w:val="none" w:sz="0" w:space="0" w:color="auto"/>
      </w:divBdr>
      <w:divsChild>
        <w:div w:id="1802268065">
          <w:marLeft w:val="0"/>
          <w:marRight w:val="0"/>
          <w:marTop w:val="0"/>
          <w:marBottom w:val="0"/>
          <w:divBdr>
            <w:top w:val="none" w:sz="0" w:space="0" w:color="auto"/>
            <w:left w:val="none" w:sz="0" w:space="0" w:color="auto"/>
            <w:bottom w:val="none" w:sz="0" w:space="0" w:color="auto"/>
            <w:right w:val="none" w:sz="0" w:space="0" w:color="auto"/>
          </w:divBdr>
          <w:divsChild>
            <w:div w:id="744110160">
              <w:marLeft w:val="0"/>
              <w:marRight w:val="0"/>
              <w:marTop w:val="411"/>
              <w:marBottom w:val="0"/>
              <w:divBdr>
                <w:top w:val="none" w:sz="0" w:space="0" w:color="auto"/>
                <w:left w:val="none" w:sz="0" w:space="0" w:color="auto"/>
                <w:bottom w:val="none" w:sz="0" w:space="0" w:color="auto"/>
                <w:right w:val="none" w:sz="0" w:space="0" w:color="auto"/>
              </w:divBdr>
              <w:divsChild>
                <w:div w:id="319581009">
                  <w:marLeft w:val="0"/>
                  <w:marRight w:val="0"/>
                  <w:marTop w:val="0"/>
                  <w:marBottom w:val="0"/>
                  <w:divBdr>
                    <w:top w:val="none" w:sz="0" w:space="0" w:color="auto"/>
                    <w:left w:val="none" w:sz="0" w:space="0" w:color="auto"/>
                    <w:bottom w:val="none" w:sz="0" w:space="0" w:color="auto"/>
                    <w:right w:val="none" w:sz="0" w:space="0" w:color="auto"/>
                  </w:divBdr>
                  <w:divsChild>
                    <w:div w:id="393432700">
                      <w:marLeft w:val="79"/>
                      <w:marRight w:val="79"/>
                      <w:marTop w:val="0"/>
                      <w:marBottom w:val="0"/>
                      <w:divBdr>
                        <w:top w:val="none" w:sz="0" w:space="0" w:color="auto"/>
                        <w:left w:val="none" w:sz="0" w:space="0" w:color="auto"/>
                        <w:bottom w:val="none" w:sz="0" w:space="0" w:color="auto"/>
                        <w:right w:val="none" w:sz="0" w:space="0" w:color="auto"/>
                      </w:divBdr>
                      <w:divsChild>
                        <w:div w:id="76557803">
                          <w:marLeft w:val="0"/>
                          <w:marRight w:val="0"/>
                          <w:marTop w:val="0"/>
                          <w:marBottom w:val="0"/>
                          <w:divBdr>
                            <w:top w:val="dashed" w:sz="6" w:space="0" w:color="DDDDDD"/>
                            <w:left w:val="none" w:sz="0" w:space="0" w:color="auto"/>
                            <w:bottom w:val="none" w:sz="0" w:space="0" w:color="auto"/>
                            <w:right w:val="none" w:sz="0" w:space="0" w:color="auto"/>
                          </w:divBdr>
                          <w:divsChild>
                            <w:div w:id="32585231">
                              <w:marLeft w:val="0"/>
                              <w:marRight w:val="0"/>
                              <w:marTop w:val="0"/>
                              <w:marBottom w:val="0"/>
                              <w:divBdr>
                                <w:top w:val="none" w:sz="0" w:space="0" w:color="auto"/>
                                <w:left w:val="none" w:sz="0" w:space="0" w:color="auto"/>
                                <w:bottom w:val="none" w:sz="0" w:space="0" w:color="auto"/>
                                <w:right w:val="none" w:sz="0" w:space="0" w:color="auto"/>
                              </w:divBdr>
                              <w:divsChild>
                                <w:div w:id="664435577">
                                  <w:marLeft w:val="0"/>
                                  <w:marRight w:val="0"/>
                                  <w:marTop w:val="79"/>
                                  <w:marBottom w:val="79"/>
                                  <w:divBdr>
                                    <w:top w:val="none" w:sz="0" w:space="0" w:color="auto"/>
                                    <w:left w:val="none" w:sz="0" w:space="0" w:color="auto"/>
                                    <w:bottom w:val="none" w:sz="0" w:space="0" w:color="auto"/>
                                    <w:right w:val="none" w:sz="0" w:space="0" w:color="auto"/>
                                  </w:divBdr>
                                  <w:divsChild>
                                    <w:div w:id="218396201">
                                      <w:marLeft w:val="0"/>
                                      <w:marRight w:val="0"/>
                                      <w:marTop w:val="0"/>
                                      <w:marBottom w:val="0"/>
                                      <w:divBdr>
                                        <w:top w:val="none" w:sz="0" w:space="0" w:color="auto"/>
                                        <w:left w:val="none" w:sz="0" w:space="0" w:color="auto"/>
                                        <w:bottom w:val="none" w:sz="0" w:space="0" w:color="auto"/>
                                        <w:right w:val="none" w:sz="0" w:space="0" w:color="auto"/>
                                      </w:divBdr>
                                      <w:divsChild>
                                        <w:div w:id="1679578862">
                                          <w:marLeft w:val="554"/>
                                          <w:marRight w:val="0"/>
                                          <w:marTop w:val="0"/>
                                          <w:marBottom w:val="0"/>
                                          <w:divBdr>
                                            <w:top w:val="none" w:sz="0" w:space="0" w:color="auto"/>
                                            <w:left w:val="none" w:sz="0" w:space="0" w:color="auto"/>
                                            <w:bottom w:val="none" w:sz="0" w:space="0" w:color="auto"/>
                                            <w:right w:val="none" w:sz="0" w:space="0" w:color="auto"/>
                                          </w:divBdr>
                                          <w:divsChild>
                                            <w:div w:id="1783184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79152895">
      <w:bodyDiv w:val="1"/>
      <w:marLeft w:val="0"/>
      <w:marRight w:val="0"/>
      <w:marTop w:val="0"/>
      <w:marBottom w:val="0"/>
      <w:divBdr>
        <w:top w:val="none" w:sz="0" w:space="0" w:color="auto"/>
        <w:left w:val="none" w:sz="0" w:space="0" w:color="auto"/>
        <w:bottom w:val="none" w:sz="0" w:space="0" w:color="auto"/>
        <w:right w:val="none" w:sz="0" w:space="0" w:color="auto"/>
      </w:divBdr>
    </w:div>
    <w:div w:id="1480227820">
      <w:bodyDiv w:val="1"/>
      <w:marLeft w:val="0"/>
      <w:marRight w:val="0"/>
      <w:marTop w:val="0"/>
      <w:marBottom w:val="0"/>
      <w:divBdr>
        <w:top w:val="none" w:sz="0" w:space="0" w:color="auto"/>
        <w:left w:val="none" w:sz="0" w:space="0" w:color="auto"/>
        <w:bottom w:val="none" w:sz="0" w:space="0" w:color="auto"/>
        <w:right w:val="none" w:sz="0" w:space="0" w:color="auto"/>
      </w:divBdr>
    </w:div>
    <w:div w:id="1486044891">
      <w:bodyDiv w:val="1"/>
      <w:marLeft w:val="0"/>
      <w:marRight w:val="0"/>
      <w:marTop w:val="0"/>
      <w:marBottom w:val="0"/>
      <w:divBdr>
        <w:top w:val="none" w:sz="0" w:space="0" w:color="auto"/>
        <w:left w:val="none" w:sz="0" w:space="0" w:color="auto"/>
        <w:bottom w:val="none" w:sz="0" w:space="0" w:color="auto"/>
        <w:right w:val="none" w:sz="0" w:space="0" w:color="auto"/>
      </w:divBdr>
      <w:divsChild>
        <w:div w:id="1057701341">
          <w:marLeft w:val="0"/>
          <w:marRight w:val="0"/>
          <w:marTop w:val="0"/>
          <w:marBottom w:val="0"/>
          <w:divBdr>
            <w:top w:val="none" w:sz="0" w:space="0" w:color="auto"/>
            <w:left w:val="none" w:sz="0" w:space="0" w:color="auto"/>
            <w:bottom w:val="none" w:sz="0" w:space="0" w:color="auto"/>
            <w:right w:val="none" w:sz="0" w:space="0" w:color="auto"/>
          </w:divBdr>
        </w:div>
      </w:divsChild>
    </w:div>
    <w:div w:id="1494495034">
      <w:bodyDiv w:val="1"/>
      <w:marLeft w:val="0"/>
      <w:marRight w:val="0"/>
      <w:marTop w:val="0"/>
      <w:marBottom w:val="0"/>
      <w:divBdr>
        <w:top w:val="none" w:sz="0" w:space="0" w:color="auto"/>
        <w:left w:val="none" w:sz="0" w:space="0" w:color="auto"/>
        <w:bottom w:val="none" w:sz="0" w:space="0" w:color="auto"/>
        <w:right w:val="none" w:sz="0" w:space="0" w:color="auto"/>
      </w:divBdr>
      <w:divsChild>
        <w:div w:id="753017647">
          <w:marLeft w:val="0"/>
          <w:marRight w:val="0"/>
          <w:marTop w:val="0"/>
          <w:marBottom w:val="0"/>
          <w:divBdr>
            <w:top w:val="none" w:sz="0" w:space="0" w:color="auto"/>
            <w:left w:val="none" w:sz="0" w:space="0" w:color="auto"/>
            <w:bottom w:val="none" w:sz="0" w:space="0" w:color="auto"/>
            <w:right w:val="none" w:sz="0" w:space="0" w:color="auto"/>
          </w:divBdr>
          <w:divsChild>
            <w:div w:id="1015965074">
              <w:marLeft w:val="0"/>
              <w:marRight w:val="0"/>
              <w:marTop w:val="411"/>
              <w:marBottom w:val="0"/>
              <w:divBdr>
                <w:top w:val="none" w:sz="0" w:space="0" w:color="auto"/>
                <w:left w:val="none" w:sz="0" w:space="0" w:color="auto"/>
                <w:bottom w:val="none" w:sz="0" w:space="0" w:color="auto"/>
                <w:right w:val="none" w:sz="0" w:space="0" w:color="auto"/>
              </w:divBdr>
              <w:divsChild>
                <w:div w:id="1214657187">
                  <w:marLeft w:val="0"/>
                  <w:marRight w:val="0"/>
                  <w:marTop w:val="0"/>
                  <w:marBottom w:val="0"/>
                  <w:divBdr>
                    <w:top w:val="none" w:sz="0" w:space="0" w:color="auto"/>
                    <w:left w:val="none" w:sz="0" w:space="0" w:color="auto"/>
                    <w:bottom w:val="none" w:sz="0" w:space="0" w:color="auto"/>
                    <w:right w:val="none" w:sz="0" w:space="0" w:color="auto"/>
                  </w:divBdr>
                  <w:divsChild>
                    <w:div w:id="888034058">
                      <w:marLeft w:val="79"/>
                      <w:marRight w:val="79"/>
                      <w:marTop w:val="0"/>
                      <w:marBottom w:val="0"/>
                      <w:divBdr>
                        <w:top w:val="none" w:sz="0" w:space="0" w:color="auto"/>
                        <w:left w:val="none" w:sz="0" w:space="0" w:color="auto"/>
                        <w:bottom w:val="none" w:sz="0" w:space="0" w:color="auto"/>
                        <w:right w:val="none" w:sz="0" w:space="0" w:color="auto"/>
                      </w:divBdr>
                      <w:divsChild>
                        <w:div w:id="787240877">
                          <w:marLeft w:val="0"/>
                          <w:marRight w:val="0"/>
                          <w:marTop w:val="0"/>
                          <w:marBottom w:val="0"/>
                          <w:divBdr>
                            <w:top w:val="dashed" w:sz="6" w:space="0" w:color="DDDDDD"/>
                            <w:left w:val="none" w:sz="0" w:space="0" w:color="auto"/>
                            <w:bottom w:val="none" w:sz="0" w:space="0" w:color="auto"/>
                            <w:right w:val="none" w:sz="0" w:space="0" w:color="auto"/>
                          </w:divBdr>
                          <w:divsChild>
                            <w:div w:id="534736268">
                              <w:marLeft w:val="0"/>
                              <w:marRight w:val="0"/>
                              <w:marTop w:val="0"/>
                              <w:marBottom w:val="0"/>
                              <w:divBdr>
                                <w:top w:val="none" w:sz="0" w:space="0" w:color="auto"/>
                                <w:left w:val="none" w:sz="0" w:space="0" w:color="auto"/>
                                <w:bottom w:val="none" w:sz="0" w:space="0" w:color="auto"/>
                                <w:right w:val="none" w:sz="0" w:space="0" w:color="auto"/>
                              </w:divBdr>
                              <w:divsChild>
                                <w:div w:id="1045134956">
                                  <w:marLeft w:val="0"/>
                                  <w:marRight w:val="0"/>
                                  <w:marTop w:val="79"/>
                                  <w:marBottom w:val="79"/>
                                  <w:divBdr>
                                    <w:top w:val="none" w:sz="0" w:space="0" w:color="auto"/>
                                    <w:left w:val="none" w:sz="0" w:space="0" w:color="auto"/>
                                    <w:bottom w:val="none" w:sz="0" w:space="0" w:color="auto"/>
                                    <w:right w:val="none" w:sz="0" w:space="0" w:color="auto"/>
                                  </w:divBdr>
                                  <w:divsChild>
                                    <w:div w:id="1872649110">
                                      <w:marLeft w:val="0"/>
                                      <w:marRight w:val="0"/>
                                      <w:marTop w:val="0"/>
                                      <w:marBottom w:val="0"/>
                                      <w:divBdr>
                                        <w:top w:val="none" w:sz="0" w:space="0" w:color="auto"/>
                                        <w:left w:val="none" w:sz="0" w:space="0" w:color="auto"/>
                                        <w:bottom w:val="none" w:sz="0" w:space="0" w:color="auto"/>
                                        <w:right w:val="none" w:sz="0" w:space="0" w:color="auto"/>
                                      </w:divBdr>
                                      <w:divsChild>
                                        <w:div w:id="497506793">
                                          <w:marLeft w:val="554"/>
                                          <w:marRight w:val="0"/>
                                          <w:marTop w:val="0"/>
                                          <w:marBottom w:val="0"/>
                                          <w:divBdr>
                                            <w:top w:val="none" w:sz="0" w:space="0" w:color="auto"/>
                                            <w:left w:val="none" w:sz="0" w:space="0" w:color="auto"/>
                                            <w:bottom w:val="none" w:sz="0" w:space="0" w:color="auto"/>
                                            <w:right w:val="none" w:sz="0" w:space="0" w:color="auto"/>
                                          </w:divBdr>
                                          <w:divsChild>
                                            <w:div w:id="1677419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98378307">
      <w:bodyDiv w:val="1"/>
      <w:marLeft w:val="0"/>
      <w:marRight w:val="0"/>
      <w:marTop w:val="0"/>
      <w:marBottom w:val="0"/>
      <w:divBdr>
        <w:top w:val="none" w:sz="0" w:space="0" w:color="auto"/>
        <w:left w:val="none" w:sz="0" w:space="0" w:color="auto"/>
        <w:bottom w:val="none" w:sz="0" w:space="0" w:color="auto"/>
        <w:right w:val="none" w:sz="0" w:space="0" w:color="auto"/>
      </w:divBdr>
    </w:div>
    <w:div w:id="1501238143">
      <w:bodyDiv w:val="1"/>
      <w:marLeft w:val="0"/>
      <w:marRight w:val="0"/>
      <w:marTop w:val="0"/>
      <w:marBottom w:val="0"/>
      <w:divBdr>
        <w:top w:val="none" w:sz="0" w:space="0" w:color="auto"/>
        <w:left w:val="none" w:sz="0" w:space="0" w:color="auto"/>
        <w:bottom w:val="none" w:sz="0" w:space="0" w:color="auto"/>
        <w:right w:val="none" w:sz="0" w:space="0" w:color="auto"/>
      </w:divBdr>
    </w:div>
    <w:div w:id="1501432106">
      <w:bodyDiv w:val="1"/>
      <w:marLeft w:val="0"/>
      <w:marRight w:val="0"/>
      <w:marTop w:val="0"/>
      <w:marBottom w:val="0"/>
      <w:divBdr>
        <w:top w:val="none" w:sz="0" w:space="0" w:color="auto"/>
        <w:left w:val="none" w:sz="0" w:space="0" w:color="auto"/>
        <w:bottom w:val="none" w:sz="0" w:space="0" w:color="auto"/>
        <w:right w:val="none" w:sz="0" w:space="0" w:color="auto"/>
      </w:divBdr>
    </w:div>
    <w:div w:id="1501777133">
      <w:bodyDiv w:val="1"/>
      <w:marLeft w:val="0"/>
      <w:marRight w:val="0"/>
      <w:marTop w:val="0"/>
      <w:marBottom w:val="0"/>
      <w:divBdr>
        <w:top w:val="none" w:sz="0" w:space="0" w:color="auto"/>
        <w:left w:val="none" w:sz="0" w:space="0" w:color="auto"/>
        <w:bottom w:val="none" w:sz="0" w:space="0" w:color="auto"/>
        <w:right w:val="none" w:sz="0" w:space="0" w:color="auto"/>
      </w:divBdr>
    </w:div>
    <w:div w:id="1506558358">
      <w:bodyDiv w:val="1"/>
      <w:marLeft w:val="0"/>
      <w:marRight w:val="0"/>
      <w:marTop w:val="0"/>
      <w:marBottom w:val="0"/>
      <w:divBdr>
        <w:top w:val="none" w:sz="0" w:space="0" w:color="auto"/>
        <w:left w:val="none" w:sz="0" w:space="0" w:color="auto"/>
        <w:bottom w:val="none" w:sz="0" w:space="0" w:color="auto"/>
        <w:right w:val="none" w:sz="0" w:space="0" w:color="auto"/>
      </w:divBdr>
    </w:div>
    <w:div w:id="1509248337">
      <w:bodyDiv w:val="1"/>
      <w:marLeft w:val="0"/>
      <w:marRight w:val="0"/>
      <w:marTop w:val="0"/>
      <w:marBottom w:val="0"/>
      <w:divBdr>
        <w:top w:val="none" w:sz="0" w:space="0" w:color="auto"/>
        <w:left w:val="none" w:sz="0" w:space="0" w:color="auto"/>
        <w:bottom w:val="none" w:sz="0" w:space="0" w:color="auto"/>
        <w:right w:val="none" w:sz="0" w:space="0" w:color="auto"/>
      </w:divBdr>
    </w:div>
    <w:div w:id="1511292768">
      <w:bodyDiv w:val="1"/>
      <w:marLeft w:val="0"/>
      <w:marRight w:val="0"/>
      <w:marTop w:val="0"/>
      <w:marBottom w:val="0"/>
      <w:divBdr>
        <w:top w:val="none" w:sz="0" w:space="0" w:color="auto"/>
        <w:left w:val="none" w:sz="0" w:space="0" w:color="auto"/>
        <w:bottom w:val="none" w:sz="0" w:space="0" w:color="auto"/>
        <w:right w:val="none" w:sz="0" w:space="0" w:color="auto"/>
      </w:divBdr>
    </w:div>
    <w:div w:id="1513493785">
      <w:bodyDiv w:val="1"/>
      <w:marLeft w:val="0"/>
      <w:marRight w:val="0"/>
      <w:marTop w:val="0"/>
      <w:marBottom w:val="0"/>
      <w:divBdr>
        <w:top w:val="none" w:sz="0" w:space="0" w:color="auto"/>
        <w:left w:val="none" w:sz="0" w:space="0" w:color="auto"/>
        <w:bottom w:val="none" w:sz="0" w:space="0" w:color="auto"/>
        <w:right w:val="none" w:sz="0" w:space="0" w:color="auto"/>
      </w:divBdr>
    </w:div>
    <w:div w:id="1516069551">
      <w:bodyDiv w:val="1"/>
      <w:marLeft w:val="0"/>
      <w:marRight w:val="0"/>
      <w:marTop w:val="0"/>
      <w:marBottom w:val="0"/>
      <w:divBdr>
        <w:top w:val="none" w:sz="0" w:space="0" w:color="auto"/>
        <w:left w:val="none" w:sz="0" w:space="0" w:color="auto"/>
        <w:bottom w:val="none" w:sz="0" w:space="0" w:color="auto"/>
        <w:right w:val="none" w:sz="0" w:space="0" w:color="auto"/>
      </w:divBdr>
    </w:div>
    <w:div w:id="1519391825">
      <w:bodyDiv w:val="1"/>
      <w:marLeft w:val="0"/>
      <w:marRight w:val="0"/>
      <w:marTop w:val="0"/>
      <w:marBottom w:val="0"/>
      <w:divBdr>
        <w:top w:val="none" w:sz="0" w:space="0" w:color="auto"/>
        <w:left w:val="none" w:sz="0" w:space="0" w:color="auto"/>
        <w:bottom w:val="none" w:sz="0" w:space="0" w:color="auto"/>
        <w:right w:val="none" w:sz="0" w:space="0" w:color="auto"/>
      </w:divBdr>
    </w:div>
    <w:div w:id="1519544502">
      <w:bodyDiv w:val="1"/>
      <w:marLeft w:val="0"/>
      <w:marRight w:val="0"/>
      <w:marTop w:val="0"/>
      <w:marBottom w:val="0"/>
      <w:divBdr>
        <w:top w:val="none" w:sz="0" w:space="0" w:color="auto"/>
        <w:left w:val="none" w:sz="0" w:space="0" w:color="auto"/>
        <w:bottom w:val="none" w:sz="0" w:space="0" w:color="auto"/>
        <w:right w:val="none" w:sz="0" w:space="0" w:color="auto"/>
      </w:divBdr>
    </w:div>
    <w:div w:id="1523515538">
      <w:bodyDiv w:val="1"/>
      <w:marLeft w:val="0"/>
      <w:marRight w:val="0"/>
      <w:marTop w:val="0"/>
      <w:marBottom w:val="0"/>
      <w:divBdr>
        <w:top w:val="none" w:sz="0" w:space="0" w:color="auto"/>
        <w:left w:val="none" w:sz="0" w:space="0" w:color="auto"/>
        <w:bottom w:val="none" w:sz="0" w:space="0" w:color="auto"/>
        <w:right w:val="none" w:sz="0" w:space="0" w:color="auto"/>
      </w:divBdr>
    </w:div>
    <w:div w:id="1524241548">
      <w:bodyDiv w:val="1"/>
      <w:marLeft w:val="0"/>
      <w:marRight w:val="0"/>
      <w:marTop w:val="0"/>
      <w:marBottom w:val="0"/>
      <w:divBdr>
        <w:top w:val="none" w:sz="0" w:space="0" w:color="auto"/>
        <w:left w:val="none" w:sz="0" w:space="0" w:color="auto"/>
        <w:bottom w:val="none" w:sz="0" w:space="0" w:color="auto"/>
        <w:right w:val="none" w:sz="0" w:space="0" w:color="auto"/>
      </w:divBdr>
    </w:div>
    <w:div w:id="1533496508">
      <w:bodyDiv w:val="1"/>
      <w:marLeft w:val="0"/>
      <w:marRight w:val="0"/>
      <w:marTop w:val="0"/>
      <w:marBottom w:val="0"/>
      <w:divBdr>
        <w:top w:val="none" w:sz="0" w:space="0" w:color="auto"/>
        <w:left w:val="none" w:sz="0" w:space="0" w:color="auto"/>
        <w:bottom w:val="none" w:sz="0" w:space="0" w:color="auto"/>
        <w:right w:val="none" w:sz="0" w:space="0" w:color="auto"/>
      </w:divBdr>
    </w:div>
    <w:div w:id="1534802073">
      <w:bodyDiv w:val="1"/>
      <w:marLeft w:val="0"/>
      <w:marRight w:val="0"/>
      <w:marTop w:val="0"/>
      <w:marBottom w:val="0"/>
      <w:divBdr>
        <w:top w:val="none" w:sz="0" w:space="0" w:color="auto"/>
        <w:left w:val="none" w:sz="0" w:space="0" w:color="auto"/>
        <w:bottom w:val="none" w:sz="0" w:space="0" w:color="auto"/>
        <w:right w:val="none" w:sz="0" w:space="0" w:color="auto"/>
      </w:divBdr>
    </w:div>
    <w:div w:id="1536771230">
      <w:bodyDiv w:val="1"/>
      <w:marLeft w:val="0"/>
      <w:marRight w:val="0"/>
      <w:marTop w:val="0"/>
      <w:marBottom w:val="0"/>
      <w:divBdr>
        <w:top w:val="none" w:sz="0" w:space="0" w:color="auto"/>
        <w:left w:val="none" w:sz="0" w:space="0" w:color="auto"/>
        <w:bottom w:val="none" w:sz="0" w:space="0" w:color="auto"/>
        <w:right w:val="none" w:sz="0" w:space="0" w:color="auto"/>
      </w:divBdr>
    </w:div>
    <w:div w:id="1540315218">
      <w:bodyDiv w:val="1"/>
      <w:marLeft w:val="0"/>
      <w:marRight w:val="0"/>
      <w:marTop w:val="0"/>
      <w:marBottom w:val="0"/>
      <w:divBdr>
        <w:top w:val="none" w:sz="0" w:space="0" w:color="auto"/>
        <w:left w:val="none" w:sz="0" w:space="0" w:color="auto"/>
        <w:bottom w:val="none" w:sz="0" w:space="0" w:color="auto"/>
        <w:right w:val="none" w:sz="0" w:space="0" w:color="auto"/>
      </w:divBdr>
    </w:div>
    <w:div w:id="1541358217">
      <w:bodyDiv w:val="1"/>
      <w:marLeft w:val="0"/>
      <w:marRight w:val="0"/>
      <w:marTop w:val="0"/>
      <w:marBottom w:val="0"/>
      <w:divBdr>
        <w:top w:val="none" w:sz="0" w:space="0" w:color="auto"/>
        <w:left w:val="none" w:sz="0" w:space="0" w:color="auto"/>
        <w:bottom w:val="none" w:sz="0" w:space="0" w:color="auto"/>
        <w:right w:val="none" w:sz="0" w:space="0" w:color="auto"/>
      </w:divBdr>
    </w:div>
    <w:div w:id="1542592352">
      <w:bodyDiv w:val="1"/>
      <w:marLeft w:val="0"/>
      <w:marRight w:val="0"/>
      <w:marTop w:val="0"/>
      <w:marBottom w:val="0"/>
      <w:divBdr>
        <w:top w:val="none" w:sz="0" w:space="0" w:color="auto"/>
        <w:left w:val="none" w:sz="0" w:space="0" w:color="auto"/>
        <w:bottom w:val="none" w:sz="0" w:space="0" w:color="auto"/>
        <w:right w:val="none" w:sz="0" w:space="0" w:color="auto"/>
      </w:divBdr>
      <w:divsChild>
        <w:div w:id="685444896">
          <w:marLeft w:val="274"/>
          <w:marRight w:val="0"/>
          <w:marTop w:val="0"/>
          <w:marBottom w:val="0"/>
          <w:divBdr>
            <w:top w:val="none" w:sz="0" w:space="0" w:color="auto"/>
            <w:left w:val="none" w:sz="0" w:space="0" w:color="auto"/>
            <w:bottom w:val="none" w:sz="0" w:space="0" w:color="auto"/>
            <w:right w:val="none" w:sz="0" w:space="0" w:color="auto"/>
          </w:divBdr>
        </w:div>
      </w:divsChild>
    </w:div>
    <w:div w:id="1544099057">
      <w:bodyDiv w:val="1"/>
      <w:marLeft w:val="0"/>
      <w:marRight w:val="0"/>
      <w:marTop w:val="0"/>
      <w:marBottom w:val="0"/>
      <w:divBdr>
        <w:top w:val="none" w:sz="0" w:space="0" w:color="auto"/>
        <w:left w:val="none" w:sz="0" w:space="0" w:color="auto"/>
        <w:bottom w:val="none" w:sz="0" w:space="0" w:color="auto"/>
        <w:right w:val="none" w:sz="0" w:space="0" w:color="auto"/>
      </w:divBdr>
    </w:div>
    <w:div w:id="1544562165">
      <w:bodyDiv w:val="1"/>
      <w:marLeft w:val="0"/>
      <w:marRight w:val="0"/>
      <w:marTop w:val="0"/>
      <w:marBottom w:val="0"/>
      <w:divBdr>
        <w:top w:val="none" w:sz="0" w:space="0" w:color="auto"/>
        <w:left w:val="none" w:sz="0" w:space="0" w:color="auto"/>
        <w:bottom w:val="none" w:sz="0" w:space="0" w:color="auto"/>
        <w:right w:val="none" w:sz="0" w:space="0" w:color="auto"/>
      </w:divBdr>
    </w:div>
    <w:div w:id="1544634606">
      <w:bodyDiv w:val="1"/>
      <w:marLeft w:val="0"/>
      <w:marRight w:val="0"/>
      <w:marTop w:val="0"/>
      <w:marBottom w:val="0"/>
      <w:divBdr>
        <w:top w:val="none" w:sz="0" w:space="0" w:color="auto"/>
        <w:left w:val="none" w:sz="0" w:space="0" w:color="auto"/>
        <w:bottom w:val="none" w:sz="0" w:space="0" w:color="auto"/>
        <w:right w:val="none" w:sz="0" w:space="0" w:color="auto"/>
      </w:divBdr>
      <w:divsChild>
        <w:div w:id="840584436">
          <w:marLeft w:val="0"/>
          <w:marRight w:val="0"/>
          <w:marTop w:val="0"/>
          <w:marBottom w:val="0"/>
          <w:divBdr>
            <w:top w:val="none" w:sz="0" w:space="0" w:color="auto"/>
            <w:left w:val="none" w:sz="0" w:space="0" w:color="auto"/>
            <w:bottom w:val="none" w:sz="0" w:space="0" w:color="auto"/>
            <w:right w:val="none" w:sz="0" w:space="0" w:color="auto"/>
          </w:divBdr>
          <w:divsChild>
            <w:div w:id="1665433510">
              <w:marLeft w:val="0"/>
              <w:marRight w:val="0"/>
              <w:marTop w:val="15"/>
              <w:marBottom w:val="0"/>
              <w:divBdr>
                <w:top w:val="none" w:sz="0" w:space="0" w:color="auto"/>
                <w:left w:val="none" w:sz="0" w:space="0" w:color="auto"/>
                <w:bottom w:val="none" w:sz="0" w:space="0" w:color="auto"/>
                <w:right w:val="none" w:sz="0" w:space="0" w:color="auto"/>
              </w:divBdr>
              <w:divsChild>
                <w:div w:id="1969816125">
                  <w:marLeft w:val="0"/>
                  <w:marRight w:val="0"/>
                  <w:marTop w:val="0"/>
                  <w:marBottom w:val="0"/>
                  <w:divBdr>
                    <w:top w:val="none" w:sz="0" w:space="0" w:color="auto"/>
                    <w:left w:val="single" w:sz="6" w:space="0" w:color="B5B5B5"/>
                    <w:bottom w:val="none" w:sz="0" w:space="0" w:color="auto"/>
                    <w:right w:val="single" w:sz="6" w:space="0" w:color="B5B5B5"/>
                  </w:divBdr>
                  <w:divsChild>
                    <w:div w:id="1758281298">
                      <w:marLeft w:val="75"/>
                      <w:marRight w:val="75"/>
                      <w:marTop w:val="0"/>
                      <w:marBottom w:val="0"/>
                      <w:divBdr>
                        <w:top w:val="none" w:sz="0" w:space="0" w:color="auto"/>
                        <w:left w:val="none" w:sz="0" w:space="0" w:color="auto"/>
                        <w:bottom w:val="none" w:sz="0" w:space="0" w:color="auto"/>
                        <w:right w:val="none" w:sz="0" w:space="0" w:color="auto"/>
                      </w:divBdr>
                      <w:divsChild>
                        <w:div w:id="1763574834">
                          <w:marLeft w:val="0"/>
                          <w:marRight w:val="0"/>
                          <w:marTop w:val="0"/>
                          <w:marBottom w:val="0"/>
                          <w:divBdr>
                            <w:top w:val="dotted" w:sz="6" w:space="0" w:color="B5B5B5"/>
                            <w:left w:val="none" w:sz="0" w:space="0" w:color="auto"/>
                            <w:bottom w:val="none" w:sz="0" w:space="0" w:color="auto"/>
                            <w:right w:val="none" w:sz="0" w:space="0" w:color="auto"/>
                          </w:divBdr>
                          <w:divsChild>
                            <w:div w:id="1024942870">
                              <w:marLeft w:val="0"/>
                              <w:marRight w:val="0"/>
                              <w:marTop w:val="75"/>
                              <w:marBottom w:val="0"/>
                              <w:divBdr>
                                <w:top w:val="none" w:sz="0" w:space="0" w:color="auto"/>
                                <w:left w:val="none" w:sz="0" w:space="0" w:color="auto"/>
                                <w:bottom w:val="none" w:sz="0" w:space="0" w:color="auto"/>
                                <w:right w:val="none" w:sz="0" w:space="0" w:color="auto"/>
                              </w:divBdr>
                              <w:divsChild>
                                <w:div w:id="1484350783">
                                  <w:marLeft w:val="0"/>
                                  <w:marRight w:val="0"/>
                                  <w:marTop w:val="0"/>
                                  <w:marBottom w:val="0"/>
                                  <w:divBdr>
                                    <w:top w:val="none" w:sz="0" w:space="0" w:color="auto"/>
                                    <w:left w:val="none" w:sz="0" w:space="0" w:color="auto"/>
                                    <w:bottom w:val="none" w:sz="0" w:space="0" w:color="auto"/>
                                    <w:right w:val="none" w:sz="0" w:space="0" w:color="auto"/>
                                  </w:divBdr>
                                  <w:divsChild>
                                    <w:div w:id="216742752">
                                      <w:marLeft w:val="0"/>
                                      <w:marRight w:val="0"/>
                                      <w:marTop w:val="0"/>
                                      <w:marBottom w:val="0"/>
                                      <w:divBdr>
                                        <w:top w:val="none" w:sz="0" w:space="0" w:color="auto"/>
                                        <w:left w:val="none" w:sz="0" w:space="0" w:color="auto"/>
                                        <w:bottom w:val="none" w:sz="0" w:space="0" w:color="auto"/>
                                        <w:right w:val="none" w:sz="0" w:space="0" w:color="auto"/>
                                      </w:divBdr>
                                      <w:divsChild>
                                        <w:div w:id="1068183882">
                                          <w:marLeft w:val="525"/>
                                          <w:marRight w:val="0"/>
                                          <w:marTop w:val="0"/>
                                          <w:marBottom w:val="0"/>
                                          <w:divBdr>
                                            <w:top w:val="none" w:sz="0" w:space="0" w:color="auto"/>
                                            <w:left w:val="none" w:sz="0" w:space="0" w:color="auto"/>
                                            <w:bottom w:val="none" w:sz="0" w:space="0" w:color="auto"/>
                                            <w:right w:val="none" w:sz="0" w:space="0" w:color="auto"/>
                                          </w:divBdr>
                                          <w:divsChild>
                                            <w:div w:id="69888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47839444">
      <w:bodyDiv w:val="1"/>
      <w:marLeft w:val="0"/>
      <w:marRight w:val="0"/>
      <w:marTop w:val="0"/>
      <w:marBottom w:val="0"/>
      <w:divBdr>
        <w:top w:val="none" w:sz="0" w:space="0" w:color="auto"/>
        <w:left w:val="none" w:sz="0" w:space="0" w:color="auto"/>
        <w:bottom w:val="none" w:sz="0" w:space="0" w:color="auto"/>
        <w:right w:val="none" w:sz="0" w:space="0" w:color="auto"/>
      </w:divBdr>
    </w:div>
    <w:div w:id="1560020945">
      <w:bodyDiv w:val="1"/>
      <w:marLeft w:val="0"/>
      <w:marRight w:val="0"/>
      <w:marTop w:val="0"/>
      <w:marBottom w:val="0"/>
      <w:divBdr>
        <w:top w:val="none" w:sz="0" w:space="0" w:color="auto"/>
        <w:left w:val="none" w:sz="0" w:space="0" w:color="auto"/>
        <w:bottom w:val="none" w:sz="0" w:space="0" w:color="auto"/>
        <w:right w:val="none" w:sz="0" w:space="0" w:color="auto"/>
      </w:divBdr>
    </w:div>
    <w:div w:id="1561554741">
      <w:bodyDiv w:val="1"/>
      <w:marLeft w:val="0"/>
      <w:marRight w:val="0"/>
      <w:marTop w:val="0"/>
      <w:marBottom w:val="0"/>
      <w:divBdr>
        <w:top w:val="none" w:sz="0" w:space="0" w:color="auto"/>
        <w:left w:val="none" w:sz="0" w:space="0" w:color="auto"/>
        <w:bottom w:val="none" w:sz="0" w:space="0" w:color="auto"/>
        <w:right w:val="none" w:sz="0" w:space="0" w:color="auto"/>
      </w:divBdr>
    </w:div>
    <w:div w:id="1562788066">
      <w:bodyDiv w:val="1"/>
      <w:marLeft w:val="0"/>
      <w:marRight w:val="0"/>
      <w:marTop w:val="0"/>
      <w:marBottom w:val="0"/>
      <w:divBdr>
        <w:top w:val="none" w:sz="0" w:space="0" w:color="auto"/>
        <w:left w:val="none" w:sz="0" w:space="0" w:color="auto"/>
        <w:bottom w:val="none" w:sz="0" w:space="0" w:color="auto"/>
        <w:right w:val="none" w:sz="0" w:space="0" w:color="auto"/>
      </w:divBdr>
    </w:div>
    <w:div w:id="1565410751">
      <w:bodyDiv w:val="1"/>
      <w:marLeft w:val="0"/>
      <w:marRight w:val="0"/>
      <w:marTop w:val="0"/>
      <w:marBottom w:val="0"/>
      <w:divBdr>
        <w:top w:val="none" w:sz="0" w:space="0" w:color="auto"/>
        <w:left w:val="none" w:sz="0" w:space="0" w:color="auto"/>
        <w:bottom w:val="none" w:sz="0" w:space="0" w:color="auto"/>
        <w:right w:val="none" w:sz="0" w:space="0" w:color="auto"/>
      </w:divBdr>
    </w:div>
    <w:div w:id="1566723020">
      <w:bodyDiv w:val="1"/>
      <w:marLeft w:val="0"/>
      <w:marRight w:val="0"/>
      <w:marTop w:val="0"/>
      <w:marBottom w:val="0"/>
      <w:divBdr>
        <w:top w:val="none" w:sz="0" w:space="0" w:color="auto"/>
        <w:left w:val="none" w:sz="0" w:space="0" w:color="auto"/>
        <w:bottom w:val="none" w:sz="0" w:space="0" w:color="auto"/>
        <w:right w:val="none" w:sz="0" w:space="0" w:color="auto"/>
      </w:divBdr>
    </w:div>
    <w:div w:id="1570580732">
      <w:bodyDiv w:val="1"/>
      <w:marLeft w:val="0"/>
      <w:marRight w:val="0"/>
      <w:marTop w:val="0"/>
      <w:marBottom w:val="0"/>
      <w:divBdr>
        <w:top w:val="none" w:sz="0" w:space="0" w:color="auto"/>
        <w:left w:val="none" w:sz="0" w:space="0" w:color="auto"/>
        <w:bottom w:val="none" w:sz="0" w:space="0" w:color="auto"/>
        <w:right w:val="none" w:sz="0" w:space="0" w:color="auto"/>
      </w:divBdr>
    </w:div>
    <w:div w:id="1572689219">
      <w:bodyDiv w:val="1"/>
      <w:marLeft w:val="0"/>
      <w:marRight w:val="0"/>
      <w:marTop w:val="0"/>
      <w:marBottom w:val="0"/>
      <w:divBdr>
        <w:top w:val="none" w:sz="0" w:space="0" w:color="auto"/>
        <w:left w:val="none" w:sz="0" w:space="0" w:color="auto"/>
        <w:bottom w:val="none" w:sz="0" w:space="0" w:color="auto"/>
        <w:right w:val="none" w:sz="0" w:space="0" w:color="auto"/>
      </w:divBdr>
    </w:div>
    <w:div w:id="1575814858">
      <w:bodyDiv w:val="1"/>
      <w:marLeft w:val="0"/>
      <w:marRight w:val="0"/>
      <w:marTop w:val="0"/>
      <w:marBottom w:val="0"/>
      <w:divBdr>
        <w:top w:val="none" w:sz="0" w:space="0" w:color="auto"/>
        <w:left w:val="none" w:sz="0" w:space="0" w:color="auto"/>
        <w:bottom w:val="none" w:sz="0" w:space="0" w:color="auto"/>
        <w:right w:val="none" w:sz="0" w:space="0" w:color="auto"/>
      </w:divBdr>
    </w:div>
    <w:div w:id="1576822665">
      <w:bodyDiv w:val="1"/>
      <w:marLeft w:val="0"/>
      <w:marRight w:val="0"/>
      <w:marTop w:val="0"/>
      <w:marBottom w:val="0"/>
      <w:divBdr>
        <w:top w:val="none" w:sz="0" w:space="0" w:color="auto"/>
        <w:left w:val="none" w:sz="0" w:space="0" w:color="auto"/>
        <w:bottom w:val="none" w:sz="0" w:space="0" w:color="auto"/>
        <w:right w:val="none" w:sz="0" w:space="0" w:color="auto"/>
      </w:divBdr>
      <w:divsChild>
        <w:div w:id="1049375259">
          <w:marLeft w:val="0"/>
          <w:marRight w:val="0"/>
          <w:marTop w:val="0"/>
          <w:marBottom w:val="0"/>
          <w:divBdr>
            <w:top w:val="none" w:sz="0" w:space="0" w:color="auto"/>
            <w:left w:val="none" w:sz="0" w:space="0" w:color="auto"/>
            <w:bottom w:val="none" w:sz="0" w:space="0" w:color="auto"/>
            <w:right w:val="none" w:sz="0" w:space="0" w:color="auto"/>
          </w:divBdr>
        </w:div>
      </w:divsChild>
    </w:div>
    <w:div w:id="1577012864">
      <w:bodyDiv w:val="1"/>
      <w:marLeft w:val="0"/>
      <w:marRight w:val="0"/>
      <w:marTop w:val="0"/>
      <w:marBottom w:val="0"/>
      <w:divBdr>
        <w:top w:val="none" w:sz="0" w:space="0" w:color="auto"/>
        <w:left w:val="none" w:sz="0" w:space="0" w:color="auto"/>
        <w:bottom w:val="none" w:sz="0" w:space="0" w:color="auto"/>
        <w:right w:val="none" w:sz="0" w:space="0" w:color="auto"/>
      </w:divBdr>
    </w:div>
    <w:div w:id="1577782274">
      <w:bodyDiv w:val="1"/>
      <w:marLeft w:val="0"/>
      <w:marRight w:val="0"/>
      <w:marTop w:val="0"/>
      <w:marBottom w:val="0"/>
      <w:divBdr>
        <w:top w:val="none" w:sz="0" w:space="0" w:color="auto"/>
        <w:left w:val="none" w:sz="0" w:space="0" w:color="auto"/>
        <w:bottom w:val="none" w:sz="0" w:space="0" w:color="auto"/>
        <w:right w:val="none" w:sz="0" w:space="0" w:color="auto"/>
      </w:divBdr>
    </w:div>
    <w:div w:id="1582061178">
      <w:bodyDiv w:val="1"/>
      <w:marLeft w:val="0"/>
      <w:marRight w:val="0"/>
      <w:marTop w:val="0"/>
      <w:marBottom w:val="0"/>
      <w:divBdr>
        <w:top w:val="none" w:sz="0" w:space="0" w:color="auto"/>
        <w:left w:val="none" w:sz="0" w:space="0" w:color="auto"/>
        <w:bottom w:val="none" w:sz="0" w:space="0" w:color="auto"/>
        <w:right w:val="none" w:sz="0" w:space="0" w:color="auto"/>
      </w:divBdr>
    </w:div>
    <w:div w:id="1585992039">
      <w:bodyDiv w:val="1"/>
      <w:marLeft w:val="0"/>
      <w:marRight w:val="0"/>
      <w:marTop w:val="0"/>
      <w:marBottom w:val="0"/>
      <w:divBdr>
        <w:top w:val="none" w:sz="0" w:space="0" w:color="auto"/>
        <w:left w:val="none" w:sz="0" w:space="0" w:color="auto"/>
        <w:bottom w:val="none" w:sz="0" w:space="0" w:color="auto"/>
        <w:right w:val="none" w:sz="0" w:space="0" w:color="auto"/>
      </w:divBdr>
    </w:div>
    <w:div w:id="1586720616">
      <w:bodyDiv w:val="1"/>
      <w:marLeft w:val="0"/>
      <w:marRight w:val="0"/>
      <w:marTop w:val="0"/>
      <w:marBottom w:val="0"/>
      <w:divBdr>
        <w:top w:val="none" w:sz="0" w:space="0" w:color="auto"/>
        <w:left w:val="none" w:sz="0" w:space="0" w:color="auto"/>
        <w:bottom w:val="none" w:sz="0" w:space="0" w:color="auto"/>
        <w:right w:val="none" w:sz="0" w:space="0" w:color="auto"/>
      </w:divBdr>
    </w:div>
    <w:div w:id="1598712578">
      <w:bodyDiv w:val="1"/>
      <w:marLeft w:val="0"/>
      <w:marRight w:val="0"/>
      <w:marTop w:val="0"/>
      <w:marBottom w:val="0"/>
      <w:divBdr>
        <w:top w:val="none" w:sz="0" w:space="0" w:color="auto"/>
        <w:left w:val="none" w:sz="0" w:space="0" w:color="auto"/>
        <w:bottom w:val="none" w:sz="0" w:space="0" w:color="auto"/>
        <w:right w:val="none" w:sz="0" w:space="0" w:color="auto"/>
      </w:divBdr>
    </w:div>
    <w:div w:id="1598978297">
      <w:bodyDiv w:val="1"/>
      <w:marLeft w:val="0"/>
      <w:marRight w:val="0"/>
      <w:marTop w:val="0"/>
      <w:marBottom w:val="0"/>
      <w:divBdr>
        <w:top w:val="none" w:sz="0" w:space="0" w:color="auto"/>
        <w:left w:val="none" w:sz="0" w:space="0" w:color="auto"/>
        <w:bottom w:val="none" w:sz="0" w:space="0" w:color="auto"/>
        <w:right w:val="none" w:sz="0" w:space="0" w:color="auto"/>
      </w:divBdr>
    </w:div>
    <w:div w:id="1600020780">
      <w:bodyDiv w:val="1"/>
      <w:marLeft w:val="0"/>
      <w:marRight w:val="0"/>
      <w:marTop w:val="0"/>
      <w:marBottom w:val="0"/>
      <w:divBdr>
        <w:top w:val="none" w:sz="0" w:space="0" w:color="auto"/>
        <w:left w:val="none" w:sz="0" w:space="0" w:color="auto"/>
        <w:bottom w:val="none" w:sz="0" w:space="0" w:color="auto"/>
        <w:right w:val="none" w:sz="0" w:space="0" w:color="auto"/>
      </w:divBdr>
    </w:div>
    <w:div w:id="1601794266">
      <w:bodyDiv w:val="1"/>
      <w:marLeft w:val="0"/>
      <w:marRight w:val="0"/>
      <w:marTop w:val="0"/>
      <w:marBottom w:val="0"/>
      <w:divBdr>
        <w:top w:val="none" w:sz="0" w:space="0" w:color="auto"/>
        <w:left w:val="none" w:sz="0" w:space="0" w:color="auto"/>
        <w:bottom w:val="none" w:sz="0" w:space="0" w:color="auto"/>
        <w:right w:val="none" w:sz="0" w:space="0" w:color="auto"/>
      </w:divBdr>
    </w:div>
    <w:div w:id="1615400609">
      <w:bodyDiv w:val="1"/>
      <w:marLeft w:val="0"/>
      <w:marRight w:val="0"/>
      <w:marTop w:val="0"/>
      <w:marBottom w:val="0"/>
      <w:divBdr>
        <w:top w:val="none" w:sz="0" w:space="0" w:color="auto"/>
        <w:left w:val="none" w:sz="0" w:space="0" w:color="auto"/>
        <w:bottom w:val="none" w:sz="0" w:space="0" w:color="auto"/>
        <w:right w:val="none" w:sz="0" w:space="0" w:color="auto"/>
      </w:divBdr>
    </w:div>
    <w:div w:id="1618221792">
      <w:bodyDiv w:val="1"/>
      <w:marLeft w:val="0"/>
      <w:marRight w:val="0"/>
      <w:marTop w:val="0"/>
      <w:marBottom w:val="0"/>
      <w:divBdr>
        <w:top w:val="none" w:sz="0" w:space="0" w:color="auto"/>
        <w:left w:val="none" w:sz="0" w:space="0" w:color="auto"/>
        <w:bottom w:val="none" w:sz="0" w:space="0" w:color="auto"/>
        <w:right w:val="none" w:sz="0" w:space="0" w:color="auto"/>
      </w:divBdr>
    </w:div>
    <w:div w:id="1622690471">
      <w:bodyDiv w:val="1"/>
      <w:marLeft w:val="0"/>
      <w:marRight w:val="0"/>
      <w:marTop w:val="0"/>
      <w:marBottom w:val="0"/>
      <w:divBdr>
        <w:top w:val="none" w:sz="0" w:space="0" w:color="auto"/>
        <w:left w:val="none" w:sz="0" w:space="0" w:color="auto"/>
        <w:bottom w:val="none" w:sz="0" w:space="0" w:color="auto"/>
        <w:right w:val="none" w:sz="0" w:space="0" w:color="auto"/>
      </w:divBdr>
    </w:div>
    <w:div w:id="1624534581">
      <w:bodyDiv w:val="1"/>
      <w:marLeft w:val="0"/>
      <w:marRight w:val="0"/>
      <w:marTop w:val="0"/>
      <w:marBottom w:val="0"/>
      <w:divBdr>
        <w:top w:val="none" w:sz="0" w:space="0" w:color="auto"/>
        <w:left w:val="none" w:sz="0" w:space="0" w:color="auto"/>
        <w:bottom w:val="none" w:sz="0" w:space="0" w:color="auto"/>
        <w:right w:val="none" w:sz="0" w:space="0" w:color="auto"/>
      </w:divBdr>
    </w:div>
    <w:div w:id="1626305919">
      <w:bodyDiv w:val="1"/>
      <w:marLeft w:val="0"/>
      <w:marRight w:val="0"/>
      <w:marTop w:val="0"/>
      <w:marBottom w:val="0"/>
      <w:divBdr>
        <w:top w:val="none" w:sz="0" w:space="0" w:color="auto"/>
        <w:left w:val="none" w:sz="0" w:space="0" w:color="auto"/>
        <w:bottom w:val="none" w:sz="0" w:space="0" w:color="auto"/>
        <w:right w:val="none" w:sz="0" w:space="0" w:color="auto"/>
      </w:divBdr>
      <w:divsChild>
        <w:div w:id="1492402403">
          <w:marLeft w:val="0"/>
          <w:marRight w:val="0"/>
          <w:marTop w:val="0"/>
          <w:marBottom w:val="0"/>
          <w:divBdr>
            <w:top w:val="none" w:sz="0" w:space="0" w:color="auto"/>
            <w:left w:val="none" w:sz="0" w:space="0" w:color="auto"/>
            <w:bottom w:val="none" w:sz="0" w:space="0" w:color="auto"/>
            <w:right w:val="none" w:sz="0" w:space="0" w:color="auto"/>
          </w:divBdr>
          <w:divsChild>
            <w:div w:id="1814171831">
              <w:marLeft w:val="0"/>
              <w:marRight w:val="0"/>
              <w:marTop w:val="411"/>
              <w:marBottom w:val="0"/>
              <w:divBdr>
                <w:top w:val="none" w:sz="0" w:space="0" w:color="auto"/>
                <w:left w:val="none" w:sz="0" w:space="0" w:color="auto"/>
                <w:bottom w:val="none" w:sz="0" w:space="0" w:color="auto"/>
                <w:right w:val="none" w:sz="0" w:space="0" w:color="auto"/>
              </w:divBdr>
              <w:divsChild>
                <w:div w:id="551499222">
                  <w:marLeft w:val="0"/>
                  <w:marRight w:val="0"/>
                  <w:marTop w:val="0"/>
                  <w:marBottom w:val="0"/>
                  <w:divBdr>
                    <w:top w:val="none" w:sz="0" w:space="0" w:color="auto"/>
                    <w:left w:val="none" w:sz="0" w:space="0" w:color="auto"/>
                    <w:bottom w:val="none" w:sz="0" w:space="0" w:color="auto"/>
                    <w:right w:val="none" w:sz="0" w:space="0" w:color="auto"/>
                  </w:divBdr>
                  <w:divsChild>
                    <w:div w:id="1570917599">
                      <w:marLeft w:val="79"/>
                      <w:marRight w:val="79"/>
                      <w:marTop w:val="0"/>
                      <w:marBottom w:val="0"/>
                      <w:divBdr>
                        <w:top w:val="none" w:sz="0" w:space="0" w:color="auto"/>
                        <w:left w:val="none" w:sz="0" w:space="0" w:color="auto"/>
                        <w:bottom w:val="none" w:sz="0" w:space="0" w:color="auto"/>
                        <w:right w:val="none" w:sz="0" w:space="0" w:color="auto"/>
                      </w:divBdr>
                      <w:divsChild>
                        <w:div w:id="1270888774">
                          <w:marLeft w:val="0"/>
                          <w:marRight w:val="0"/>
                          <w:marTop w:val="0"/>
                          <w:marBottom w:val="0"/>
                          <w:divBdr>
                            <w:top w:val="dashed" w:sz="6" w:space="0" w:color="DDDDDD"/>
                            <w:left w:val="none" w:sz="0" w:space="0" w:color="auto"/>
                            <w:bottom w:val="none" w:sz="0" w:space="0" w:color="auto"/>
                            <w:right w:val="none" w:sz="0" w:space="0" w:color="auto"/>
                          </w:divBdr>
                          <w:divsChild>
                            <w:div w:id="1874002602">
                              <w:marLeft w:val="0"/>
                              <w:marRight w:val="0"/>
                              <w:marTop w:val="0"/>
                              <w:marBottom w:val="0"/>
                              <w:divBdr>
                                <w:top w:val="none" w:sz="0" w:space="0" w:color="auto"/>
                                <w:left w:val="none" w:sz="0" w:space="0" w:color="auto"/>
                                <w:bottom w:val="none" w:sz="0" w:space="0" w:color="auto"/>
                                <w:right w:val="none" w:sz="0" w:space="0" w:color="auto"/>
                              </w:divBdr>
                              <w:divsChild>
                                <w:div w:id="849371419">
                                  <w:marLeft w:val="0"/>
                                  <w:marRight w:val="0"/>
                                  <w:marTop w:val="79"/>
                                  <w:marBottom w:val="79"/>
                                  <w:divBdr>
                                    <w:top w:val="none" w:sz="0" w:space="0" w:color="auto"/>
                                    <w:left w:val="none" w:sz="0" w:space="0" w:color="auto"/>
                                    <w:bottom w:val="none" w:sz="0" w:space="0" w:color="auto"/>
                                    <w:right w:val="none" w:sz="0" w:space="0" w:color="auto"/>
                                  </w:divBdr>
                                  <w:divsChild>
                                    <w:div w:id="1882476561">
                                      <w:marLeft w:val="0"/>
                                      <w:marRight w:val="0"/>
                                      <w:marTop w:val="0"/>
                                      <w:marBottom w:val="0"/>
                                      <w:divBdr>
                                        <w:top w:val="none" w:sz="0" w:space="0" w:color="auto"/>
                                        <w:left w:val="none" w:sz="0" w:space="0" w:color="auto"/>
                                        <w:bottom w:val="none" w:sz="0" w:space="0" w:color="auto"/>
                                        <w:right w:val="none" w:sz="0" w:space="0" w:color="auto"/>
                                      </w:divBdr>
                                      <w:divsChild>
                                        <w:div w:id="1662460813">
                                          <w:marLeft w:val="554"/>
                                          <w:marRight w:val="0"/>
                                          <w:marTop w:val="0"/>
                                          <w:marBottom w:val="0"/>
                                          <w:divBdr>
                                            <w:top w:val="none" w:sz="0" w:space="0" w:color="auto"/>
                                            <w:left w:val="none" w:sz="0" w:space="0" w:color="auto"/>
                                            <w:bottom w:val="none" w:sz="0" w:space="0" w:color="auto"/>
                                            <w:right w:val="none" w:sz="0" w:space="0" w:color="auto"/>
                                          </w:divBdr>
                                          <w:divsChild>
                                            <w:div w:id="821311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29817315">
      <w:bodyDiv w:val="1"/>
      <w:marLeft w:val="0"/>
      <w:marRight w:val="0"/>
      <w:marTop w:val="0"/>
      <w:marBottom w:val="0"/>
      <w:divBdr>
        <w:top w:val="none" w:sz="0" w:space="0" w:color="auto"/>
        <w:left w:val="none" w:sz="0" w:space="0" w:color="auto"/>
        <w:bottom w:val="none" w:sz="0" w:space="0" w:color="auto"/>
        <w:right w:val="none" w:sz="0" w:space="0" w:color="auto"/>
      </w:divBdr>
      <w:divsChild>
        <w:div w:id="580257435">
          <w:marLeft w:val="0"/>
          <w:marRight w:val="0"/>
          <w:marTop w:val="0"/>
          <w:marBottom w:val="0"/>
          <w:divBdr>
            <w:top w:val="none" w:sz="0" w:space="0" w:color="auto"/>
            <w:left w:val="none" w:sz="0" w:space="0" w:color="auto"/>
            <w:bottom w:val="none" w:sz="0" w:space="0" w:color="auto"/>
            <w:right w:val="none" w:sz="0" w:space="0" w:color="auto"/>
          </w:divBdr>
          <w:divsChild>
            <w:div w:id="1918711426">
              <w:marLeft w:val="0"/>
              <w:marRight w:val="0"/>
              <w:marTop w:val="0"/>
              <w:marBottom w:val="0"/>
              <w:divBdr>
                <w:top w:val="none" w:sz="0" w:space="0" w:color="auto"/>
                <w:left w:val="none" w:sz="0" w:space="0" w:color="auto"/>
                <w:bottom w:val="none" w:sz="0" w:space="0" w:color="auto"/>
                <w:right w:val="none" w:sz="0" w:space="0" w:color="auto"/>
              </w:divBdr>
              <w:divsChild>
                <w:div w:id="1882932942">
                  <w:marLeft w:val="0"/>
                  <w:marRight w:val="0"/>
                  <w:marTop w:val="0"/>
                  <w:marBottom w:val="0"/>
                  <w:divBdr>
                    <w:top w:val="none" w:sz="0" w:space="0" w:color="auto"/>
                    <w:left w:val="none" w:sz="0" w:space="0" w:color="auto"/>
                    <w:bottom w:val="none" w:sz="0" w:space="0" w:color="auto"/>
                    <w:right w:val="none" w:sz="0" w:space="0" w:color="auto"/>
                  </w:divBdr>
                  <w:divsChild>
                    <w:div w:id="434137558">
                      <w:marLeft w:val="0"/>
                      <w:marRight w:val="0"/>
                      <w:marTop w:val="0"/>
                      <w:marBottom w:val="0"/>
                      <w:divBdr>
                        <w:top w:val="single" w:sz="8" w:space="0" w:color="AEAEAE"/>
                        <w:left w:val="single" w:sz="8" w:space="0" w:color="AEAEAE"/>
                        <w:bottom w:val="single" w:sz="8" w:space="0" w:color="AEAEAE"/>
                        <w:right w:val="single" w:sz="8" w:space="0" w:color="AEAEAE"/>
                      </w:divBdr>
                      <w:divsChild>
                        <w:div w:id="1415007682">
                          <w:marLeft w:val="0"/>
                          <w:marRight w:val="0"/>
                          <w:marTop w:val="0"/>
                          <w:marBottom w:val="0"/>
                          <w:divBdr>
                            <w:top w:val="none" w:sz="0" w:space="0" w:color="auto"/>
                            <w:left w:val="none" w:sz="0" w:space="0" w:color="auto"/>
                            <w:bottom w:val="none" w:sz="0" w:space="0" w:color="auto"/>
                            <w:right w:val="none" w:sz="0" w:space="0" w:color="auto"/>
                          </w:divBdr>
                          <w:divsChild>
                            <w:div w:id="967206204">
                              <w:marLeft w:val="0"/>
                              <w:marRight w:val="0"/>
                              <w:marTop w:val="0"/>
                              <w:marBottom w:val="0"/>
                              <w:divBdr>
                                <w:top w:val="none" w:sz="0" w:space="0" w:color="auto"/>
                                <w:left w:val="none" w:sz="0" w:space="0" w:color="auto"/>
                                <w:bottom w:val="none" w:sz="0" w:space="0" w:color="auto"/>
                                <w:right w:val="none" w:sz="0" w:space="0" w:color="auto"/>
                              </w:divBdr>
                              <w:divsChild>
                                <w:div w:id="2100447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7950366">
      <w:bodyDiv w:val="1"/>
      <w:marLeft w:val="0"/>
      <w:marRight w:val="0"/>
      <w:marTop w:val="0"/>
      <w:marBottom w:val="0"/>
      <w:divBdr>
        <w:top w:val="none" w:sz="0" w:space="0" w:color="auto"/>
        <w:left w:val="none" w:sz="0" w:space="0" w:color="auto"/>
        <w:bottom w:val="none" w:sz="0" w:space="0" w:color="auto"/>
        <w:right w:val="none" w:sz="0" w:space="0" w:color="auto"/>
      </w:divBdr>
      <w:divsChild>
        <w:div w:id="245655662">
          <w:marLeft w:val="0"/>
          <w:marRight w:val="0"/>
          <w:marTop w:val="0"/>
          <w:marBottom w:val="0"/>
          <w:divBdr>
            <w:top w:val="none" w:sz="0" w:space="0" w:color="auto"/>
            <w:left w:val="none" w:sz="0" w:space="0" w:color="auto"/>
            <w:bottom w:val="none" w:sz="0" w:space="0" w:color="auto"/>
            <w:right w:val="none" w:sz="0" w:space="0" w:color="auto"/>
          </w:divBdr>
          <w:divsChild>
            <w:div w:id="1831672781">
              <w:marLeft w:val="0"/>
              <w:marRight w:val="0"/>
              <w:marTop w:val="411"/>
              <w:marBottom w:val="0"/>
              <w:divBdr>
                <w:top w:val="none" w:sz="0" w:space="0" w:color="auto"/>
                <w:left w:val="none" w:sz="0" w:space="0" w:color="auto"/>
                <w:bottom w:val="none" w:sz="0" w:space="0" w:color="auto"/>
                <w:right w:val="none" w:sz="0" w:space="0" w:color="auto"/>
              </w:divBdr>
              <w:divsChild>
                <w:div w:id="1260066527">
                  <w:marLeft w:val="0"/>
                  <w:marRight w:val="0"/>
                  <w:marTop w:val="0"/>
                  <w:marBottom w:val="0"/>
                  <w:divBdr>
                    <w:top w:val="none" w:sz="0" w:space="0" w:color="auto"/>
                    <w:left w:val="none" w:sz="0" w:space="0" w:color="auto"/>
                    <w:bottom w:val="none" w:sz="0" w:space="0" w:color="auto"/>
                    <w:right w:val="none" w:sz="0" w:space="0" w:color="auto"/>
                  </w:divBdr>
                  <w:divsChild>
                    <w:div w:id="1542476250">
                      <w:marLeft w:val="79"/>
                      <w:marRight w:val="79"/>
                      <w:marTop w:val="0"/>
                      <w:marBottom w:val="0"/>
                      <w:divBdr>
                        <w:top w:val="none" w:sz="0" w:space="0" w:color="auto"/>
                        <w:left w:val="none" w:sz="0" w:space="0" w:color="auto"/>
                        <w:bottom w:val="none" w:sz="0" w:space="0" w:color="auto"/>
                        <w:right w:val="none" w:sz="0" w:space="0" w:color="auto"/>
                      </w:divBdr>
                      <w:divsChild>
                        <w:div w:id="780145721">
                          <w:marLeft w:val="0"/>
                          <w:marRight w:val="0"/>
                          <w:marTop w:val="0"/>
                          <w:marBottom w:val="0"/>
                          <w:divBdr>
                            <w:top w:val="dashed" w:sz="6" w:space="0" w:color="DDDDDD"/>
                            <w:left w:val="none" w:sz="0" w:space="0" w:color="auto"/>
                            <w:bottom w:val="none" w:sz="0" w:space="0" w:color="auto"/>
                            <w:right w:val="none" w:sz="0" w:space="0" w:color="auto"/>
                          </w:divBdr>
                          <w:divsChild>
                            <w:div w:id="1302690188">
                              <w:marLeft w:val="0"/>
                              <w:marRight w:val="0"/>
                              <w:marTop w:val="0"/>
                              <w:marBottom w:val="0"/>
                              <w:divBdr>
                                <w:top w:val="none" w:sz="0" w:space="0" w:color="auto"/>
                                <w:left w:val="none" w:sz="0" w:space="0" w:color="auto"/>
                                <w:bottom w:val="none" w:sz="0" w:space="0" w:color="auto"/>
                                <w:right w:val="none" w:sz="0" w:space="0" w:color="auto"/>
                              </w:divBdr>
                              <w:divsChild>
                                <w:div w:id="480661151">
                                  <w:marLeft w:val="0"/>
                                  <w:marRight w:val="0"/>
                                  <w:marTop w:val="79"/>
                                  <w:marBottom w:val="79"/>
                                  <w:divBdr>
                                    <w:top w:val="none" w:sz="0" w:space="0" w:color="auto"/>
                                    <w:left w:val="none" w:sz="0" w:space="0" w:color="auto"/>
                                    <w:bottom w:val="none" w:sz="0" w:space="0" w:color="auto"/>
                                    <w:right w:val="none" w:sz="0" w:space="0" w:color="auto"/>
                                  </w:divBdr>
                                  <w:divsChild>
                                    <w:div w:id="1957444893">
                                      <w:marLeft w:val="0"/>
                                      <w:marRight w:val="0"/>
                                      <w:marTop w:val="0"/>
                                      <w:marBottom w:val="0"/>
                                      <w:divBdr>
                                        <w:top w:val="none" w:sz="0" w:space="0" w:color="auto"/>
                                        <w:left w:val="none" w:sz="0" w:space="0" w:color="auto"/>
                                        <w:bottom w:val="none" w:sz="0" w:space="0" w:color="auto"/>
                                        <w:right w:val="none" w:sz="0" w:space="0" w:color="auto"/>
                                      </w:divBdr>
                                      <w:divsChild>
                                        <w:div w:id="557060380">
                                          <w:marLeft w:val="554"/>
                                          <w:marRight w:val="0"/>
                                          <w:marTop w:val="0"/>
                                          <w:marBottom w:val="0"/>
                                          <w:divBdr>
                                            <w:top w:val="none" w:sz="0" w:space="0" w:color="auto"/>
                                            <w:left w:val="none" w:sz="0" w:space="0" w:color="auto"/>
                                            <w:bottom w:val="none" w:sz="0" w:space="0" w:color="auto"/>
                                            <w:right w:val="none" w:sz="0" w:space="0" w:color="auto"/>
                                          </w:divBdr>
                                          <w:divsChild>
                                            <w:div w:id="1770657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38682814">
      <w:bodyDiv w:val="1"/>
      <w:marLeft w:val="0"/>
      <w:marRight w:val="0"/>
      <w:marTop w:val="0"/>
      <w:marBottom w:val="0"/>
      <w:divBdr>
        <w:top w:val="none" w:sz="0" w:space="0" w:color="auto"/>
        <w:left w:val="none" w:sz="0" w:space="0" w:color="auto"/>
        <w:bottom w:val="none" w:sz="0" w:space="0" w:color="auto"/>
        <w:right w:val="none" w:sz="0" w:space="0" w:color="auto"/>
      </w:divBdr>
    </w:div>
    <w:div w:id="1641032032">
      <w:bodyDiv w:val="1"/>
      <w:marLeft w:val="0"/>
      <w:marRight w:val="0"/>
      <w:marTop w:val="0"/>
      <w:marBottom w:val="0"/>
      <w:divBdr>
        <w:top w:val="none" w:sz="0" w:space="0" w:color="auto"/>
        <w:left w:val="none" w:sz="0" w:space="0" w:color="auto"/>
        <w:bottom w:val="none" w:sz="0" w:space="0" w:color="auto"/>
        <w:right w:val="none" w:sz="0" w:space="0" w:color="auto"/>
      </w:divBdr>
    </w:div>
    <w:div w:id="1642540628">
      <w:bodyDiv w:val="1"/>
      <w:marLeft w:val="0"/>
      <w:marRight w:val="0"/>
      <w:marTop w:val="0"/>
      <w:marBottom w:val="0"/>
      <w:divBdr>
        <w:top w:val="none" w:sz="0" w:space="0" w:color="auto"/>
        <w:left w:val="none" w:sz="0" w:space="0" w:color="auto"/>
        <w:bottom w:val="none" w:sz="0" w:space="0" w:color="auto"/>
        <w:right w:val="none" w:sz="0" w:space="0" w:color="auto"/>
      </w:divBdr>
    </w:div>
    <w:div w:id="1642882041">
      <w:bodyDiv w:val="1"/>
      <w:marLeft w:val="0"/>
      <w:marRight w:val="0"/>
      <w:marTop w:val="0"/>
      <w:marBottom w:val="0"/>
      <w:divBdr>
        <w:top w:val="none" w:sz="0" w:space="0" w:color="auto"/>
        <w:left w:val="none" w:sz="0" w:space="0" w:color="auto"/>
        <w:bottom w:val="none" w:sz="0" w:space="0" w:color="auto"/>
        <w:right w:val="none" w:sz="0" w:space="0" w:color="auto"/>
      </w:divBdr>
    </w:div>
    <w:div w:id="1643345568">
      <w:bodyDiv w:val="1"/>
      <w:marLeft w:val="0"/>
      <w:marRight w:val="0"/>
      <w:marTop w:val="0"/>
      <w:marBottom w:val="0"/>
      <w:divBdr>
        <w:top w:val="none" w:sz="0" w:space="0" w:color="auto"/>
        <w:left w:val="none" w:sz="0" w:space="0" w:color="auto"/>
        <w:bottom w:val="none" w:sz="0" w:space="0" w:color="auto"/>
        <w:right w:val="none" w:sz="0" w:space="0" w:color="auto"/>
      </w:divBdr>
    </w:div>
    <w:div w:id="1644503385">
      <w:bodyDiv w:val="1"/>
      <w:marLeft w:val="0"/>
      <w:marRight w:val="0"/>
      <w:marTop w:val="0"/>
      <w:marBottom w:val="0"/>
      <w:divBdr>
        <w:top w:val="none" w:sz="0" w:space="0" w:color="auto"/>
        <w:left w:val="none" w:sz="0" w:space="0" w:color="auto"/>
        <w:bottom w:val="none" w:sz="0" w:space="0" w:color="auto"/>
        <w:right w:val="none" w:sz="0" w:space="0" w:color="auto"/>
      </w:divBdr>
      <w:divsChild>
        <w:div w:id="1508866179">
          <w:marLeft w:val="0"/>
          <w:marRight w:val="0"/>
          <w:marTop w:val="0"/>
          <w:marBottom w:val="0"/>
          <w:divBdr>
            <w:top w:val="none" w:sz="0" w:space="0" w:color="auto"/>
            <w:left w:val="none" w:sz="0" w:space="0" w:color="auto"/>
            <w:bottom w:val="none" w:sz="0" w:space="0" w:color="auto"/>
            <w:right w:val="none" w:sz="0" w:space="0" w:color="auto"/>
          </w:divBdr>
          <w:divsChild>
            <w:div w:id="816265419">
              <w:marLeft w:val="0"/>
              <w:marRight w:val="0"/>
              <w:marTop w:val="411"/>
              <w:marBottom w:val="0"/>
              <w:divBdr>
                <w:top w:val="none" w:sz="0" w:space="0" w:color="auto"/>
                <w:left w:val="none" w:sz="0" w:space="0" w:color="auto"/>
                <w:bottom w:val="none" w:sz="0" w:space="0" w:color="auto"/>
                <w:right w:val="none" w:sz="0" w:space="0" w:color="auto"/>
              </w:divBdr>
              <w:divsChild>
                <w:div w:id="1402603645">
                  <w:marLeft w:val="0"/>
                  <w:marRight w:val="0"/>
                  <w:marTop w:val="0"/>
                  <w:marBottom w:val="0"/>
                  <w:divBdr>
                    <w:top w:val="none" w:sz="0" w:space="0" w:color="auto"/>
                    <w:left w:val="none" w:sz="0" w:space="0" w:color="auto"/>
                    <w:bottom w:val="none" w:sz="0" w:space="0" w:color="auto"/>
                    <w:right w:val="none" w:sz="0" w:space="0" w:color="auto"/>
                  </w:divBdr>
                  <w:divsChild>
                    <w:div w:id="272975949">
                      <w:marLeft w:val="79"/>
                      <w:marRight w:val="79"/>
                      <w:marTop w:val="0"/>
                      <w:marBottom w:val="0"/>
                      <w:divBdr>
                        <w:top w:val="none" w:sz="0" w:space="0" w:color="auto"/>
                        <w:left w:val="none" w:sz="0" w:space="0" w:color="auto"/>
                        <w:bottom w:val="none" w:sz="0" w:space="0" w:color="auto"/>
                        <w:right w:val="none" w:sz="0" w:space="0" w:color="auto"/>
                      </w:divBdr>
                      <w:divsChild>
                        <w:div w:id="457383979">
                          <w:marLeft w:val="0"/>
                          <w:marRight w:val="0"/>
                          <w:marTop w:val="0"/>
                          <w:marBottom w:val="0"/>
                          <w:divBdr>
                            <w:top w:val="dashed" w:sz="6" w:space="0" w:color="DDDDDD"/>
                            <w:left w:val="none" w:sz="0" w:space="0" w:color="auto"/>
                            <w:bottom w:val="none" w:sz="0" w:space="0" w:color="auto"/>
                            <w:right w:val="none" w:sz="0" w:space="0" w:color="auto"/>
                          </w:divBdr>
                          <w:divsChild>
                            <w:div w:id="396588945">
                              <w:marLeft w:val="0"/>
                              <w:marRight w:val="0"/>
                              <w:marTop w:val="0"/>
                              <w:marBottom w:val="0"/>
                              <w:divBdr>
                                <w:top w:val="none" w:sz="0" w:space="0" w:color="auto"/>
                                <w:left w:val="none" w:sz="0" w:space="0" w:color="auto"/>
                                <w:bottom w:val="none" w:sz="0" w:space="0" w:color="auto"/>
                                <w:right w:val="none" w:sz="0" w:space="0" w:color="auto"/>
                              </w:divBdr>
                              <w:divsChild>
                                <w:div w:id="1517184324">
                                  <w:marLeft w:val="0"/>
                                  <w:marRight w:val="0"/>
                                  <w:marTop w:val="79"/>
                                  <w:marBottom w:val="79"/>
                                  <w:divBdr>
                                    <w:top w:val="none" w:sz="0" w:space="0" w:color="auto"/>
                                    <w:left w:val="none" w:sz="0" w:space="0" w:color="auto"/>
                                    <w:bottom w:val="none" w:sz="0" w:space="0" w:color="auto"/>
                                    <w:right w:val="none" w:sz="0" w:space="0" w:color="auto"/>
                                  </w:divBdr>
                                  <w:divsChild>
                                    <w:div w:id="704447774">
                                      <w:marLeft w:val="0"/>
                                      <w:marRight w:val="0"/>
                                      <w:marTop w:val="0"/>
                                      <w:marBottom w:val="0"/>
                                      <w:divBdr>
                                        <w:top w:val="none" w:sz="0" w:space="0" w:color="auto"/>
                                        <w:left w:val="none" w:sz="0" w:space="0" w:color="auto"/>
                                        <w:bottom w:val="none" w:sz="0" w:space="0" w:color="auto"/>
                                        <w:right w:val="none" w:sz="0" w:space="0" w:color="auto"/>
                                      </w:divBdr>
                                      <w:divsChild>
                                        <w:div w:id="1712876239">
                                          <w:marLeft w:val="554"/>
                                          <w:marRight w:val="0"/>
                                          <w:marTop w:val="0"/>
                                          <w:marBottom w:val="0"/>
                                          <w:divBdr>
                                            <w:top w:val="none" w:sz="0" w:space="0" w:color="auto"/>
                                            <w:left w:val="none" w:sz="0" w:space="0" w:color="auto"/>
                                            <w:bottom w:val="none" w:sz="0" w:space="0" w:color="auto"/>
                                            <w:right w:val="none" w:sz="0" w:space="0" w:color="auto"/>
                                          </w:divBdr>
                                          <w:divsChild>
                                            <w:div w:id="1197812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46927971">
      <w:bodyDiv w:val="1"/>
      <w:marLeft w:val="0"/>
      <w:marRight w:val="0"/>
      <w:marTop w:val="0"/>
      <w:marBottom w:val="0"/>
      <w:divBdr>
        <w:top w:val="none" w:sz="0" w:space="0" w:color="auto"/>
        <w:left w:val="none" w:sz="0" w:space="0" w:color="auto"/>
        <w:bottom w:val="none" w:sz="0" w:space="0" w:color="auto"/>
        <w:right w:val="none" w:sz="0" w:space="0" w:color="auto"/>
      </w:divBdr>
    </w:div>
    <w:div w:id="1653949878">
      <w:bodyDiv w:val="1"/>
      <w:marLeft w:val="0"/>
      <w:marRight w:val="0"/>
      <w:marTop w:val="0"/>
      <w:marBottom w:val="0"/>
      <w:divBdr>
        <w:top w:val="none" w:sz="0" w:space="0" w:color="auto"/>
        <w:left w:val="none" w:sz="0" w:space="0" w:color="auto"/>
        <w:bottom w:val="none" w:sz="0" w:space="0" w:color="auto"/>
        <w:right w:val="none" w:sz="0" w:space="0" w:color="auto"/>
      </w:divBdr>
    </w:div>
    <w:div w:id="1662538983">
      <w:bodyDiv w:val="1"/>
      <w:marLeft w:val="0"/>
      <w:marRight w:val="0"/>
      <w:marTop w:val="0"/>
      <w:marBottom w:val="0"/>
      <w:divBdr>
        <w:top w:val="none" w:sz="0" w:space="0" w:color="auto"/>
        <w:left w:val="none" w:sz="0" w:space="0" w:color="auto"/>
        <w:bottom w:val="none" w:sz="0" w:space="0" w:color="auto"/>
        <w:right w:val="none" w:sz="0" w:space="0" w:color="auto"/>
      </w:divBdr>
    </w:div>
    <w:div w:id="1673338346">
      <w:bodyDiv w:val="1"/>
      <w:marLeft w:val="0"/>
      <w:marRight w:val="0"/>
      <w:marTop w:val="0"/>
      <w:marBottom w:val="0"/>
      <w:divBdr>
        <w:top w:val="none" w:sz="0" w:space="0" w:color="auto"/>
        <w:left w:val="none" w:sz="0" w:space="0" w:color="auto"/>
        <w:bottom w:val="none" w:sz="0" w:space="0" w:color="auto"/>
        <w:right w:val="none" w:sz="0" w:space="0" w:color="auto"/>
      </w:divBdr>
    </w:div>
    <w:div w:id="1673875444">
      <w:bodyDiv w:val="1"/>
      <w:marLeft w:val="0"/>
      <w:marRight w:val="0"/>
      <w:marTop w:val="0"/>
      <w:marBottom w:val="0"/>
      <w:divBdr>
        <w:top w:val="none" w:sz="0" w:space="0" w:color="auto"/>
        <w:left w:val="none" w:sz="0" w:space="0" w:color="auto"/>
        <w:bottom w:val="none" w:sz="0" w:space="0" w:color="auto"/>
        <w:right w:val="none" w:sz="0" w:space="0" w:color="auto"/>
      </w:divBdr>
    </w:div>
    <w:div w:id="1676612688">
      <w:bodyDiv w:val="1"/>
      <w:marLeft w:val="0"/>
      <w:marRight w:val="0"/>
      <w:marTop w:val="0"/>
      <w:marBottom w:val="0"/>
      <w:divBdr>
        <w:top w:val="none" w:sz="0" w:space="0" w:color="auto"/>
        <w:left w:val="none" w:sz="0" w:space="0" w:color="auto"/>
        <w:bottom w:val="none" w:sz="0" w:space="0" w:color="auto"/>
        <w:right w:val="none" w:sz="0" w:space="0" w:color="auto"/>
      </w:divBdr>
    </w:div>
    <w:div w:id="1676810436">
      <w:bodyDiv w:val="1"/>
      <w:marLeft w:val="0"/>
      <w:marRight w:val="0"/>
      <w:marTop w:val="0"/>
      <w:marBottom w:val="0"/>
      <w:divBdr>
        <w:top w:val="none" w:sz="0" w:space="0" w:color="auto"/>
        <w:left w:val="none" w:sz="0" w:space="0" w:color="auto"/>
        <w:bottom w:val="none" w:sz="0" w:space="0" w:color="auto"/>
        <w:right w:val="none" w:sz="0" w:space="0" w:color="auto"/>
      </w:divBdr>
    </w:div>
    <w:div w:id="1684893443">
      <w:bodyDiv w:val="1"/>
      <w:marLeft w:val="0"/>
      <w:marRight w:val="0"/>
      <w:marTop w:val="0"/>
      <w:marBottom w:val="0"/>
      <w:divBdr>
        <w:top w:val="none" w:sz="0" w:space="0" w:color="auto"/>
        <w:left w:val="none" w:sz="0" w:space="0" w:color="auto"/>
        <w:bottom w:val="none" w:sz="0" w:space="0" w:color="auto"/>
        <w:right w:val="none" w:sz="0" w:space="0" w:color="auto"/>
      </w:divBdr>
    </w:div>
    <w:div w:id="1692342549">
      <w:bodyDiv w:val="1"/>
      <w:marLeft w:val="0"/>
      <w:marRight w:val="0"/>
      <w:marTop w:val="0"/>
      <w:marBottom w:val="0"/>
      <w:divBdr>
        <w:top w:val="none" w:sz="0" w:space="0" w:color="auto"/>
        <w:left w:val="none" w:sz="0" w:space="0" w:color="auto"/>
        <w:bottom w:val="none" w:sz="0" w:space="0" w:color="auto"/>
        <w:right w:val="none" w:sz="0" w:space="0" w:color="auto"/>
      </w:divBdr>
    </w:div>
    <w:div w:id="1695496244">
      <w:bodyDiv w:val="1"/>
      <w:marLeft w:val="0"/>
      <w:marRight w:val="0"/>
      <w:marTop w:val="0"/>
      <w:marBottom w:val="0"/>
      <w:divBdr>
        <w:top w:val="none" w:sz="0" w:space="0" w:color="auto"/>
        <w:left w:val="none" w:sz="0" w:space="0" w:color="auto"/>
        <w:bottom w:val="none" w:sz="0" w:space="0" w:color="auto"/>
        <w:right w:val="none" w:sz="0" w:space="0" w:color="auto"/>
      </w:divBdr>
    </w:div>
    <w:div w:id="1695618161">
      <w:bodyDiv w:val="1"/>
      <w:marLeft w:val="0"/>
      <w:marRight w:val="0"/>
      <w:marTop w:val="0"/>
      <w:marBottom w:val="0"/>
      <w:divBdr>
        <w:top w:val="none" w:sz="0" w:space="0" w:color="auto"/>
        <w:left w:val="none" w:sz="0" w:space="0" w:color="auto"/>
        <w:bottom w:val="none" w:sz="0" w:space="0" w:color="auto"/>
        <w:right w:val="none" w:sz="0" w:space="0" w:color="auto"/>
      </w:divBdr>
    </w:div>
    <w:div w:id="1698771828">
      <w:bodyDiv w:val="1"/>
      <w:marLeft w:val="0"/>
      <w:marRight w:val="0"/>
      <w:marTop w:val="0"/>
      <w:marBottom w:val="0"/>
      <w:divBdr>
        <w:top w:val="none" w:sz="0" w:space="0" w:color="auto"/>
        <w:left w:val="none" w:sz="0" w:space="0" w:color="auto"/>
        <w:bottom w:val="none" w:sz="0" w:space="0" w:color="auto"/>
        <w:right w:val="none" w:sz="0" w:space="0" w:color="auto"/>
      </w:divBdr>
    </w:div>
    <w:div w:id="1709992967">
      <w:bodyDiv w:val="1"/>
      <w:marLeft w:val="0"/>
      <w:marRight w:val="0"/>
      <w:marTop w:val="0"/>
      <w:marBottom w:val="0"/>
      <w:divBdr>
        <w:top w:val="none" w:sz="0" w:space="0" w:color="auto"/>
        <w:left w:val="none" w:sz="0" w:space="0" w:color="auto"/>
        <w:bottom w:val="none" w:sz="0" w:space="0" w:color="auto"/>
        <w:right w:val="none" w:sz="0" w:space="0" w:color="auto"/>
      </w:divBdr>
      <w:divsChild>
        <w:div w:id="1326278396">
          <w:marLeft w:val="0"/>
          <w:marRight w:val="0"/>
          <w:marTop w:val="0"/>
          <w:marBottom w:val="0"/>
          <w:divBdr>
            <w:top w:val="none" w:sz="0" w:space="0" w:color="auto"/>
            <w:left w:val="none" w:sz="0" w:space="0" w:color="auto"/>
            <w:bottom w:val="none" w:sz="0" w:space="0" w:color="auto"/>
            <w:right w:val="none" w:sz="0" w:space="0" w:color="auto"/>
          </w:divBdr>
        </w:div>
      </w:divsChild>
    </w:div>
    <w:div w:id="1710758141">
      <w:bodyDiv w:val="1"/>
      <w:marLeft w:val="0"/>
      <w:marRight w:val="0"/>
      <w:marTop w:val="0"/>
      <w:marBottom w:val="0"/>
      <w:divBdr>
        <w:top w:val="none" w:sz="0" w:space="0" w:color="auto"/>
        <w:left w:val="none" w:sz="0" w:space="0" w:color="auto"/>
        <w:bottom w:val="none" w:sz="0" w:space="0" w:color="auto"/>
        <w:right w:val="none" w:sz="0" w:space="0" w:color="auto"/>
      </w:divBdr>
    </w:div>
    <w:div w:id="1714427611">
      <w:bodyDiv w:val="1"/>
      <w:marLeft w:val="0"/>
      <w:marRight w:val="0"/>
      <w:marTop w:val="0"/>
      <w:marBottom w:val="0"/>
      <w:divBdr>
        <w:top w:val="none" w:sz="0" w:space="0" w:color="auto"/>
        <w:left w:val="none" w:sz="0" w:space="0" w:color="auto"/>
        <w:bottom w:val="none" w:sz="0" w:space="0" w:color="auto"/>
        <w:right w:val="none" w:sz="0" w:space="0" w:color="auto"/>
      </w:divBdr>
      <w:divsChild>
        <w:div w:id="1210723307">
          <w:marLeft w:val="0"/>
          <w:marRight w:val="0"/>
          <w:marTop w:val="0"/>
          <w:marBottom w:val="0"/>
          <w:divBdr>
            <w:top w:val="none" w:sz="0" w:space="0" w:color="auto"/>
            <w:left w:val="none" w:sz="0" w:space="0" w:color="auto"/>
            <w:bottom w:val="none" w:sz="0" w:space="0" w:color="auto"/>
            <w:right w:val="none" w:sz="0" w:space="0" w:color="auto"/>
          </w:divBdr>
        </w:div>
      </w:divsChild>
    </w:div>
    <w:div w:id="1715541984">
      <w:bodyDiv w:val="1"/>
      <w:marLeft w:val="0"/>
      <w:marRight w:val="0"/>
      <w:marTop w:val="0"/>
      <w:marBottom w:val="0"/>
      <w:divBdr>
        <w:top w:val="none" w:sz="0" w:space="0" w:color="auto"/>
        <w:left w:val="none" w:sz="0" w:space="0" w:color="auto"/>
        <w:bottom w:val="none" w:sz="0" w:space="0" w:color="auto"/>
        <w:right w:val="none" w:sz="0" w:space="0" w:color="auto"/>
      </w:divBdr>
    </w:div>
    <w:div w:id="1718234783">
      <w:bodyDiv w:val="1"/>
      <w:marLeft w:val="0"/>
      <w:marRight w:val="0"/>
      <w:marTop w:val="0"/>
      <w:marBottom w:val="0"/>
      <w:divBdr>
        <w:top w:val="none" w:sz="0" w:space="0" w:color="auto"/>
        <w:left w:val="none" w:sz="0" w:space="0" w:color="auto"/>
        <w:bottom w:val="none" w:sz="0" w:space="0" w:color="auto"/>
        <w:right w:val="none" w:sz="0" w:space="0" w:color="auto"/>
      </w:divBdr>
    </w:div>
    <w:div w:id="1719206596">
      <w:bodyDiv w:val="1"/>
      <w:marLeft w:val="0"/>
      <w:marRight w:val="0"/>
      <w:marTop w:val="0"/>
      <w:marBottom w:val="0"/>
      <w:divBdr>
        <w:top w:val="none" w:sz="0" w:space="0" w:color="auto"/>
        <w:left w:val="none" w:sz="0" w:space="0" w:color="auto"/>
        <w:bottom w:val="none" w:sz="0" w:space="0" w:color="auto"/>
        <w:right w:val="none" w:sz="0" w:space="0" w:color="auto"/>
      </w:divBdr>
    </w:div>
    <w:div w:id="1722827669">
      <w:bodyDiv w:val="1"/>
      <w:marLeft w:val="0"/>
      <w:marRight w:val="0"/>
      <w:marTop w:val="0"/>
      <w:marBottom w:val="0"/>
      <w:divBdr>
        <w:top w:val="none" w:sz="0" w:space="0" w:color="auto"/>
        <w:left w:val="none" w:sz="0" w:space="0" w:color="auto"/>
        <w:bottom w:val="none" w:sz="0" w:space="0" w:color="auto"/>
        <w:right w:val="none" w:sz="0" w:space="0" w:color="auto"/>
      </w:divBdr>
    </w:div>
    <w:div w:id="1731416739">
      <w:bodyDiv w:val="1"/>
      <w:marLeft w:val="0"/>
      <w:marRight w:val="0"/>
      <w:marTop w:val="0"/>
      <w:marBottom w:val="0"/>
      <w:divBdr>
        <w:top w:val="none" w:sz="0" w:space="0" w:color="auto"/>
        <w:left w:val="none" w:sz="0" w:space="0" w:color="auto"/>
        <w:bottom w:val="none" w:sz="0" w:space="0" w:color="auto"/>
        <w:right w:val="none" w:sz="0" w:space="0" w:color="auto"/>
      </w:divBdr>
    </w:div>
    <w:div w:id="1731609529">
      <w:bodyDiv w:val="1"/>
      <w:marLeft w:val="0"/>
      <w:marRight w:val="0"/>
      <w:marTop w:val="0"/>
      <w:marBottom w:val="0"/>
      <w:divBdr>
        <w:top w:val="none" w:sz="0" w:space="0" w:color="auto"/>
        <w:left w:val="none" w:sz="0" w:space="0" w:color="auto"/>
        <w:bottom w:val="none" w:sz="0" w:space="0" w:color="auto"/>
        <w:right w:val="none" w:sz="0" w:space="0" w:color="auto"/>
      </w:divBdr>
    </w:div>
    <w:div w:id="1732003543">
      <w:bodyDiv w:val="1"/>
      <w:marLeft w:val="0"/>
      <w:marRight w:val="0"/>
      <w:marTop w:val="0"/>
      <w:marBottom w:val="0"/>
      <w:divBdr>
        <w:top w:val="none" w:sz="0" w:space="0" w:color="auto"/>
        <w:left w:val="none" w:sz="0" w:space="0" w:color="auto"/>
        <w:bottom w:val="none" w:sz="0" w:space="0" w:color="auto"/>
        <w:right w:val="none" w:sz="0" w:space="0" w:color="auto"/>
      </w:divBdr>
      <w:divsChild>
        <w:div w:id="899366750">
          <w:marLeft w:val="0"/>
          <w:marRight w:val="0"/>
          <w:marTop w:val="0"/>
          <w:marBottom w:val="0"/>
          <w:divBdr>
            <w:top w:val="none" w:sz="0" w:space="0" w:color="auto"/>
            <w:left w:val="none" w:sz="0" w:space="0" w:color="auto"/>
            <w:bottom w:val="none" w:sz="0" w:space="0" w:color="auto"/>
            <w:right w:val="none" w:sz="0" w:space="0" w:color="auto"/>
          </w:divBdr>
          <w:divsChild>
            <w:div w:id="2104375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0399003">
      <w:bodyDiv w:val="1"/>
      <w:marLeft w:val="0"/>
      <w:marRight w:val="0"/>
      <w:marTop w:val="0"/>
      <w:marBottom w:val="0"/>
      <w:divBdr>
        <w:top w:val="none" w:sz="0" w:space="0" w:color="auto"/>
        <w:left w:val="none" w:sz="0" w:space="0" w:color="auto"/>
        <w:bottom w:val="none" w:sz="0" w:space="0" w:color="auto"/>
        <w:right w:val="none" w:sz="0" w:space="0" w:color="auto"/>
      </w:divBdr>
    </w:div>
    <w:div w:id="1740706659">
      <w:bodyDiv w:val="1"/>
      <w:marLeft w:val="0"/>
      <w:marRight w:val="0"/>
      <w:marTop w:val="0"/>
      <w:marBottom w:val="0"/>
      <w:divBdr>
        <w:top w:val="none" w:sz="0" w:space="0" w:color="auto"/>
        <w:left w:val="none" w:sz="0" w:space="0" w:color="auto"/>
        <w:bottom w:val="none" w:sz="0" w:space="0" w:color="auto"/>
        <w:right w:val="none" w:sz="0" w:space="0" w:color="auto"/>
      </w:divBdr>
    </w:div>
    <w:div w:id="1743873323">
      <w:bodyDiv w:val="1"/>
      <w:marLeft w:val="0"/>
      <w:marRight w:val="0"/>
      <w:marTop w:val="0"/>
      <w:marBottom w:val="0"/>
      <w:divBdr>
        <w:top w:val="none" w:sz="0" w:space="0" w:color="auto"/>
        <w:left w:val="none" w:sz="0" w:space="0" w:color="auto"/>
        <w:bottom w:val="none" w:sz="0" w:space="0" w:color="auto"/>
        <w:right w:val="none" w:sz="0" w:space="0" w:color="auto"/>
      </w:divBdr>
    </w:div>
    <w:div w:id="1751544075">
      <w:bodyDiv w:val="1"/>
      <w:marLeft w:val="0"/>
      <w:marRight w:val="0"/>
      <w:marTop w:val="0"/>
      <w:marBottom w:val="0"/>
      <w:divBdr>
        <w:top w:val="none" w:sz="0" w:space="0" w:color="auto"/>
        <w:left w:val="none" w:sz="0" w:space="0" w:color="auto"/>
        <w:bottom w:val="none" w:sz="0" w:space="0" w:color="auto"/>
        <w:right w:val="none" w:sz="0" w:space="0" w:color="auto"/>
      </w:divBdr>
    </w:div>
    <w:div w:id="1753118288">
      <w:bodyDiv w:val="1"/>
      <w:marLeft w:val="0"/>
      <w:marRight w:val="0"/>
      <w:marTop w:val="0"/>
      <w:marBottom w:val="0"/>
      <w:divBdr>
        <w:top w:val="none" w:sz="0" w:space="0" w:color="auto"/>
        <w:left w:val="none" w:sz="0" w:space="0" w:color="auto"/>
        <w:bottom w:val="none" w:sz="0" w:space="0" w:color="auto"/>
        <w:right w:val="none" w:sz="0" w:space="0" w:color="auto"/>
      </w:divBdr>
    </w:div>
    <w:div w:id="1757630916">
      <w:bodyDiv w:val="1"/>
      <w:marLeft w:val="0"/>
      <w:marRight w:val="0"/>
      <w:marTop w:val="0"/>
      <w:marBottom w:val="0"/>
      <w:divBdr>
        <w:top w:val="none" w:sz="0" w:space="0" w:color="auto"/>
        <w:left w:val="none" w:sz="0" w:space="0" w:color="auto"/>
        <w:bottom w:val="none" w:sz="0" w:space="0" w:color="auto"/>
        <w:right w:val="none" w:sz="0" w:space="0" w:color="auto"/>
      </w:divBdr>
      <w:divsChild>
        <w:div w:id="629211419">
          <w:marLeft w:val="0"/>
          <w:marRight w:val="0"/>
          <w:marTop w:val="0"/>
          <w:marBottom w:val="0"/>
          <w:divBdr>
            <w:top w:val="none" w:sz="0" w:space="0" w:color="auto"/>
            <w:left w:val="none" w:sz="0" w:space="0" w:color="auto"/>
            <w:bottom w:val="none" w:sz="0" w:space="0" w:color="auto"/>
            <w:right w:val="none" w:sz="0" w:space="0" w:color="auto"/>
          </w:divBdr>
          <w:divsChild>
            <w:div w:id="1059942896">
              <w:marLeft w:val="0"/>
              <w:marRight w:val="0"/>
              <w:marTop w:val="0"/>
              <w:marBottom w:val="0"/>
              <w:divBdr>
                <w:top w:val="none" w:sz="0" w:space="0" w:color="auto"/>
                <w:left w:val="none" w:sz="0" w:space="0" w:color="auto"/>
                <w:bottom w:val="none" w:sz="0" w:space="0" w:color="auto"/>
                <w:right w:val="none" w:sz="0" w:space="0" w:color="auto"/>
              </w:divBdr>
              <w:divsChild>
                <w:div w:id="1998025247">
                  <w:marLeft w:val="0"/>
                  <w:marRight w:val="0"/>
                  <w:marTop w:val="0"/>
                  <w:marBottom w:val="0"/>
                  <w:divBdr>
                    <w:top w:val="none" w:sz="0" w:space="0" w:color="auto"/>
                    <w:left w:val="none" w:sz="0" w:space="0" w:color="auto"/>
                    <w:bottom w:val="none" w:sz="0" w:space="0" w:color="auto"/>
                    <w:right w:val="none" w:sz="0" w:space="0" w:color="auto"/>
                  </w:divBdr>
                  <w:divsChild>
                    <w:div w:id="553585511">
                      <w:marLeft w:val="0"/>
                      <w:marRight w:val="0"/>
                      <w:marTop w:val="210"/>
                      <w:marBottom w:val="0"/>
                      <w:divBdr>
                        <w:top w:val="none" w:sz="0" w:space="0" w:color="auto"/>
                        <w:left w:val="none" w:sz="0" w:space="0" w:color="auto"/>
                        <w:bottom w:val="none" w:sz="0" w:space="0" w:color="auto"/>
                        <w:right w:val="none" w:sz="0" w:space="0" w:color="auto"/>
                      </w:divBdr>
                      <w:divsChild>
                        <w:div w:id="439036331">
                          <w:marLeft w:val="0"/>
                          <w:marRight w:val="0"/>
                          <w:marTop w:val="0"/>
                          <w:marBottom w:val="0"/>
                          <w:divBdr>
                            <w:top w:val="none" w:sz="0" w:space="0" w:color="auto"/>
                            <w:left w:val="none" w:sz="0" w:space="0" w:color="auto"/>
                            <w:bottom w:val="none" w:sz="0" w:space="0" w:color="auto"/>
                            <w:right w:val="none" w:sz="0" w:space="0" w:color="auto"/>
                          </w:divBdr>
                          <w:divsChild>
                            <w:div w:id="1622150986">
                              <w:marLeft w:val="0"/>
                              <w:marRight w:val="0"/>
                              <w:marTop w:val="0"/>
                              <w:marBottom w:val="0"/>
                              <w:divBdr>
                                <w:top w:val="none" w:sz="0" w:space="0" w:color="auto"/>
                                <w:left w:val="none" w:sz="0" w:space="0" w:color="auto"/>
                                <w:bottom w:val="none" w:sz="0" w:space="0" w:color="auto"/>
                                <w:right w:val="none" w:sz="0" w:space="0" w:color="auto"/>
                              </w:divBdr>
                              <w:divsChild>
                                <w:div w:id="546724930">
                                  <w:marLeft w:val="0"/>
                                  <w:marRight w:val="0"/>
                                  <w:marTop w:val="0"/>
                                  <w:marBottom w:val="0"/>
                                  <w:divBdr>
                                    <w:top w:val="none" w:sz="0" w:space="0" w:color="auto"/>
                                    <w:left w:val="none" w:sz="0" w:space="0" w:color="auto"/>
                                    <w:bottom w:val="none" w:sz="0" w:space="0" w:color="auto"/>
                                    <w:right w:val="none" w:sz="0" w:space="0" w:color="auto"/>
                                  </w:divBdr>
                                  <w:divsChild>
                                    <w:div w:id="1865049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63527335">
      <w:bodyDiv w:val="1"/>
      <w:marLeft w:val="0"/>
      <w:marRight w:val="0"/>
      <w:marTop w:val="0"/>
      <w:marBottom w:val="0"/>
      <w:divBdr>
        <w:top w:val="none" w:sz="0" w:space="0" w:color="auto"/>
        <w:left w:val="none" w:sz="0" w:space="0" w:color="auto"/>
        <w:bottom w:val="none" w:sz="0" w:space="0" w:color="auto"/>
        <w:right w:val="none" w:sz="0" w:space="0" w:color="auto"/>
      </w:divBdr>
    </w:div>
    <w:div w:id="1766222929">
      <w:bodyDiv w:val="1"/>
      <w:marLeft w:val="0"/>
      <w:marRight w:val="0"/>
      <w:marTop w:val="0"/>
      <w:marBottom w:val="0"/>
      <w:divBdr>
        <w:top w:val="none" w:sz="0" w:space="0" w:color="auto"/>
        <w:left w:val="none" w:sz="0" w:space="0" w:color="auto"/>
        <w:bottom w:val="none" w:sz="0" w:space="0" w:color="auto"/>
        <w:right w:val="none" w:sz="0" w:space="0" w:color="auto"/>
      </w:divBdr>
    </w:div>
    <w:div w:id="1769350306">
      <w:bodyDiv w:val="1"/>
      <w:marLeft w:val="0"/>
      <w:marRight w:val="0"/>
      <w:marTop w:val="0"/>
      <w:marBottom w:val="0"/>
      <w:divBdr>
        <w:top w:val="none" w:sz="0" w:space="0" w:color="auto"/>
        <w:left w:val="none" w:sz="0" w:space="0" w:color="auto"/>
        <w:bottom w:val="none" w:sz="0" w:space="0" w:color="auto"/>
        <w:right w:val="none" w:sz="0" w:space="0" w:color="auto"/>
      </w:divBdr>
    </w:div>
    <w:div w:id="1774401327">
      <w:bodyDiv w:val="1"/>
      <w:marLeft w:val="0"/>
      <w:marRight w:val="0"/>
      <w:marTop w:val="0"/>
      <w:marBottom w:val="0"/>
      <w:divBdr>
        <w:top w:val="none" w:sz="0" w:space="0" w:color="auto"/>
        <w:left w:val="none" w:sz="0" w:space="0" w:color="auto"/>
        <w:bottom w:val="none" w:sz="0" w:space="0" w:color="auto"/>
        <w:right w:val="none" w:sz="0" w:space="0" w:color="auto"/>
      </w:divBdr>
    </w:div>
    <w:div w:id="1780564659">
      <w:bodyDiv w:val="1"/>
      <w:marLeft w:val="0"/>
      <w:marRight w:val="0"/>
      <w:marTop w:val="0"/>
      <w:marBottom w:val="0"/>
      <w:divBdr>
        <w:top w:val="none" w:sz="0" w:space="0" w:color="auto"/>
        <w:left w:val="none" w:sz="0" w:space="0" w:color="auto"/>
        <w:bottom w:val="none" w:sz="0" w:space="0" w:color="auto"/>
        <w:right w:val="none" w:sz="0" w:space="0" w:color="auto"/>
      </w:divBdr>
    </w:div>
    <w:div w:id="1782450330">
      <w:bodyDiv w:val="1"/>
      <w:marLeft w:val="0"/>
      <w:marRight w:val="0"/>
      <w:marTop w:val="0"/>
      <w:marBottom w:val="0"/>
      <w:divBdr>
        <w:top w:val="none" w:sz="0" w:space="0" w:color="auto"/>
        <w:left w:val="none" w:sz="0" w:space="0" w:color="auto"/>
        <w:bottom w:val="none" w:sz="0" w:space="0" w:color="auto"/>
        <w:right w:val="none" w:sz="0" w:space="0" w:color="auto"/>
      </w:divBdr>
    </w:div>
    <w:div w:id="1783185912">
      <w:bodyDiv w:val="1"/>
      <w:marLeft w:val="0"/>
      <w:marRight w:val="0"/>
      <w:marTop w:val="0"/>
      <w:marBottom w:val="0"/>
      <w:divBdr>
        <w:top w:val="none" w:sz="0" w:space="0" w:color="auto"/>
        <w:left w:val="none" w:sz="0" w:space="0" w:color="auto"/>
        <w:bottom w:val="none" w:sz="0" w:space="0" w:color="auto"/>
        <w:right w:val="none" w:sz="0" w:space="0" w:color="auto"/>
      </w:divBdr>
    </w:div>
    <w:div w:id="1783190172">
      <w:bodyDiv w:val="1"/>
      <w:marLeft w:val="0"/>
      <w:marRight w:val="0"/>
      <w:marTop w:val="0"/>
      <w:marBottom w:val="0"/>
      <w:divBdr>
        <w:top w:val="none" w:sz="0" w:space="0" w:color="auto"/>
        <w:left w:val="none" w:sz="0" w:space="0" w:color="auto"/>
        <w:bottom w:val="none" w:sz="0" w:space="0" w:color="auto"/>
        <w:right w:val="none" w:sz="0" w:space="0" w:color="auto"/>
      </w:divBdr>
    </w:div>
    <w:div w:id="1796873509">
      <w:bodyDiv w:val="1"/>
      <w:marLeft w:val="0"/>
      <w:marRight w:val="0"/>
      <w:marTop w:val="0"/>
      <w:marBottom w:val="0"/>
      <w:divBdr>
        <w:top w:val="none" w:sz="0" w:space="0" w:color="auto"/>
        <w:left w:val="none" w:sz="0" w:space="0" w:color="auto"/>
        <w:bottom w:val="none" w:sz="0" w:space="0" w:color="auto"/>
        <w:right w:val="none" w:sz="0" w:space="0" w:color="auto"/>
      </w:divBdr>
    </w:div>
    <w:div w:id="1798335844">
      <w:bodyDiv w:val="1"/>
      <w:marLeft w:val="0"/>
      <w:marRight w:val="0"/>
      <w:marTop w:val="0"/>
      <w:marBottom w:val="0"/>
      <w:divBdr>
        <w:top w:val="none" w:sz="0" w:space="0" w:color="auto"/>
        <w:left w:val="none" w:sz="0" w:space="0" w:color="auto"/>
        <w:bottom w:val="none" w:sz="0" w:space="0" w:color="auto"/>
        <w:right w:val="none" w:sz="0" w:space="0" w:color="auto"/>
      </w:divBdr>
    </w:div>
    <w:div w:id="1800108422">
      <w:bodyDiv w:val="1"/>
      <w:marLeft w:val="0"/>
      <w:marRight w:val="0"/>
      <w:marTop w:val="0"/>
      <w:marBottom w:val="0"/>
      <w:divBdr>
        <w:top w:val="none" w:sz="0" w:space="0" w:color="auto"/>
        <w:left w:val="none" w:sz="0" w:space="0" w:color="auto"/>
        <w:bottom w:val="none" w:sz="0" w:space="0" w:color="auto"/>
        <w:right w:val="none" w:sz="0" w:space="0" w:color="auto"/>
      </w:divBdr>
    </w:div>
    <w:div w:id="1804494892">
      <w:bodyDiv w:val="1"/>
      <w:marLeft w:val="0"/>
      <w:marRight w:val="0"/>
      <w:marTop w:val="0"/>
      <w:marBottom w:val="0"/>
      <w:divBdr>
        <w:top w:val="none" w:sz="0" w:space="0" w:color="auto"/>
        <w:left w:val="none" w:sz="0" w:space="0" w:color="auto"/>
        <w:bottom w:val="none" w:sz="0" w:space="0" w:color="auto"/>
        <w:right w:val="none" w:sz="0" w:space="0" w:color="auto"/>
      </w:divBdr>
      <w:divsChild>
        <w:div w:id="1407915055">
          <w:marLeft w:val="0"/>
          <w:marRight w:val="0"/>
          <w:marTop w:val="0"/>
          <w:marBottom w:val="0"/>
          <w:divBdr>
            <w:top w:val="none" w:sz="0" w:space="0" w:color="auto"/>
            <w:left w:val="none" w:sz="0" w:space="0" w:color="auto"/>
            <w:bottom w:val="none" w:sz="0" w:space="0" w:color="auto"/>
            <w:right w:val="none" w:sz="0" w:space="0" w:color="auto"/>
          </w:divBdr>
        </w:div>
      </w:divsChild>
    </w:div>
    <w:div w:id="1805125341">
      <w:bodyDiv w:val="1"/>
      <w:marLeft w:val="0"/>
      <w:marRight w:val="0"/>
      <w:marTop w:val="0"/>
      <w:marBottom w:val="0"/>
      <w:divBdr>
        <w:top w:val="none" w:sz="0" w:space="0" w:color="auto"/>
        <w:left w:val="none" w:sz="0" w:space="0" w:color="auto"/>
        <w:bottom w:val="none" w:sz="0" w:space="0" w:color="auto"/>
        <w:right w:val="none" w:sz="0" w:space="0" w:color="auto"/>
      </w:divBdr>
    </w:div>
    <w:div w:id="1807166596">
      <w:bodyDiv w:val="1"/>
      <w:marLeft w:val="0"/>
      <w:marRight w:val="0"/>
      <w:marTop w:val="0"/>
      <w:marBottom w:val="0"/>
      <w:divBdr>
        <w:top w:val="none" w:sz="0" w:space="0" w:color="auto"/>
        <w:left w:val="none" w:sz="0" w:space="0" w:color="auto"/>
        <w:bottom w:val="none" w:sz="0" w:space="0" w:color="auto"/>
        <w:right w:val="none" w:sz="0" w:space="0" w:color="auto"/>
      </w:divBdr>
    </w:div>
    <w:div w:id="1809206470">
      <w:bodyDiv w:val="1"/>
      <w:marLeft w:val="0"/>
      <w:marRight w:val="0"/>
      <w:marTop w:val="0"/>
      <w:marBottom w:val="0"/>
      <w:divBdr>
        <w:top w:val="none" w:sz="0" w:space="0" w:color="auto"/>
        <w:left w:val="none" w:sz="0" w:space="0" w:color="auto"/>
        <w:bottom w:val="none" w:sz="0" w:space="0" w:color="auto"/>
        <w:right w:val="none" w:sz="0" w:space="0" w:color="auto"/>
      </w:divBdr>
    </w:div>
    <w:div w:id="1825585891">
      <w:bodyDiv w:val="1"/>
      <w:marLeft w:val="0"/>
      <w:marRight w:val="0"/>
      <w:marTop w:val="0"/>
      <w:marBottom w:val="0"/>
      <w:divBdr>
        <w:top w:val="none" w:sz="0" w:space="0" w:color="auto"/>
        <w:left w:val="none" w:sz="0" w:space="0" w:color="auto"/>
        <w:bottom w:val="none" w:sz="0" w:space="0" w:color="auto"/>
        <w:right w:val="none" w:sz="0" w:space="0" w:color="auto"/>
      </w:divBdr>
    </w:div>
    <w:div w:id="1827044138">
      <w:bodyDiv w:val="1"/>
      <w:marLeft w:val="0"/>
      <w:marRight w:val="0"/>
      <w:marTop w:val="0"/>
      <w:marBottom w:val="0"/>
      <w:divBdr>
        <w:top w:val="none" w:sz="0" w:space="0" w:color="auto"/>
        <w:left w:val="none" w:sz="0" w:space="0" w:color="auto"/>
        <w:bottom w:val="none" w:sz="0" w:space="0" w:color="auto"/>
        <w:right w:val="none" w:sz="0" w:space="0" w:color="auto"/>
      </w:divBdr>
      <w:divsChild>
        <w:div w:id="1990936054">
          <w:marLeft w:val="0"/>
          <w:marRight w:val="0"/>
          <w:marTop w:val="0"/>
          <w:marBottom w:val="0"/>
          <w:divBdr>
            <w:top w:val="none" w:sz="0" w:space="0" w:color="auto"/>
            <w:left w:val="none" w:sz="0" w:space="0" w:color="auto"/>
            <w:bottom w:val="none" w:sz="0" w:space="0" w:color="auto"/>
            <w:right w:val="none" w:sz="0" w:space="0" w:color="auto"/>
          </w:divBdr>
        </w:div>
      </w:divsChild>
    </w:div>
    <w:div w:id="1829784661">
      <w:bodyDiv w:val="1"/>
      <w:marLeft w:val="0"/>
      <w:marRight w:val="0"/>
      <w:marTop w:val="0"/>
      <w:marBottom w:val="0"/>
      <w:divBdr>
        <w:top w:val="none" w:sz="0" w:space="0" w:color="auto"/>
        <w:left w:val="none" w:sz="0" w:space="0" w:color="auto"/>
        <w:bottom w:val="none" w:sz="0" w:space="0" w:color="auto"/>
        <w:right w:val="none" w:sz="0" w:space="0" w:color="auto"/>
      </w:divBdr>
    </w:div>
    <w:div w:id="1830098675">
      <w:bodyDiv w:val="1"/>
      <w:marLeft w:val="0"/>
      <w:marRight w:val="0"/>
      <w:marTop w:val="0"/>
      <w:marBottom w:val="0"/>
      <w:divBdr>
        <w:top w:val="none" w:sz="0" w:space="0" w:color="auto"/>
        <w:left w:val="none" w:sz="0" w:space="0" w:color="auto"/>
        <w:bottom w:val="none" w:sz="0" w:space="0" w:color="auto"/>
        <w:right w:val="none" w:sz="0" w:space="0" w:color="auto"/>
      </w:divBdr>
    </w:div>
    <w:div w:id="1831091492">
      <w:bodyDiv w:val="1"/>
      <w:marLeft w:val="0"/>
      <w:marRight w:val="0"/>
      <w:marTop w:val="0"/>
      <w:marBottom w:val="0"/>
      <w:divBdr>
        <w:top w:val="none" w:sz="0" w:space="0" w:color="auto"/>
        <w:left w:val="none" w:sz="0" w:space="0" w:color="auto"/>
        <w:bottom w:val="none" w:sz="0" w:space="0" w:color="auto"/>
        <w:right w:val="none" w:sz="0" w:space="0" w:color="auto"/>
      </w:divBdr>
    </w:div>
    <w:div w:id="1832943167">
      <w:bodyDiv w:val="1"/>
      <w:marLeft w:val="0"/>
      <w:marRight w:val="0"/>
      <w:marTop w:val="0"/>
      <w:marBottom w:val="0"/>
      <w:divBdr>
        <w:top w:val="none" w:sz="0" w:space="0" w:color="auto"/>
        <w:left w:val="none" w:sz="0" w:space="0" w:color="auto"/>
        <w:bottom w:val="none" w:sz="0" w:space="0" w:color="auto"/>
        <w:right w:val="none" w:sz="0" w:space="0" w:color="auto"/>
      </w:divBdr>
    </w:div>
    <w:div w:id="1835686948">
      <w:bodyDiv w:val="1"/>
      <w:marLeft w:val="0"/>
      <w:marRight w:val="0"/>
      <w:marTop w:val="0"/>
      <w:marBottom w:val="0"/>
      <w:divBdr>
        <w:top w:val="none" w:sz="0" w:space="0" w:color="auto"/>
        <w:left w:val="none" w:sz="0" w:space="0" w:color="auto"/>
        <w:bottom w:val="none" w:sz="0" w:space="0" w:color="auto"/>
        <w:right w:val="none" w:sz="0" w:space="0" w:color="auto"/>
      </w:divBdr>
    </w:div>
    <w:div w:id="1840997332">
      <w:bodyDiv w:val="1"/>
      <w:marLeft w:val="0"/>
      <w:marRight w:val="0"/>
      <w:marTop w:val="0"/>
      <w:marBottom w:val="0"/>
      <w:divBdr>
        <w:top w:val="none" w:sz="0" w:space="0" w:color="auto"/>
        <w:left w:val="none" w:sz="0" w:space="0" w:color="auto"/>
        <w:bottom w:val="none" w:sz="0" w:space="0" w:color="auto"/>
        <w:right w:val="none" w:sz="0" w:space="0" w:color="auto"/>
      </w:divBdr>
      <w:divsChild>
        <w:div w:id="1308169627">
          <w:marLeft w:val="0"/>
          <w:marRight w:val="0"/>
          <w:marTop w:val="0"/>
          <w:marBottom w:val="0"/>
          <w:divBdr>
            <w:top w:val="none" w:sz="0" w:space="0" w:color="auto"/>
            <w:left w:val="none" w:sz="0" w:space="0" w:color="auto"/>
            <w:bottom w:val="none" w:sz="0" w:space="0" w:color="auto"/>
            <w:right w:val="none" w:sz="0" w:space="0" w:color="auto"/>
          </w:divBdr>
          <w:divsChild>
            <w:div w:id="1950235100">
              <w:marLeft w:val="0"/>
              <w:marRight w:val="0"/>
              <w:marTop w:val="411"/>
              <w:marBottom w:val="0"/>
              <w:divBdr>
                <w:top w:val="none" w:sz="0" w:space="0" w:color="auto"/>
                <w:left w:val="none" w:sz="0" w:space="0" w:color="auto"/>
                <w:bottom w:val="none" w:sz="0" w:space="0" w:color="auto"/>
                <w:right w:val="none" w:sz="0" w:space="0" w:color="auto"/>
              </w:divBdr>
              <w:divsChild>
                <w:div w:id="1530266173">
                  <w:marLeft w:val="0"/>
                  <w:marRight w:val="0"/>
                  <w:marTop w:val="0"/>
                  <w:marBottom w:val="0"/>
                  <w:divBdr>
                    <w:top w:val="none" w:sz="0" w:space="0" w:color="auto"/>
                    <w:left w:val="none" w:sz="0" w:space="0" w:color="auto"/>
                    <w:bottom w:val="none" w:sz="0" w:space="0" w:color="auto"/>
                    <w:right w:val="none" w:sz="0" w:space="0" w:color="auto"/>
                  </w:divBdr>
                  <w:divsChild>
                    <w:div w:id="260378497">
                      <w:marLeft w:val="79"/>
                      <w:marRight w:val="79"/>
                      <w:marTop w:val="0"/>
                      <w:marBottom w:val="0"/>
                      <w:divBdr>
                        <w:top w:val="none" w:sz="0" w:space="0" w:color="auto"/>
                        <w:left w:val="none" w:sz="0" w:space="0" w:color="auto"/>
                        <w:bottom w:val="none" w:sz="0" w:space="0" w:color="auto"/>
                        <w:right w:val="none" w:sz="0" w:space="0" w:color="auto"/>
                      </w:divBdr>
                      <w:divsChild>
                        <w:div w:id="1048070610">
                          <w:marLeft w:val="0"/>
                          <w:marRight w:val="0"/>
                          <w:marTop w:val="0"/>
                          <w:marBottom w:val="0"/>
                          <w:divBdr>
                            <w:top w:val="dashed" w:sz="6" w:space="0" w:color="DDDDDD"/>
                            <w:left w:val="none" w:sz="0" w:space="0" w:color="auto"/>
                            <w:bottom w:val="none" w:sz="0" w:space="0" w:color="auto"/>
                            <w:right w:val="none" w:sz="0" w:space="0" w:color="auto"/>
                          </w:divBdr>
                          <w:divsChild>
                            <w:div w:id="2013796876">
                              <w:marLeft w:val="0"/>
                              <w:marRight w:val="0"/>
                              <w:marTop w:val="0"/>
                              <w:marBottom w:val="0"/>
                              <w:divBdr>
                                <w:top w:val="none" w:sz="0" w:space="0" w:color="auto"/>
                                <w:left w:val="none" w:sz="0" w:space="0" w:color="auto"/>
                                <w:bottom w:val="none" w:sz="0" w:space="0" w:color="auto"/>
                                <w:right w:val="none" w:sz="0" w:space="0" w:color="auto"/>
                              </w:divBdr>
                              <w:divsChild>
                                <w:div w:id="639530692">
                                  <w:marLeft w:val="0"/>
                                  <w:marRight w:val="0"/>
                                  <w:marTop w:val="79"/>
                                  <w:marBottom w:val="79"/>
                                  <w:divBdr>
                                    <w:top w:val="none" w:sz="0" w:space="0" w:color="auto"/>
                                    <w:left w:val="none" w:sz="0" w:space="0" w:color="auto"/>
                                    <w:bottom w:val="none" w:sz="0" w:space="0" w:color="auto"/>
                                    <w:right w:val="none" w:sz="0" w:space="0" w:color="auto"/>
                                  </w:divBdr>
                                  <w:divsChild>
                                    <w:div w:id="1794789169">
                                      <w:marLeft w:val="0"/>
                                      <w:marRight w:val="0"/>
                                      <w:marTop w:val="0"/>
                                      <w:marBottom w:val="0"/>
                                      <w:divBdr>
                                        <w:top w:val="none" w:sz="0" w:space="0" w:color="auto"/>
                                        <w:left w:val="none" w:sz="0" w:space="0" w:color="auto"/>
                                        <w:bottom w:val="none" w:sz="0" w:space="0" w:color="auto"/>
                                        <w:right w:val="none" w:sz="0" w:space="0" w:color="auto"/>
                                      </w:divBdr>
                                      <w:divsChild>
                                        <w:div w:id="377247409">
                                          <w:marLeft w:val="554"/>
                                          <w:marRight w:val="0"/>
                                          <w:marTop w:val="0"/>
                                          <w:marBottom w:val="0"/>
                                          <w:divBdr>
                                            <w:top w:val="none" w:sz="0" w:space="0" w:color="auto"/>
                                            <w:left w:val="none" w:sz="0" w:space="0" w:color="auto"/>
                                            <w:bottom w:val="none" w:sz="0" w:space="0" w:color="auto"/>
                                            <w:right w:val="none" w:sz="0" w:space="0" w:color="auto"/>
                                          </w:divBdr>
                                          <w:divsChild>
                                            <w:div w:id="332951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44858323">
      <w:bodyDiv w:val="1"/>
      <w:marLeft w:val="0"/>
      <w:marRight w:val="0"/>
      <w:marTop w:val="0"/>
      <w:marBottom w:val="0"/>
      <w:divBdr>
        <w:top w:val="none" w:sz="0" w:space="0" w:color="auto"/>
        <w:left w:val="none" w:sz="0" w:space="0" w:color="auto"/>
        <w:bottom w:val="none" w:sz="0" w:space="0" w:color="auto"/>
        <w:right w:val="none" w:sz="0" w:space="0" w:color="auto"/>
      </w:divBdr>
    </w:div>
    <w:div w:id="1844931253">
      <w:bodyDiv w:val="1"/>
      <w:marLeft w:val="0"/>
      <w:marRight w:val="0"/>
      <w:marTop w:val="0"/>
      <w:marBottom w:val="0"/>
      <w:divBdr>
        <w:top w:val="none" w:sz="0" w:space="0" w:color="auto"/>
        <w:left w:val="none" w:sz="0" w:space="0" w:color="auto"/>
        <w:bottom w:val="none" w:sz="0" w:space="0" w:color="auto"/>
        <w:right w:val="none" w:sz="0" w:space="0" w:color="auto"/>
      </w:divBdr>
    </w:div>
    <w:div w:id="1849173129">
      <w:bodyDiv w:val="1"/>
      <w:marLeft w:val="0"/>
      <w:marRight w:val="0"/>
      <w:marTop w:val="0"/>
      <w:marBottom w:val="0"/>
      <w:divBdr>
        <w:top w:val="none" w:sz="0" w:space="0" w:color="auto"/>
        <w:left w:val="none" w:sz="0" w:space="0" w:color="auto"/>
        <w:bottom w:val="none" w:sz="0" w:space="0" w:color="auto"/>
        <w:right w:val="none" w:sz="0" w:space="0" w:color="auto"/>
      </w:divBdr>
      <w:divsChild>
        <w:div w:id="76753732">
          <w:marLeft w:val="0"/>
          <w:marRight w:val="0"/>
          <w:marTop w:val="0"/>
          <w:marBottom w:val="0"/>
          <w:divBdr>
            <w:top w:val="none" w:sz="0" w:space="0" w:color="auto"/>
            <w:left w:val="none" w:sz="0" w:space="0" w:color="auto"/>
            <w:bottom w:val="none" w:sz="0" w:space="0" w:color="auto"/>
            <w:right w:val="none" w:sz="0" w:space="0" w:color="auto"/>
          </w:divBdr>
          <w:divsChild>
            <w:div w:id="513810975">
              <w:marLeft w:val="0"/>
              <w:marRight w:val="0"/>
              <w:marTop w:val="0"/>
              <w:marBottom w:val="0"/>
              <w:divBdr>
                <w:top w:val="none" w:sz="0" w:space="0" w:color="auto"/>
                <w:left w:val="none" w:sz="0" w:space="0" w:color="auto"/>
                <w:bottom w:val="none" w:sz="0" w:space="0" w:color="auto"/>
                <w:right w:val="none" w:sz="0" w:space="0" w:color="auto"/>
              </w:divBdr>
              <w:divsChild>
                <w:div w:id="2119785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9037277">
          <w:marLeft w:val="0"/>
          <w:marRight w:val="0"/>
          <w:marTop w:val="0"/>
          <w:marBottom w:val="0"/>
          <w:divBdr>
            <w:top w:val="none" w:sz="0" w:space="0" w:color="auto"/>
            <w:left w:val="none" w:sz="0" w:space="0" w:color="auto"/>
            <w:bottom w:val="none" w:sz="0" w:space="0" w:color="auto"/>
            <w:right w:val="none" w:sz="0" w:space="0" w:color="auto"/>
          </w:divBdr>
          <w:divsChild>
            <w:div w:id="62920595">
              <w:marLeft w:val="0"/>
              <w:marRight w:val="0"/>
              <w:marTop w:val="0"/>
              <w:marBottom w:val="0"/>
              <w:divBdr>
                <w:top w:val="none" w:sz="0" w:space="0" w:color="auto"/>
                <w:left w:val="none" w:sz="0" w:space="0" w:color="auto"/>
                <w:bottom w:val="none" w:sz="0" w:space="0" w:color="auto"/>
                <w:right w:val="none" w:sz="0" w:space="0" w:color="auto"/>
              </w:divBdr>
              <w:divsChild>
                <w:div w:id="1128666984">
                  <w:marLeft w:val="0"/>
                  <w:marRight w:val="0"/>
                  <w:marTop w:val="0"/>
                  <w:marBottom w:val="0"/>
                  <w:divBdr>
                    <w:top w:val="none" w:sz="0" w:space="0" w:color="auto"/>
                    <w:left w:val="none" w:sz="0" w:space="0" w:color="auto"/>
                    <w:bottom w:val="none" w:sz="0" w:space="0" w:color="auto"/>
                    <w:right w:val="none" w:sz="0" w:space="0" w:color="auto"/>
                  </w:divBdr>
                </w:div>
              </w:divsChild>
            </w:div>
            <w:div w:id="1497383008">
              <w:marLeft w:val="0"/>
              <w:marRight w:val="0"/>
              <w:marTop w:val="0"/>
              <w:marBottom w:val="0"/>
              <w:divBdr>
                <w:top w:val="none" w:sz="0" w:space="0" w:color="auto"/>
                <w:left w:val="none" w:sz="0" w:space="0" w:color="auto"/>
                <w:bottom w:val="none" w:sz="0" w:space="0" w:color="auto"/>
                <w:right w:val="none" w:sz="0" w:space="0" w:color="auto"/>
              </w:divBdr>
              <w:divsChild>
                <w:div w:id="49110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9637644">
      <w:bodyDiv w:val="1"/>
      <w:marLeft w:val="0"/>
      <w:marRight w:val="0"/>
      <w:marTop w:val="0"/>
      <w:marBottom w:val="0"/>
      <w:divBdr>
        <w:top w:val="none" w:sz="0" w:space="0" w:color="auto"/>
        <w:left w:val="none" w:sz="0" w:space="0" w:color="auto"/>
        <w:bottom w:val="none" w:sz="0" w:space="0" w:color="auto"/>
        <w:right w:val="none" w:sz="0" w:space="0" w:color="auto"/>
      </w:divBdr>
    </w:div>
    <w:div w:id="1851525316">
      <w:bodyDiv w:val="1"/>
      <w:marLeft w:val="0"/>
      <w:marRight w:val="0"/>
      <w:marTop w:val="0"/>
      <w:marBottom w:val="0"/>
      <w:divBdr>
        <w:top w:val="none" w:sz="0" w:space="0" w:color="auto"/>
        <w:left w:val="none" w:sz="0" w:space="0" w:color="auto"/>
        <w:bottom w:val="none" w:sz="0" w:space="0" w:color="auto"/>
        <w:right w:val="none" w:sz="0" w:space="0" w:color="auto"/>
      </w:divBdr>
    </w:div>
    <w:div w:id="1851985941">
      <w:bodyDiv w:val="1"/>
      <w:marLeft w:val="0"/>
      <w:marRight w:val="0"/>
      <w:marTop w:val="0"/>
      <w:marBottom w:val="0"/>
      <w:divBdr>
        <w:top w:val="none" w:sz="0" w:space="0" w:color="auto"/>
        <w:left w:val="none" w:sz="0" w:space="0" w:color="auto"/>
        <w:bottom w:val="none" w:sz="0" w:space="0" w:color="auto"/>
        <w:right w:val="none" w:sz="0" w:space="0" w:color="auto"/>
      </w:divBdr>
    </w:div>
    <w:div w:id="1857109248">
      <w:bodyDiv w:val="1"/>
      <w:marLeft w:val="0"/>
      <w:marRight w:val="0"/>
      <w:marTop w:val="0"/>
      <w:marBottom w:val="0"/>
      <w:divBdr>
        <w:top w:val="none" w:sz="0" w:space="0" w:color="auto"/>
        <w:left w:val="none" w:sz="0" w:space="0" w:color="auto"/>
        <w:bottom w:val="none" w:sz="0" w:space="0" w:color="auto"/>
        <w:right w:val="none" w:sz="0" w:space="0" w:color="auto"/>
      </w:divBdr>
    </w:div>
    <w:div w:id="1858696511">
      <w:bodyDiv w:val="1"/>
      <w:marLeft w:val="0"/>
      <w:marRight w:val="0"/>
      <w:marTop w:val="0"/>
      <w:marBottom w:val="0"/>
      <w:divBdr>
        <w:top w:val="none" w:sz="0" w:space="0" w:color="auto"/>
        <w:left w:val="none" w:sz="0" w:space="0" w:color="auto"/>
        <w:bottom w:val="none" w:sz="0" w:space="0" w:color="auto"/>
        <w:right w:val="none" w:sz="0" w:space="0" w:color="auto"/>
      </w:divBdr>
      <w:divsChild>
        <w:div w:id="236329989">
          <w:marLeft w:val="0"/>
          <w:marRight w:val="0"/>
          <w:marTop w:val="0"/>
          <w:marBottom w:val="0"/>
          <w:divBdr>
            <w:top w:val="none" w:sz="0" w:space="0" w:color="auto"/>
            <w:left w:val="none" w:sz="0" w:space="0" w:color="auto"/>
            <w:bottom w:val="none" w:sz="0" w:space="0" w:color="auto"/>
            <w:right w:val="none" w:sz="0" w:space="0" w:color="auto"/>
          </w:divBdr>
        </w:div>
      </w:divsChild>
    </w:div>
    <w:div w:id="1859463769">
      <w:bodyDiv w:val="1"/>
      <w:marLeft w:val="0"/>
      <w:marRight w:val="0"/>
      <w:marTop w:val="0"/>
      <w:marBottom w:val="0"/>
      <w:divBdr>
        <w:top w:val="none" w:sz="0" w:space="0" w:color="auto"/>
        <w:left w:val="none" w:sz="0" w:space="0" w:color="auto"/>
        <w:bottom w:val="none" w:sz="0" w:space="0" w:color="auto"/>
        <w:right w:val="none" w:sz="0" w:space="0" w:color="auto"/>
      </w:divBdr>
    </w:div>
    <w:div w:id="1860390424">
      <w:bodyDiv w:val="1"/>
      <w:marLeft w:val="0"/>
      <w:marRight w:val="0"/>
      <w:marTop w:val="0"/>
      <w:marBottom w:val="0"/>
      <w:divBdr>
        <w:top w:val="none" w:sz="0" w:space="0" w:color="auto"/>
        <w:left w:val="none" w:sz="0" w:space="0" w:color="auto"/>
        <w:bottom w:val="none" w:sz="0" w:space="0" w:color="auto"/>
        <w:right w:val="none" w:sz="0" w:space="0" w:color="auto"/>
      </w:divBdr>
      <w:divsChild>
        <w:div w:id="1330212734">
          <w:marLeft w:val="0"/>
          <w:marRight w:val="0"/>
          <w:marTop w:val="0"/>
          <w:marBottom w:val="0"/>
          <w:divBdr>
            <w:top w:val="none" w:sz="0" w:space="0" w:color="auto"/>
            <w:left w:val="none" w:sz="0" w:space="0" w:color="auto"/>
            <w:bottom w:val="none" w:sz="0" w:space="0" w:color="auto"/>
            <w:right w:val="none" w:sz="0" w:space="0" w:color="auto"/>
          </w:divBdr>
          <w:divsChild>
            <w:div w:id="326901197">
              <w:marLeft w:val="0"/>
              <w:marRight w:val="0"/>
              <w:marTop w:val="411"/>
              <w:marBottom w:val="0"/>
              <w:divBdr>
                <w:top w:val="none" w:sz="0" w:space="0" w:color="auto"/>
                <w:left w:val="none" w:sz="0" w:space="0" w:color="auto"/>
                <w:bottom w:val="none" w:sz="0" w:space="0" w:color="auto"/>
                <w:right w:val="none" w:sz="0" w:space="0" w:color="auto"/>
              </w:divBdr>
              <w:divsChild>
                <w:div w:id="852960636">
                  <w:marLeft w:val="0"/>
                  <w:marRight w:val="0"/>
                  <w:marTop w:val="0"/>
                  <w:marBottom w:val="0"/>
                  <w:divBdr>
                    <w:top w:val="none" w:sz="0" w:space="0" w:color="auto"/>
                    <w:left w:val="none" w:sz="0" w:space="0" w:color="auto"/>
                    <w:bottom w:val="none" w:sz="0" w:space="0" w:color="auto"/>
                    <w:right w:val="none" w:sz="0" w:space="0" w:color="auto"/>
                  </w:divBdr>
                  <w:divsChild>
                    <w:div w:id="2127312794">
                      <w:marLeft w:val="79"/>
                      <w:marRight w:val="79"/>
                      <w:marTop w:val="0"/>
                      <w:marBottom w:val="0"/>
                      <w:divBdr>
                        <w:top w:val="none" w:sz="0" w:space="0" w:color="auto"/>
                        <w:left w:val="none" w:sz="0" w:space="0" w:color="auto"/>
                        <w:bottom w:val="none" w:sz="0" w:space="0" w:color="auto"/>
                        <w:right w:val="none" w:sz="0" w:space="0" w:color="auto"/>
                      </w:divBdr>
                      <w:divsChild>
                        <w:div w:id="970864987">
                          <w:marLeft w:val="0"/>
                          <w:marRight w:val="0"/>
                          <w:marTop w:val="0"/>
                          <w:marBottom w:val="0"/>
                          <w:divBdr>
                            <w:top w:val="dashed" w:sz="6" w:space="0" w:color="DDDDDD"/>
                            <w:left w:val="none" w:sz="0" w:space="0" w:color="auto"/>
                            <w:bottom w:val="none" w:sz="0" w:space="0" w:color="auto"/>
                            <w:right w:val="none" w:sz="0" w:space="0" w:color="auto"/>
                          </w:divBdr>
                          <w:divsChild>
                            <w:div w:id="17899240">
                              <w:marLeft w:val="0"/>
                              <w:marRight w:val="0"/>
                              <w:marTop w:val="0"/>
                              <w:marBottom w:val="0"/>
                              <w:divBdr>
                                <w:top w:val="none" w:sz="0" w:space="0" w:color="auto"/>
                                <w:left w:val="none" w:sz="0" w:space="0" w:color="auto"/>
                                <w:bottom w:val="none" w:sz="0" w:space="0" w:color="auto"/>
                                <w:right w:val="none" w:sz="0" w:space="0" w:color="auto"/>
                              </w:divBdr>
                              <w:divsChild>
                                <w:div w:id="1472481318">
                                  <w:marLeft w:val="0"/>
                                  <w:marRight w:val="0"/>
                                  <w:marTop w:val="79"/>
                                  <w:marBottom w:val="79"/>
                                  <w:divBdr>
                                    <w:top w:val="none" w:sz="0" w:space="0" w:color="auto"/>
                                    <w:left w:val="none" w:sz="0" w:space="0" w:color="auto"/>
                                    <w:bottom w:val="none" w:sz="0" w:space="0" w:color="auto"/>
                                    <w:right w:val="none" w:sz="0" w:space="0" w:color="auto"/>
                                  </w:divBdr>
                                  <w:divsChild>
                                    <w:div w:id="2076782958">
                                      <w:marLeft w:val="0"/>
                                      <w:marRight w:val="0"/>
                                      <w:marTop w:val="0"/>
                                      <w:marBottom w:val="0"/>
                                      <w:divBdr>
                                        <w:top w:val="none" w:sz="0" w:space="0" w:color="auto"/>
                                        <w:left w:val="none" w:sz="0" w:space="0" w:color="auto"/>
                                        <w:bottom w:val="none" w:sz="0" w:space="0" w:color="auto"/>
                                        <w:right w:val="none" w:sz="0" w:space="0" w:color="auto"/>
                                      </w:divBdr>
                                      <w:divsChild>
                                        <w:div w:id="1303316113">
                                          <w:marLeft w:val="554"/>
                                          <w:marRight w:val="0"/>
                                          <w:marTop w:val="0"/>
                                          <w:marBottom w:val="0"/>
                                          <w:divBdr>
                                            <w:top w:val="none" w:sz="0" w:space="0" w:color="auto"/>
                                            <w:left w:val="none" w:sz="0" w:space="0" w:color="auto"/>
                                            <w:bottom w:val="none" w:sz="0" w:space="0" w:color="auto"/>
                                            <w:right w:val="none" w:sz="0" w:space="0" w:color="auto"/>
                                          </w:divBdr>
                                          <w:divsChild>
                                            <w:div w:id="820542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65436906">
      <w:bodyDiv w:val="1"/>
      <w:marLeft w:val="0"/>
      <w:marRight w:val="0"/>
      <w:marTop w:val="0"/>
      <w:marBottom w:val="0"/>
      <w:divBdr>
        <w:top w:val="none" w:sz="0" w:space="0" w:color="auto"/>
        <w:left w:val="none" w:sz="0" w:space="0" w:color="auto"/>
        <w:bottom w:val="none" w:sz="0" w:space="0" w:color="auto"/>
        <w:right w:val="none" w:sz="0" w:space="0" w:color="auto"/>
      </w:divBdr>
    </w:div>
    <w:div w:id="1867526856">
      <w:bodyDiv w:val="1"/>
      <w:marLeft w:val="0"/>
      <w:marRight w:val="0"/>
      <w:marTop w:val="0"/>
      <w:marBottom w:val="0"/>
      <w:divBdr>
        <w:top w:val="none" w:sz="0" w:space="0" w:color="auto"/>
        <w:left w:val="none" w:sz="0" w:space="0" w:color="auto"/>
        <w:bottom w:val="none" w:sz="0" w:space="0" w:color="auto"/>
        <w:right w:val="none" w:sz="0" w:space="0" w:color="auto"/>
      </w:divBdr>
    </w:div>
    <w:div w:id="1874878969">
      <w:bodyDiv w:val="1"/>
      <w:marLeft w:val="0"/>
      <w:marRight w:val="0"/>
      <w:marTop w:val="0"/>
      <w:marBottom w:val="0"/>
      <w:divBdr>
        <w:top w:val="none" w:sz="0" w:space="0" w:color="auto"/>
        <w:left w:val="none" w:sz="0" w:space="0" w:color="auto"/>
        <w:bottom w:val="none" w:sz="0" w:space="0" w:color="auto"/>
        <w:right w:val="none" w:sz="0" w:space="0" w:color="auto"/>
      </w:divBdr>
    </w:div>
    <w:div w:id="1877278969">
      <w:bodyDiv w:val="1"/>
      <w:marLeft w:val="0"/>
      <w:marRight w:val="0"/>
      <w:marTop w:val="0"/>
      <w:marBottom w:val="0"/>
      <w:divBdr>
        <w:top w:val="none" w:sz="0" w:space="0" w:color="auto"/>
        <w:left w:val="none" w:sz="0" w:space="0" w:color="auto"/>
        <w:bottom w:val="none" w:sz="0" w:space="0" w:color="auto"/>
        <w:right w:val="none" w:sz="0" w:space="0" w:color="auto"/>
      </w:divBdr>
    </w:div>
    <w:div w:id="1877353748">
      <w:bodyDiv w:val="1"/>
      <w:marLeft w:val="0"/>
      <w:marRight w:val="0"/>
      <w:marTop w:val="0"/>
      <w:marBottom w:val="0"/>
      <w:divBdr>
        <w:top w:val="none" w:sz="0" w:space="0" w:color="auto"/>
        <w:left w:val="none" w:sz="0" w:space="0" w:color="auto"/>
        <w:bottom w:val="none" w:sz="0" w:space="0" w:color="auto"/>
        <w:right w:val="none" w:sz="0" w:space="0" w:color="auto"/>
      </w:divBdr>
    </w:div>
    <w:div w:id="1877959529">
      <w:bodyDiv w:val="1"/>
      <w:marLeft w:val="0"/>
      <w:marRight w:val="0"/>
      <w:marTop w:val="0"/>
      <w:marBottom w:val="0"/>
      <w:divBdr>
        <w:top w:val="none" w:sz="0" w:space="0" w:color="auto"/>
        <w:left w:val="none" w:sz="0" w:space="0" w:color="auto"/>
        <w:bottom w:val="none" w:sz="0" w:space="0" w:color="auto"/>
        <w:right w:val="none" w:sz="0" w:space="0" w:color="auto"/>
      </w:divBdr>
    </w:div>
    <w:div w:id="1878001439">
      <w:bodyDiv w:val="1"/>
      <w:marLeft w:val="0"/>
      <w:marRight w:val="0"/>
      <w:marTop w:val="0"/>
      <w:marBottom w:val="0"/>
      <w:divBdr>
        <w:top w:val="none" w:sz="0" w:space="0" w:color="auto"/>
        <w:left w:val="none" w:sz="0" w:space="0" w:color="auto"/>
        <w:bottom w:val="none" w:sz="0" w:space="0" w:color="auto"/>
        <w:right w:val="none" w:sz="0" w:space="0" w:color="auto"/>
      </w:divBdr>
    </w:div>
    <w:div w:id="1879976148">
      <w:bodyDiv w:val="1"/>
      <w:marLeft w:val="0"/>
      <w:marRight w:val="0"/>
      <w:marTop w:val="0"/>
      <w:marBottom w:val="0"/>
      <w:divBdr>
        <w:top w:val="none" w:sz="0" w:space="0" w:color="auto"/>
        <w:left w:val="none" w:sz="0" w:space="0" w:color="auto"/>
        <w:bottom w:val="none" w:sz="0" w:space="0" w:color="auto"/>
        <w:right w:val="none" w:sz="0" w:space="0" w:color="auto"/>
      </w:divBdr>
    </w:div>
    <w:div w:id="1882739659">
      <w:bodyDiv w:val="1"/>
      <w:marLeft w:val="0"/>
      <w:marRight w:val="0"/>
      <w:marTop w:val="0"/>
      <w:marBottom w:val="0"/>
      <w:divBdr>
        <w:top w:val="none" w:sz="0" w:space="0" w:color="auto"/>
        <w:left w:val="none" w:sz="0" w:space="0" w:color="auto"/>
        <w:bottom w:val="none" w:sz="0" w:space="0" w:color="auto"/>
        <w:right w:val="none" w:sz="0" w:space="0" w:color="auto"/>
      </w:divBdr>
    </w:div>
    <w:div w:id="1889416268">
      <w:bodyDiv w:val="1"/>
      <w:marLeft w:val="0"/>
      <w:marRight w:val="0"/>
      <w:marTop w:val="0"/>
      <w:marBottom w:val="0"/>
      <w:divBdr>
        <w:top w:val="none" w:sz="0" w:space="0" w:color="auto"/>
        <w:left w:val="none" w:sz="0" w:space="0" w:color="auto"/>
        <w:bottom w:val="none" w:sz="0" w:space="0" w:color="auto"/>
        <w:right w:val="none" w:sz="0" w:space="0" w:color="auto"/>
      </w:divBdr>
    </w:div>
    <w:div w:id="1891649640">
      <w:bodyDiv w:val="1"/>
      <w:marLeft w:val="0"/>
      <w:marRight w:val="0"/>
      <w:marTop w:val="0"/>
      <w:marBottom w:val="0"/>
      <w:divBdr>
        <w:top w:val="none" w:sz="0" w:space="0" w:color="auto"/>
        <w:left w:val="none" w:sz="0" w:space="0" w:color="auto"/>
        <w:bottom w:val="none" w:sz="0" w:space="0" w:color="auto"/>
        <w:right w:val="none" w:sz="0" w:space="0" w:color="auto"/>
      </w:divBdr>
      <w:divsChild>
        <w:div w:id="1654993116">
          <w:marLeft w:val="0"/>
          <w:marRight w:val="0"/>
          <w:marTop w:val="0"/>
          <w:marBottom w:val="0"/>
          <w:divBdr>
            <w:top w:val="none" w:sz="0" w:space="0" w:color="auto"/>
            <w:left w:val="none" w:sz="0" w:space="0" w:color="auto"/>
            <w:bottom w:val="none" w:sz="0" w:space="0" w:color="auto"/>
            <w:right w:val="none" w:sz="0" w:space="0" w:color="auto"/>
          </w:divBdr>
        </w:div>
      </w:divsChild>
    </w:div>
    <w:div w:id="1891768687">
      <w:bodyDiv w:val="1"/>
      <w:marLeft w:val="0"/>
      <w:marRight w:val="0"/>
      <w:marTop w:val="0"/>
      <w:marBottom w:val="0"/>
      <w:divBdr>
        <w:top w:val="none" w:sz="0" w:space="0" w:color="auto"/>
        <w:left w:val="none" w:sz="0" w:space="0" w:color="auto"/>
        <w:bottom w:val="none" w:sz="0" w:space="0" w:color="auto"/>
        <w:right w:val="none" w:sz="0" w:space="0" w:color="auto"/>
      </w:divBdr>
    </w:div>
    <w:div w:id="1897861138">
      <w:bodyDiv w:val="1"/>
      <w:marLeft w:val="0"/>
      <w:marRight w:val="0"/>
      <w:marTop w:val="0"/>
      <w:marBottom w:val="0"/>
      <w:divBdr>
        <w:top w:val="none" w:sz="0" w:space="0" w:color="auto"/>
        <w:left w:val="none" w:sz="0" w:space="0" w:color="auto"/>
        <w:bottom w:val="none" w:sz="0" w:space="0" w:color="auto"/>
        <w:right w:val="none" w:sz="0" w:space="0" w:color="auto"/>
      </w:divBdr>
    </w:div>
    <w:div w:id="1903641514">
      <w:bodyDiv w:val="1"/>
      <w:marLeft w:val="0"/>
      <w:marRight w:val="0"/>
      <w:marTop w:val="0"/>
      <w:marBottom w:val="0"/>
      <w:divBdr>
        <w:top w:val="none" w:sz="0" w:space="0" w:color="auto"/>
        <w:left w:val="none" w:sz="0" w:space="0" w:color="auto"/>
        <w:bottom w:val="none" w:sz="0" w:space="0" w:color="auto"/>
        <w:right w:val="none" w:sz="0" w:space="0" w:color="auto"/>
      </w:divBdr>
    </w:div>
    <w:div w:id="1906528120">
      <w:bodyDiv w:val="1"/>
      <w:marLeft w:val="0"/>
      <w:marRight w:val="0"/>
      <w:marTop w:val="0"/>
      <w:marBottom w:val="0"/>
      <w:divBdr>
        <w:top w:val="none" w:sz="0" w:space="0" w:color="auto"/>
        <w:left w:val="none" w:sz="0" w:space="0" w:color="auto"/>
        <w:bottom w:val="none" w:sz="0" w:space="0" w:color="auto"/>
        <w:right w:val="none" w:sz="0" w:space="0" w:color="auto"/>
      </w:divBdr>
    </w:div>
    <w:div w:id="1906604138">
      <w:bodyDiv w:val="1"/>
      <w:marLeft w:val="0"/>
      <w:marRight w:val="0"/>
      <w:marTop w:val="0"/>
      <w:marBottom w:val="0"/>
      <w:divBdr>
        <w:top w:val="none" w:sz="0" w:space="0" w:color="auto"/>
        <w:left w:val="none" w:sz="0" w:space="0" w:color="auto"/>
        <w:bottom w:val="none" w:sz="0" w:space="0" w:color="auto"/>
        <w:right w:val="none" w:sz="0" w:space="0" w:color="auto"/>
      </w:divBdr>
    </w:div>
    <w:div w:id="1908571053">
      <w:bodyDiv w:val="1"/>
      <w:marLeft w:val="0"/>
      <w:marRight w:val="0"/>
      <w:marTop w:val="0"/>
      <w:marBottom w:val="0"/>
      <w:divBdr>
        <w:top w:val="none" w:sz="0" w:space="0" w:color="auto"/>
        <w:left w:val="none" w:sz="0" w:space="0" w:color="auto"/>
        <w:bottom w:val="none" w:sz="0" w:space="0" w:color="auto"/>
        <w:right w:val="none" w:sz="0" w:space="0" w:color="auto"/>
      </w:divBdr>
    </w:div>
    <w:div w:id="1909152577">
      <w:bodyDiv w:val="1"/>
      <w:marLeft w:val="0"/>
      <w:marRight w:val="0"/>
      <w:marTop w:val="0"/>
      <w:marBottom w:val="0"/>
      <w:divBdr>
        <w:top w:val="none" w:sz="0" w:space="0" w:color="auto"/>
        <w:left w:val="none" w:sz="0" w:space="0" w:color="auto"/>
        <w:bottom w:val="none" w:sz="0" w:space="0" w:color="auto"/>
        <w:right w:val="none" w:sz="0" w:space="0" w:color="auto"/>
      </w:divBdr>
      <w:divsChild>
        <w:div w:id="240414524">
          <w:marLeft w:val="0"/>
          <w:marRight w:val="0"/>
          <w:marTop w:val="0"/>
          <w:marBottom w:val="0"/>
          <w:divBdr>
            <w:top w:val="none" w:sz="0" w:space="0" w:color="auto"/>
            <w:left w:val="none" w:sz="0" w:space="0" w:color="auto"/>
            <w:bottom w:val="none" w:sz="0" w:space="0" w:color="auto"/>
            <w:right w:val="none" w:sz="0" w:space="0" w:color="auto"/>
          </w:divBdr>
          <w:divsChild>
            <w:div w:id="1036540381">
              <w:marLeft w:val="0"/>
              <w:marRight w:val="0"/>
              <w:marTop w:val="411"/>
              <w:marBottom w:val="0"/>
              <w:divBdr>
                <w:top w:val="none" w:sz="0" w:space="0" w:color="auto"/>
                <w:left w:val="none" w:sz="0" w:space="0" w:color="auto"/>
                <w:bottom w:val="none" w:sz="0" w:space="0" w:color="auto"/>
                <w:right w:val="none" w:sz="0" w:space="0" w:color="auto"/>
              </w:divBdr>
              <w:divsChild>
                <w:div w:id="398139980">
                  <w:marLeft w:val="0"/>
                  <w:marRight w:val="0"/>
                  <w:marTop w:val="0"/>
                  <w:marBottom w:val="0"/>
                  <w:divBdr>
                    <w:top w:val="none" w:sz="0" w:space="0" w:color="auto"/>
                    <w:left w:val="none" w:sz="0" w:space="0" w:color="auto"/>
                    <w:bottom w:val="none" w:sz="0" w:space="0" w:color="auto"/>
                    <w:right w:val="none" w:sz="0" w:space="0" w:color="auto"/>
                  </w:divBdr>
                  <w:divsChild>
                    <w:div w:id="1695031299">
                      <w:marLeft w:val="79"/>
                      <w:marRight w:val="79"/>
                      <w:marTop w:val="0"/>
                      <w:marBottom w:val="0"/>
                      <w:divBdr>
                        <w:top w:val="none" w:sz="0" w:space="0" w:color="auto"/>
                        <w:left w:val="none" w:sz="0" w:space="0" w:color="auto"/>
                        <w:bottom w:val="none" w:sz="0" w:space="0" w:color="auto"/>
                        <w:right w:val="none" w:sz="0" w:space="0" w:color="auto"/>
                      </w:divBdr>
                      <w:divsChild>
                        <w:div w:id="1511794356">
                          <w:marLeft w:val="0"/>
                          <w:marRight w:val="0"/>
                          <w:marTop w:val="0"/>
                          <w:marBottom w:val="0"/>
                          <w:divBdr>
                            <w:top w:val="dashed" w:sz="6" w:space="0" w:color="DDDDDD"/>
                            <w:left w:val="none" w:sz="0" w:space="0" w:color="auto"/>
                            <w:bottom w:val="none" w:sz="0" w:space="0" w:color="auto"/>
                            <w:right w:val="none" w:sz="0" w:space="0" w:color="auto"/>
                          </w:divBdr>
                          <w:divsChild>
                            <w:div w:id="475269947">
                              <w:marLeft w:val="0"/>
                              <w:marRight w:val="0"/>
                              <w:marTop w:val="0"/>
                              <w:marBottom w:val="0"/>
                              <w:divBdr>
                                <w:top w:val="none" w:sz="0" w:space="0" w:color="auto"/>
                                <w:left w:val="none" w:sz="0" w:space="0" w:color="auto"/>
                                <w:bottom w:val="none" w:sz="0" w:space="0" w:color="auto"/>
                                <w:right w:val="none" w:sz="0" w:space="0" w:color="auto"/>
                              </w:divBdr>
                              <w:divsChild>
                                <w:div w:id="1475759891">
                                  <w:marLeft w:val="0"/>
                                  <w:marRight w:val="0"/>
                                  <w:marTop w:val="79"/>
                                  <w:marBottom w:val="79"/>
                                  <w:divBdr>
                                    <w:top w:val="none" w:sz="0" w:space="0" w:color="auto"/>
                                    <w:left w:val="none" w:sz="0" w:space="0" w:color="auto"/>
                                    <w:bottom w:val="none" w:sz="0" w:space="0" w:color="auto"/>
                                    <w:right w:val="none" w:sz="0" w:space="0" w:color="auto"/>
                                  </w:divBdr>
                                  <w:divsChild>
                                    <w:div w:id="929778062">
                                      <w:marLeft w:val="0"/>
                                      <w:marRight w:val="0"/>
                                      <w:marTop w:val="0"/>
                                      <w:marBottom w:val="0"/>
                                      <w:divBdr>
                                        <w:top w:val="none" w:sz="0" w:space="0" w:color="auto"/>
                                        <w:left w:val="none" w:sz="0" w:space="0" w:color="auto"/>
                                        <w:bottom w:val="none" w:sz="0" w:space="0" w:color="auto"/>
                                        <w:right w:val="none" w:sz="0" w:space="0" w:color="auto"/>
                                      </w:divBdr>
                                      <w:divsChild>
                                        <w:div w:id="356588811">
                                          <w:marLeft w:val="554"/>
                                          <w:marRight w:val="0"/>
                                          <w:marTop w:val="0"/>
                                          <w:marBottom w:val="0"/>
                                          <w:divBdr>
                                            <w:top w:val="none" w:sz="0" w:space="0" w:color="auto"/>
                                            <w:left w:val="none" w:sz="0" w:space="0" w:color="auto"/>
                                            <w:bottom w:val="none" w:sz="0" w:space="0" w:color="auto"/>
                                            <w:right w:val="none" w:sz="0" w:space="0" w:color="auto"/>
                                          </w:divBdr>
                                          <w:divsChild>
                                            <w:div w:id="265039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09270561">
      <w:bodyDiv w:val="1"/>
      <w:marLeft w:val="0"/>
      <w:marRight w:val="0"/>
      <w:marTop w:val="0"/>
      <w:marBottom w:val="0"/>
      <w:divBdr>
        <w:top w:val="none" w:sz="0" w:space="0" w:color="auto"/>
        <w:left w:val="none" w:sz="0" w:space="0" w:color="auto"/>
        <w:bottom w:val="none" w:sz="0" w:space="0" w:color="auto"/>
        <w:right w:val="none" w:sz="0" w:space="0" w:color="auto"/>
      </w:divBdr>
    </w:div>
    <w:div w:id="1914586120">
      <w:bodyDiv w:val="1"/>
      <w:marLeft w:val="0"/>
      <w:marRight w:val="0"/>
      <w:marTop w:val="0"/>
      <w:marBottom w:val="0"/>
      <w:divBdr>
        <w:top w:val="none" w:sz="0" w:space="0" w:color="auto"/>
        <w:left w:val="none" w:sz="0" w:space="0" w:color="auto"/>
        <w:bottom w:val="none" w:sz="0" w:space="0" w:color="auto"/>
        <w:right w:val="none" w:sz="0" w:space="0" w:color="auto"/>
      </w:divBdr>
    </w:div>
    <w:div w:id="1916473642">
      <w:bodyDiv w:val="1"/>
      <w:marLeft w:val="0"/>
      <w:marRight w:val="0"/>
      <w:marTop w:val="0"/>
      <w:marBottom w:val="0"/>
      <w:divBdr>
        <w:top w:val="none" w:sz="0" w:space="0" w:color="auto"/>
        <w:left w:val="none" w:sz="0" w:space="0" w:color="auto"/>
        <w:bottom w:val="none" w:sz="0" w:space="0" w:color="auto"/>
        <w:right w:val="none" w:sz="0" w:space="0" w:color="auto"/>
      </w:divBdr>
    </w:div>
    <w:div w:id="1918324516">
      <w:bodyDiv w:val="1"/>
      <w:marLeft w:val="0"/>
      <w:marRight w:val="0"/>
      <w:marTop w:val="0"/>
      <w:marBottom w:val="0"/>
      <w:divBdr>
        <w:top w:val="none" w:sz="0" w:space="0" w:color="auto"/>
        <w:left w:val="none" w:sz="0" w:space="0" w:color="auto"/>
        <w:bottom w:val="none" w:sz="0" w:space="0" w:color="auto"/>
        <w:right w:val="none" w:sz="0" w:space="0" w:color="auto"/>
      </w:divBdr>
      <w:divsChild>
        <w:div w:id="751926821">
          <w:marLeft w:val="0"/>
          <w:marRight w:val="0"/>
          <w:marTop w:val="0"/>
          <w:marBottom w:val="0"/>
          <w:divBdr>
            <w:top w:val="none" w:sz="0" w:space="0" w:color="auto"/>
            <w:left w:val="none" w:sz="0" w:space="0" w:color="auto"/>
            <w:bottom w:val="none" w:sz="0" w:space="0" w:color="auto"/>
            <w:right w:val="none" w:sz="0" w:space="0" w:color="auto"/>
          </w:divBdr>
          <w:divsChild>
            <w:div w:id="1963687265">
              <w:marLeft w:val="0"/>
              <w:marRight w:val="0"/>
              <w:marTop w:val="411"/>
              <w:marBottom w:val="0"/>
              <w:divBdr>
                <w:top w:val="none" w:sz="0" w:space="0" w:color="auto"/>
                <w:left w:val="none" w:sz="0" w:space="0" w:color="auto"/>
                <w:bottom w:val="none" w:sz="0" w:space="0" w:color="auto"/>
                <w:right w:val="none" w:sz="0" w:space="0" w:color="auto"/>
              </w:divBdr>
              <w:divsChild>
                <w:div w:id="1092975451">
                  <w:marLeft w:val="0"/>
                  <w:marRight w:val="0"/>
                  <w:marTop w:val="0"/>
                  <w:marBottom w:val="0"/>
                  <w:divBdr>
                    <w:top w:val="none" w:sz="0" w:space="0" w:color="auto"/>
                    <w:left w:val="none" w:sz="0" w:space="0" w:color="auto"/>
                    <w:bottom w:val="none" w:sz="0" w:space="0" w:color="auto"/>
                    <w:right w:val="none" w:sz="0" w:space="0" w:color="auto"/>
                  </w:divBdr>
                  <w:divsChild>
                    <w:div w:id="1504274835">
                      <w:marLeft w:val="79"/>
                      <w:marRight w:val="79"/>
                      <w:marTop w:val="0"/>
                      <w:marBottom w:val="0"/>
                      <w:divBdr>
                        <w:top w:val="none" w:sz="0" w:space="0" w:color="auto"/>
                        <w:left w:val="none" w:sz="0" w:space="0" w:color="auto"/>
                        <w:bottom w:val="none" w:sz="0" w:space="0" w:color="auto"/>
                        <w:right w:val="none" w:sz="0" w:space="0" w:color="auto"/>
                      </w:divBdr>
                      <w:divsChild>
                        <w:div w:id="822624943">
                          <w:marLeft w:val="0"/>
                          <w:marRight w:val="0"/>
                          <w:marTop w:val="0"/>
                          <w:marBottom w:val="0"/>
                          <w:divBdr>
                            <w:top w:val="dashed" w:sz="6" w:space="0" w:color="DDDDDD"/>
                            <w:left w:val="none" w:sz="0" w:space="0" w:color="auto"/>
                            <w:bottom w:val="none" w:sz="0" w:space="0" w:color="auto"/>
                            <w:right w:val="none" w:sz="0" w:space="0" w:color="auto"/>
                          </w:divBdr>
                          <w:divsChild>
                            <w:div w:id="781724826">
                              <w:marLeft w:val="0"/>
                              <w:marRight w:val="0"/>
                              <w:marTop w:val="0"/>
                              <w:marBottom w:val="0"/>
                              <w:divBdr>
                                <w:top w:val="none" w:sz="0" w:space="0" w:color="auto"/>
                                <w:left w:val="none" w:sz="0" w:space="0" w:color="auto"/>
                                <w:bottom w:val="none" w:sz="0" w:space="0" w:color="auto"/>
                                <w:right w:val="none" w:sz="0" w:space="0" w:color="auto"/>
                              </w:divBdr>
                              <w:divsChild>
                                <w:div w:id="1501116181">
                                  <w:marLeft w:val="0"/>
                                  <w:marRight w:val="0"/>
                                  <w:marTop w:val="79"/>
                                  <w:marBottom w:val="79"/>
                                  <w:divBdr>
                                    <w:top w:val="none" w:sz="0" w:space="0" w:color="auto"/>
                                    <w:left w:val="none" w:sz="0" w:space="0" w:color="auto"/>
                                    <w:bottom w:val="none" w:sz="0" w:space="0" w:color="auto"/>
                                    <w:right w:val="none" w:sz="0" w:space="0" w:color="auto"/>
                                  </w:divBdr>
                                  <w:divsChild>
                                    <w:div w:id="1395276586">
                                      <w:marLeft w:val="0"/>
                                      <w:marRight w:val="0"/>
                                      <w:marTop w:val="0"/>
                                      <w:marBottom w:val="0"/>
                                      <w:divBdr>
                                        <w:top w:val="none" w:sz="0" w:space="0" w:color="auto"/>
                                        <w:left w:val="none" w:sz="0" w:space="0" w:color="auto"/>
                                        <w:bottom w:val="none" w:sz="0" w:space="0" w:color="auto"/>
                                        <w:right w:val="none" w:sz="0" w:space="0" w:color="auto"/>
                                      </w:divBdr>
                                      <w:divsChild>
                                        <w:div w:id="69475192">
                                          <w:marLeft w:val="554"/>
                                          <w:marRight w:val="0"/>
                                          <w:marTop w:val="0"/>
                                          <w:marBottom w:val="0"/>
                                          <w:divBdr>
                                            <w:top w:val="none" w:sz="0" w:space="0" w:color="auto"/>
                                            <w:left w:val="none" w:sz="0" w:space="0" w:color="auto"/>
                                            <w:bottom w:val="none" w:sz="0" w:space="0" w:color="auto"/>
                                            <w:right w:val="none" w:sz="0" w:space="0" w:color="auto"/>
                                          </w:divBdr>
                                          <w:divsChild>
                                            <w:div w:id="963847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24072133">
      <w:bodyDiv w:val="1"/>
      <w:marLeft w:val="0"/>
      <w:marRight w:val="0"/>
      <w:marTop w:val="0"/>
      <w:marBottom w:val="0"/>
      <w:divBdr>
        <w:top w:val="none" w:sz="0" w:space="0" w:color="auto"/>
        <w:left w:val="none" w:sz="0" w:space="0" w:color="auto"/>
        <w:bottom w:val="none" w:sz="0" w:space="0" w:color="auto"/>
        <w:right w:val="none" w:sz="0" w:space="0" w:color="auto"/>
      </w:divBdr>
    </w:div>
    <w:div w:id="1930038460">
      <w:bodyDiv w:val="1"/>
      <w:marLeft w:val="0"/>
      <w:marRight w:val="0"/>
      <w:marTop w:val="0"/>
      <w:marBottom w:val="0"/>
      <w:divBdr>
        <w:top w:val="none" w:sz="0" w:space="0" w:color="auto"/>
        <w:left w:val="none" w:sz="0" w:space="0" w:color="auto"/>
        <w:bottom w:val="none" w:sz="0" w:space="0" w:color="auto"/>
        <w:right w:val="none" w:sz="0" w:space="0" w:color="auto"/>
      </w:divBdr>
    </w:div>
    <w:div w:id="1931311108">
      <w:bodyDiv w:val="1"/>
      <w:marLeft w:val="0"/>
      <w:marRight w:val="0"/>
      <w:marTop w:val="0"/>
      <w:marBottom w:val="0"/>
      <w:divBdr>
        <w:top w:val="none" w:sz="0" w:space="0" w:color="auto"/>
        <w:left w:val="none" w:sz="0" w:space="0" w:color="auto"/>
        <w:bottom w:val="none" w:sz="0" w:space="0" w:color="auto"/>
        <w:right w:val="none" w:sz="0" w:space="0" w:color="auto"/>
      </w:divBdr>
      <w:divsChild>
        <w:div w:id="744300585">
          <w:marLeft w:val="0"/>
          <w:marRight w:val="0"/>
          <w:marTop w:val="0"/>
          <w:marBottom w:val="0"/>
          <w:divBdr>
            <w:top w:val="none" w:sz="0" w:space="0" w:color="auto"/>
            <w:left w:val="none" w:sz="0" w:space="0" w:color="auto"/>
            <w:bottom w:val="none" w:sz="0" w:space="0" w:color="auto"/>
            <w:right w:val="none" w:sz="0" w:space="0" w:color="auto"/>
          </w:divBdr>
        </w:div>
        <w:div w:id="1437016653">
          <w:marLeft w:val="0"/>
          <w:marRight w:val="0"/>
          <w:marTop w:val="0"/>
          <w:marBottom w:val="0"/>
          <w:divBdr>
            <w:top w:val="none" w:sz="0" w:space="0" w:color="auto"/>
            <w:left w:val="none" w:sz="0" w:space="0" w:color="auto"/>
            <w:bottom w:val="none" w:sz="0" w:space="0" w:color="auto"/>
            <w:right w:val="none" w:sz="0" w:space="0" w:color="auto"/>
          </w:divBdr>
        </w:div>
        <w:div w:id="1989942155">
          <w:marLeft w:val="0"/>
          <w:marRight w:val="0"/>
          <w:marTop w:val="0"/>
          <w:marBottom w:val="0"/>
          <w:divBdr>
            <w:top w:val="none" w:sz="0" w:space="0" w:color="auto"/>
            <w:left w:val="none" w:sz="0" w:space="0" w:color="auto"/>
            <w:bottom w:val="none" w:sz="0" w:space="0" w:color="auto"/>
            <w:right w:val="none" w:sz="0" w:space="0" w:color="auto"/>
          </w:divBdr>
        </w:div>
      </w:divsChild>
    </w:div>
    <w:div w:id="1935169067">
      <w:bodyDiv w:val="1"/>
      <w:marLeft w:val="0"/>
      <w:marRight w:val="0"/>
      <w:marTop w:val="0"/>
      <w:marBottom w:val="0"/>
      <w:divBdr>
        <w:top w:val="none" w:sz="0" w:space="0" w:color="auto"/>
        <w:left w:val="none" w:sz="0" w:space="0" w:color="auto"/>
        <w:bottom w:val="none" w:sz="0" w:space="0" w:color="auto"/>
        <w:right w:val="none" w:sz="0" w:space="0" w:color="auto"/>
      </w:divBdr>
      <w:divsChild>
        <w:div w:id="1183546670">
          <w:marLeft w:val="0"/>
          <w:marRight w:val="0"/>
          <w:marTop w:val="0"/>
          <w:marBottom w:val="0"/>
          <w:divBdr>
            <w:top w:val="none" w:sz="0" w:space="0" w:color="auto"/>
            <w:left w:val="none" w:sz="0" w:space="0" w:color="auto"/>
            <w:bottom w:val="none" w:sz="0" w:space="0" w:color="auto"/>
            <w:right w:val="none" w:sz="0" w:space="0" w:color="auto"/>
          </w:divBdr>
          <w:divsChild>
            <w:div w:id="57478223">
              <w:marLeft w:val="375"/>
              <w:marRight w:val="0"/>
              <w:marTop w:val="0"/>
              <w:marBottom w:val="0"/>
              <w:divBdr>
                <w:top w:val="none" w:sz="0" w:space="0" w:color="auto"/>
                <w:left w:val="none" w:sz="0" w:space="0" w:color="auto"/>
                <w:bottom w:val="none" w:sz="0" w:space="0" w:color="auto"/>
                <w:right w:val="none" w:sz="0" w:space="0" w:color="auto"/>
              </w:divBdr>
              <w:divsChild>
                <w:div w:id="838499647">
                  <w:marLeft w:val="45"/>
                  <w:marRight w:val="0"/>
                  <w:marTop w:val="225"/>
                  <w:marBottom w:val="0"/>
                  <w:divBdr>
                    <w:top w:val="none" w:sz="0" w:space="0" w:color="auto"/>
                    <w:left w:val="none" w:sz="0" w:space="0" w:color="auto"/>
                    <w:bottom w:val="none" w:sz="0" w:space="0" w:color="auto"/>
                    <w:right w:val="none" w:sz="0" w:space="0" w:color="auto"/>
                  </w:divBdr>
                  <w:divsChild>
                    <w:div w:id="1751930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5240070">
      <w:bodyDiv w:val="1"/>
      <w:marLeft w:val="0"/>
      <w:marRight w:val="0"/>
      <w:marTop w:val="0"/>
      <w:marBottom w:val="0"/>
      <w:divBdr>
        <w:top w:val="none" w:sz="0" w:space="0" w:color="auto"/>
        <w:left w:val="none" w:sz="0" w:space="0" w:color="auto"/>
        <w:bottom w:val="none" w:sz="0" w:space="0" w:color="auto"/>
        <w:right w:val="none" w:sz="0" w:space="0" w:color="auto"/>
      </w:divBdr>
    </w:div>
    <w:div w:id="1941138206">
      <w:bodyDiv w:val="1"/>
      <w:marLeft w:val="0"/>
      <w:marRight w:val="0"/>
      <w:marTop w:val="0"/>
      <w:marBottom w:val="0"/>
      <w:divBdr>
        <w:top w:val="none" w:sz="0" w:space="0" w:color="auto"/>
        <w:left w:val="none" w:sz="0" w:space="0" w:color="auto"/>
        <w:bottom w:val="none" w:sz="0" w:space="0" w:color="auto"/>
        <w:right w:val="none" w:sz="0" w:space="0" w:color="auto"/>
      </w:divBdr>
    </w:div>
    <w:div w:id="1945068049">
      <w:bodyDiv w:val="1"/>
      <w:marLeft w:val="0"/>
      <w:marRight w:val="0"/>
      <w:marTop w:val="0"/>
      <w:marBottom w:val="0"/>
      <w:divBdr>
        <w:top w:val="none" w:sz="0" w:space="0" w:color="auto"/>
        <w:left w:val="none" w:sz="0" w:space="0" w:color="auto"/>
        <w:bottom w:val="none" w:sz="0" w:space="0" w:color="auto"/>
        <w:right w:val="none" w:sz="0" w:space="0" w:color="auto"/>
      </w:divBdr>
    </w:div>
    <w:div w:id="1946421632">
      <w:bodyDiv w:val="1"/>
      <w:marLeft w:val="0"/>
      <w:marRight w:val="0"/>
      <w:marTop w:val="0"/>
      <w:marBottom w:val="0"/>
      <w:divBdr>
        <w:top w:val="none" w:sz="0" w:space="0" w:color="auto"/>
        <w:left w:val="none" w:sz="0" w:space="0" w:color="auto"/>
        <w:bottom w:val="none" w:sz="0" w:space="0" w:color="auto"/>
        <w:right w:val="none" w:sz="0" w:space="0" w:color="auto"/>
      </w:divBdr>
    </w:div>
    <w:div w:id="1947230890">
      <w:bodyDiv w:val="1"/>
      <w:marLeft w:val="0"/>
      <w:marRight w:val="0"/>
      <w:marTop w:val="0"/>
      <w:marBottom w:val="0"/>
      <w:divBdr>
        <w:top w:val="none" w:sz="0" w:space="0" w:color="auto"/>
        <w:left w:val="none" w:sz="0" w:space="0" w:color="auto"/>
        <w:bottom w:val="none" w:sz="0" w:space="0" w:color="auto"/>
        <w:right w:val="none" w:sz="0" w:space="0" w:color="auto"/>
      </w:divBdr>
    </w:div>
    <w:div w:id="1948348181">
      <w:bodyDiv w:val="1"/>
      <w:marLeft w:val="0"/>
      <w:marRight w:val="0"/>
      <w:marTop w:val="0"/>
      <w:marBottom w:val="0"/>
      <w:divBdr>
        <w:top w:val="none" w:sz="0" w:space="0" w:color="auto"/>
        <w:left w:val="none" w:sz="0" w:space="0" w:color="auto"/>
        <w:bottom w:val="none" w:sz="0" w:space="0" w:color="auto"/>
        <w:right w:val="none" w:sz="0" w:space="0" w:color="auto"/>
      </w:divBdr>
    </w:div>
    <w:div w:id="1948460395">
      <w:bodyDiv w:val="1"/>
      <w:marLeft w:val="0"/>
      <w:marRight w:val="0"/>
      <w:marTop w:val="0"/>
      <w:marBottom w:val="0"/>
      <w:divBdr>
        <w:top w:val="none" w:sz="0" w:space="0" w:color="auto"/>
        <w:left w:val="none" w:sz="0" w:space="0" w:color="auto"/>
        <w:bottom w:val="none" w:sz="0" w:space="0" w:color="auto"/>
        <w:right w:val="none" w:sz="0" w:space="0" w:color="auto"/>
      </w:divBdr>
    </w:div>
    <w:div w:id="1950233671">
      <w:bodyDiv w:val="1"/>
      <w:marLeft w:val="0"/>
      <w:marRight w:val="0"/>
      <w:marTop w:val="0"/>
      <w:marBottom w:val="0"/>
      <w:divBdr>
        <w:top w:val="none" w:sz="0" w:space="0" w:color="auto"/>
        <w:left w:val="none" w:sz="0" w:space="0" w:color="auto"/>
        <w:bottom w:val="none" w:sz="0" w:space="0" w:color="auto"/>
        <w:right w:val="none" w:sz="0" w:space="0" w:color="auto"/>
      </w:divBdr>
    </w:div>
    <w:div w:id="1950887128">
      <w:bodyDiv w:val="1"/>
      <w:marLeft w:val="0"/>
      <w:marRight w:val="0"/>
      <w:marTop w:val="0"/>
      <w:marBottom w:val="0"/>
      <w:divBdr>
        <w:top w:val="none" w:sz="0" w:space="0" w:color="auto"/>
        <w:left w:val="none" w:sz="0" w:space="0" w:color="auto"/>
        <w:bottom w:val="none" w:sz="0" w:space="0" w:color="auto"/>
        <w:right w:val="none" w:sz="0" w:space="0" w:color="auto"/>
      </w:divBdr>
    </w:div>
    <w:div w:id="1952932296">
      <w:bodyDiv w:val="1"/>
      <w:marLeft w:val="0"/>
      <w:marRight w:val="0"/>
      <w:marTop w:val="0"/>
      <w:marBottom w:val="0"/>
      <w:divBdr>
        <w:top w:val="none" w:sz="0" w:space="0" w:color="auto"/>
        <w:left w:val="none" w:sz="0" w:space="0" w:color="auto"/>
        <w:bottom w:val="none" w:sz="0" w:space="0" w:color="auto"/>
        <w:right w:val="none" w:sz="0" w:space="0" w:color="auto"/>
      </w:divBdr>
    </w:div>
    <w:div w:id="1955862189">
      <w:bodyDiv w:val="1"/>
      <w:marLeft w:val="0"/>
      <w:marRight w:val="0"/>
      <w:marTop w:val="0"/>
      <w:marBottom w:val="0"/>
      <w:divBdr>
        <w:top w:val="none" w:sz="0" w:space="0" w:color="auto"/>
        <w:left w:val="none" w:sz="0" w:space="0" w:color="auto"/>
        <w:bottom w:val="none" w:sz="0" w:space="0" w:color="auto"/>
        <w:right w:val="none" w:sz="0" w:space="0" w:color="auto"/>
      </w:divBdr>
    </w:div>
    <w:div w:id="1962684357">
      <w:bodyDiv w:val="1"/>
      <w:marLeft w:val="0"/>
      <w:marRight w:val="0"/>
      <w:marTop w:val="0"/>
      <w:marBottom w:val="0"/>
      <w:divBdr>
        <w:top w:val="none" w:sz="0" w:space="0" w:color="auto"/>
        <w:left w:val="none" w:sz="0" w:space="0" w:color="auto"/>
        <w:bottom w:val="none" w:sz="0" w:space="0" w:color="auto"/>
        <w:right w:val="none" w:sz="0" w:space="0" w:color="auto"/>
      </w:divBdr>
    </w:div>
    <w:div w:id="1970428034">
      <w:bodyDiv w:val="1"/>
      <w:marLeft w:val="0"/>
      <w:marRight w:val="0"/>
      <w:marTop w:val="0"/>
      <w:marBottom w:val="0"/>
      <w:divBdr>
        <w:top w:val="none" w:sz="0" w:space="0" w:color="auto"/>
        <w:left w:val="none" w:sz="0" w:space="0" w:color="auto"/>
        <w:bottom w:val="none" w:sz="0" w:space="0" w:color="auto"/>
        <w:right w:val="none" w:sz="0" w:space="0" w:color="auto"/>
      </w:divBdr>
      <w:divsChild>
        <w:div w:id="601768677">
          <w:marLeft w:val="0"/>
          <w:marRight w:val="0"/>
          <w:marTop w:val="0"/>
          <w:marBottom w:val="120"/>
          <w:divBdr>
            <w:top w:val="none" w:sz="0" w:space="0" w:color="auto"/>
            <w:left w:val="none" w:sz="0" w:space="0" w:color="auto"/>
            <w:bottom w:val="none" w:sz="0" w:space="0" w:color="auto"/>
            <w:right w:val="none" w:sz="0" w:space="0" w:color="auto"/>
          </w:divBdr>
          <w:divsChild>
            <w:div w:id="1481070292">
              <w:marLeft w:val="0"/>
              <w:marRight w:val="0"/>
              <w:marTop w:val="0"/>
              <w:marBottom w:val="0"/>
              <w:divBdr>
                <w:top w:val="none" w:sz="0" w:space="0" w:color="auto"/>
                <w:left w:val="none" w:sz="0" w:space="0" w:color="auto"/>
                <w:bottom w:val="none" w:sz="0" w:space="0" w:color="auto"/>
                <w:right w:val="none" w:sz="0" w:space="0" w:color="auto"/>
              </w:divBdr>
              <w:divsChild>
                <w:div w:id="1225607419">
                  <w:marLeft w:val="0"/>
                  <w:marRight w:val="0"/>
                  <w:marTop w:val="0"/>
                  <w:marBottom w:val="0"/>
                  <w:divBdr>
                    <w:top w:val="single" w:sz="6" w:space="10" w:color="DCDCDC"/>
                    <w:left w:val="single" w:sz="6" w:space="10" w:color="DCDCDC"/>
                    <w:bottom w:val="single" w:sz="6" w:space="10" w:color="DCDCDC"/>
                    <w:right w:val="single" w:sz="6" w:space="10" w:color="DCDCDC"/>
                  </w:divBdr>
                  <w:divsChild>
                    <w:div w:id="826290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0621953">
      <w:bodyDiv w:val="1"/>
      <w:marLeft w:val="0"/>
      <w:marRight w:val="0"/>
      <w:marTop w:val="0"/>
      <w:marBottom w:val="0"/>
      <w:divBdr>
        <w:top w:val="none" w:sz="0" w:space="0" w:color="auto"/>
        <w:left w:val="none" w:sz="0" w:space="0" w:color="auto"/>
        <w:bottom w:val="none" w:sz="0" w:space="0" w:color="auto"/>
        <w:right w:val="none" w:sz="0" w:space="0" w:color="auto"/>
      </w:divBdr>
    </w:div>
    <w:div w:id="1973247071">
      <w:bodyDiv w:val="1"/>
      <w:marLeft w:val="0"/>
      <w:marRight w:val="0"/>
      <w:marTop w:val="0"/>
      <w:marBottom w:val="0"/>
      <w:divBdr>
        <w:top w:val="none" w:sz="0" w:space="0" w:color="auto"/>
        <w:left w:val="none" w:sz="0" w:space="0" w:color="auto"/>
        <w:bottom w:val="none" w:sz="0" w:space="0" w:color="auto"/>
        <w:right w:val="none" w:sz="0" w:space="0" w:color="auto"/>
      </w:divBdr>
    </w:div>
    <w:div w:id="1973289208">
      <w:bodyDiv w:val="1"/>
      <w:marLeft w:val="0"/>
      <w:marRight w:val="0"/>
      <w:marTop w:val="0"/>
      <w:marBottom w:val="0"/>
      <w:divBdr>
        <w:top w:val="none" w:sz="0" w:space="0" w:color="auto"/>
        <w:left w:val="none" w:sz="0" w:space="0" w:color="auto"/>
        <w:bottom w:val="none" w:sz="0" w:space="0" w:color="auto"/>
        <w:right w:val="none" w:sz="0" w:space="0" w:color="auto"/>
      </w:divBdr>
    </w:div>
    <w:div w:id="1975404464">
      <w:bodyDiv w:val="1"/>
      <w:marLeft w:val="0"/>
      <w:marRight w:val="0"/>
      <w:marTop w:val="0"/>
      <w:marBottom w:val="0"/>
      <w:divBdr>
        <w:top w:val="none" w:sz="0" w:space="0" w:color="auto"/>
        <w:left w:val="none" w:sz="0" w:space="0" w:color="auto"/>
        <w:bottom w:val="none" w:sz="0" w:space="0" w:color="auto"/>
        <w:right w:val="none" w:sz="0" w:space="0" w:color="auto"/>
      </w:divBdr>
      <w:divsChild>
        <w:div w:id="114519161">
          <w:marLeft w:val="0"/>
          <w:marRight w:val="0"/>
          <w:marTop w:val="0"/>
          <w:marBottom w:val="0"/>
          <w:divBdr>
            <w:top w:val="none" w:sz="0" w:space="0" w:color="auto"/>
            <w:left w:val="none" w:sz="0" w:space="0" w:color="auto"/>
            <w:bottom w:val="none" w:sz="0" w:space="0" w:color="auto"/>
            <w:right w:val="none" w:sz="0" w:space="0" w:color="auto"/>
          </w:divBdr>
        </w:div>
        <w:div w:id="134031463">
          <w:marLeft w:val="0"/>
          <w:marRight w:val="0"/>
          <w:marTop w:val="0"/>
          <w:marBottom w:val="0"/>
          <w:divBdr>
            <w:top w:val="none" w:sz="0" w:space="0" w:color="auto"/>
            <w:left w:val="none" w:sz="0" w:space="0" w:color="auto"/>
            <w:bottom w:val="none" w:sz="0" w:space="0" w:color="auto"/>
            <w:right w:val="none" w:sz="0" w:space="0" w:color="auto"/>
          </w:divBdr>
        </w:div>
        <w:div w:id="324749494">
          <w:marLeft w:val="0"/>
          <w:marRight w:val="0"/>
          <w:marTop w:val="0"/>
          <w:marBottom w:val="0"/>
          <w:divBdr>
            <w:top w:val="none" w:sz="0" w:space="0" w:color="auto"/>
            <w:left w:val="none" w:sz="0" w:space="0" w:color="auto"/>
            <w:bottom w:val="none" w:sz="0" w:space="0" w:color="auto"/>
            <w:right w:val="none" w:sz="0" w:space="0" w:color="auto"/>
          </w:divBdr>
        </w:div>
        <w:div w:id="332605164">
          <w:marLeft w:val="0"/>
          <w:marRight w:val="0"/>
          <w:marTop w:val="0"/>
          <w:marBottom w:val="0"/>
          <w:divBdr>
            <w:top w:val="none" w:sz="0" w:space="0" w:color="auto"/>
            <w:left w:val="none" w:sz="0" w:space="0" w:color="auto"/>
            <w:bottom w:val="none" w:sz="0" w:space="0" w:color="auto"/>
            <w:right w:val="none" w:sz="0" w:space="0" w:color="auto"/>
          </w:divBdr>
        </w:div>
        <w:div w:id="559636391">
          <w:marLeft w:val="0"/>
          <w:marRight w:val="0"/>
          <w:marTop w:val="0"/>
          <w:marBottom w:val="0"/>
          <w:divBdr>
            <w:top w:val="none" w:sz="0" w:space="0" w:color="auto"/>
            <w:left w:val="none" w:sz="0" w:space="0" w:color="auto"/>
            <w:bottom w:val="none" w:sz="0" w:space="0" w:color="auto"/>
            <w:right w:val="none" w:sz="0" w:space="0" w:color="auto"/>
          </w:divBdr>
        </w:div>
        <w:div w:id="583538568">
          <w:marLeft w:val="0"/>
          <w:marRight w:val="0"/>
          <w:marTop w:val="0"/>
          <w:marBottom w:val="0"/>
          <w:divBdr>
            <w:top w:val="none" w:sz="0" w:space="0" w:color="auto"/>
            <w:left w:val="none" w:sz="0" w:space="0" w:color="auto"/>
            <w:bottom w:val="none" w:sz="0" w:space="0" w:color="auto"/>
            <w:right w:val="none" w:sz="0" w:space="0" w:color="auto"/>
          </w:divBdr>
        </w:div>
        <w:div w:id="588782154">
          <w:marLeft w:val="0"/>
          <w:marRight w:val="0"/>
          <w:marTop w:val="0"/>
          <w:marBottom w:val="0"/>
          <w:divBdr>
            <w:top w:val="none" w:sz="0" w:space="0" w:color="auto"/>
            <w:left w:val="none" w:sz="0" w:space="0" w:color="auto"/>
            <w:bottom w:val="none" w:sz="0" w:space="0" w:color="auto"/>
            <w:right w:val="none" w:sz="0" w:space="0" w:color="auto"/>
          </w:divBdr>
        </w:div>
        <w:div w:id="728923506">
          <w:marLeft w:val="0"/>
          <w:marRight w:val="0"/>
          <w:marTop w:val="0"/>
          <w:marBottom w:val="0"/>
          <w:divBdr>
            <w:top w:val="none" w:sz="0" w:space="0" w:color="auto"/>
            <w:left w:val="none" w:sz="0" w:space="0" w:color="auto"/>
            <w:bottom w:val="none" w:sz="0" w:space="0" w:color="auto"/>
            <w:right w:val="none" w:sz="0" w:space="0" w:color="auto"/>
          </w:divBdr>
        </w:div>
        <w:div w:id="799108714">
          <w:marLeft w:val="0"/>
          <w:marRight w:val="0"/>
          <w:marTop w:val="0"/>
          <w:marBottom w:val="0"/>
          <w:divBdr>
            <w:top w:val="none" w:sz="0" w:space="0" w:color="auto"/>
            <w:left w:val="none" w:sz="0" w:space="0" w:color="auto"/>
            <w:bottom w:val="none" w:sz="0" w:space="0" w:color="auto"/>
            <w:right w:val="none" w:sz="0" w:space="0" w:color="auto"/>
          </w:divBdr>
        </w:div>
        <w:div w:id="997538307">
          <w:marLeft w:val="0"/>
          <w:marRight w:val="0"/>
          <w:marTop w:val="0"/>
          <w:marBottom w:val="0"/>
          <w:divBdr>
            <w:top w:val="none" w:sz="0" w:space="0" w:color="auto"/>
            <w:left w:val="none" w:sz="0" w:space="0" w:color="auto"/>
            <w:bottom w:val="none" w:sz="0" w:space="0" w:color="auto"/>
            <w:right w:val="none" w:sz="0" w:space="0" w:color="auto"/>
          </w:divBdr>
        </w:div>
        <w:div w:id="1311669235">
          <w:marLeft w:val="0"/>
          <w:marRight w:val="0"/>
          <w:marTop w:val="0"/>
          <w:marBottom w:val="0"/>
          <w:divBdr>
            <w:top w:val="none" w:sz="0" w:space="0" w:color="auto"/>
            <w:left w:val="none" w:sz="0" w:space="0" w:color="auto"/>
            <w:bottom w:val="none" w:sz="0" w:space="0" w:color="auto"/>
            <w:right w:val="none" w:sz="0" w:space="0" w:color="auto"/>
          </w:divBdr>
        </w:div>
        <w:div w:id="1335186507">
          <w:marLeft w:val="0"/>
          <w:marRight w:val="0"/>
          <w:marTop w:val="0"/>
          <w:marBottom w:val="0"/>
          <w:divBdr>
            <w:top w:val="none" w:sz="0" w:space="0" w:color="auto"/>
            <w:left w:val="none" w:sz="0" w:space="0" w:color="auto"/>
            <w:bottom w:val="none" w:sz="0" w:space="0" w:color="auto"/>
            <w:right w:val="none" w:sz="0" w:space="0" w:color="auto"/>
          </w:divBdr>
        </w:div>
        <w:div w:id="1440446198">
          <w:marLeft w:val="0"/>
          <w:marRight w:val="0"/>
          <w:marTop w:val="0"/>
          <w:marBottom w:val="0"/>
          <w:divBdr>
            <w:top w:val="none" w:sz="0" w:space="0" w:color="auto"/>
            <w:left w:val="none" w:sz="0" w:space="0" w:color="auto"/>
            <w:bottom w:val="none" w:sz="0" w:space="0" w:color="auto"/>
            <w:right w:val="none" w:sz="0" w:space="0" w:color="auto"/>
          </w:divBdr>
        </w:div>
        <w:div w:id="1525242240">
          <w:marLeft w:val="0"/>
          <w:marRight w:val="0"/>
          <w:marTop w:val="0"/>
          <w:marBottom w:val="0"/>
          <w:divBdr>
            <w:top w:val="none" w:sz="0" w:space="0" w:color="auto"/>
            <w:left w:val="none" w:sz="0" w:space="0" w:color="auto"/>
            <w:bottom w:val="none" w:sz="0" w:space="0" w:color="auto"/>
            <w:right w:val="none" w:sz="0" w:space="0" w:color="auto"/>
          </w:divBdr>
        </w:div>
        <w:div w:id="1553079015">
          <w:marLeft w:val="0"/>
          <w:marRight w:val="0"/>
          <w:marTop w:val="0"/>
          <w:marBottom w:val="0"/>
          <w:divBdr>
            <w:top w:val="none" w:sz="0" w:space="0" w:color="auto"/>
            <w:left w:val="none" w:sz="0" w:space="0" w:color="auto"/>
            <w:bottom w:val="none" w:sz="0" w:space="0" w:color="auto"/>
            <w:right w:val="none" w:sz="0" w:space="0" w:color="auto"/>
          </w:divBdr>
        </w:div>
        <w:div w:id="2076777501">
          <w:marLeft w:val="0"/>
          <w:marRight w:val="0"/>
          <w:marTop w:val="0"/>
          <w:marBottom w:val="0"/>
          <w:divBdr>
            <w:top w:val="none" w:sz="0" w:space="0" w:color="auto"/>
            <w:left w:val="none" w:sz="0" w:space="0" w:color="auto"/>
            <w:bottom w:val="none" w:sz="0" w:space="0" w:color="auto"/>
            <w:right w:val="none" w:sz="0" w:space="0" w:color="auto"/>
          </w:divBdr>
        </w:div>
      </w:divsChild>
    </w:div>
    <w:div w:id="1977024976">
      <w:bodyDiv w:val="1"/>
      <w:marLeft w:val="0"/>
      <w:marRight w:val="0"/>
      <w:marTop w:val="0"/>
      <w:marBottom w:val="0"/>
      <w:divBdr>
        <w:top w:val="none" w:sz="0" w:space="0" w:color="auto"/>
        <w:left w:val="none" w:sz="0" w:space="0" w:color="auto"/>
        <w:bottom w:val="none" w:sz="0" w:space="0" w:color="auto"/>
        <w:right w:val="none" w:sz="0" w:space="0" w:color="auto"/>
      </w:divBdr>
    </w:div>
    <w:div w:id="1977106038">
      <w:bodyDiv w:val="1"/>
      <w:marLeft w:val="0"/>
      <w:marRight w:val="0"/>
      <w:marTop w:val="0"/>
      <w:marBottom w:val="0"/>
      <w:divBdr>
        <w:top w:val="none" w:sz="0" w:space="0" w:color="auto"/>
        <w:left w:val="none" w:sz="0" w:space="0" w:color="auto"/>
        <w:bottom w:val="none" w:sz="0" w:space="0" w:color="auto"/>
        <w:right w:val="none" w:sz="0" w:space="0" w:color="auto"/>
      </w:divBdr>
    </w:div>
    <w:div w:id="1978290557">
      <w:bodyDiv w:val="1"/>
      <w:marLeft w:val="0"/>
      <w:marRight w:val="0"/>
      <w:marTop w:val="0"/>
      <w:marBottom w:val="0"/>
      <w:divBdr>
        <w:top w:val="none" w:sz="0" w:space="0" w:color="auto"/>
        <w:left w:val="none" w:sz="0" w:space="0" w:color="auto"/>
        <w:bottom w:val="none" w:sz="0" w:space="0" w:color="auto"/>
        <w:right w:val="none" w:sz="0" w:space="0" w:color="auto"/>
      </w:divBdr>
      <w:divsChild>
        <w:div w:id="1079905577">
          <w:marLeft w:val="0"/>
          <w:marRight w:val="0"/>
          <w:marTop w:val="0"/>
          <w:marBottom w:val="0"/>
          <w:divBdr>
            <w:top w:val="none" w:sz="0" w:space="0" w:color="auto"/>
            <w:left w:val="none" w:sz="0" w:space="0" w:color="auto"/>
            <w:bottom w:val="none" w:sz="0" w:space="0" w:color="auto"/>
            <w:right w:val="none" w:sz="0" w:space="0" w:color="auto"/>
          </w:divBdr>
          <w:divsChild>
            <w:div w:id="1903057681">
              <w:marLeft w:val="375"/>
              <w:marRight w:val="0"/>
              <w:marTop w:val="0"/>
              <w:marBottom w:val="0"/>
              <w:divBdr>
                <w:top w:val="none" w:sz="0" w:space="0" w:color="auto"/>
                <w:left w:val="none" w:sz="0" w:space="0" w:color="auto"/>
                <w:bottom w:val="none" w:sz="0" w:space="0" w:color="auto"/>
                <w:right w:val="none" w:sz="0" w:space="0" w:color="auto"/>
              </w:divBdr>
              <w:divsChild>
                <w:div w:id="243758758">
                  <w:marLeft w:val="45"/>
                  <w:marRight w:val="0"/>
                  <w:marTop w:val="225"/>
                  <w:marBottom w:val="0"/>
                  <w:divBdr>
                    <w:top w:val="none" w:sz="0" w:space="0" w:color="auto"/>
                    <w:left w:val="none" w:sz="0" w:space="0" w:color="auto"/>
                    <w:bottom w:val="none" w:sz="0" w:space="0" w:color="auto"/>
                    <w:right w:val="none" w:sz="0" w:space="0" w:color="auto"/>
                  </w:divBdr>
                  <w:divsChild>
                    <w:div w:id="1755513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6810790">
      <w:bodyDiv w:val="1"/>
      <w:marLeft w:val="0"/>
      <w:marRight w:val="0"/>
      <w:marTop w:val="0"/>
      <w:marBottom w:val="0"/>
      <w:divBdr>
        <w:top w:val="none" w:sz="0" w:space="0" w:color="auto"/>
        <w:left w:val="none" w:sz="0" w:space="0" w:color="auto"/>
        <w:bottom w:val="none" w:sz="0" w:space="0" w:color="auto"/>
        <w:right w:val="none" w:sz="0" w:space="0" w:color="auto"/>
      </w:divBdr>
    </w:div>
    <w:div w:id="1990787138">
      <w:bodyDiv w:val="1"/>
      <w:marLeft w:val="0"/>
      <w:marRight w:val="0"/>
      <w:marTop w:val="0"/>
      <w:marBottom w:val="0"/>
      <w:divBdr>
        <w:top w:val="none" w:sz="0" w:space="0" w:color="auto"/>
        <w:left w:val="none" w:sz="0" w:space="0" w:color="auto"/>
        <w:bottom w:val="none" w:sz="0" w:space="0" w:color="auto"/>
        <w:right w:val="none" w:sz="0" w:space="0" w:color="auto"/>
      </w:divBdr>
    </w:div>
    <w:div w:id="1994605196">
      <w:bodyDiv w:val="1"/>
      <w:marLeft w:val="0"/>
      <w:marRight w:val="0"/>
      <w:marTop w:val="0"/>
      <w:marBottom w:val="0"/>
      <w:divBdr>
        <w:top w:val="none" w:sz="0" w:space="0" w:color="auto"/>
        <w:left w:val="none" w:sz="0" w:space="0" w:color="auto"/>
        <w:bottom w:val="none" w:sz="0" w:space="0" w:color="auto"/>
        <w:right w:val="none" w:sz="0" w:space="0" w:color="auto"/>
      </w:divBdr>
      <w:divsChild>
        <w:div w:id="1867479118">
          <w:marLeft w:val="0"/>
          <w:marRight w:val="0"/>
          <w:marTop w:val="0"/>
          <w:marBottom w:val="0"/>
          <w:divBdr>
            <w:top w:val="none" w:sz="0" w:space="0" w:color="auto"/>
            <w:left w:val="none" w:sz="0" w:space="0" w:color="auto"/>
            <w:bottom w:val="none" w:sz="0" w:space="0" w:color="auto"/>
            <w:right w:val="none" w:sz="0" w:space="0" w:color="auto"/>
          </w:divBdr>
          <w:divsChild>
            <w:div w:id="196704908">
              <w:marLeft w:val="0"/>
              <w:marRight w:val="0"/>
              <w:marTop w:val="411"/>
              <w:marBottom w:val="0"/>
              <w:divBdr>
                <w:top w:val="none" w:sz="0" w:space="0" w:color="auto"/>
                <w:left w:val="none" w:sz="0" w:space="0" w:color="auto"/>
                <w:bottom w:val="none" w:sz="0" w:space="0" w:color="auto"/>
                <w:right w:val="none" w:sz="0" w:space="0" w:color="auto"/>
              </w:divBdr>
              <w:divsChild>
                <w:div w:id="3364720">
                  <w:marLeft w:val="0"/>
                  <w:marRight w:val="0"/>
                  <w:marTop w:val="0"/>
                  <w:marBottom w:val="0"/>
                  <w:divBdr>
                    <w:top w:val="none" w:sz="0" w:space="0" w:color="auto"/>
                    <w:left w:val="none" w:sz="0" w:space="0" w:color="auto"/>
                    <w:bottom w:val="none" w:sz="0" w:space="0" w:color="auto"/>
                    <w:right w:val="none" w:sz="0" w:space="0" w:color="auto"/>
                  </w:divBdr>
                  <w:divsChild>
                    <w:div w:id="1757701771">
                      <w:marLeft w:val="79"/>
                      <w:marRight w:val="79"/>
                      <w:marTop w:val="0"/>
                      <w:marBottom w:val="0"/>
                      <w:divBdr>
                        <w:top w:val="none" w:sz="0" w:space="0" w:color="auto"/>
                        <w:left w:val="none" w:sz="0" w:space="0" w:color="auto"/>
                        <w:bottom w:val="none" w:sz="0" w:space="0" w:color="auto"/>
                        <w:right w:val="none" w:sz="0" w:space="0" w:color="auto"/>
                      </w:divBdr>
                      <w:divsChild>
                        <w:div w:id="2053529529">
                          <w:marLeft w:val="0"/>
                          <w:marRight w:val="0"/>
                          <w:marTop w:val="0"/>
                          <w:marBottom w:val="0"/>
                          <w:divBdr>
                            <w:top w:val="dashed" w:sz="6" w:space="0" w:color="DDDDDD"/>
                            <w:left w:val="none" w:sz="0" w:space="0" w:color="auto"/>
                            <w:bottom w:val="none" w:sz="0" w:space="0" w:color="auto"/>
                            <w:right w:val="none" w:sz="0" w:space="0" w:color="auto"/>
                          </w:divBdr>
                          <w:divsChild>
                            <w:div w:id="2112968770">
                              <w:marLeft w:val="0"/>
                              <w:marRight w:val="0"/>
                              <w:marTop w:val="0"/>
                              <w:marBottom w:val="0"/>
                              <w:divBdr>
                                <w:top w:val="none" w:sz="0" w:space="0" w:color="auto"/>
                                <w:left w:val="none" w:sz="0" w:space="0" w:color="auto"/>
                                <w:bottom w:val="none" w:sz="0" w:space="0" w:color="auto"/>
                                <w:right w:val="none" w:sz="0" w:space="0" w:color="auto"/>
                              </w:divBdr>
                              <w:divsChild>
                                <w:div w:id="315111244">
                                  <w:marLeft w:val="0"/>
                                  <w:marRight w:val="0"/>
                                  <w:marTop w:val="79"/>
                                  <w:marBottom w:val="79"/>
                                  <w:divBdr>
                                    <w:top w:val="none" w:sz="0" w:space="0" w:color="auto"/>
                                    <w:left w:val="none" w:sz="0" w:space="0" w:color="auto"/>
                                    <w:bottom w:val="none" w:sz="0" w:space="0" w:color="auto"/>
                                    <w:right w:val="none" w:sz="0" w:space="0" w:color="auto"/>
                                  </w:divBdr>
                                  <w:divsChild>
                                    <w:div w:id="1640918358">
                                      <w:marLeft w:val="0"/>
                                      <w:marRight w:val="0"/>
                                      <w:marTop w:val="0"/>
                                      <w:marBottom w:val="0"/>
                                      <w:divBdr>
                                        <w:top w:val="none" w:sz="0" w:space="0" w:color="auto"/>
                                        <w:left w:val="none" w:sz="0" w:space="0" w:color="auto"/>
                                        <w:bottom w:val="none" w:sz="0" w:space="0" w:color="auto"/>
                                        <w:right w:val="none" w:sz="0" w:space="0" w:color="auto"/>
                                      </w:divBdr>
                                      <w:divsChild>
                                        <w:div w:id="512914599">
                                          <w:marLeft w:val="554"/>
                                          <w:marRight w:val="0"/>
                                          <w:marTop w:val="0"/>
                                          <w:marBottom w:val="0"/>
                                          <w:divBdr>
                                            <w:top w:val="none" w:sz="0" w:space="0" w:color="auto"/>
                                            <w:left w:val="none" w:sz="0" w:space="0" w:color="auto"/>
                                            <w:bottom w:val="none" w:sz="0" w:space="0" w:color="auto"/>
                                            <w:right w:val="none" w:sz="0" w:space="0" w:color="auto"/>
                                          </w:divBdr>
                                          <w:divsChild>
                                            <w:div w:id="155001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03191021">
      <w:bodyDiv w:val="1"/>
      <w:marLeft w:val="0"/>
      <w:marRight w:val="0"/>
      <w:marTop w:val="0"/>
      <w:marBottom w:val="0"/>
      <w:divBdr>
        <w:top w:val="none" w:sz="0" w:space="0" w:color="auto"/>
        <w:left w:val="none" w:sz="0" w:space="0" w:color="auto"/>
        <w:bottom w:val="none" w:sz="0" w:space="0" w:color="auto"/>
        <w:right w:val="none" w:sz="0" w:space="0" w:color="auto"/>
      </w:divBdr>
    </w:div>
    <w:div w:id="2004042846">
      <w:bodyDiv w:val="1"/>
      <w:marLeft w:val="0"/>
      <w:marRight w:val="0"/>
      <w:marTop w:val="0"/>
      <w:marBottom w:val="0"/>
      <w:divBdr>
        <w:top w:val="none" w:sz="0" w:space="0" w:color="auto"/>
        <w:left w:val="none" w:sz="0" w:space="0" w:color="auto"/>
        <w:bottom w:val="none" w:sz="0" w:space="0" w:color="auto"/>
        <w:right w:val="none" w:sz="0" w:space="0" w:color="auto"/>
      </w:divBdr>
      <w:divsChild>
        <w:div w:id="294915016">
          <w:marLeft w:val="0"/>
          <w:marRight w:val="0"/>
          <w:marTop w:val="0"/>
          <w:marBottom w:val="0"/>
          <w:divBdr>
            <w:top w:val="none" w:sz="0" w:space="0" w:color="auto"/>
            <w:left w:val="none" w:sz="0" w:space="0" w:color="auto"/>
            <w:bottom w:val="none" w:sz="0" w:space="0" w:color="auto"/>
            <w:right w:val="none" w:sz="0" w:space="0" w:color="auto"/>
          </w:divBdr>
          <w:divsChild>
            <w:div w:id="1409183502">
              <w:marLeft w:val="0"/>
              <w:marRight w:val="0"/>
              <w:marTop w:val="411"/>
              <w:marBottom w:val="0"/>
              <w:divBdr>
                <w:top w:val="none" w:sz="0" w:space="0" w:color="auto"/>
                <w:left w:val="none" w:sz="0" w:space="0" w:color="auto"/>
                <w:bottom w:val="none" w:sz="0" w:space="0" w:color="auto"/>
                <w:right w:val="none" w:sz="0" w:space="0" w:color="auto"/>
              </w:divBdr>
              <w:divsChild>
                <w:div w:id="1803690138">
                  <w:marLeft w:val="0"/>
                  <w:marRight w:val="0"/>
                  <w:marTop w:val="0"/>
                  <w:marBottom w:val="0"/>
                  <w:divBdr>
                    <w:top w:val="none" w:sz="0" w:space="0" w:color="auto"/>
                    <w:left w:val="none" w:sz="0" w:space="0" w:color="auto"/>
                    <w:bottom w:val="none" w:sz="0" w:space="0" w:color="auto"/>
                    <w:right w:val="none" w:sz="0" w:space="0" w:color="auto"/>
                  </w:divBdr>
                  <w:divsChild>
                    <w:div w:id="2042707064">
                      <w:marLeft w:val="79"/>
                      <w:marRight w:val="79"/>
                      <w:marTop w:val="0"/>
                      <w:marBottom w:val="0"/>
                      <w:divBdr>
                        <w:top w:val="none" w:sz="0" w:space="0" w:color="auto"/>
                        <w:left w:val="none" w:sz="0" w:space="0" w:color="auto"/>
                        <w:bottom w:val="none" w:sz="0" w:space="0" w:color="auto"/>
                        <w:right w:val="none" w:sz="0" w:space="0" w:color="auto"/>
                      </w:divBdr>
                      <w:divsChild>
                        <w:div w:id="1054349647">
                          <w:marLeft w:val="0"/>
                          <w:marRight w:val="0"/>
                          <w:marTop w:val="0"/>
                          <w:marBottom w:val="0"/>
                          <w:divBdr>
                            <w:top w:val="dashed" w:sz="6" w:space="0" w:color="DDDDDD"/>
                            <w:left w:val="none" w:sz="0" w:space="0" w:color="auto"/>
                            <w:bottom w:val="none" w:sz="0" w:space="0" w:color="auto"/>
                            <w:right w:val="none" w:sz="0" w:space="0" w:color="auto"/>
                          </w:divBdr>
                          <w:divsChild>
                            <w:div w:id="1207598851">
                              <w:marLeft w:val="0"/>
                              <w:marRight w:val="0"/>
                              <w:marTop w:val="0"/>
                              <w:marBottom w:val="0"/>
                              <w:divBdr>
                                <w:top w:val="none" w:sz="0" w:space="0" w:color="auto"/>
                                <w:left w:val="none" w:sz="0" w:space="0" w:color="auto"/>
                                <w:bottom w:val="none" w:sz="0" w:space="0" w:color="auto"/>
                                <w:right w:val="none" w:sz="0" w:space="0" w:color="auto"/>
                              </w:divBdr>
                              <w:divsChild>
                                <w:div w:id="1869635803">
                                  <w:marLeft w:val="0"/>
                                  <w:marRight w:val="0"/>
                                  <w:marTop w:val="79"/>
                                  <w:marBottom w:val="79"/>
                                  <w:divBdr>
                                    <w:top w:val="none" w:sz="0" w:space="0" w:color="auto"/>
                                    <w:left w:val="none" w:sz="0" w:space="0" w:color="auto"/>
                                    <w:bottom w:val="none" w:sz="0" w:space="0" w:color="auto"/>
                                    <w:right w:val="none" w:sz="0" w:space="0" w:color="auto"/>
                                  </w:divBdr>
                                  <w:divsChild>
                                    <w:div w:id="160002883">
                                      <w:marLeft w:val="0"/>
                                      <w:marRight w:val="0"/>
                                      <w:marTop w:val="0"/>
                                      <w:marBottom w:val="0"/>
                                      <w:divBdr>
                                        <w:top w:val="none" w:sz="0" w:space="0" w:color="auto"/>
                                        <w:left w:val="none" w:sz="0" w:space="0" w:color="auto"/>
                                        <w:bottom w:val="none" w:sz="0" w:space="0" w:color="auto"/>
                                        <w:right w:val="none" w:sz="0" w:space="0" w:color="auto"/>
                                      </w:divBdr>
                                      <w:divsChild>
                                        <w:div w:id="25178566">
                                          <w:marLeft w:val="554"/>
                                          <w:marRight w:val="0"/>
                                          <w:marTop w:val="0"/>
                                          <w:marBottom w:val="0"/>
                                          <w:divBdr>
                                            <w:top w:val="none" w:sz="0" w:space="0" w:color="auto"/>
                                            <w:left w:val="none" w:sz="0" w:space="0" w:color="auto"/>
                                            <w:bottom w:val="none" w:sz="0" w:space="0" w:color="auto"/>
                                            <w:right w:val="none" w:sz="0" w:space="0" w:color="auto"/>
                                          </w:divBdr>
                                          <w:divsChild>
                                            <w:div w:id="1037004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13675456">
      <w:bodyDiv w:val="1"/>
      <w:marLeft w:val="0"/>
      <w:marRight w:val="0"/>
      <w:marTop w:val="0"/>
      <w:marBottom w:val="0"/>
      <w:divBdr>
        <w:top w:val="none" w:sz="0" w:space="0" w:color="auto"/>
        <w:left w:val="none" w:sz="0" w:space="0" w:color="auto"/>
        <w:bottom w:val="none" w:sz="0" w:space="0" w:color="auto"/>
        <w:right w:val="none" w:sz="0" w:space="0" w:color="auto"/>
      </w:divBdr>
    </w:div>
    <w:div w:id="2015958459">
      <w:bodyDiv w:val="1"/>
      <w:marLeft w:val="0"/>
      <w:marRight w:val="0"/>
      <w:marTop w:val="0"/>
      <w:marBottom w:val="0"/>
      <w:divBdr>
        <w:top w:val="none" w:sz="0" w:space="0" w:color="auto"/>
        <w:left w:val="none" w:sz="0" w:space="0" w:color="auto"/>
        <w:bottom w:val="none" w:sz="0" w:space="0" w:color="auto"/>
        <w:right w:val="none" w:sz="0" w:space="0" w:color="auto"/>
      </w:divBdr>
    </w:div>
    <w:div w:id="2017460817">
      <w:bodyDiv w:val="1"/>
      <w:marLeft w:val="0"/>
      <w:marRight w:val="0"/>
      <w:marTop w:val="0"/>
      <w:marBottom w:val="0"/>
      <w:divBdr>
        <w:top w:val="none" w:sz="0" w:space="0" w:color="auto"/>
        <w:left w:val="none" w:sz="0" w:space="0" w:color="auto"/>
        <w:bottom w:val="none" w:sz="0" w:space="0" w:color="auto"/>
        <w:right w:val="none" w:sz="0" w:space="0" w:color="auto"/>
      </w:divBdr>
    </w:div>
    <w:div w:id="2019698506">
      <w:bodyDiv w:val="1"/>
      <w:marLeft w:val="0"/>
      <w:marRight w:val="0"/>
      <w:marTop w:val="0"/>
      <w:marBottom w:val="0"/>
      <w:divBdr>
        <w:top w:val="none" w:sz="0" w:space="0" w:color="auto"/>
        <w:left w:val="none" w:sz="0" w:space="0" w:color="auto"/>
        <w:bottom w:val="none" w:sz="0" w:space="0" w:color="auto"/>
        <w:right w:val="none" w:sz="0" w:space="0" w:color="auto"/>
      </w:divBdr>
    </w:div>
    <w:div w:id="2021348104">
      <w:bodyDiv w:val="1"/>
      <w:marLeft w:val="0"/>
      <w:marRight w:val="0"/>
      <w:marTop w:val="0"/>
      <w:marBottom w:val="0"/>
      <w:divBdr>
        <w:top w:val="none" w:sz="0" w:space="0" w:color="auto"/>
        <w:left w:val="none" w:sz="0" w:space="0" w:color="auto"/>
        <w:bottom w:val="none" w:sz="0" w:space="0" w:color="auto"/>
        <w:right w:val="none" w:sz="0" w:space="0" w:color="auto"/>
      </w:divBdr>
      <w:divsChild>
        <w:div w:id="12343266">
          <w:marLeft w:val="0"/>
          <w:marRight w:val="0"/>
          <w:marTop w:val="0"/>
          <w:marBottom w:val="0"/>
          <w:divBdr>
            <w:top w:val="none" w:sz="0" w:space="0" w:color="auto"/>
            <w:left w:val="none" w:sz="0" w:space="0" w:color="auto"/>
            <w:bottom w:val="none" w:sz="0" w:space="0" w:color="auto"/>
            <w:right w:val="none" w:sz="0" w:space="0" w:color="auto"/>
          </w:divBdr>
        </w:div>
        <w:div w:id="89132100">
          <w:marLeft w:val="0"/>
          <w:marRight w:val="0"/>
          <w:marTop w:val="0"/>
          <w:marBottom w:val="0"/>
          <w:divBdr>
            <w:top w:val="none" w:sz="0" w:space="0" w:color="auto"/>
            <w:left w:val="none" w:sz="0" w:space="0" w:color="auto"/>
            <w:bottom w:val="none" w:sz="0" w:space="0" w:color="auto"/>
            <w:right w:val="none" w:sz="0" w:space="0" w:color="auto"/>
          </w:divBdr>
        </w:div>
        <w:div w:id="163712998">
          <w:marLeft w:val="0"/>
          <w:marRight w:val="0"/>
          <w:marTop w:val="0"/>
          <w:marBottom w:val="0"/>
          <w:divBdr>
            <w:top w:val="none" w:sz="0" w:space="0" w:color="auto"/>
            <w:left w:val="none" w:sz="0" w:space="0" w:color="auto"/>
            <w:bottom w:val="none" w:sz="0" w:space="0" w:color="auto"/>
            <w:right w:val="none" w:sz="0" w:space="0" w:color="auto"/>
          </w:divBdr>
        </w:div>
        <w:div w:id="217516440">
          <w:marLeft w:val="0"/>
          <w:marRight w:val="0"/>
          <w:marTop w:val="0"/>
          <w:marBottom w:val="0"/>
          <w:divBdr>
            <w:top w:val="none" w:sz="0" w:space="0" w:color="auto"/>
            <w:left w:val="none" w:sz="0" w:space="0" w:color="auto"/>
            <w:bottom w:val="none" w:sz="0" w:space="0" w:color="auto"/>
            <w:right w:val="none" w:sz="0" w:space="0" w:color="auto"/>
          </w:divBdr>
        </w:div>
        <w:div w:id="238902898">
          <w:marLeft w:val="0"/>
          <w:marRight w:val="0"/>
          <w:marTop w:val="0"/>
          <w:marBottom w:val="0"/>
          <w:divBdr>
            <w:top w:val="none" w:sz="0" w:space="0" w:color="auto"/>
            <w:left w:val="none" w:sz="0" w:space="0" w:color="auto"/>
            <w:bottom w:val="none" w:sz="0" w:space="0" w:color="auto"/>
            <w:right w:val="none" w:sz="0" w:space="0" w:color="auto"/>
          </w:divBdr>
        </w:div>
        <w:div w:id="243606750">
          <w:marLeft w:val="0"/>
          <w:marRight w:val="0"/>
          <w:marTop w:val="0"/>
          <w:marBottom w:val="0"/>
          <w:divBdr>
            <w:top w:val="none" w:sz="0" w:space="0" w:color="auto"/>
            <w:left w:val="none" w:sz="0" w:space="0" w:color="auto"/>
            <w:bottom w:val="none" w:sz="0" w:space="0" w:color="auto"/>
            <w:right w:val="none" w:sz="0" w:space="0" w:color="auto"/>
          </w:divBdr>
        </w:div>
        <w:div w:id="294259278">
          <w:marLeft w:val="0"/>
          <w:marRight w:val="0"/>
          <w:marTop w:val="0"/>
          <w:marBottom w:val="0"/>
          <w:divBdr>
            <w:top w:val="none" w:sz="0" w:space="0" w:color="auto"/>
            <w:left w:val="none" w:sz="0" w:space="0" w:color="auto"/>
            <w:bottom w:val="none" w:sz="0" w:space="0" w:color="auto"/>
            <w:right w:val="none" w:sz="0" w:space="0" w:color="auto"/>
          </w:divBdr>
        </w:div>
        <w:div w:id="334652310">
          <w:marLeft w:val="0"/>
          <w:marRight w:val="0"/>
          <w:marTop w:val="0"/>
          <w:marBottom w:val="0"/>
          <w:divBdr>
            <w:top w:val="none" w:sz="0" w:space="0" w:color="auto"/>
            <w:left w:val="none" w:sz="0" w:space="0" w:color="auto"/>
            <w:bottom w:val="none" w:sz="0" w:space="0" w:color="auto"/>
            <w:right w:val="none" w:sz="0" w:space="0" w:color="auto"/>
          </w:divBdr>
        </w:div>
        <w:div w:id="376244149">
          <w:marLeft w:val="0"/>
          <w:marRight w:val="0"/>
          <w:marTop w:val="0"/>
          <w:marBottom w:val="0"/>
          <w:divBdr>
            <w:top w:val="none" w:sz="0" w:space="0" w:color="auto"/>
            <w:left w:val="none" w:sz="0" w:space="0" w:color="auto"/>
            <w:bottom w:val="none" w:sz="0" w:space="0" w:color="auto"/>
            <w:right w:val="none" w:sz="0" w:space="0" w:color="auto"/>
          </w:divBdr>
        </w:div>
        <w:div w:id="466045426">
          <w:marLeft w:val="0"/>
          <w:marRight w:val="0"/>
          <w:marTop w:val="0"/>
          <w:marBottom w:val="0"/>
          <w:divBdr>
            <w:top w:val="none" w:sz="0" w:space="0" w:color="auto"/>
            <w:left w:val="none" w:sz="0" w:space="0" w:color="auto"/>
            <w:bottom w:val="none" w:sz="0" w:space="0" w:color="auto"/>
            <w:right w:val="none" w:sz="0" w:space="0" w:color="auto"/>
          </w:divBdr>
        </w:div>
        <w:div w:id="499345852">
          <w:marLeft w:val="0"/>
          <w:marRight w:val="0"/>
          <w:marTop w:val="0"/>
          <w:marBottom w:val="0"/>
          <w:divBdr>
            <w:top w:val="none" w:sz="0" w:space="0" w:color="auto"/>
            <w:left w:val="none" w:sz="0" w:space="0" w:color="auto"/>
            <w:bottom w:val="none" w:sz="0" w:space="0" w:color="auto"/>
            <w:right w:val="none" w:sz="0" w:space="0" w:color="auto"/>
          </w:divBdr>
        </w:div>
        <w:div w:id="528687141">
          <w:marLeft w:val="0"/>
          <w:marRight w:val="0"/>
          <w:marTop w:val="0"/>
          <w:marBottom w:val="0"/>
          <w:divBdr>
            <w:top w:val="none" w:sz="0" w:space="0" w:color="auto"/>
            <w:left w:val="none" w:sz="0" w:space="0" w:color="auto"/>
            <w:bottom w:val="none" w:sz="0" w:space="0" w:color="auto"/>
            <w:right w:val="none" w:sz="0" w:space="0" w:color="auto"/>
          </w:divBdr>
        </w:div>
        <w:div w:id="599028981">
          <w:marLeft w:val="0"/>
          <w:marRight w:val="0"/>
          <w:marTop w:val="0"/>
          <w:marBottom w:val="0"/>
          <w:divBdr>
            <w:top w:val="none" w:sz="0" w:space="0" w:color="auto"/>
            <w:left w:val="none" w:sz="0" w:space="0" w:color="auto"/>
            <w:bottom w:val="none" w:sz="0" w:space="0" w:color="auto"/>
            <w:right w:val="none" w:sz="0" w:space="0" w:color="auto"/>
          </w:divBdr>
        </w:div>
        <w:div w:id="642269844">
          <w:marLeft w:val="0"/>
          <w:marRight w:val="0"/>
          <w:marTop w:val="0"/>
          <w:marBottom w:val="0"/>
          <w:divBdr>
            <w:top w:val="none" w:sz="0" w:space="0" w:color="auto"/>
            <w:left w:val="none" w:sz="0" w:space="0" w:color="auto"/>
            <w:bottom w:val="none" w:sz="0" w:space="0" w:color="auto"/>
            <w:right w:val="none" w:sz="0" w:space="0" w:color="auto"/>
          </w:divBdr>
        </w:div>
        <w:div w:id="826483486">
          <w:marLeft w:val="0"/>
          <w:marRight w:val="0"/>
          <w:marTop w:val="0"/>
          <w:marBottom w:val="0"/>
          <w:divBdr>
            <w:top w:val="none" w:sz="0" w:space="0" w:color="auto"/>
            <w:left w:val="none" w:sz="0" w:space="0" w:color="auto"/>
            <w:bottom w:val="none" w:sz="0" w:space="0" w:color="auto"/>
            <w:right w:val="none" w:sz="0" w:space="0" w:color="auto"/>
          </w:divBdr>
        </w:div>
        <w:div w:id="890310413">
          <w:marLeft w:val="0"/>
          <w:marRight w:val="0"/>
          <w:marTop w:val="0"/>
          <w:marBottom w:val="0"/>
          <w:divBdr>
            <w:top w:val="none" w:sz="0" w:space="0" w:color="auto"/>
            <w:left w:val="none" w:sz="0" w:space="0" w:color="auto"/>
            <w:bottom w:val="none" w:sz="0" w:space="0" w:color="auto"/>
            <w:right w:val="none" w:sz="0" w:space="0" w:color="auto"/>
          </w:divBdr>
        </w:div>
        <w:div w:id="953945818">
          <w:marLeft w:val="0"/>
          <w:marRight w:val="0"/>
          <w:marTop w:val="0"/>
          <w:marBottom w:val="0"/>
          <w:divBdr>
            <w:top w:val="none" w:sz="0" w:space="0" w:color="auto"/>
            <w:left w:val="none" w:sz="0" w:space="0" w:color="auto"/>
            <w:bottom w:val="none" w:sz="0" w:space="0" w:color="auto"/>
            <w:right w:val="none" w:sz="0" w:space="0" w:color="auto"/>
          </w:divBdr>
        </w:div>
        <w:div w:id="978994625">
          <w:marLeft w:val="0"/>
          <w:marRight w:val="0"/>
          <w:marTop w:val="0"/>
          <w:marBottom w:val="0"/>
          <w:divBdr>
            <w:top w:val="none" w:sz="0" w:space="0" w:color="auto"/>
            <w:left w:val="none" w:sz="0" w:space="0" w:color="auto"/>
            <w:bottom w:val="none" w:sz="0" w:space="0" w:color="auto"/>
            <w:right w:val="none" w:sz="0" w:space="0" w:color="auto"/>
          </w:divBdr>
        </w:div>
        <w:div w:id="980378907">
          <w:marLeft w:val="0"/>
          <w:marRight w:val="0"/>
          <w:marTop w:val="0"/>
          <w:marBottom w:val="0"/>
          <w:divBdr>
            <w:top w:val="none" w:sz="0" w:space="0" w:color="auto"/>
            <w:left w:val="none" w:sz="0" w:space="0" w:color="auto"/>
            <w:bottom w:val="none" w:sz="0" w:space="0" w:color="auto"/>
            <w:right w:val="none" w:sz="0" w:space="0" w:color="auto"/>
          </w:divBdr>
        </w:div>
        <w:div w:id="992025155">
          <w:marLeft w:val="0"/>
          <w:marRight w:val="0"/>
          <w:marTop w:val="0"/>
          <w:marBottom w:val="0"/>
          <w:divBdr>
            <w:top w:val="none" w:sz="0" w:space="0" w:color="auto"/>
            <w:left w:val="none" w:sz="0" w:space="0" w:color="auto"/>
            <w:bottom w:val="none" w:sz="0" w:space="0" w:color="auto"/>
            <w:right w:val="none" w:sz="0" w:space="0" w:color="auto"/>
          </w:divBdr>
        </w:div>
        <w:div w:id="1083601471">
          <w:marLeft w:val="0"/>
          <w:marRight w:val="0"/>
          <w:marTop w:val="0"/>
          <w:marBottom w:val="0"/>
          <w:divBdr>
            <w:top w:val="none" w:sz="0" w:space="0" w:color="auto"/>
            <w:left w:val="none" w:sz="0" w:space="0" w:color="auto"/>
            <w:bottom w:val="none" w:sz="0" w:space="0" w:color="auto"/>
            <w:right w:val="none" w:sz="0" w:space="0" w:color="auto"/>
          </w:divBdr>
        </w:div>
        <w:div w:id="1092237630">
          <w:marLeft w:val="0"/>
          <w:marRight w:val="0"/>
          <w:marTop w:val="0"/>
          <w:marBottom w:val="0"/>
          <w:divBdr>
            <w:top w:val="none" w:sz="0" w:space="0" w:color="auto"/>
            <w:left w:val="none" w:sz="0" w:space="0" w:color="auto"/>
            <w:bottom w:val="none" w:sz="0" w:space="0" w:color="auto"/>
            <w:right w:val="none" w:sz="0" w:space="0" w:color="auto"/>
          </w:divBdr>
        </w:div>
        <w:div w:id="1246526002">
          <w:marLeft w:val="0"/>
          <w:marRight w:val="0"/>
          <w:marTop w:val="0"/>
          <w:marBottom w:val="0"/>
          <w:divBdr>
            <w:top w:val="none" w:sz="0" w:space="0" w:color="auto"/>
            <w:left w:val="none" w:sz="0" w:space="0" w:color="auto"/>
            <w:bottom w:val="none" w:sz="0" w:space="0" w:color="auto"/>
            <w:right w:val="none" w:sz="0" w:space="0" w:color="auto"/>
          </w:divBdr>
        </w:div>
        <w:div w:id="1246722609">
          <w:marLeft w:val="0"/>
          <w:marRight w:val="0"/>
          <w:marTop w:val="0"/>
          <w:marBottom w:val="0"/>
          <w:divBdr>
            <w:top w:val="none" w:sz="0" w:space="0" w:color="auto"/>
            <w:left w:val="none" w:sz="0" w:space="0" w:color="auto"/>
            <w:bottom w:val="none" w:sz="0" w:space="0" w:color="auto"/>
            <w:right w:val="none" w:sz="0" w:space="0" w:color="auto"/>
          </w:divBdr>
        </w:div>
        <w:div w:id="1272276335">
          <w:marLeft w:val="0"/>
          <w:marRight w:val="0"/>
          <w:marTop w:val="0"/>
          <w:marBottom w:val="0"/>
          <w:divBdr>
            <w:top w:val="none" w:sz="0" w:space="0" w:color="auto"/>
            <w:left w:val="none" w:sz="0" w:space="0" w:color="auto"/>
            <w:bottom w:val="none" w:sz="0" w:space="0" w:color="auto"/>
            <w:right w:val="none" w:sz="0" w:space="0" w:color="auto"/>
          </w:divBdr>
        </w:div>
        <w:div w:id="1302803944">
          <w:marLeft w:val="0"/>
          <w:marRight w:val="0"/>
          <w:marTop w:val="0"/>
          <w:marBottom w:val="0"/>
          <w:divBdr>
            <w:top w:val="none" w:sz="0" w:space="0" w:color="auto"/>
            <w:left w:val="none" w:sz="0" w:space="0" w:color="auto"/>
            <w:bottom w:val="none" w:sz="0" w:space="0" w:color="auto"/>
            <w:right w:val="none" w:sz="0" w:space="0" w:color="auto"/>
          </w:divBdr>
        </w:div>
        <w:div w:id="1326546037">
          <w:marLeft w:val="0"/>
          <w:marRight w:val="0"/>
          <w:marTop w:val="0"/>
          <w:marBottom w:val="0"/>
          <w:divBdr>
            <w:top w:val="none" w:sz="0" w:space="0" w:color="auto"/>
            <w:left w:val="none" w:sz="0" w:space="0" w:color="auto"/>
            <w:bottom w:val="none" w:sz="0" w:space="0" w:color="auto"/>
            <w:right w:val="none" w:sz="0" w:space="0" w:color="auto"/>
          </w:divBdr>
        </w:div>
        <w:div w:id="1591042748">
          <w:marLeft w:val="0"/>
          <w:marRight w:val="0"/>
          <w:marTop w:val="0"/>
          <w:marBottom w:val="0"/>
          <w:divBdr>
            <w:top w:val="none" w:sz="0" w:space="0" w:color="auto"/>
            <w:left w:val="none" w:sz="0" w:space="0" w:color="auto"/>
            <w:bottom w:val="none" w:sz="0" w:space="0" w:color="auto"/>
            <w:right w:val="none" w:sz="0" w:space="0" w:color="auto"/>
          </w:divBdr>
        </w:div>
        <w:div w:id="1601572327">
          <w:marLeft w:val="0"/>
          <w:marRight w:val="0"/>
          <w:marTop w:val="0"/>
          <w:marBottom w:val="0"/>
          <w:divBdr>
            <w:top w:val="none" w:sz="0" w:space="0" w:color="auto"/>
            <w:left w:val="none" w:sz="0" w:space="0" w:color="auto"/>
            <w:bottom w:val="none" w:sz="0" w:space="0" w:color="auto"/>
            <w:right w:val="none" w:sz="0" w:space="0" w:color="auto"/>
          </w:divBdr>
        </w:div>
        <w:div w:id="1628076751">
          <w:marLeft w:val="0"/>
          <w:marRight w:val="0"/>
          <w:marTop w:val="0"/>
          <w:marBottom w:val="0"/>
          <w:divBdr>
            <w:top w:val="none" w:sz="0" w:space="0" w:color="auto"/>
            <w:left w:val="none" w:sz="0" w:space="0" w:color="auto"/>
            <w:bottom w:val="none" w:sz="0" w:space="0" w:color="auto"/>
            <w:right w:val="none" w:sz="0" w:space="0" w:color="auto"/>
          </w:divBdr>
        </w:div>
        <w:div w:id="1633514828">
          <w:marLeft w:val="0"/>
          <w:marRight w:val="0"/>
          <w:marTop w:val="0"/>
          <w:marBottom w:val="0"/>
          <w:divBdr>
            <w:top w:val="none" w:sz="0" w:space="0" w:color="auto"/>
            <w:left w:val="none" w:sz="0" w:space="0" w:color="auto"/>
            <w:bottom w:val="none" w:sz="0" w:space="0" w:color="auto"/>
            <w:right w:val="none" w:sz="0" w:space="0" w:color="auto"/>
          </w:divBdr>
        </w:div>
        <w:div w:id="1652178918">
          <w:marLeft w:val="0"/>
          <w:marRight w:val="0"/>
          <w:marTop w:val="0"/>
          <w:marBottom w:val="0"/>
          <w:divBdr>
            <w:top w:val="none" w:sz="0" w:space="0" w:color="auto"/>
            <w:left w:val="none" w:sz="0" w:space="0" w:color="auto"/>
            <w:bottom w:val="none" w:sz="0" w:space="0" w:color="auto"/>
            <w:right w:val="none" w:sz="0" w:space="0" w:color="auto"/>
          </w:divBdr>
        </w:div>
        <w:div w:id="1652710842">
          <w:marLeft w:val="0"/>
          <w:marRight w:val="0"/>
          <w:marTop w:val="0"/>
          <w:marBottom w:val="0"/>
          <w:divBdr>
            <w:top w:val="none" w:sz="0" w:space="0" w:color="auto"/>
            <w:left w:val="none" w:sz="0" w:space="0" w:color="auto"/>
            <w:bottom w:val="none" w:sz="0" w:space="0" w:color="auto"/>
            <w:right w:val="none" w:sz="0" w:space="0" w:color="auto"/>
          </w:divBdr>
        </w:div>
        <w:div w:id="1681619475">
          <w:marLeft w:val="0"/>
          <w:marRight w:val="0"/>
          <w:marTop w:val="0"/>
          <w:marBottom w:val="0"/>
          <w:divBdr>
            <w:top w:val="none" w:sz="0" w:space="0" w:color="auto"/>
            <w:left w:val="none" w:sz="0" w:space="0" w:color="auto"/>
            <w:bottom w:val="none" w:sz="0" w:space="0" w:color="auto"/>
            <w:right w:val="none" w:sz="0" w:space="0" w:color="auto"/>
          </w:divBdr>
        </w:div>
        <w:div w:id="1701053575">
          <w:marLeft w:val="0"/>
          <w:marRight w:val="0"/>
          <w:marTop w:val="0"/>
          <w:marBottom w:val="0"/>
          <w:divBdr>
            <w:top w:val="none" w:sz="0" w:space="0" w:color="auto"/>
            <w:left w:val="none" w:sz="0" w:space="0" w:color="auto"/>
            <w:bottom w:val="none" w:sz="0" w:space="0" w:color="auto"/>
            <w:right w:val="none" w:sz="0" w:space="0" w:color="auto"/>
          </w:divBdr>
        </w:div>
        <w:div w:id="1718436592">
          <w:marLeft w:val="0"/>
          <w:marRight w:val="0"/>
          <w:marTop w:val="0"/>
          <w:marBottom w:val="0"/>
          <w:divBdr>
            <w:top w:val="none" w:sz="0" w:space="0" w:color="auto"/>
            <w:left w:val="none" w:sz="0" w:space="0" w:color="auto"/>
            <w:bottom w:val="none" w:sz="0" w:space="0" w:color="auto"/>
            <w:right w:val="none" w:sz="0" w:space="0" w:color="auto"/>
          </w:divBdr>
        </w:div>
        <w:div w:id="1731685798">
          <w:marLeft w:val="0"/>
          <w:marRight w:val="0"/>
          <w:marTop w:val="0"/>
          <w:marBottom w:val="0"/>
          <w:divBdr>
            <w:top w:val="none" w:sz="0" w:space="0" w:color="auto"/>
            <w:left w:val="none" w:sz="0" w:space="0" w:color="auto"/>
            <w:bottom w:val="none" w:sz="0" w:space="0" w:color="auto"/>
            <w:right w:val="none" w:sz="0" w:space="0" w:color="auto"/>
          </w:divBdr>
        </w:div>
        <w:div w:id="1787850239">
          <w:marLeft w:val="0"/>
          <w:marRight w:val="0"/>
          <w:marTop w:val="0"/>
          <w:marBottom w:val="0"/>
          <w:divBdr>
            <w:top w:val="none" w:sz="0" w:space="0" w:color="auto"/>
            <w:left w:val="none" w:sz="0" w:space="0" w:color="auto"/>
            <w:bottom w:val="none" w:sz="0" w:space="0" w:color="auto"/>
            <w:right w:val="none" w:sz="0" w:space="0" w:color="auto"/>
          </w:divBdr>
        </w:div>
        <w:div w:id="1816946962">
          <w:marLeft w:val="0"/>
          <w:marRight w:val="0"/>
          <w:marTop w:val="0"/>
          <w:marBottom w:val="0"/>
          <w:divBdr>
            <w:top w:val="none" w:sz="0" w:space="0" w:color="auto"/>
            <w:left w:val="none" w:sz="0" w:space="0" w:color="auto"/>
            <w:bottom w:val="none" w:sz="0" w:space="0" w:color="auto"/>
            <w:right w:val="none" w:sz="0" w:space="0" w:color="auto"/>
          </w:divBdr>
        </w:div>
        <w:div w:id="1891460488">
          <w:marLeft w:val="0"/>
          <w:marRight w:val="0"/>
          <w:marTop w:val="0"/>
          <w:marBottom w:val="0"/>
          <w:divBdr>
            <w:top w:val="none" w:sz="0" w:space="0" w:color="auto"/>
            <w:left w:val="none" w:sz="0" w:space="0" w:color="auto"/>
            <w:bottom w:val="none" w:sz="0" w:space="0" w:color="auto"/>
            <w:right w:val="none" w:sz="0" w:space="0" w:color="auto"/>
          </w:divBdr>
        </w:div>
        <w:div w:id="1967738530">
          <w:marLeft w:val="0"/>
          <w:marRight w:val="0"/>
          <w:marTop w:val="0"/>
          <w:marBottom w:val="0"/>
          <w:divBdr>
            <w:top w:val="none" w:sz="0" w:space="0" w:color="auto"/>
            <w:left w:val="none" w:sz="0" w:space="0" w:color="auto"/>
            <w:bottom w:val="none" w:sz="0" w:space="0" w:color="auto"/>
            <w:right w:val="none" w:sz="0" w:space="0" w:color="auto"/>
          </w:divBdr>
        </w:div>
        <w:div w:id="2071029283">
          <w:marLeft w:val="0"/>
          <w:marRight w:val="0"/>
          <w:marTop w:val="0"/>
          <w:marBottom w:val="0"/>
          <w:divBdr>
            <w:top w:val="none" w:sz="0" w:space="0" w:color="auto"/>
            <w:left w:val="none" w:sz="0" w:space="0" w:color="auto"/>
            <w:bottom w:val="none" w:sz="0" w:space="0" w:color="auto"/>
            <w:right w:val="none" w:sz="0" w:space="0" w:color="auto"/>
          </w:divBdr>
        </w:div>
        <w:div w:id="2080981476">
          <w:marLeft w:val="0"/>
          <w:marRight w:val="0"/>
          <w:marTop w:val="0"/>
          <w:marBottom w:val="0"/>
          <w:divBdr>
            <w:top w:val="none" w:sz="0" w:space="0" w:color="auto"/>
            <w:left w:val="none" w:sz="0" w:space="0" w:color="auto"/>
            <w:bottom w:val="none" w:sz="0" w:space="0" w:color="auto"/>
            <w:right w:val="none" w:sz="0" w:space="0" w:color="auto"/>
          </w:divBdr>
        </w:div>
        <w:div w:id="2082216032">
          <w:marLeft w:val="0"/>
          <w:marRight w:val="0"/>
          <w:marTop w:val="0"/>
          <w:marBottom w:val="0"/>
          <w:divBdr>
            <w:top w:val="none" w:sz="0" w:space="0" w:color="auto"/>
            <w:left w:val="none" w:sz="0" w:space="0" w:color="auto"/>
            <w:bottom w:val="none" w:sz="0" w:space="0" w:color="auto"/>
            <w:right w:val="none" w:sz="0" w:space="0" w:color="auto"/>
          </w:divBdr>
        </w:div>
        <w:div w:id="2096366210">
          <w:marLeft w:val="0"/>
          <w:marRight w:val="0"/>
          <w:marTop w:val="0"/>
          <w:marBottom w:val="0"/>
          <w:divBdr>
            <w:top w:val="none" w:sz="0" w:space="0" w:color="auto"/>
            <w:left w:val="none" w:sz="0" w:space="0" w:color="auto"/>
            <w:bottom w:val="none" w:sz="0" w:space="0" w:color="auto"/>
            <w:right w:val="none" w:sz="0" w:space="0" w:color="auto"/>
          </w:divBdr>
        </w:div>
        <w:div w:id="2112312315">
          <w:marLeft w:val="0"/>
          <w:marRight w:val="0"/>
          <w:marTop w:val="0"/>
          <w:marBottom w:val="0"/>
          <w:divBdr>
            <w:top w:val="none" w:sz="0" w:space="0" w:color="auto"/>
            <w:left w:val="none" w:sz="0" w:space="0" w:color="auto"/>
            <w:bottom w:val="none" w:sz="0" w:space="0" w:color="auto"/>
            <w:right w:val="none" w:sz="0" w:space="0" w:color="auto"/>
          </w:divBdr>
        </w:div>
        <w:div w:id="2113471089">
          <w:marLeft w:val="0"/>
          <w:marRight w:val="0"/>
          <w:marTop w:val="0"/>
          <w:marBottom w:val="0"/>
          <w:divBdr>
            <w:top w:val="none" w:sz="0" w:space="0" w:color="auto"/>
            <w:left w:val="none" w:sz="0" w:space="0" w:color="auto"/>
            <w:bottom w:val="none" w:sz="0" w:space="0" w:color="auto"/>
            <w:right w:val="none" w:sz="0" w:space="0" w:color="auto"/>
          </w:divBdr>
        </w:div>
      </w:divsChild>
    </w:div>
    <w:div w:id="2025285187">
      <w:bodyDiv w:val="1"/>
      <w:marLeft w:val="0"/>
      <w:marRight w:val="0"/>
      <w:marTop w:val="0"/>
      <w:marBottom w:val="0"/>
      <w:divBdr>
        <w:top w:val="none" w:sz="0" w:space="0" w:color="auto"/>
        <w:left w:val="none" w:sz="0" w:space="0" w:color="auto"/>
        <w:bottom w:val="none" w:sz="0" w:space="0" w:color="auto"/>
        <w:right w:val="none" w:sz="0" w:space="0" w:color="auto"/>
      </w:divBdr>
    </w:div>
    <w:div w:id="2026665691">
      <w:bodyDiv w:val="1"/>
      <w:marLeft w:val="0"/>
      <w:marRight w:val="0"/>
      <w:marTop w:val="0"/>
      <w:marBottom w:val="0"/>
      <w:divBdr>
        <w:top w:val="none" w:sz="0" w:space="0" w:color="auto"/>
        <w:left w:val="none" w:sz="0" w:space="0" w:color="auto"/>
        <w:bottom w:val="none" w:sz="0" w:space="0" w:color="auto"/>
        <w:right w:val="none" w:sz="0" w:space="0" w:color="auto"/>
      </w:divBdr>
    </w:div>
    <w:div w:id="2027440496">
      <w:bodyDiv w:val="1"/>
      <w:marLeft w:val="0"/>
      <w:marRight w:val="0"/>
      <w:marTop w:val="0"/>
      <w:marBottom w:val="0"/>
      <w:divBdr>
        <w:top w:val="none" w:sz="0" w:space="0" w:color="auto"/>
        <w:left w:val="none" w:sz="0" w:space="0" w:color="auto"/>
        <w:bottom w:val="none" w:sz="0" w:space="0" w:color="auto"/>
        <w:right w:val="none" w:sz="0" w:space="0" w:color="auto"/>
      </w:divBdr>
      <w:divsChild>
        <w:div w:id="1958175641">
          <w:marLeft w:val="0"/>
          <w:marRight w:val="0"/>
          <w:marTop w:val="0"/>
          <w:marBottom w:val="0"/>
          <w:divBdr>
            <w:top w:val="none" w:sz="0" w:space="0" w:color="auto"/>
            <w:left w:val="none" w:sz="0" w:space="0" w:color="auto"/>
            <w:bottom w:val="none" w:sz="0" w:space="0" w:color="auto"/>
            <w:right w:val="none" w:sz="0" w:space="0" w:color="auto"/>
          </w:divBdr>
        </w:div>
      </w:divsChild>
    </w:div>
    <w:div w:id="2028361504">
      <w:bodyDiv w:val="1"/>
      <w:marLeft w:val="0"/>
      <w:marRight w:val="0"/>
      <w:marTop w:val="0"/>
      <w:marBottom w:val="0"/>
      <w:divBdr>
        <w:top w:val="none" w:sz="0" w:space="0" w:color="auto"/>
        <w:left w:val="none" w:sz="0" w:space="0" w:color="auto"/>
        <w:bottom w:val="none" w:sz="0" w:space="0" w:color="auto"/>
        <w:right w:val="none" w:sz="0" w:space="0" w:color="auto"/>
      </w:divBdr>
    </w:div>
    <w:div w:id="2030837655">
      <w:bodyDiv w:val="1"/>
      <w:marLeft w:val="0"/>
      <w:marRight w:val="0"/>
      <w:marTop w:val="0"/>
      <w:marBottom w:val="0"/>
      <w:divBdr>
        <w:top w:val="none" w:sz="0" w:space="0" w:color="auto"/>
        <w:left w:val="none" w:sz="0" w:space="0" w:color="auto"/>
        <w:bottom w:val="none" w:sz="0" w:space="0" w:color="auto"/>
        <w:right w:val="none" w:sz="0" w:space="0" w:color="auto"/>
      </w:divBdr>
    </w:div>
    <w:div w:id="2034453277">
      <w:bodyDiv w:val="1"/>
      <w:marLeft w:val="0"/>
      <w:marRight w:val="0"/>
      <w:marTop w:val="0"/>
      <w:marBottom w:val="0"/>
      <w:divBdr>
        <w:top w:val="none" w:sz="0" w:space="0" w:color="auto"/>
        <w:left w:val="none" w:sz="0" w:space="0" w:color="auto"/>
        <w:bottom w:val="none" w:sz="0" w:space="0" w:color="auto"/>
        <w:right w:val="none" w:sz="0" w:space="0" w:color="auto"/>
      </w:divBdr>
    </w:div>
    <w:div w:id="2036038582">
      <w:bodyDiv w:val="1"/>
      <w:marLeft w:val="0"/>
      <w:marRight w:val="0"/>
      <w:marTop w:val="0"/>
      <w:marBottom w:val="0"/>
      <w:divBdr>
        <w:top w:val="none" w:sz="0" w:space="0" w:color="auto"/>
        <w:left w:val="none" w:sz="0" w:space="0" w:color="auto"/>
        <w:bottom w:val="none" w:sz="0" w:space="0" w:color="auto"/>
        <w:right w:val="none" w:sz="0" w:space="0" w:color="auto"/>
      </w:divBdr>
    </w:div>
    <w:div w:id="2040737973">
      <w:bodyDiv w:val="1"/>
      <w:marLeft w:val="0"/>
      <w:marRight w:val="0"/>
      <w:marTop w:val="0"/>
      <w:marBottom w:val="0"/>
      <w:divBdr>
        <w:top w:val="none" w:sz="0" w:space="0" w:color="auto"/>
        <w:left w:val="none" w:sz="0" w:space="0" w:color="auto"/>
        <w:bottom w:val="none" w:sz="0" w:space="0" w:color="auto"/>
        <w:right w:val="none" w:sz="0" w:space="0" w:color="auto"/>
      </w:divBdr>
      <w:divsChild>
        <w:div w:id="402609071">
          <w:marLeft w:val="0"/>
          <w:marRight w:val="0"/>
          <w:marTop w:val="0"/>
          <w:marBottom w:val="0"/>
          <w:divBdr>
            <w:top w:val="none" w:sz="0" w:space="0" w:color="auto"/>
            <w:left w:val="none" w:sz="0" w:space="0" w:color="auto"/>
            <w:bottom w:val="none" w:sz="0" w:space="0" w:color="auto"/>
            <w:right w:val="none" w:sz="0" w:space="0" w:color="auto"/>
          </w:divBdr>
          <w:divsChild>
            <w:div w:id="714698617">
              <w:marLeft w:val="0"/>
              <w:marRight w:val="0"/>
              <w:marTop w:val="15"/>
              <w:marBottom w:val="0"/>
              <w:divBdr>
                <w:top w:val="none" w:sz="0" w:space="0" w:color="auto"/>
                <w:left w:val="none" w:sz="0" w:space="0" w:color="auto"/>
                <w:bottom w:val="none" w:sz="0" w:space="0" w:color="auto"/>
                <w:right w:val="none" w:sz="0" w:space="0" w:color="auto"/>
              </w:divBdr>
              <w:divsChild>
                <w:div w:id="1889031238">
                  <w:marLeft w:val="0"/>
                  <w:marRight w:val="0"/>
                  <w:marTop w:val="0"/>
                  <w:marBottom w:val="0"/>
                  <w:divBdr>
                    <w:top w:val="none" w:sz="0" w:space="0" w:color="auto"/>
                    <w:left w:val="single" w:sz="6" w:space="0" w:color="B5B5B5"/>
                    <w:bottom w:val="none" w:sz="0" w:space="0" w:color="auto"/>
                    <w:right w:val="single" w:sz="6" w:space="0" w:color="B5B5B5"/>
                  </w:divBdr>
                  <w:divsChild>
                    <w:div w:id="302850867">
                      <w:marLeft w:val="75"/>
                      <w:marRight w:val="75"/>
                      <w:marTop w:val="0"/>
                      <w:marBottom w:val="0"/>
                      <w:divBdr>
                        <w:top w:val="none" w:sz="0" w:space="0" w:color="auto"/>
                        <w:left w:val="none" w:sz="0" w:space="0" w:color="auto"/>
                        <w:bottom w:val="none" w:sz="0" w:space="0" w:color="auto"/>
                        <w:right w:val="none" w:sz="0" w:space="0" w:color="auto"/>
                      </w:divBdr>
                      <w:divsChild>
                        <w:div w:id="1079327618">
                          <w:marLeft w:val="0"/>
                          <w:marRight w:val="0"/>
                          <w:marTop w:val="0"/>
                          <w:marBottom w:val="0"/>
                          <w:divBdr>
                            <w:top w:val="dotted" w:sz="6" w:space="0" w:color="B5B5B5"/>
                            <w:left w:val="none" w:sz="0" w:space="0" w:color="auto"/>
                            <w:bottom w:val="none" w:sz="0" w:space="0" w:color="auto"/>
                            <w:right w:val="none" w:sz="0" w:space="0" w:color="auto"/>
                          </w:divBdr>
                          <w:divsChild>
                            <w:div w:id="339743630">
                              <w:marLeft w:val="0"/>
                              <w:marRight w:val="0"/>
                              <w:marTop w:val="75"/>
                              <w:marBottom w:val="0"/>
                              <w:divBdr>
                                <w:top w:val="none" w:sz="0" w:space="0" w:color="auto"/>
                                <w:left w:val="none" w:sz="0" w:space="0" w:color="auto"/>
                                <w:bottom w:val="none" w:sz="0" w:space="0" w:color="auto"/>
                                <w:right w:val="none" w:sz="0" w:space="0" w:color="auto"/>
                              </w:divBdr>
                              <w:divsChild>
                                <w:div w:id="476724799">
                                  <w:marLeft w:val="0"/>
                                  <w:marRight w:val="0"/>
                                  <w:marTop w:val="0"/>
                                  <w:marBottom w:val="0"/>
                                  <w:divBdr>
                                    <w:top w:val="none" w:sz="0" w:space="0" w:color="auto"/>
                                    <w:left w:val="none" w:sz="0" w:space="0" w:color="auto"/>
                                    <w:bottom w:val="none" w:sz="0" w:space="0" w:color="auto"/>
                                    <w:right w:val="none" w:sz="0" w:space="0" w:color="auto"/>
                                  </w:divBdr>
                                  <w:divsChild>
                                    <w:div w:id="1792628486">
                                      <w:marLeft w:val="0"/>
                                      <w:marRight w:val="0"/>
                                      <w:marTop w:val="0"/>
                                      <w:marBottom w:val="0"/>
                                      <w:divBdr>
                                        <w:top w:val="none" w:sz="0" w:space="0" w:color="auto"/>
                                        <w:left w:val="none" w:sz="0" w:space="0" w:color="auto"/>
                                        <w:bottom w:val="none" w:sz="0" w:space="0" w:color="auto"/>
                                        <w:right w:val="none" w:sz="0" w:space="0" w:color="auto"/>
                                      </w:divBdr>
                                      <w:divsChild>
                                        <w:div w:id="1314020501">
                                          <w:marLeft w:val="525"/>
                                          <w:marRight w:val="0"/>
                                          <w:marTop w:val="0"/>
                                          <w:marBottom w:val="0"/>
                                          <w:divBdr>
                                            <w:top w:val="none" w:sz="0" w:space="0" w:color="auto"/>
                                            <w:left w:val="none" w:sz="0" w:space="0" w:color="auto"/>
                                            <w:bottom w:val="none" w:sz="0" w:space="0" w:color="auto"/>
                                            <w:right w:val="none" w:sz="0" w:space="0" w:color="auto"/>
                                          </w:divBdr>
                                          <w:divsChild>
                                            <w:div w:id="1161652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48793720">
      <w:bodyDiv w:val="1"/>
      <w:marLeft w:val="0"/>
      <w:marRight w:val="0"/>
      <w:marTop w:val="0"/>
      <w:marBottom w:val="0"/>
      <w:divBdr>
        <w:top w:val="none" w:sz="0" w:space="0" w:color="auto"/>
        <w:left w:val="none" w:sz="0" w:space="0" w:color="auto"/>
        <w:bottom w:val="none" w:sz="0" w:space="0" w:color="auto"/>
        <w:right w:val="none" w:sz="0" w:space="0" w:color="auto"/>
      </w:divBdr>
    </w:div>
    <w:div w:id="2051101858">
      <w:bodyDiv w:val="1"/>
      <w:marLeft w:val="0"/>
      <w:marRight w:val="0"/>
      <w:marTop w:val="0"/>
      <w:marBottom w:val="0"/>
      <w:divBdr>
        <w:top w:val="none" w:sz="0" w:space="0" w:color="auto"/>
        <w:left w:val="none" w:sz="0" w:space="0" w:color="auto"/>
        <w:bottom w:val="none" w:sz="0" w:space="0" w:color="auto"/>
        <w:right w:val="none" w:sz="0" w:space="0" w:color="auto"/>
      </w:divBdr>
    </w:div>
    <w:div w:id="2051102914">
      <w:bodyDiv w:val="1"/>
      <w:marLeft w:val="0"/>
      <w:marRight w:val="0"/>
      <w:marTop w:val="0"/>
      <w:marBottom w:val="0"/>
      <w:divBdr>
        <w:top w:val="none" w:sz="0" w:space="0" w:color="auto"/>
        <w:left w:val="none" w:sz="0" w:space="0" w:color="auto"/>
        <w:bottom w:val="none" w:sz="0" w:space="0" w:color="auto"/>
        <w:right w:val="none" w:sz="0" w:space="0" w:color="auto"/>
      </w:divBdr>
    </w:div>
    <w:div w:id="2052881594">
      <w:bodyDiv w:val="1"/>
      <w:marLeft w:val="0"/>
      <w:marRight w:val="0"/>
      <w:marTop w:val="0"/>
      <w:marBottom w:val="0"/>
      <w:divBdr>
        <w:top w:val="none" w:sz="0" w:space="0" w:color="auto"/>
        <w:left w:val="none" w:sz="0" w:space="0" w:color="auto"/>
        <w:bottom w:val="none" w:sz="0" w:space="0" w:color="auto"/>
        <w:right w:val="none" w:sz="0" w:space="0" w:color="auto"/>
      </w:divBdr>
      <w:divsChild>
        <w:div w:id="1352951232">
          <w:marLeft w:val="0"/>
          <w:marRight w:val="0"/>
          <w:marTop w:val="0"/>
          <w:marBottom w:val="0"/>
          <w:divBdr>
            <w:top w:val="none" w:sz="0" w:space="0" w:color="auto"/>
            <w:left w:val="none" w:sz="0" w:space="0" w:color="auto"/>
            <w:bottom w:val="none" w:sz="0" w:space="0" w:color="auto"/>
            <w:right w:val="none" w:sz="0" w:space="0" w:color="auto"/>
          </w:divBdr>
          <w:divsChild>
            <w:div w:id="1001350677">
              <w:marLeft w:val="0"/>
              <w:marRight w:val="0"/>
              <w:marTop w:val="0"/>
              <w:marBottom w:val="0"/>
              <w:divBdr>
                <w:top w:val="none" w:sz="0" w:space="0" w:color="auto"/>
                <w:left w:val="none" w:sz="0" w:space="0" w:color="auto"/>
                <w:bottom w:val="none" w:sz="0" w:space="0" w:color="auto"/>
                <w:right w:val="none" w:sz="0" w:space="0" w:color="auto"/>
              </w:divBdr>
              <w:divsChild>
                <w:div w:id="876283792">
                  <w:marLeft w:val="0"/>
                  <w:marRight w:val="0"/>
                  <w:marTop w:val="0"/>
                  <w:marBottom w:val="0"/>
                  <w:divBdr>
                    <w:top w:val="none" w:sz="0" w:space="0" w:color="auto"/>
                    <w:left w:val="none" w:sz="0" w:space="0" w:color="auto"/>
                    <w:bottom w:val="none" w:sz="0" w:space="0" w:color="auto"/>
                    <w:right w:val="none" w:sz="0" w:space="0" w:color="auto"/>
                  </w:divBdr>
                </w:div>
              </w:divsChild>
            </w:div>
            <w:div w:id="1564558445">
              <w:marLeft w:val="0"/>
              <w:marRight w:val="0"/>
              <w:marTop w:val="0"/>
              <w:marBottom w:val="0"/>
              <w:divBdr>
                <w:top w:val="none" w:sz="0" w:space="0" w:color="auto"/>
                <w:left w:val="none" w:sz="0" w:space="0" w:color="auto"/>
                <w:bottom w:val="none" w:sz="0" w:space="0" w:color="auto"/>
                <w:right w:val="none" w:sz="0" w:space="0" w:color="auto"/>
              </w:divBdr>
              <w:divsChild>
                <w:div w:id="1124496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901949">
          <w:marLeft w:val="0"/>
          <w:marRight w:val="0"/>
          <w:marTop w:val="0"/>
          <w:marBottom w:val="0"/>
          <w:divBdr>
            <w:top w:val="none" w:sz="0" w:space="0" w:color="auto"/>
            <w:left w:val="none" w:sz="0" w:space="0" w:color="auto"/>
            <w:bottom w:val="none" w:sz="0" w:space="0" w:color="auto"/>
            <w:right w:val="none" w:sz="0" w:space="0" w:color="auto"/>
          </w:divBdr>
          <w:divsChild>
            <w:div w:id="1328316200">
              <w:marLeft w:val="0"/>
              <w:marRight w:val="0"/>
              <w:marTop w:val="0"/>
              <w:marBottom w:val="0"/>
              <w:divBdr>
                <w:top w:val="none" w:sz="0" w:space="0" w:color="auto"/>
                <w:left w:val="none" w:sz="0" w:space="0" w:color="auto"/>
                <w:bottom w:val="none" w:sz="0" w:space="0" w:color="auto"/>
                <w:right w:val="none" w:sz="0" w:space="0" w:color="auto"/>
              </w:divBdr>
              <w:divsChild>
                <w:div w:id="638463144">
                  <w:marLeft w:val="0"/>
                  <w:marRight w:val="0"/>
                  <w:marTop w:val="0"/>
                  <w:marBottom w:val="0"/>
                  <w:divBdr>
                    <w:top w:val="none" w:sz="0" w:space="0" w:color="auto"/>
                    <w:left w:val="none" w:sz="0" w:space="0" w:color="auto"/>
                    <w:bottom w:val="none" w:sz="0" w:space="0" w:color="auto"/>
                    <w:right w:val="none" w:sz="0" w:space="0" w:color="auto"/>
                  </w:divBdr>
                </w:div>
              </w:divsChild>
            </w:div>
            <w:div w:id="1697778438">
              <w:marLeft w:val="0"/>
              <w:marRight w:val="0"/>
              <w:marTop w:val="0"/>
              <w:marBottom w:val="0"/>
              <w:divBdr>
                <w:top w:val="none" w:sz="0" w:space="0" w:color="auto"/>
                <w:left w:val="none" w:sz="0" w:space="0" w:color="auto"/>
                <w:bottom w:val="none" w:sz="0" w:space="0" w:color="auto"/>
                <w:right w:val="none" w:sz="0" w:space="0" w:color="auto"/>
              </w:divBdr>
              <w:divsChild>
                <w:div w:id="1020821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3849204">
      <w:bodyDiv w:val="1"/>
      <w:marLeft w:val="0"/>
      <w:marRight w:val="0"/>
      <w:marTop w:val="0"/>
      <w:marBottom w:val="0"/>
      <w:divBdr>
        <w:top w:val="none" w:sz="0" w:space="0" w:color="auto"/>
        <w:left w:val="none" w:sz="0" w:space="0" w:color="auto"/>
        <w:bottom w:val="none" w:sz="0" w:space="0" w:color="auto"/>
        <w:right w:val="none" w:sz="0" w:space="0" w:color="auto"/>
      </w:divBdr>
    </w:div>
    <w:div w:id="2054841464">
      <w:bodyDiv w:val="1"/>
      <w:marLeft w:val="0"/>
      <w:marRight w:val="0"/>
      <w:marTop w:val="0"/>
      <w:marBottom w:val="0"/>
      <w:divBdr>
        <w:top w:val="none" w:sz="0" w:space="0" w:color="auto"/>
        <w:left w:val="none" w:sz="0" w:space="0" w:color="auto"/>
        <w:bottom w:val="none" w:sz="0" w:space="0" w:color="auto"/>
        <w:right w:val="none" w:sz="0" w:space="0" w:color="auto"/>
      </w:divBdr>
    </w:div>
    <w:div w:id="2056735957">
      <w:bodyDiv w:val="1"/>
      <w:marLeft w:val="0"/>
      <w:marRight w:val="0"/>
      <w:marTop w:val="0"/>
      <w:marBottom w:val="0"/>
      <w:divBdr>
        <w:top w:val="none" w:sz="0" w:space="0" w:color="auto"/>
        <w:left w:val="none" w:sz="0" w:space="0" w:color="auto"/>
        <w:bottom w:val="none" w:sz="0" w:space="0" w:color="auto"/>
        <w:right w:val="none" w:sz="0" w:space="0" w:color="auto"/>
      </w:divBdr>
    </w:div>
    <w:div w:id="2057657916">
      <w:bodyDiv w:val="1"/>
      <w:marLeft w:val="0"/>
      <w:marRight w:val="0"/>
      <w:marTop w:val="0"/>
      <w:marBottom w:val="0"/>
      <w:divBdr>
        <w:top w:val="none" w:sz="0" w:space="0" w:color="auto"/>
        <w:left w:val="none" w:sz="0" w:space="0" w:color="auto"/>
        <w:bottom w:val="none" w:sz="0" w:space="0" w:color="auto"/>
        <w:right w:val="none" w:sz="0" w:space="0" w:color="auto"/>
      </w:divBdr>
      <w:divsChild>
        <w:div w:id="1188446973">
          <w:marLeft w:val="0"/>
          <w:marRight w:val="0"/>
          <w:marTop w:val="0"/>
          <w:marBottom w:val="0"/>
          <w:divBdr>
            <w:top w:val="none" w:sz="0" w:space="0" w:color="auto"/>
            <w:left w:val="none" w:sz="0" w:space="0" w:color="auto"/>
            <w:bottom w:val="none" w:sz="0" w:space="0" w:color="auto"/>
            <w:right w:val="none" w:sz="0" w:space="0" w:color="auto"/>
          </w:divBdr>
          <w:divsChild>
            <w:div w:id="904992217">
              <w:marLeft w:val="0"/>
              <w:marRight w:val="0"/>
              <w:marTop w:val="15"/>
              <w:marBottom w:val="0"/>
              <w:divBdr>
                <w:top w:val="none" w:sz="0" w:space="0" w:color="auto"/>
                <w:left w:val="none" w:sz="0" w:space="0" w:color="auto"/>
                <w:bottom w:val="none" w:sz="0" w:space="0" w:color="auto"/>
                <w:right w:val="none" w:sz="0" w:space="0" w:color="auto"/>
              </w:divBdr>
              <w:divsChild>
                <w:div w:id="550966435">
                  <w:marLeft w:val="0"/>
                  <w:marRight w:val="0"/>
                  <w:marTop w:val="0"/>
                  <w:marBottom w:val="0"/>
                  <w:divBdr>
                    <w:top w:val="none" w:sz="0" w:space="0" w:color="auto"/>
                    <w:left w:val="single" w:sz="6" w:space="0" w:color="B5B5B5"/>
                    <w:bottom w:val="none" w:sz="0" w:space="0" w:color="auto"/>
                    <w:right w:val="single" w:sz="6" w:space="0" w:color="B5B5B5"/>
                  </w:divBdr>
                  <w:divsChild>
                    <w:div w:id="2099400667">
                      <w:marLeft w:val="75"/>
                      <w:marRight w:val="75"/>
                      <w:marTop w:val="0"/>
                      <w:marBottom w:val="0"/>
                      <w:divBdr>
                        <w:top w:val="none" w:sz="0" w:space="0" w:color="auto"/>
                        <w:left w:val="none" w:sz="0" w:space="0" w:color="auto"/>
                        <w:bottom w:val="none" w:sz="0" w:space="0" w:color="auto"/>
                        <w:right w:val="none" w:sz="0" w:space="0" w:color="auto"/>
                      </w:divBdr>
                      <w:divsChild>
                        <w:div w:id="1063529091">
                          <w:marLeft w:val="0"/>
                          <w:marRight w:val="0"/>
                          <w:marTop w:val="0"/>
                          <w:marBottom w:val="0"/>
                          <w:divBdr>
                            <w:top w:val="dotted" w:sz="6" w:space="0" w:color="B5B5B5"/>
                            <w:left w:val="none" w:sz="0" w:space="0" w:color="auto"/>
                            <w:bottom w:val="none" w:sz="0" w:space="0" w:color="auto"/>
                            <w:right w:val="none" w:sz="0" w:space="0" w:color="auto"/>
                          </w:divBdr>
                          <w:divsChild>
                            <w:div w:id="1531458508">
                              <w:marLeft w:val="0"/>
                              <w:marRight w:val="0"/>
                              <w:marTop w:val="75"/>
                              <w:marBottom w:val="0"/>
                              <w:divBdr>
                                <w:top w:val="none" w:sz="0" w:space="0" w:color="auto"/>
                                <w:left w:val="none" w:sz="0" w:space="0" w:color="auto"/>
                                <w:bottom w:val="none" w:sz="0" w:space="0" w:color="auto"/>
                                <w:right w:val="none" w:sz="0" w:space="0" w:color="auto"/>
                              </w:divBdr>
                              <w:divsChild>
                                <w:div w:id="282661301">
                                  <w:marLeft w:val="0"/>
                                  <w:marRight w:val="0"/>
                                  <w:marTop w:val="0"/>
                                  <w:marBottom w:val="0"/>
                                  <w:divBdr>
                                    <w:top w:val="none" w:sz="0" w:space="0" w:color="auto"/>
                                    <w:left w:val="none" w:sz="0" w:space="0" w:color="auto"/>
                                    <w:bottom w:val="none" w:sz="0" w:space="0" w:color="auto"/>
                                    <w:right w:val="none" w:sz="0" w:space="0" w:color="auto"/>
                                  </w:divBdr>
                                  <w:divsChild>
                                    <w:div w:id="1746996959">
                                      <w:marLeft w:val="0"/>
                                      <w:marRight w:val="0"/>
                                      <w:marTop w:val="0"/>
                                      <w:marBottom w:val="0"/>
                                      <w:divBdr>
                                        <w:top w:val="none" w:sz="0" w:space="0" w:color="auto"/>
                                        <w:left w:val="none" w:sz="0" w:space="0" w:color="auto"/>
                                        <w:bottom w:val="none" w:sz="0" w:space="0" w:color="auto"/>
                                        <w:right w:val="none" w:sz="0" w:space="0" w:color="auto"/>
                                      </w:divBdr>
                                      <w:divsChild>
                                        <w:div w:id="1927224982">
                                          <w:marLeft w:val="525"/>
                                          <w:marRight w:val="0"/>
                                          <w:marTop w:val="0"/>
                                          <w:marBottom w:val="0"/>
                                          <w:divBdr>
                                            <w:top w:val="none" w:sz="0" w:space="0" w:color="auto"/>
                                            <w:left w:val="none" w:sz="0" w:space="0" w:color="auto"/>
                                            <w:bottom w:val="none" w:sz="0" w:space="0" w:color="auto"/>
                                            <w:right w:val="none" w:sz="0" w:space="0" w:color="auto"/>
                                          </w:divBdr>
                                          <w:divsChild>
                                            <w:div w:id="1795101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60856678">
      <w:bodyDiv w:val="1"/>
      <w:marLeft w:val="0"/>
      <w:marRight w:val="0"/>
      <w:marTop w:val="0"/>
      <w:marBottom w:val="0"/>
      <w:divBdr>
        <w:top w:val="none" w:sz="0" w:space="0" w:color="auto"/>
        <w:left w:val="none" w:sz="0" w:space="0" w:color="auto"/>
        <w:bottom w:val="none" w:sz="0" w:space="0" w:color="auto"/>
        <w:right w:val="none" w:sz="0" w:space="0" w:color="auto"/>
      </w:divBdr>
    </w:div>
    <w:div w:id="2064213018">
      <w:bodyDiv w:val="1"/>
      <w:marLeft w:val="0"/>
      <w:marRight w:val="0"/>
      <w:marTop w:val="0"/>
      <w:marBottom w:val="0"/>
      <w:divBdr>
        <w:top w:val="none" w:sz="0" w:space="0" w:color="auto"/>
        <w:left w:val="none" w:sz="0" w:space="0" w:color="auto"/>
        <w:bottom w:val="none" w:sz="0" w:space="0" w:color="auto"/>
        <w:right w:val="none" w:sz="0" w:space="0" w:color="auto"/>
      </w:divBdr>
    </w:div>
    <w:div w:id="2069958156">
      <w:bodyDiv w:val="1"/>
      <w:marLeft w:val="0"/>
      <w:marRight w:val="0"/>
      <w:marTop w:val="0"/>
      <w:marBottom w:val="0"/>
      <w:divBdr>
        <w:top w:val="none" w:sz="0" w:space="0" w:color="auto"/>
        <w:left w:val="none" w:sz="0" w:space="0" w:color="auto"/>
        <w:bottom w:val="none" w:sz="0" w:space="0" w:color="auto"/>
        <w:right w:val="none" w:sz="0" w:space="0" w:color="auto"/>
      </w:divBdr>
    </w:div>
    <w:div w:id="2070954960">
      <w:bodyDiv w:val="1"/>
      <w:marLeft w:val="0"/>
      <w:marRight w:val="0"/>
      <w:marTop w:val="0"/>
      <w:marBottom w:val="0"/>
      <w:divBdr>
        <w:top w:val="none" w:sz="0" w:space="0" w:color="auto"/>
        <w:left w:val="none" w:sz="0" w:space="0" w:color="auto"/>
        <w:bottom w:val="none" w:sz="0" w:space="0" w:color="auto"/>
        <w:right w:val="none" w:sz="0" w:space="0" w:color="auto"/>
      </w:divBdr>
    </w:div>
    <w:div w:id="2071225303">
      <w:bodyDiv w:val="1"/>
      <w:marLeft w:val="0"/>
      <w:marRight w:val="0"/>
      <w:marTop w:val="0"/>
      <w:marBottom w:val="0"/>
      <w:divBdr>
        <w:top w:val="none" w:sz="0" w:space="0" w:color="auto"/>
        <w:left w:val="none" w:sz="0" w:space="0" w:color="auto"/>
        <w:bottom w:val="none" w:sz="0" w:space="0" w:color="auto"/>
        <w:right w:val="none" w:sz="0" w:space="0" w:color="auto"/>
      </w:divBdr>
    </w:div>
    <w:div w:id="2071803608">
      <w:bodyDiv w:val="1"/>
      <w:marLeft w:val="0"/>
      <w:marRight w:val="0"/>
      <w:marTop w:val="0"/>
      <w:marBottom w:val="0"/>
      <w:divBdr>
        <w:top w:val="none" w:sz="0" w:space="0" w:color="auto"/>
        <w:left w:val="none" w:sz="0" w:space="0" w:color="auto"/>
        <w:bottom w:val="none" w:sz="0" w:space="0" w:color="auto"/>
        <w:right w:val="none" w:sz="0" w:space="0" w:color="auto"/>
      </w:divBdr>
      <w:divsChild>
        <w:div w:id="2039118009">
          <w:marLeft w:val="0"/>
          <w:marRight w:val="0"/>
          <w:marTop w:val="0"/>
          <w:marBottom w:val="0"/>
          <w:divBdr>
            <w:top w:val="none" w:sz="0" w:space="0" w:color="auto"/>
            <w:left w:val="none" w:sz="0" w:space="0" w:color="auto"/>
            <w:bottom w:val="none" w:sz="0" w:space="0" w:color="auto"/>
            <w:right w:val="none" w:sz="0" w:space="0" w:color="auto"/>
          </w:divBdr>
        </w:div>
      </w:divsChild>
    </w:div>
    <w:div w:id="2082210911">
      <w:bodyDiv w:val="1"/>
      <w:marLeft w:val="0"/>
      <w:marRight w:val="0"/>
      <w:marTop w:val="0"/>
      <w:marBottom w:val="0"/>
      <w:divBdr>
        <w:top w:val="none" w:sz="0" w:space="0" w:color="auto"/>
        <w:left w:val="none" w:sz="0" w:space="0" w:color="auto"/>
        <w:bottom w:val="none" w:sz="0" w:space="0" w:color="auto"/>
        <w:right w:val="none" w:sz="0" w:space="0" w:color="auto"/>
      </w:divBdr>
    </w:div>
    <w:div w:id="2085107107">
      <w:bodyDiv w:val="1"/>
      <w:marLeft w:val="0"/>
      <w:marRight w:val="0"/>
      <w:marTop w:val="0"/>
      <w:marBottom w:val="0"/>
      <w:divBdr>
        <w:top w:val="none" w:sz="0" w:space="0" w:color="auto"/>
        <w:left w:val="none" w:sz="0" w:space="0" w:color="auto"/>
        <w:bottom w:val="none" w:sz="0" w:space="0" w:color="auto"/>
        <w:right w:val="none" w:sz="0" w:space="0" w:color="auto"/>
      </w:divBdr>
    </w:div>
    <w:div w:id="2085838713">
      <w:bodyDiv w:val="1"/>
      <w:marLeft w:val="0"/>
      <w:marRight w:val="0"/>
      <w:marTop w:val="0"/>
      <w:marBottom w:val="0"/>
      <w:divBdr>
        <w:top w:val="none" w:sz="0" w:space="0" w:color="auto"/>
        <w:left w:val="none" w:sz="0" w:space="0" w:color="auto"/>
        <w:bottom w:val="none" w:sz="0" w:space="0" w:color="auto"/>
        <w:right w:val="none" w:sz="0" w:space="0" w:color="auto"/>
      </w:divBdr>
    </w:div>
    <w:div w:id="2092695956">
      <w:bodyDiv w:val="1"/>
      <w:marLeft w:val="0"/>
      <w:marRight w:val="0"/>
      <w:marTop w:val="0"/>
      <w:marBottom w:val="0"/>
      <w:divBdr>
        <w:top w:val="none" w:sz="0" w:space="0" w:color="auto"/>
        <w:left w:val="none" w:sz="0" w:space="0" w:color="auto"/>
        <w:bottom w:val="none" w:sz="0" w:space="0" w:color="auto"/>
        <w:right w:val="none" w:sz="0" w:space="0" w:color="auto"/>
      </w:divBdr>
    </w:div>
    <w:div w:id="2094156287">
      <w:bodyDiv w:val="1"/>
      <w:marLeft w:val="0"/>
      <w:marRight w:val="0"/>
      <w:marTop w:val="0"/>
      <w:marBottom w:val="0"/>
      <w:divBdr>
        <w:top w:val="none" w:sz="0" w:space="0" w:color="auto"/>
        <w:left w:val="none" w:sz="0" w:space="0" w:color="auto"/>
        <w:bottom w:val="none" w:sz="0" w:space="0" w:color="auto"/>
        <w:right w:val="none" w:sz="0" w:space="0" w:color="auto"/>
      </w:divBdr>
      <w:divsChild>
        <w:div w:id="1686250345">
          <w:marLeft w:val="0"/>
          <w:marRight w:val="0"/>
          <w:marTop w:val="0"/>
          <w:marBottom w:val="0"/>
          <w:divBdr>
            <w:top w:val="none" w:sz="0" w:space="0" w:color="auto"/>
            <w:left w:val="none" w:sz="0" w:space="0" w:color="auto"/>
            <w:bottom w:val="none" w:sz="0" w:space="0" w:color="auto"/>
            <w:right w:val="none" w:sz="0" w:space="0" w:color="auto"/>
          </w:divBdr>
          <w:divsChild>
            <w:div w:id="1467703092">
              <w:marLeft w:val="0"/>
              <w:marRight w:val="0"/>
              <w:marTop w:val="411"/>
              <w:marBottom w:val="0"/>
              <w:divBdr>
                <w:top w:val="none" w:sz="0" w:space="0" w:color="auto"/>
                <w:left w:val="none" w:sz="0" w:space="0" w:color="auto"/>
                <w:bottom w:val="none" w:sz="0" w:space="0" w:color="auto"/>
                <w:right w:val="none" w:sz="0" w:space="0" w:color="auto"/>
              </w:divBdr>
              <w:divsChild>
                <w:div w:id="1169636872">
                  <w:marLeft w:val="0"/>
                  <w:marRight w:val="0"/>
                  <w:marTop w:val="0"/>
                  <w:marBottom w:val="0"/>
                  <w:divBdr>
                    <w:top w:val="none" w:sz="0" w:space="0" w:color="auto"/>
                    <w:left w:val="none" w:sz="0" w:space="0" w:color="auto"/>
                    <w:bottom w:val="none" w:sz="0" w:space="0" w:color="auto"/>
                    <w:right w:val="none" w:sz="0" w:space="0" w:color="auto"/>
                  </w:divBdr>
                  <w:divsChild>
                    <w:div w:id="828981941">
                      <w:marLeft w:val="79"/>
                      <w:marRight w:val="79"/>
                      <w:marTop w:val="0"/>
                      <w:marBottom w:val="0"/>
                      <w:divBdr>
                        <w:top w:val="none" w:sz="0" w:space="0" w:color="auto"/>
                        <w:left w:val="none" w:sz="0" w:space="0" w:color="auto"/>
                        <w:bottom w:val="none" w:sz="0" w:space="0" w:color="auto"/>
                        <w:right w:val="none" w:sz="0" w:space="0" w:color="auto"/>
                      </w:divBdr>
                      <w:divsChild>
                        <w:div w:id="1782139303">
                          <w:marLeft w:val="0"/>
                          <w:marRight w:val="0"/>
                          <w:marTop w:val="0"/>
                          <w:marBottom w:val="0"/>
                          <w:divBdr>
                            <w:top w:val="dashed" w:sz="6" w:space="0" w:color="DDDDDD"/>
                            <w:left w:val="none" w:sz="0" w:space="0" w:color="auto"/>
                            <w:bottom w:val="none" w:sz="0" w:space="0" w:color="auto"/>
                            <w:right w:val="none" w:sz="0" w:space="0" w:color="auto"/>
                          </w:divBdr>
                          <w:divsChild>
                            <w:div w:id="98717678">
                              <w:marLeft w:val="0"/>
                              <w:marRight w:val="0"/>
                              <w:marTop w:val="0"/>
                              <w:marBottom w:val="0"/>
                              <w:divBdr>
                                <w:top w:val="none" w:sz="0" w:space="0" w:color="auto"/>
                                <w:left w:val="none" w:sz="0" w:space="0" w:color="auto"/>
                                <w:bottom w:val="none" w:sz="0" w:space="0" w:color="auto"/>
                                <w:right w:val="none" w:sz="0" w:space="0" w:color="auto"/>
                              </w:divBdr>
                              <w:divsChild>
                                <w:div w:id="32773011">
                                  <w:marLeft w:val="0"/>
                                  <w:marRight w:val="0"/>
                                  <w:marTop w:val="79"/>
                                  <w:marBottom w:val="79"/>
                                  <w:divBdr>
                                    <w:top w:val="none" w:sz="0" w:space="0" w:color="auto"/>
                                    <w:left w:val="none" w:sz="0" w:space="0" w:color="auto"/>
                                    <w:bottom w:val="none" w:sz="0" w:space="0" w:color="auto"/>
                                    <w:right w:val="none" w:sz="0" w:space="0" w:color="auto"/>
                                  </w:divBdr>
                                  <w:divsChild>
                                    <w:div w:id="187762021">
                                      <w:marLeft w:val="0"/>
                                      <w:marRight w:val="0"/>
                                      <w:marTop w:val="0"/>
                                      <w:marBottom w:val="0"/>
                                      <w:divBdr>
                                        <w:top w:val="none" w:sz="0" w:space="0" w:color="auto"/>
                                        <w:left w:val="none" w:sz="0" w:space="0" w:color="auto"/>
                                        <w:bottom w:val="none" w:sz="0" w:space="0" w:color="auto"/>
                                        <w:right w:val="none" w:sz="0" w:space="0" w:color="auto"/>
                                      </w:divBdr>
                                      <w:divsChild>
                                        <w:div w:id="751896627">
                                          <w:marLeft w:val="554"/>
                                          <w:marRight w:val="0"/>
                                          <w:marTop w:val="0"/>
                                          <w:marBottom w:val="0"/>
                                          <w:divBdr>
                                            <w:top w:val="none" w:sz="0" w:space="0" w:color="auto"/>
                                            <w:left w:val="none" w:sz="0" w:space="0" w:color="auto"/>
                                            <w:bottom w:val="none" w:sz="0" w:space="0" w:color="auto"/>
                                            <w:right w:val="none" w:sz="0" w:space="0" w:color="auto"/>
                                          </w:divBdr>
                                          <w:divsChild>
                                            <w:div w:id="431364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97509232">
      <w:bodyDiv w:val="1"/>
      <w:marLeft w:val="0"/>
      <w:marRight w:val="0"/>
      <w:marTop w:val="0"/>
      <w:marBottom w:val="0"/>
      <w:divBdr>
        <w:top w:val="none" w:sz="0" w:space="0" w:color="auto"/>
        <w:left w:val="none" w:sz="0" w:space="0" w:color="auto"/>
        <w:bottom w:val="none" w:sz="0" w:space="0" w:color="auto"/>
        <w:right w:val="none" w:sz="0" w:space="0" w:color="auto"/>
      </w:divBdr>
    </w:div>
    <w:div w:id="2100056000">
      <w:bodyDiv w:val="1"/>
      <w:marLeft w:val="0"/>
      <w:marRight w:val="0"/>
      <w:marTop w:val="0"/>
      <w:marBottom w:val="0"/>
      <w:divBdr>
        <w:top w:val="none" w:sz="0" w:space="0" w:color="auto"/>
        <w:left w:val="none" w:sz="0" w:space="0" w:color="auto"/>
        <w:bottom w:val="none" w:sz="0" w:space="0" w:color="auto"/>
        <w:right w:val="none" w:sz="0" w:space="0" w:color="auto"/>
      </w:divBdr>
    </w:div>
    <w:div w:id="2117212573">
      <w:bodyDiv w:val="1"/>
      <w:marLeft w:val="0"/>
      <w:marRight w:val="0"/>
      <w:marTop w:val="0"/>
      <w:marBottom w:val="0"/>
      <w:divBdr>
        <w:top w:val="none" w:sz="0" w:space="0" w:color="auto"/>
        <w:left w:val="none" w:sz="0" w:space="0" w:color="auto"/>
        <w:bottom w:val="none" w:sz="0" w:space="0" w:color="auto"/>
        <w:right w:val="none" w:sz="0" w:space="0" w:color="auto"/>
      </w:divBdr>
    </w:div>
    <w:div w:id="2119445468">
      <w:bodyDiv w:val="1"/>
      <w:marLeft w:val="0"/>
      <w:marRight w:val="0"/>
      <w:marTop w:val="0"/>
      <w:marBottom w:val="0"/>
      <w:divBdr>
        <w:top w:val="none" w:sz="0" w:space="0" w:color="auto"/>
        <w:left w:val="none" w:sz="0" w:space="0" w:color="auto"/>
        <w:bottom w:val="none" w:sz="0" w:space="0" w:color="auto"/>
        <w:right w:val="none" w:sz="0" w:space="0" w:color="auto"/>
      </w:divBdr>
    </w:div>
    <w:div w:id="2135514766">
      <w:bodyDiv w:val="1"/>
      <w:marLeft w:val="0"/>
      <w:marRight w:val="0"/>
      <w:marTop w:val="0"/>
      <w:marBottom w:val="0"/>
      <w:divBdr>
        <w:top w:val="none" w:sz="0" w:space="0" w:color="auto"/>
        <w:left w:val="none" w:sz="0" w:space="0" w:color="auto"/>
        <w:bottom w:val="none" w:sz="0" w:space="0" w:color="auto"/>
        <w:right w:val="none" w:sz="0" w:space="0" w:color="auto"/>
      </w:divBdr>
    </w:div>
    <w:div w:id="2138640319">
      <w:bodyDiv w:val="1"/>
      <w:marLeft w:val="0"/>
      <w:marRight w:val="0"/>
      <w:marTop w:val="0"/>
      <w:marBottom w:val="0"/>
      <w:divBdr>
        <w:top w:val="none" w:sz="0" w:space="0" w:color="auto"/>
        <w:left w:val="none" w:sz="0" w:space="0" w:color="auto"/>
        <w:bottom w:val="none" w:sz="0" w:space="0" w:color="auto"/>
        <w:right w:val="none" w:sz="0" w:space="0" w:color="auto"/>
      </w:divBdr>
      <w:divsChild>
        <w:div w:id="57948627">
          <w:marLeft w:val="0"/>
          <w:marRight w:val="0"/>
          <w:marTop w:val="0"/>
          <w:marBottom w:val="0"/>
          <w:divBdr>
            <w:top w:val="none" w:sz="0" w:space="0" w:color="auto"/>
            <w:left w:val="none" w:sz="0" w:space="0" w:color="auto"/>
            <w:bottom w:val="none" w:sz="0" w:space="0" w:color="auto"/>
            <w:right w:val="none" w:sz="0" w:space="0" w:color="auto"/>
          </w:divBdr>
          <w:divsChild>
            <w:div w:id="1546140252">
              <w:marLeft w:val="0"/>
              <w:marRight w:val="0"/>
              <w:marTop w:val="411"/>
              <w:marBottom w:val="0"/>
              <w:divBdr>
                <w:top w:val="none" w:sz="0" w:space="0" w:color="auto"/>
                <w:left w:val="none" w:sz="0" w:space="0" w:color="auto"/>
                <w:bottom w:val="none" w:sz="0" w:space="0" w:color="auto"/>
                <w:right w:val="none" w:sz="0" w:space="0" w:color="auto"/>
              </w:divBdr>
              <w:divsChild>
                <w:div w:id="2103717410">
                  <w:marLeft w:val="0"/>
                  <w:marRight w:val="0"/>
                  <w:marTop w:val="0"/>
                  <w:marBottom w:val="0"/>
                  <w:divBdr>
                    <w:top w:val="none" w:sz="0" w:space="0" w:color="auto"/>
                    <w:left w:val="none" w:sz="0" w:space="0" w:color="auto"/>
                    <w:bottom w:val="none" w:sz="0" w:space="0" w:color="auto"/>
                    <w:right w:val="none" w:sz="0" w:space="0" w:color="auto"/>
                  </w:divBdr>
                  <w:divsChild>
                    <w:div w:id="1443648885">
                      <w:marLeft w:val="79"/>
                      <w:marRight w:val="79"/>
                      <w:marTop w:val="0"/>
                      <w:marBottom w:val="0"/>
                      <w:divBdr>
                        <w:top w:val="none" w:sz="0" w:space="0" w:color="auto"/>
                        <w:left w:val="none" w:sz="0" w:space="0" w:color="auto"/>
                        <w:bottom w:val="none" w:sz="0" w:space="0" w:color="auto"/>
                        <w:right w:val="none" w:sz="0" w:space="0" w:color="auto"/>
                      </w:divBdr>
                      <w:divsChild>
                        <w:div w:id="113057416">
                          <w:marLeft w:val="0"/>
                          <w:marRight w:val="0"/>
                          <w:marTop w:val="0"/>
                          <w:marBottom w:val="0"/>
                          <w:divBdr>
                            <w:top w:val="dashed" w:sz="6" w:space="0" w:color="DDDDDD"/>
                            <w:left w:val="none" w:sz="0" w:space="0" w:color="auto"/>
                            <w:bottom w:val="none" w:sz="0" w:space="0" w:color="auto"/>
                            <w:right w:val="none" w:sz="0" w:space="0" w:color="auto"/>
                          </w:divBdr>
                          <w:divsChild>
                            <w:div w:id="1389109951">
                              <w:marLeft w:val="0"/>
                              <w:marRight w:val="0"/>
                              <w:marTop w:val="0"/>
                              <w:marBottom w:val="0"/>
                              <w:divBdr>
                                <w:top w:val="none" w:sz="0" w:space="0" w:color="auto"/>
                                <w:left w:val="none" w:sz="0" w:space="0" w:color="auto"/>
                                <w:bottom w:val="none" w:sz="0" w:space="0" w:color="auto"/>
                                <w:right w:val="none" w:sz="0" w:space="0" w:color="auto"/>
                              </w:divBdr>
                              <w:divsChild>
                                <w:div w:id="45492342">
                                  <w:marLeft w:val="0"/>
                                  <w:marRight w:val="0"/>
                                  <w:marTop w:val="79"/>
                                  <w:marBottom w:val="79"/>
                                  <w:divBdr>
                                    <w:top w:val="none" w:sz="0" w:space="0" w:color="auto"/>
                                    <w:left w:val="none" w:sz="0" w:space="0" w:color="auto"/>
                                    <w:bottom w:val="none" w:sz="0" w:space="0" w:color="auto"/>
                                    <w:right w:val="none" w:sz="0" w:space="0" w:color="auto"/>
                                  </w:divBdr>
                                  <w:divsChild>
                                    <w:div w:id="1956132124">
                                      <w:marLeft w:val="0"/>
                                      <w:marRight w:val="0"/>
                                      <w:marTop w:val="0"/>
                                      <w:marBottom w:val="0"/>
                                      <w:divBdr>
                                        <w:top w:val="none" w:sz="0" w:space="0" w:color="auto"/>
                                        <w:left w:val="none" w:sz="0" w:space="0" w:color="auto"/>
                                        <w:bottom w:val="none" w:sz="0" w:space="0" w:color="auto"/>
                                        <w:right w:val="none" w:sz="0" w:space="0" w:color="auto"/>
                                      </w:divBdr>
                                      <w:divsChild>
                                        <w:div w:id="1123964190">
                                          <w:marLeft w:val="554"/>
                                          <w:marRight w:val="0"/>
                                          <w:marTop w:val="0"/>
                                          <w:marBottom w:val="0"/>
                                          <w:divBdr>
                                            <w:top w:val="none" w:sz="0" w:space="0" w:color="auto"/>
                                            <w:left w:val="none" w:sz="0" w:space="0" w:color="auto"/>
                                            <w:bottom w:val="none" w:sz="0" w:space="0" w:color="auto"/>
                                            <w:right w:val="none" w:sz="0" w:space="0" w:color="auto"/>
                                          </w:divBdr>
                                          <w:divsChild>
                                            <w:div w:id="933442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39300953">
      <w:bodyDiv w:val="1"/>
      <w:marLeft w:val="0"/>
      <w:marRight w:val="0"/>
      <w:marTop w:val="0"/>
      <w:marBottom w:val="0"/>
      <w:divBdr>
        <w:top w:val="none" w:sz="0" w:space="0" w:color="auto"/>
        <w:left w:val="none" w:sz="0" w:space="0" w:color="auto"/>
        <w:bottom w:val="none" w:sz="0" w:space="0" w:color="auto"/>
        <w:right w:val="none" w:sz="0" w:space="0" w:color="auto"/>
      </w:divBdr>
    </w:div>
    <w:div w:id="2142532236">
      <w:bodyDiv w:val="1"/>
      <w:marLeft w:val="0"/>
      <w:marRight w:val="0"/>
      <w:marTop w:val="0"/>
      <w:marBottom w:val="0"/>
      <w:divBdr>
        <w:top w:val="none" w:sz="0" w:space="0" w:color="auto"/>
        <w:left w:val="none" w:sz="0" w:space="0" w:color="auto"/>
        <w:bottom w:val="none" w:sz="0" w:space="0" w:color="auto"/>
        <w:right w:val="none" w:sz="0" w:space="0" w:color="auto"/>
      </w:divBdr>
      <w:divsChild>
        <w:div w:id="823163742">
          <w:marLeft w:val="0"/>
          <w:marRight w:val="0"/>
          <w:marTop w:val="0"/>
          <w:marBottom w:val="0"/>
          <w:divBdr>
            <w:top w:val="none" w:sz="0" w:space="0" w:color="auto"/>
            <w:left w:val="none" w:sz="0" w:space="0" w:color="auto"/>
            <w:bottom w:val="none" w:sz="0" w:space="0" w:color="auto"/>
            <w:right w:val="none" w:sz="0" w:space="0" w:color="auto"/>
          </w:divBdr>
          <w:divsChild>
            <w:div w:id="1062601466">
              <w:marLeft w:val="0"/>
              <w:marRight w:val="0"/>
              <w:marTop w:val="411"/>
              <w:marBottom w:val="0"/>
              <w:divBdr>
                <w:top w:val="none" w:sz="0" w:space="0" w:color="auto"/>
                <w:left w:val="none" w:sz="0" w:space="0" w:color="auto"/>
                <w:bottom w:val="none" w:sz="0" w:space="0" w:color="auto"/>
                <w:right w:val="none" w:sz="0" w:space="0" w:color="auto"/>
              </w:divBdr>
              <w:divsChild>
                <w:div w:id="124740613">
                  <w:marLeft w:val="0"/>
                  <w:marRight w:val="0"/>
                  <w:marTop w:val="0"/>
                  <w:marBottom w:val="0"/>
                  <w:divBdr>
                    <w:top w:val="none" w:sz="0" w:space="0" w:color="auto"/>
                    <w:left w:val="none" w:sz="0" w:space="0" w:color="auto"/>
                    <w:bottom w:val="none" w:sz="0" w:space="0" w:color="auto"/>
                    <w:right w:val="none" w:sz="0" w:space="0" w:color="auto"/>
                  </w:divBdr>
                  <w:divsChild>
                    <w:div w:id="390351887">
                      <w:marLeft w:val="79"/>
                      <w:marRight w:val="79"/>
                      <w:marTop w:val="0"/>
                      <w:marBottom w:val="0"/>
                      <w:divBdr>
                        <w:top w:val="none" w:sz="0" w:space="0" w:color="auto"/>
                        <w:left w:val="none" w:sz="0" w:space="0" w:color="auto"/>
                        <w:bottom w:val="none" w:sz="0" w:space="0" w:color="auto"/>
                        <w:right w:val="none" w:sz="0" w:space="0" w:color="auto"/>
                      </w:divBdr>
                      <w:divsChild>
                        <w:div w:id="695733183">
                          <w:marLeft w:val="0"/>
                          <w:marRight w:val="0"/>
                          <w:marTop w:val="0"/>
                          <w:marBottom w:val="0"/>
                          <w:divBdr>
                            <w:top w:val="dashed" w:sz="6" w:space="0" w:color="DDDDDD"/>
                            <w:left w:val="none" w:sz="0" w:space="0" w:color="auto"/>
                            <w:bottom w:val="none" w:sz="0" w:space="0" w:color="auto"/>
                            <w:right w:val="none" w:sz="0" w:space="0" w:color="auto"/>
                          </w:divBdr>
                          <w:divsChild>
                            <w:div w:id="1368987130">
                              <w:marLeft w:val="0"/>
                              <w:marRight w:val="0"/>
                              <w:marTop w:val="0"/>
                              <w:marBottom w:val="0"/>
                              <w:divBdr>
                                <w:top w:val="none" w:sz="0" w:space="0" w:color="auto"/>
                                <w:left w:val="none" w:sz="0" w:space="0" w:color="auto"/>
                                <w:bottom w:val="none" w:sz="0" w:space="0" w:color="auto"/>
                                <w:right w:val="none" w:sz="0" w:space="0" w:color="auto"/>
                              </w:divBdr>
                              <w:divsChild>
                                <w:div w:id="1558593699">
                                  <w:marLeft w:val="0"/>
                                  <w:marRight w:val="0"/>
                                  <w:marTop w:val="79"/>
                                  <w:marBottom w:val="79"/>
                                  <w:divBdr>
                                    <w:top w:val="none" w:sz="0" w:space="0" w:color="auto"/>
                                    <w:left w:val="none" w:sz="0" w:space="0" w:color="auto"/>
                                    <w:bottom w:val="none" w:sz="0" w:space="0" w:color="auto"/>
                                    <w:right w:val="none" w:sz="0" w:space="0" w:color="auto"/>
                                  </w:divBdr>
                                  <w:divsChild>
                                    <w:div w:id="161820231">
                                      <w:marLeft w:val="0"/>
                                      <w:marRight w:val="0"/>
                                      <w:marTop w:val="0"/>
                                      <w:marBottom w:val="0"/>
                                      <w:divBdr>
                                        <w:top w:val="none" w:sz="0" w:space="0" w:color="auto"/>
                                        <w:left w:val="none" w:sz="0" w:space="0" w:color="auto"/>
                                        <w:bottom w:val="none" w:sz="0" w:space="0" w:color="auto"/>
                                        <w:right w:val="none" w:sz="0" w:space="0" w:color="auto"/>
                                      </w:divBdr>
                                      <w:divsChild>
                                        <w:div w:id="280773150">
                                          <w:marLeft w:val="554"/>
                                          <w:marRight w:val="0"/>
                                          <w:marTop w:val="0"/>
                                          <w:marBottom w:val="0"/>
                                          <w:divBdr>
                                            <w:top w:val="none" w:sz="0" w:space="0" w:color="auto"/>
                                            <w:left w:val="none" w:sz="0" w:space="0" w:color="auto"/>
                                            <w:bottom w:val="none" w:sz="0" w:space="0" w:color="auto"/>
                                            <w:right w:val="none" w:sz="0" w:space="0" w:color="auto"/>
                                          </w:divBdr>
                                          <w:divsChild>
                                            <w:div w:id="1623337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3.xml"/><Relationship Id="rId26" Type="http://schemas.openxmlformats.org/officeDocument/2006/relationships/image" Target="media/image7.png"/><Relationship Id="rId39" Type="http://schemas.openxmlformats.org/officeDocument/2006/relationships/chart" Target="charts/chart2.xml"/><Relationship Id="rId21" Type="http://schemas.openxmlformats.org/officeDocument/2006/relationships/image" Target="media/image2.crdownload"/><Relationship Id="rId34" Type="http://schemas.openxmlformats.org/officeDocument/2006/relationships/image" Target="media/image15.png"/><Relationship Id="rId42" Type="http://schemas.openxmlformats.org/officeDocument/2006/relationships/chart" Target="charts/chart5.xml"/><Relationship Id="rId47" Type="http://schemas.openxmlformats.org/officeDocument/2006/relationships/chart" Target="charts/chart10.xml"/><Relationship Id="rId50" Type="http://schemas.openxmlformats.org/officeDocument/2006/relationships/chart" Target="charts/chart12.xml"/><Relationship Id="rId55" Type="http://schemas.openxmlformats.org/officeDocument/2006/relationships/header" Target="header11.xml"/><Relationship Id="rId63" Type="http://schemas.openxmlformats.org/officeDocument/2006/relationships/image" Target="media/image22.png"/><Relationship Id="rId68" Type="http://schemas.openxmlformats.org/officeDocument/2006/relationships/image" Target="media/image27.png"/><Relationship Id="rId76"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header" Target="header19.xml"/><Relationship Id="rId2" Type="http://schemas.openxmlformats.org/officeDocument/2006/relationships/numbering" Target="numbering.xml"/><Relationship Id="rId16" Type="http://schemas.openxmlformats.org/officeDocument/2006/relationships/header" Target="header6.xml"/><Relationship Id="rId29" Type="http://schemas.openxmlformats.org/officeDocument/2006/relationships/image" Target="media/image10.png"/><Relationship Id="rId11" Type="http://schemas.openxmlformats.org/officeDocument/2006/relationships/footer" Target="footer1.xml"/><Relationship Id="rId24" Type="http://schemas.openxmlformats.org/officeDocument/2006/relationships/image" Target="media/image5.png"/><Relationship Id="rId32" Type="http://schemas.openxmlformats.org/officeDocument/2006/relationships/image" Target="media/image13.png"/><Relationship Id="rId37" Type="http://schemas.openxmlformats.org/officeDocument/2006/relationships/image" Target="media/image18.png"/><Relationship Id="rId40" Type="http://schemas.openxmlformats.org/officeDocument/2006/relationships/chart" Target="charts/chart3.xml"/><Relationship Id="rId45" Type="http://schemas.openxmlformats.org/officeDocument/2006/relationships/chart" Target="charts/chart8.xml"/><Relationship Id="rId53" Type="http://schemas.openxmlformats.org/officeDocument/2006/relationships/header" Target="header10.xml"/><Relationship Id="rId58" Type="http://schemas.openxmlformats.org/officeDocument/2006/relationships/chart" Target="charts/chart14.xml"/><Relationship Id="rId66" Type="http://schemas.openxmlformats.org/officeDocument/2006/relationships/image" Target="media/image25.png"/><Relationship Id="rId74" Type="http://schemas.openxmlformats.org/officeDocument/2006/relationships/header" Target="header22.xml"/><Relationship Id="rId79" Type="http://schemas.microsoft.com/office/2016/09/relationships/commentsIds" Target="commentsIds.xml"/><Relationship Id="rId5" Type="http://schemas.openxmlformats.org/officeDocument/2006/relationships/settings" Target="settings.xml"/><Relationship Id="rId61" Type="http://schemas.openxmlformats.org/officeDocument/2006/relationships/header" Target="header15.xml"/><Relationship Id="rId10" Type="http://schemas.openxmlformats.org/officeDocument/2006/relationships/header" Target="header2.xml"/><Relationship Id="rId19" Type="http://schemas.openxmlformats.org/officeDocument/2006/relationships/header" Target="header8.xml"/><Relationship Id="rId31" Type="http://schemas.openxmlformats.org/officeDocument/2006/relationships/image" Target="media/image12.png"/><Relationship Id="rId44" Type="http://schemas.openxmlformats.org/officeDocument/2006/relationships/chart" Target="charts/chart7.xml"/><Relationship Id="rId52" Type="http://schemas.openxmlformats.org/officeDocument/2006/relationships/header" Target="header9.xml"/><Relationship Id="rId60" Type="http://schemas.openxmlformats.org/officeDocument/2006/relationships/header" Target="header14.xml"/><Relationship Id="rId65" Type="http://schemas.openxmlformats.org/officeDocument/2006/relationships/image" Target="media/image24.png"/><Relationship Id="rId73" Type="http://schemas.openxmlformats.org/officeDocument/2006/relationships/header" Target="header21.xml"/><Relationship Id="rId78" Type="http://schemas.microsoft.com/office/2011/relationships/people" Target="people.xml"/><Relationship Id="rId81" Type="http://schemas.microsoft.com/office/2018/08/relationships/commentsExtensible" Target="commentsExtensible.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header" Target="header4.xml"/><Relationship Id="rId22" Type="http://schemas.openxmlformats.org/officeDocument/2006/relationships/image" Target="media/image3.crdownload"/><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image" Target="media/image16.png"/><Relationship Id="rId43" Type="http://schemas.openxmlformats.org/officeDocument/2006/relationships/chart" Target="charts/chart6.xml"/><Relationship Id="rId48" Type="http://schemas.openxmlformats.org/officeDocument/2006/relationships/chart" Target="charts/chart11.xml"/><Relationship Id="rId56" Type="http://schemas.openxmlformats.org/officeDocument/2006/relationships/header" Target="header12.xml"/><Relationship Id="rId64" Type="http://schemas.openxmlformats.org/officeDocument/2006/relationships/image" Target="media/image23.png"/><Relationship Id="rId69" Type="http://schemas.openxmlformats.org/officeDocument/2006/relationships/header" Target="header17.xml"/><Relationship Id="rId77"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chart" Target="charts/chart13.xml"/><Relationship Id="rId72" Type="http://schemas.openxmlformats.org/officeDocument/2006/relationships/header" Target="header20.xml"/><Relationship Id="rId80" Type="http://schemas.microsoft.com/office/2011/relationships/commentsExtended" Target="commentsExtended.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eader" Target="header7.xml"/><Relationship Id="rId25" Type="http://schemas.openxmlformats.org/officeDocument/2006/relationships/image" Target="media/image6.png"/><Relationship Id="rId33" Type="http://schemas.openxmlformats.org/officeDocument/2006/relationships/image" Target="media/image14.png"/><Relationship Id="rId38" Type="http://schemas.openxmlformats.org/officeDocument/2006/relationships/chart" Target="charts/chart1.xml"/><Relationship Id="rId46" Type="http://schemas.openxmlformats.org/officeDocument/2006/relationships/chart" Target="charts/chart9.xml"/><Relationship Id="rId59" Type="http://schemas.openxmlformats.org/officeDocument/2006/relationships/image" Target="media/image21.png"/><Relationship Id="rId67" Type="http://schemas.openxmlformats.org/officeDocument/2006/relationships/image" Target="media/image26.png"/><Relationship Id="rId20" Type="http://schemas.openxmlformats.org/officeDocument/2006/relationships/footer" Target="footer4.xml"/><Relationship Id="rId41" Type="http://schemas.openxmlformats.org/officeDocument/2006/relationships/chart" Target="charts/chart4.xml"/><Relationship Id="rId54" Type="http://schemas.openxmlformats.org/officeDocument/2006/relationships/image" Target="media/image20.png"/><Relationship Id="rId62" Type="http://schemas.openxmlformats.org/officeDocument/2006/relationships/header" Target="header16.xml"/><Relationship Id="rId70" Type="http://schemas.openxmlformats.org/officeDocument/2006/relationships/header" Target="header18.xml"/><Relationship Id="rId75" Type="http://schemas.openxmlformats.org/officeDocument/2006/relationships/header" Target="header2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5.xml"/><Relationship Id="rId23" Type="http://schemas.openxmlformats.org/officeDocument/2006/relationships/image" Target="media/image4.png"/><Relationship Id="rId28" Type="http://schemas.openxmlformats.org/officeDocument/2006/relationships/image" Target="media/image9.png"/><Relationship Id="rId36" Type="http://schemas.openxmlformats.org/officeDocument/2006/relationships/image" Target="media/image17.png"/><Relationship Id="rId49" Type="http://schemas.openxmlformats.org/officeDocument/2006/relationships/image" Target="media/image19.png"/><Relationship Id="rId57" Type="http://schemas.openxmlformats.org/officeDocument/2006/relationships/header" Target="header13.xml"/></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12.xml.rels><?xml version="1.0" encoding="UTF-8" standalone="yes"?>
<Relationships xmlns="http://schemas.openxmlformats.org/package/2006/relationships"><Relationship Id="rId1" Type="http://schemas.openxmlformats.org/officeDocument/2006/relationships/image" Target="media/image1.jpeg"/></Relationships>
</file>

<file path=word/_rels/header13.xml.rels><?xml version="1.0" encoding="UTF-8" standalone="yes"?>
<Relationships xmlns="http://schemas.openxmlformats.org/package/2006/relationships"><Relationship Id="rId1" Type="http://schemas.openxmlformats.org/officeDocument/2006/relationships/image" Target="media/image1.jpeg"/></Relationships>
</file>

<file path=word/_rels/header15.xml.rels><?xml version="1.0" encoding="UTF-8" standalone="yes"?>
<Relationships xmlns="http://schemas.openxmlformats.org/package/2006/relationships"><Relationship Id="rId1" Type="http://schemas.openxmlformats.org/officeDocument/2006/relationships/image" Target="media/image1.jpeg"/></Relationships>
</file>

<file path=word/_rels/header16.xml.rels><?xml version="1.0" encoding="UTF-8" standalone="yes"?>
<Relationships xmlns="http://schemas.openxmlformats.org/package/2006/relationships"><Relationship Id="rId1" Type="http://schemas.openxmlformats.org/officeDocument/2006/relationships/image" Target="media/image1.jpeg"/></Relationships>
</file>

<file path=word/_rels/header18.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20.xml.rels><?xml version="1.0" encoding="UTF-8" standalone="yes"?>
<Relationships xmlns="http://schemas.openxmlformats.org/package/2006/relationships"><Relationship Id="rId1" Type="http://schemas.openxmlformats.org/officeDocument/2006/relationships/image" Target="media/image1.jpeg"/></Relationships>
</file>

<file path=word/_rels/header23.xml.rels><?xml version="1.0" encoding="UTF-8" standalone="yes"?>
<Relationships xmlns="http://schemas.openxmlformats.org/package/2006/relationships"><Relationship Id="rId1" Type="http://schemas.openxmlformats.org/officeDocument/2006/relationships/image" Target="media/image1.jpeg"/></Relationships>
</file>

<file path=word/_rels/header5.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Administrator\Desktop\&#24266;&#22346;&#23613;&#35843;&#22270;&#34920;.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Administrator\Desktop\&#21335;&#20140;&#23613;&#35843;&#25253;&#21578;\&#21335;&#20140;&#23613;&#35843;&#22270;&#34920;.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Administrator\Desktop\&#21335;&#20140;&#23613;&#35843;&#25253;&#21578;\&#21335;&#20140;&#23613;&#35843;&#22270;&#34920;.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Administrator\Desktop\&#21335;&#20140;&#23613;&#35843;&#25253;&#21578;\&#21335;&#20140;&#23613;&#35843;&#22270;&#34920;.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Administrator\Desktop\&#21335;&#20140;&#23613;&#35843;&#25253;&#21578;\&#21335;&#20140;&#23613;&#35843;&#22270;&#34920;.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Administrator\Desktop\&#21335;&#20140;&#23613;&#35843;&#25253;&#21578;\&#21335;&#20140;&#23613;&#35843;&#22270;&#34920;.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Administrator\Desktop\&#21335;&#20140;&#23613;&#35843;&#25253;&#21578;\&#21335;&#20140;&#23613;&#35843;&#22270;&#34920;.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Administrator\Desktop\&#21335;&#20140;&#23613;&#35843;&#25253;&#21578;\&#21335;&#20140;&#23613;&#35843;&#22270;&#34920;.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Administrator\Desktop\&#21335;&#20140;&#23613;&#35843;&#25253;&#21578;\&#21335;&#20140;&#23613;&#35843;&#22270;&#34920;.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Administrator\Desktop\&#21335;&#20140;&#23613;&#35843;&#25253;&#21578;\&#21335;&#20140;&#23613;&#35843;&#22270;&#34920;.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Administrator\Desktop\&#21335;&#20140;&#23613;&#35843;&#25253;&#21578;\&#21335;&#20140;&#23613;&#35843;&#22270;&#34920;.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Administrator\Desktop\&#21335;&#20140;&#23613;&#35843;&#25253;&#21578;\&#21335;&#20140;&#23613;&#35843;&#22270;&#34920;.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Administrator\Desktop\&#21335;&#20140;&#23613;&#35843;&#25253;&#21578;\&#21335;&#20140;&#23613;&#35843;&#22270;&#34920;.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Administrator\Desktop\&#21335;&#20140;&#23613;&#35843;&#25253;&#21578;\&#21335;&#20140;&#23613;&#35843;&#22270;&#3492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baseline="0">
                <a:effectLst/>
              </a:rPr>
              <a:t>2017-2021</a:t>
            </a:r>
            <a:r>
              <a:rPr lang="zh-CN" altLang="zh-CN" sz="1400" b="1" i="0" baseline="0">
                <a:effectLst/>
              </a:rPr>
              <a:t>年</a:t>
            </a:r>
            <a:r>
              <a:rPr lang="en-US" altLang="zh-CN" sz="1400" b="1" i="0" baseline="0">
                <a:effectLst/>
              </a:rPr>
              <a:t>1-5</a:t>
            </a:r>
            <a:r>
              <a:rPr lang="zh-CN" altLang="en-US" sz="1400" b="1" i="0" baseline="0">
                <a:effectLst/>
              </a:rPr>
              <a:t>月南京市住宅</a:t>
            </a:r>
            <a:r>
              <a:rPr lang="zh-CN" altLang="zh-CN" sz="1400" b="1" i="0" baseline="0">
                <a:effectLst/>
              </a:rPr>
              <a:t>用地土地供应情况</a:t>
            </a:r>
            <a:endParaRPr lang="zh-CN" altLang="zh-CN" sz="1400">
              <a:effectLst/>
            </a:endParaRPr>
          </a:p>
        </c:rich>
      </c:tx>
      <c:overlay val="0"/>
      <c:spPr>
        <a:noFill/>
        <a:ln>
          <a:noFill/>
        </a:ln>
        <a:effectLst/>
      </c:spPr>
    </c:title>
    <c:autoTitleDeleted val="0"/>
    <c:plotArea>
      <c:layout/>
      <c:barChart>
        <c:barDir val="col"/>
        <c:grouping val="clustered"/>
        <c:varyColors val="0"/>
        <c:ser>
          <c:idx val="1"/>
          <c:order val="1"/>
          <c:tx>
            <c:strRef>
              <c:f>土地!$A$4</c:f>
              <c:strCache>
                <c:ptCount val="1"/>
                <c:pt idx="0">
                  <c:v>供应土地面积（万平方米）</c:v>
                </c:pt>
              </c:strCache>
            </c:strRef>
          </c:tx>
          <c:spPr>
            <a:solidFill>
              <a:schemeClr val="accent2"/>
            </a:solidFill>
            <a:ln>
              <a:noFill/>
            </a:ln>
            <a:effectLst/>
          </c:spPr>
          <c:invertIfNegative val="0"/>
          <c:cat>
            <c:strRef>
              <c:f>土地!$B$2:$F$2</c:f>
              <c:strCache>
                <c:ptCount val="5"/>
                <c:pt idx="0">
                  <c:v>2017</c:v>
                </c:pt>
                <c:pt idx="1">
                  <c:v>2018</c:v>
                </c:pt>
                <c:pt idx="2">
                  <c:v>2019</c:v>
                </c:pt>
                <c:pt idx="3">
                  <c:v>2020</c:v>
                </c:pt>
                <c:pt idx="4">
                  <c:v>2021年1-5月</c:v>
                </c:pt>
              </c:strCache>
            </c:strRef>
          </c:cat>
          <c:val>
            <c:numRef>
              <c:f>土地!$B$4:$F$4</c:f>
              <c:numCache>
                <c:formatCode>General</c:formatCode>
                <c:ptCount val="5"/>
                <c:pt idx="0">
                  <c:v>578.65</c:v>
                </c:pt>
                <c:pt idx="1">
                  <c:v>556.23</c:v>
                </c:pt>
                <c:pt idx="2">
                  <c:v>686.74</c:v>
                </c:pt>
                <c:pt idx="3">
                  <c:v>763.51</c:v>
                </c:pt>
                <c:pt idx="4">
                  <c:v>402.5</c:v>
                </c:pt>
              </c:numCache>
            </c:numRef>
          </c:val>
          <c:extLst xmlns:c16r2="http://schemas.microsoft.com/office/drawing/2015/06/chart">
            <c:ext xmlns:c16="http://schemas.microsoft.com/office/drawing/2014/chart" uri="{C3380CC4-5D6E-409C-BE32-E72D297353CC}">
              <c16:uniqueId val="{00000001-9E87-4C6F-BD14-464B14C44E93}"/>
            </c:ext>
          </c:extLst>
        </c:ser>
        <c:ser>
          <c:idx val="2"/>
          <c:order val="2"/>
          <c:tx>
            <c:strRef>
              <c:f>土地!$A$5</c:f>
              <c:strCache>
                <c:ptCount val="1"/>
                <c:pt idx="0">
                  <c:v>新增规划建筑面积（万平方米）</c:v>
                </c:pt>
              </c:strCache>
            </c:strRef>
          </c:tx>
          <c:spPr>
            <a:solidFill>
              <a:schemeClr val="accent3"/>
            </a:solidFill>
            <a:ln>
              <a:noFill/>
            </a:ln>
            <a:effectLst/>
          </c:spPr>
          <c:invertIfNegative val="0"/>
          <c:cat>
            <c:strRef>
              <c:f>土地!$B$2:$F$2</c:f>
              <c:strCache>
                <c:ptCount val="5"/>
                <c:pt idx="0">
                  <c:v>2017</c:v>
                </c:pt>
                <c:pt idx="1">
                  <c:v>2018</c:v>
                </c:pt>
                <c:pt idx="2">
                  <c:v>2019</c:v>
                </c:pt>
                <c:pt idx="3">
                  <c:v>2020</c:v>
                </c:pt>
                <c:pt idx="4">
                  <c:v>2021年1-5月</c:v>
                </c:pt>
              </c:strCache>
            </c:strRef>
          </c:cat>
          <c:val>
            <c:numRef>
              <c:f>土地!$B$5:$F$5</c:f>
              <c:numCache>
                <c:formatCode>General</c:formatCode>
                <c:ptCount val="5"/>
                <c:pt idx="0">
                  <c:v>1274.3599999999999</c:v>
                </c:pt>
                <c:pt idx="1">
                  <c:v>1171.49</c:v>
                </c:pt>
                <c:pt idx="2">
                  <c:v>1483.28</c:v>
                </c:pt>
                <c:pt idx="3">
                  <c:v>1780.51</c:v>
                </c:pt>
                <c:pt idx="4">
                  <c:v>955.19</c:v>
                </c:pt>
              </c:numCache>
            </c:numRef>
          </c:val>
          <c:extLst xmlns:c16r2="http://schemas.microsoft.com/office/drawing/2015/06/chart">
            <c:ext xmlns:c16="http://schemas.microsoft.com/office/drawing/2014/chart" uri="{C3380CC4-5D6E-409C-BE32-E72D297353CC}">
              <c16:uniqueId val="{00000002-9E87-4C6F-BD14-464B14C44E93}"/>
            </c:ext>
          </c:extLst>
        </c:ser>
        <c:dLbls>
          <c:showLegendKey val="0"/>
          <c:showVal val="0"/>
          <c:showCatName val="0"/>
          <c:showSerName val="0"/>
          <c:showPercent val="0"/>
          <c:showBubbleSize val="0"/>
        </c:dLbls>
        <c:gapWidth val="219"/>
        <c:axId val="419059200"/>
        <c:axId val="419095296"/>
      </c:barChart>
      <c:lineChart>
        <c:grouping val="standard"/>
        <c:varyColors val="0"/>
        <c:ser>
          <c:idx val="0"/>
          <c:order val="0"/>
          <c:tx>
            <c:strRef>
              <c:f>土地!$A$3</c:f>
              <c:strCache>
                <c:ptCount val="1"/>
                <c:pt idx="0">
                  <c:v>供应宗地数（宗）</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土地!$B$2:$F$2</c:f>
              <c:strCache>
                <c:ptCount val="5"/>
                <c:pt idx="0">
                  <c:v>2017</c:v>
                </c:pt>
                <c:pt idx="1">
                  <c:v>2018</c:v>
                </c:pt>
                <c:pt idx="2">
                  <c:v>2019</c:v>
                </c:pt>
                <c:pt idx="3">
                  <c:v>2020</c:v>
                </c:pt>
                <c:pt idx="4">
                  <c:v>2021年1-5月</c:v>
                </c:pt>
              </c:strCache>
            </c:strRef>
          </c:cat>
          <c:val>
            <c:numRef>
              <c:f>土地!$B$3:$F$3</c:f>
              <c:numCache>
                <c:formatCode>General</c:formatCode>
                <c:ptCount val="5"/>
                <c:pt idx="0">
                  <c:v>90</c:v>
                </c:pt>
                <c:pt idx="1">
                  <c:v>92</c:v>
                </c:pt>
                <c:pt idx="2">
                  <c:v>120</c:v>
                </c:pt>
                <c:pt idx="3">
                  <c:v>141</c:v>
                </c:pt>
                <c:pt idx="4">
                  <c:v>72</c:v>
                </c:pt>
              </c:numCache>
            </c:numRef>
          </c:val>
          <c:smooth val="0"/>
          <c:extLst xmlns:c16r2="http://schemas.microsoft.com/office/drawing/2015/06/chart">
            <c:ext xmlns:c16="http://schemas.microsoft.com/office/drawing/2014/chart" uri="{C3380CC4-5D6E-409C-BE32-E72D297353CC}">
              <c16:uniqueId val="{00000000-9E87-4C6F-BD14-464B14C44E93}"/>
            </c:ext>
          </c:extLst>
        </c:ser>
        <c:dLbls>
          <c:showLegendKey val="0"/>
          <c:showVal val="0"/>
          <c:showCatName val="0"/>
          <c:showSerName val="0"/>
          <c:showPercent val="0"/>
          <c:showBubbleSize val="0"/>
        </c:dLbls>
        <c:marker val="1"/>
        <c:smooth val="0"/>
        <c:axId val="423076224"/>
        <c:axId val="419096832"/>
      </c:lineChart>
      <c:catAx>
        <c:axId val="4190592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19095296"/>
        <c:crosses val="autoZero"/>
        <c:auto val="1"/>
        <c:lblAlgn val="ctr"/>
        <c:lblOffset val="100"/>
        <c:noMultiLvlLbl val="0"/>
      </c:catAx>
      <c:valAx>
        <c:axId val="4190952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19059200"/>
        <c:crosses val="autoZero"/>
        <c:crossBetween val="between"/>
      </c:valAx>
      <c:valAx>
        <c:axId val="419096832"/>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23076224"/>
        <c:crosses val="max"/>
        <c:crossBetween val="between"/>
      </c:valAx>
      <c:catAx>
        <c:axId val="423076224"/>
        <c:scaling>
          <c:orientation val="minMax"/>
        </c:scaling>
        <c:delete val="1"/>
        <c:axPos val="b"/>
        <c:numFmt formatCode="General" sourceLinked="1"/>
        <c:majorTickMark val="out"/>
        <c:minorTickMark val="none"/>
        <c:tickLblPos val="nextTo"/>
        <c:crossAx val="41909683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baseline="0">
                <a:effectLst/>
              </a:rPr>
              <a:t>2019-2021</a:t>
            </a:r>
            <a:r>
              <a:rPr lang="zh-CN" altLang="zh-CN" sz="1400" b="1" i="0" baseline="0">
                <a:effectLst/>
              </a:rPr>
              <a:t>年</a:t>
            </a:r>
            <a:r>
              <a:rPr lang="en-US" altLang="zh-CN" sz="1400" b="1" i="0" baseline="0">
                <a:effectLst/>
              </a:rPr>
              <a:t>1-5</a:t>
            </a:r>
            <a:r>
              <a:rPr lang="zh-CN" altLang="en-US" sz="1400" b="1" i="0" baseline="0">
                <a:effectLst/>
              </a:rPr>
              <a:t>月南京市各区县</a:t>
            </a:r>
            <a:r>
              <a:rPr lang="zh-CN" altLang="en-US" sz="1400" b="1" i="0" u="none" strike="noStrike" baseline="0">
                <a:effectLst/>
              </a:rPr>
              <a:t>商品住宅</a:t>
            </a:r>
            <a:r>
              <a:rPr lang="zh-CN" altLang="en-US" sz="1400" b="1" i="0" baseline="0">
                <a:effectLst/>
              </a:rPr>
              <a:t>成交情况</a:t>
            </a:r>
            <a:endParaRPr lang="zh-CN" altLang="zh-CN" sz="1400">
              <a:effectLst/>
            </a:endParaRPr>
          </a:p>
        </c:rich>
      </c:tx>
      <c:overlay val="0"/>
      <c:spPr>
        <a:noFill/>
        <a:ln>
          <a:noFill/>
        </a:ln>
        <a:effectLst/>
      </c:spPr>
    </c:title>
    <c:autoTitleDeleted val="0"/>
    <c:plotArea>
      <c:layout/>
      <c:barChart>
        <c:barDir val="col"/>
        <c:grouping val="clustered"/>
        <c:varyColors val="0"/>
        <c:ser>
          <c:idx val="0"/>
          <c:order val="0"/>
          <c:tx>
            <c:strRef>
              <c:f>房地产!$B$99</c:f>
              <c:strCache>
                <c:ptCount val="1"/>
                <c:pt idx="0">
                  <c:v>2019年销售面积(万㎡)</c:v>
                </c:pt>
              </c:strCache>
            </c:strRef>
          </c:tx>
          <c:spPr>
            <a:ln w="28575" cap="rnd">
              <a:solidFill>
                <a:schemeClr val="accent1"/>
              </a:solidFill>
              <a:round/>
            </a:ln>
            <a:effectLst/>
          </c:spPr>
          <c:invertIfNegative val="0"/>
          <c:cat>
            <c:strRef>
              <c:f>房地产!$A$100:$A$110</c:f>
              <c:strCache>
                <c:ptCount val="11"/>
                <c:pt idx="0">
                  <c:v>玄武区</c:v>
                </c:pt>
                <c:pt idx="1">
                  <c:v>秦淮区</c:v>
                </c:pt>
                <c:pt idx="2">
                  <c:v>鼓楼区</c:v>
                </c:pt>
                <c:pt idx="3">
                  <c:v>建邺区</c:v>
                </c:pt>
                <c:pt idx="4">
                  <c:v>雨花台区</c:v>
                </c:pt>
                <c:pt idx="5">
                  <c:v>浦口区</c:v>
                </c:pt>
                <c:pt idx="6">
                  <c:v>六合区</c:v>
                </c:pt>
                <c:pt idx="7">
                  <c:v>栖霞区</c:v>
                </c:pt>
                <c:pt idx="8">
                  <c:v>江宁区</c:v>
                </c:pt>
                <c:pt idx="9">
                  <c:v>溧水区</c:v>
                </c:pt>
                <c:pt idx="10">
                  <c:v>高淳区</c:v>
                </c:pt>
              </c:strCache>
            </c:strRef>
          </c:cat>
          <c:val>
            <c:numRef>
              <c:f>房地产!$B$100:$B$110</c:f>
              <c:numCache>
                <c:formatCode>General</c:formatCode>
                <c:ptCount val="11"/>
                <c:pt idx="0">
                  <c:v>18.61</c:v>
                </c:pt>
                <c:pt idx="1">
                  <c:v>4.58</c:v>
                </c:pt>
                <c:pt idx="2">
                  <c:v>39.1</c:v>
                </c:pt>
                <c:pt idx="3">
                  <c:v>75.739999999999995</c:v>
                </c:pt>
                <c:pt idx="4">
                  <c:v>55.17</c:v>
                </c:pt>
                <c:pt idx="5">
                  <c:v>233.38</c:v>
                </c:pt>
                <c:pt idx="6">
                  <c:v>62.91</c:v>
                </c:pt>
                <c:pt idx="7">
                  <c:v>100.43</c:v>
                </c:pt>
                <c:pt idx="8">
                  <c:v>204.61</c:v>
                </c:pt>
                <c:pt idx="9">
                  <c:v>124.03</c:v>
                </c:pt>
                <c:pt idx="10">
                  <c:v>96.81</c:v>
                </c:pt>
              </c:numCache>
            </c:numRef>
          </c:val>
          <c:extLst xmlns:c16r2="http://schemas.microsoft.com/office/drawing/2015/06/chart">
            <c:ext xmlns:c16="http://schemas.microsoft.com/office/drawing/2014/chart" uri="{C3380CC4-5D6E-409C-BE32-E72D297353CC}">
              <c16:uniqueId val="{00000002-A53A-431F-B3D2-C16C8D43FBC7}"/>
            </c:ext>
          </c:extLst>
        </c:ser>
        <c:ser>
          <c:idx val="2"/>
          <c:order val="2"/>
          <c:tx>
            <c:strRef>
              <c:f>房地产!$D$99</c:f>
              <c:strCache>
                <c:ptCount val="1"/>
                <c:pt idx="0">
                  <c:v>2020年销售面积(万㎡)</c:v>
                </c:pt>
              </c:strCache>
            </c:strRef>
          </c:tx>
          <c:spPr>
            <a:ln w="28575" cap="rnd">
              <a:solidFill>
                <a:schemeClr val="accent3"/>
              </a:solidFill>
              <a:round/>
            </a:ln>
            <a:effectLst/>
          </c:spPr>
          <c:invertIfNegative val="0"/>
          <c:cat>
            <c:strRef>
              <c:f>房地产!$A$100:$A$110</c:f>
              <c:strCache>
                <c:ptCount val="11"/>
                <c:pt idx="0">
                  <c:v>玄武区</c:v>
                </c:pt>
                <c:pt idx="1">
                  <c:v>秦淮区</c:v>
                </c:pt>
                <c:pt idx="2">
                  <c:v>鼓楼区</c:v>
                </c:pt>
                <c:pt idx="3">
                  <c:v>建邺区</c:v>
                </c:pt>
                <c:pt idx="4">
                  <c:v>雨花台区</c:v>
                </c:pt>
                <c:pt idx="5">
                  <c:v>浦口区</c:v>
                </c:pt>
                <c:pt idx="6">
                  <c:v>六合区</c:v>
                </c:pt>
                <c:pt idx="7">
                  <c:v>栖霞区</c:v>
                </c:pt>
                <c:pt idx="8">
                  <c:v>江宁区</c:v>
                </c:pt>
                <c:pt idx="9">
                  <c:v>溧水区</c:v>
                </c:pt>
                <c:pt idx="10">
                  <c:v>高淳区</c:v>
                </c:pt>
              </c:strCache>
            </c:strRef>
          </c:cat>
          <c:val>
            <c:numRef>
              <c:f>房地产!$D$100:$D$110</c:f>
              <c:numCache>
                <c:formatCode>General</c:formatCode>
                <c:ptCount val="11"/>
                <c:pt idx="0">
                  <c:v>15.04</c:v>
                </c:pt>
                <c:pt idx="1">
                  <c:v>7.67</c:v>
                </c:pt>
                <c:pt idx="2">
                  <c:v>31.2</c:v>
                </c:pt>
                <c:pt idx="3">
                  <c:v>56.11</c:v>
                </c:pt>
                <c:pt idx="4">
                  <c:v>65.41</c:v>
                </c:pt>
                <c:pt idx="5">
                  <c:v>233.32</c:v>
                </c:pt>
                <c:pt idx="6">
                  <c:v>71.66</c:v>
                </c:pt>
                <c:pt idx="7">
                  <c:v>137.47</c:v>
                </c:pt>
                <c:pt idx="8">
                  <c:v>218.04</c:v>
                </c:pt>
                <c:pt idx="9">
                  <c:v>116.64</c:v>
                </c:pt>
                <c:pt idx="10">
                  <c:v>73.459999999999994</c:v>
                </c:pt>
              </c:numCache>
            </c:numRef>
          </c:val>
          <c:extLst xmlns:c16r2="http://schemas.microsoft.com/office/drawing/2015/06/chart">
            <c:ext xmlns:c16="http://schemas.microsoft.com/office/drawing/2014/chart" uri="{C3380CC4-5D6E-409C-BE32-E72D297353CC}">
              <c16:uniqueId val="{00000003-A53A-431F-B3D2-C16C8D43FBC7}"/>
            </c:ext>
          </c:extLst>
        </c:ser>
        <c:ser>
          <c:idx val="4"/>
          <c:order val="4"/>
          <c:tx>
            <c:strRef>
              <c:f>房地产!$F$99</c:f>
              <c:strCache>
                <c:ptCount val="1"/>
                <c:pt idx="0">
                  <c:v>2021年1-5月销售面积(万㎡)</c:v>
                </c:pt>
              </c:strCache>
            </c:strRef>
          </c:tx>
          <c:invertIfNegative val="0"/>
          <c:cat>
            <c:strRef>
              <c:f>房地产!$A$100:$A$110</c:f>
              <c:strCache>
                <c:ptCount val="11"/>
                <c:pt idx="0">
                  <c:v>玄武区</c:v>
                </c:pt>
                <c:pt idx="1">
                  <c:v>秦淮区</c:v>
                </c:pt>
                <c:pt idx="2">
                  <c:v>鼓楼区</c:v>
                </c:pt>
                <c:pt idx="3">
                  <c:v>建邺区</c:v>
                </c:pt>
                <c:pt idx="4">
                  <c:v>雨花台区</c:v>
                </c:pt>
                <c:pt idx="5">
                  <c:v>浦口区</c:v>
                </c:pt>
                <c:pt idx="6">
                  <c:v>六合区</c:v>
                </c:pt>
                <c:pt idx="7">
                  <c:v>栖霞区</c:v>
                </c:pt>
                <c:pt idx="8">
                  <c:v>江宁区</c:v>
                </c:pt>
                <c:pt idx="9">
                  <c:v>溧水区</c:v>
                </c:pt>
                <c:pt idx="10">
                  <c:v>高淳区</c:v>
                </c:pt>
              </c:strCache>
            </c:strRef>
          </c:cat>
          <c:val>
            <c:numRef>
              <c:f>房地产!$F$100:$F$110</c:f>
              <c:numCache>
                <c:formatCode>General</c:formatCode>
                <c:ptCount val="11"/>
                <c:pt idx="0">
                  <c:v>8.73</c:v>
                </c:pt>
                <c:pt idx="1">
                  <c:v>47.5</c:v>
                </c:pt>
                <c:pt idx="2">
                  <c:v>17.02</c:v>
                </c:pt>
                <c:pt idx="3">
                  <c:v>61.35</c:v>
                </c:pt>
                <c:pt idx="4">
                  <c:v>37.92</c:v>
                </c:pt>
                <c:pt idx="5">
                  <c:v>198.1</c:v>
                </c:pt>
                <c:pt idx="6">
                  <c:v>29.64</c:v>
                </c:pt>
                <c:pt idx="7">
                  <c:v>86.070000000000007</c:v>
                </c:pt>
                <c:pt idx="8">
                  <c:v>112.7</c:v>
                </c:pt>
                <c:pt idx="9">
                  <c:v>42.319999999999993</c:v>
                </c:pt>
                <c:pt idx="10">
                  <c:v>29.19</c:v>
                </c:pt>
              </c:numCache>
            </c:numRef>
          </c:val>
          <c:extLst xmlns:c16r2="http://schemas.microsoft.com/office/drawing/2015/06/chart">
            <c:ext xmlns:c16="http://schemas.microsoft.com/office/drawing/2014/chart" uri="{C3380CC4-5D6E-409C-BE32-E72D297353CC}">
              <c16:uniqueId val="{00000000-6FD8-4803-B07E-C6EF612C2760}"/>
            </c:ext>
          </c:extLst>
        </c:ser>
        <c:dLbls>
          <c:showLegendKey val="0"/>
          <c:showVal val="0"/>
          <c:showCatName val="0"/>
          <c:showSerName val="0"/>
          <c:showPercent val="0"/>
          <c:showBubbleSize val="0"/>
        </c:dLbls>
        <c:gapWidth val="150"/>
        <c:axId val="415489024"/>
        <c:axId val="415499008"/>
      </c:barChart>
      <c:lineChart>
        <c:grouping val="standard"/>
        <c:varyColors val="0"/>
        <c:ser>
          <c:idx val="1"/>
          <c:order val="1"/>
          <c:tx>
            <c:strRef>
              <c:f>房地产!$C$99</c:f>
              <c:strCache>
                <c:ptCount val="1"/>
                <c:pt idx="0">
                  <c:v>2019年销售价格(元/㎡)</c:v>
                </c:pt>
              </c:strCache>
            </c:strRef>
          </c:tx>
          <c:spPr>
            <a:effectLst/>
          </c:spPr>
          <c:cat>
            <c:strRef>
              <c:f>房地产!$A$100:$A$110</c:f>
              <c:strCache>
                <c:ptCount val="11"/>
                <c:pt idx="0">
                  <c:v>玄武区</c:v>
                </c:pt>
                <c:pt idx="1">
                  <c:v>秦淮区</c:v>
                </c:pt>
                <c:pt idx="2">
                  <c:v>鼓楼区</c:v>
                </c:pt>
                <c:pt idx="3">
                  <c:v>建邺区</c:v>
                </c:pt>
                <c:pt idx="4">
                  <c:v>雨花台区</c:v>
                </c:pt>
                <c:pt idx="5">
                  <c:v>浦口区</c:v>
                </c:pt>
                <c:pt idx="6">
                  <c:v>六合区</c:v>
                </c:pt>
                <c:pt idx="7">
                  <c:v>栖霞区</c:v>
                </c:pt>
                <c:pt idx="8">
                  <c:v>江宁区</c:v>
                </c:pt>
                <c:pt idx="9">
                  <c:v>溧水区</c:v>
                </c:pt>
                <c:pt idx="10">
                  <c:v>高淳区</c:v>
                </c:pt>
              </c:strCache>
            </c:strRef>
          </c:cat>
          <c:val>
            <c:numRef>
              <c:f>房地产!$C$100:$C$110</c:f>
              <c:numCache>
                <c:formatCode>General</c:formatCode>
                <c:ptCount val="11"/>
                <c:pt idx="0">
                  <c:v>38724</c:v>
                </c:pt>
                <c:pt idx="1">
                  <c:v>48004</c:v>
                </c:pt>
                <c:pt idx="2">
                  <c:v>38302</c:v>
                </c:pt>
                <c:pt idx="3">
                  <c:v>38023</c:v>
                </c:pt>
                <c:pt idx="4">
                  <c:v>33906</c:v>
                </c:pt>
                <c:pt idx="5">
                  <c:v>27564</c:v>
                </c:pt>
                <c:pt idx="6">
                  <c:v>12699</c:v>
                </c:pt>
                <c:pt idx="7">
                  <c:v>26491</c:v>
                </c:pt>
                <c:pt idx="8">
                  <c:v>25982</c:v>
                </c:pt>
                <c:pt idx="9">
                  <c:v>11073</c:v>
                </c:pt>
                <c:pt idx="10">
                  <c:v>9922</c:v>
                </c:pt>
              </c:numCache>
            </c:numRef>
          </c:val>
          <c:smooth val="0"/>
          <c:extLst xmlns:c16r2="http://schemas.microsoft.com/office/drawing/2015/06/chart">
            <c:ext xmlns:c16="http://schemas.microsoft.com/office/drawing/2014/chart" uri="{C3380CC4-5D6E-409C-BE32-E72D297353CC}">
              <c16:uniqueId val="{00000000-A53A-431F-B3D2-C16C8D43FBC7}"/>
            </c:ext>
          </c:extLst>
        </c:ser>
        <c:ser>
          <c:idx val="3"/>
          <c:order val="3"/>
          <c:tx>
            <c:strRef>
              <c:f>房地产!$E$99</c:f>
              <c:strCache>
                <c:ptCount val="1"/>
                <c:pt idx="0">
                  <c:v>2020年销售价格(元/㎡)</c:v>
                </c:pt>
              </c:strCache>
            </c:strRef>
          </c:tx>
          <c:spPr>
            <a:effectLst/>
          </c:spPr>
          <c:cat>
            <c:strRef>
              <c:f>房地产!$A$100:$A$110</c:f>
              <c:strCache>
                <c:ptCount val="11"/>
                <c:pt idx="0">
                  <c:v>玄武区</c:v>
                </c:pt>
                <c:pt idx="1">
                  <c:v>秦淮区</c:v>
                </c:pt>
                <c:pt idx="2">
                  <c:v>鼓楼区</c:v>
                </c:pt>
                <c:pt idx="3">
                  <c:v>建邺区</c:v>
                </c:pt>
                <c:pt idx="4">
                  <c:v>雨花台区</c:v>
                </c:pt>
                <c:pt idx="5">
                  <c:v>浦口区</c:v>
                </c:pt>
                <c:pt idx="6">
                  <c:v>六合区</c:v>
                </c:pt>
                <c:pt idx="7">
                  <c:v>栖霞区</c:v>
                </c:pt>
                <c:pt idx="8">
                  <c:v>江宁区</c:v>
                </c:pt>
                <c:pt idx="9">
                  <c:v>溧水区</c:v>
                </c:pt>
                <c:pt idx="10">
                  <c:v>高淳区</c:v>
                </c:pt>
              </c:strCache>
            </c:strRef>
          </c:cat>
          <c:val>
            <c:numRef>
              <c:f>房地产!$E$100:$E$110</c:f>
              <c:numCache>
                <c:formatCode>General</c:formatCode>
                <c:ptCount val="11"/>
                <c:pt idx="0">
                  <c:v>45318</c:v>
                </c:pt>
                <c:pt idx="1">
                  <c:v>48512</c:v>
                </c:pt>
                <c:pt idx="2">
                  <c:v>43780</c:v>
                </c:pt>
                <c:pt idx="3">
                  <c:v>44547</c:v>
                </c:pt>
                <c:pt idx="4">
                  <c:v>35094</c:v>
                </c:pt>
                <c:pt idx="5">
                  <c:v>27557</c:v>
                </c:pt>
                <c:pt idx="6">
                  <c:v>13459</c:v>
                </c:pt>
                <c:pt idx="7">
                  <c:v>29364</c:v>
                </c:pt>
                <c:pt idx="8">
                  <c:v>25691</c:v>
                </c:pt>
                <c:pt idx="9">
                  <c:v>12797</c:v>
                </c:pt>
                <c:pt idx="10">
                  <c:v>10158</c:v>
                </c:pt>
              </c:numCache>
            </c:numRef>
          </c:val>
          <c:smooth val="0"/>
          <c:extLst xmlns:c16r2="http://schemas.microsoft.com/office/drawing/2015/06/chart">
            <c:ext xmlns:c16="http://schemas.microsoft.com/office/drawing/2014/chart" uri="{C3380CC4-5D6E-409C-BE32-E72D297353CC}">
              <c16:uniqueId val="{00000001-A53A-431F-B3D2-C16C8D43FBC7}"/>
            </c:ext>
          </c:extLst>
        </c:ser>
        <c:ser>
          <c:idx val="5"/>
          <c:order val="5"/>
          <c:tx>
            <c:strRef>
              <c:f>房地产!$G$99</c:f>
              <c:strCache>
                <c:ptCount val="1"/>
                <c:pt idx="0">
                  <c:v>2021年1-5月销售价格(元/㎡)</c:v>
                </c:pt>
              </c:strCache>
            </c:strRef>
          </c:tx>
          <c:cat>
            <c:strRef>
              <c:f>房地产!$A$100:$A$110</c:f>
              <c:strCache>
                <c:ptCount val="11"/>
                <c:pt idx="0">
                  <c:v>玄武区</c:v>
                </c:pt>
                <c:pt idx="1">
                  <c:v>秦淮区</c:v>
                </c:pt>
                <c:pt idx="2">
                  <c:v>鼓楼区</c:v>
                </c:pt>
                <c:pt idx="3">
                  <c:v>建邺区</c:v>
                </c:pt>
                <c:pt idx="4">
                  <c:v>雨花台区</c:v>
                </c:pt>
                <c:pt idx="5">
                  <c:v>浦口区</c:v>
                </c:pt>
                <c:pt idx="6">
                  <c:v>六合区</c:v>
                </c:pt>
                <c:pt idx="7">
                  <c:v>栖霞区</c:v>
                </c:pt>
                <c:pt idx="8">
                  <c:v>江宁区</c:v>
                </c:pt>
                <c:pt idx="9">
                  <c:v>溧水区</c:v>
                </c:pt>
                <c:pt idx="10">
                  <c:v>高淳区</c:v>
                </c:pt>
              </c:strCache>
            </c:strRef>
          </c:cat>
          <c:val>
            <c:numRef>
              <c:f>房地产!$G$100:$G$110</c:f>
              <c:numCache>
                <c:formatCode>General</c:formatCode>
                <c:ptCount val="11"/>
                <c:pt idx="0">
                  <c:v>47938</c:v>
                </c:pt>
                <c:pt idx="1">
                  <c:v>46425</c:v>
                </c:pt>
                <c:pt idx="2">
                  <c:v>44324</c:v>
                </c:pt>
                <c:pt idx="3">
                  <c:v>49637</c:v>
                </c:pt>
                <c:pt idx="4">
                  <c:v>31772</c:v>
                </c:pt>
                <c:pt idx="5">
                  <c:v>29418</c:v>
                </c:pt>
                <c:pt idx="6">
                  <c:v>15118</c:v>
                </c:pt>
                <c:pt idx="7">
                  <c:v>30968</c:v>
                </c:pt>
                <c:pt idx="8">
                  <c:v>26868</c:v>
                </c:pt>
                <c:pt idx="9">
                  <c:v>13637</c:v>
                </c:pt>
                <c:pt idx="10">
                  <c:v>10384</c:v>
                </c:pt>
              </c:numCache>
            </c:numRef>
          </c:val>
          <c:smooth val="0"/>
          <c:extLst xmlns:c16r2="http://schemas.microsoft.com/office/drawing/2015/06/chart">
            <c:ext xmlns:c16="http://schemas.microsoft.com/office/drawing/2014/chart" uri="{C3380CC4-5D6E-409C-BE32-E72D297353CC}">
              <c16:uniqueId val="{00000001-6FD8-4803-B07E-C6EF612C2760}"/>
            </c:ext>
          </c:extLst>
        </c:ser>
        <c:dLbls>
          <c:showLegendKey val="0"/>
          <c:showVal val="0"/>
          <c:showCatName val="0"/>
          <c:showSerName val="0"/>
          <c:showPercent val="0"/>
          <c:showBubbleSize val="0"/>
        </c:dLbls>
        <c:marker val="1"/>
        <c:smooth val="0"/>
        <c:axId val="415580160"/>
        <c:axId val="415500544"/>
      </c:lineChart>
      <c:catAx>
        <c:axId val="4154890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15499008"/>
        <c:crosses val="autoZero"/>
        <c:auto val="1"/>
        <c:lblAlgn val="ctr"/>
        <c:lblOffset val="100"/>
        <c:noMultiLvlLbl val="0"/>
      </c:catAx>
      <c:valAx>
        <c:axId val="4154990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15489024"/>
        <c:crosses val="autoZero"/>
        <c:crossBetween val="between"/>
      </c:valAx>
      <c:valAx>
        <c:axId val="415500544"/>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15580160"/>
        <c:crosses val="max"/>
        <c:crossBetween val="between"/>
      </c:valAx>
      <c:catAx>
        <c:axId val="415580160"/>
        <c:scaling>
          <c:orientation val="minMax"/>
        </c:scaling>
        <c:delete val="1"/>
        <c:axPos val="b"/>
        <c:numFmt formatCode="General" sourceLinked="1"/>
        <c:majorTickMark val="out"/>
        <c:minorTickMark val="none"/>
        <c:tickLblPos val="nextTo"/>
        <c:crossAx val="41550054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u="none" strike="noStrike" baseline="0">
                <a:effectLst/>
              </a:rPr>
              <a:t>2020-2021</a:t>
            </a:r>
            <a:r>
              <a:rPr lang="zh-CN" altLang="zh-CN" sz="1400" b="1" i="0" u="none" strike="noStrike" baseline="0">
                <a:effectLst/>
              </a:rPr>
              <a:t>年</a:t>
            </a:r>
            <a:r>
              <a:rPr lang="en-US" altLang="zh-CN" sz="1400" b="1" i="0" u="none" strike="noStrike" baseline="0">
                <a:effectLst/>
              </a:rPr>
              <a:t>1-5</a:t>
            </a:r>
            <a:r>
              <a:rPr lang="zh-CN" altLang="zh-CN" sz="1400" b="1" i="0" u="none" strike="noStrike" baseline="0">
                <a:effectLst/>
              </a:rPr>
              <a:t>月南京市</a:t>
            </a:r>
            <a:r>
              <a:rPr lang="zh-CN" altLang="en-US" sz="1400" b="1" i="0" u="none" strike="noStrike" baseline="0">
                <a:effectLst/>
              </a:rPr>
              <a:t>商品住宅库存及去化</a:t>
            </a:r>
            <a:r>
              <a:rPr lang="zh-CN" altLang="en-US" sz="1400" b="1" i="0" baseline="0">
                <a:effectLst/>
              </a:rPr>
              <a:t>走势</a:t>
            </a:r>
            <a:endParaRPr lang="zh-CN" altLang="zh-CN" sz="1400">
              <a:effectLst/>
            </a:endParaRPr>
          </a:p>
        </c:rich>
      </c:tx>
      <c:overlay val="0"/>
      <c:spPr>
        <a:noFill/>
        <a:ln>
          <a:noFill/>
        </a:ln>
        <a:effectLst/>
      </c:spPr>
    </c:title>
    <c:autoTitleDeleted val="0"/>
    <c:plotArea>
      <c:layout/>
      <c:areaChart>
        <c:grouping val="standard"/>
        <c:varyColors val="0"/>
        <c:ser>
          <c:idx val="0"/>
          <c:order val="0"/>
          <c:tx>
            <c:strRef>
              <c:f>房地产!$B$194</c:f>
              <c:strCache>
                <c:ptCount val="1"/>
                <c:pt idx="0">
                  <c:v>库存面积(万㎡)</c:v>
                </c:pt>
              </c:strCache>
            </c:strRef>
          </c:tx>
          <c:spPr>
            <a:ln w="28575" cap="rnd">
              <a:solidFill>
                <a:schemeClr val="accent1"/>
              </a:solidFill>
              <a:round/>
            </a:ln>
            <a:effectLst/>
          </c:spPr>
          <c:cat>
            <c:numRef>
              <c:f>房地产!$A$196:$A$212</c:f>
              <c:numCache>
                <c:formatCode>yyyy"年"m"月"</c:formatCode>
                <c:ptCount val="17"/>
                <c:pt idx="0">
                  <c:v>43831</c:v>
                </c:pt>
                <c:pt idx="1">
                  <c:v>43862</c:v>
                </c:pt>
                <c:pt idx="2">
                  <c:v>43891</c:v>
                </c:pt>
                <c:pt idx="3">
                  <c:v>43922</c:v>
                </c:pt>
                <c:pt idx="4">
                  <c:v>43952</c:v>
                </c:pt>
                <c:pt idx="5">
                  <c:v>43983</c:v>
                </c:pt>
                <c:pt idx="6">
                  <c:v>44013</c:v>
                </c:pt>
                <c:pt idx="7">
                  <c:v>44044</c:v>
                </c:pt>
                <c:pt idx="8">
                  <c:v>44075</c:v>
                </c:pt>
                <c:pt idx="9">
                  <c:v>44105</c:v>
                </c:pt>
                <c:pt idx="10">
                  <c:v>44136</c:v>
                </c:pt>
                <c:pt idx="11">
                  <c:v>44166</c:v>
                </c:pt>
                <c:pt idx="12">
                  <c:v>44197</c:v>
                </c:pt>
                <c:pt idx="13">
                  <c:v>44228</c:v>
                </c:pt>
                <c:pt idx="14">
                  <c:v>44256</c:v>
                </c:pt>
                <c:pt idx="15">
                  <c:v>44287</c:v>
                </c:pt>
                <c:pt idx="16">
                  <c:v>44317</c:v>
                </c:pt>
              </c:numCache>
            </c:numRef>
          </c:cat>
          <c:val>
            <c:numRef>
              <c:f>房地产!$B$196:$B$212</c:f>
              <c:numCache>
                <c:formatCode>General</c:formatCode>
                <c:ptCount val="17"/>
                <c:pt idx="0">
                  <c:v>426.5</c:v>
                </c:pt>
                <c:pt idx="1">
                  <c:v>422.93</c:v>
                </c:pt>
                <c:pt idx="2">
                  <c:v>454.08</c:v>
                </c:pt>
                <c:pt idx="3">
                  <c:v>452.21</c:v>
                </c:pt>
                <c:pt idx="4">
                  <c:v>425.24</c:v>
                </c:pt>
                <c:pt idx="5">
                  <c:v>445.23</c:v>
                </c:pt>
                <c:pt idx="6">
                  <c:v>426.19</c:v>
                </c:pt>
                <c:pt idx="7">
                  <c:v>468.99</c:v>
                </c:pt>
                <c:pt idx="8">
                  <c:v>543.74</c:v>
                </c:pt>
                <c:pt idx="9">
                  <c:v>526.52</c:v>
                </c:pt>
                <c:pt idx="10">
                  <c:v>504.26</c:v>
                </c:pt>
                <c:pt idx="11">
                  <c:v>559.16</c:v>
                </c:pt>
                <c:pt idx="12">
                  <c:v>564.74</c:v>
                </c:pt>
                <c:pt idx="13">
                  <c:v>533.89</c:v>
                </c:pt>
                <c:pt idx="14">
                  <c:v>527.89</c:v>
                </c:pt>
                <c:pt idx="15">
                  <c:v>537.98</c:v>
                </c:pt>
                <c:pt idx="16">
                  <c:v>450.56</c:v>
                </c:pt>
              </c:numCache>
            </c:numRef>
          </c:val>
          <c:extLst xmlns:c16r2="http://schemas.microsoft.com/office/drawing/2015/06/chart">
            <c:ext xmlns:c16="http://schemas.microsoft.com/office/drawing/2014/chart" uri="{C3380CC4-5D6E-409C-BE32-E72D297353CC}">
              <c16:uniqueId val="{00000002-85B5-4D19-9323-7E85ED4E6442}"/>
            </c:ext>
          </c:extLst>
        </c:ser>
        <c:dLbls>
          <c:showLegendKey val="0"/>
          <c:showVal val="0"/>
          <c:showCatName val="0"/>
          <c:showSerName val="0"/>
          <c:showPercent val="0"/>
          <c:showBubbleSize val="0"/>
        </c:dLbls>
        <c:axId val="415638272"/>
        <c:axId val="415639808"/>
      </c:areaChart>
      <c:lineChart>
        <c:grouping val="standard"/>
        <c:varyColors val="0"/>
        <c:ser>
          <c:idx val="1"/>
          <c:order val="1"/>
          <c:tx>
            <c:strRef>
              <c:f>房地产!$C$194</c:f>
              <c:strCache>
                <c:ptCount val="1"/>
                <c:pt idx="0">
                  <c:v>去化面积(万㎡)</c:v>
                </c:pt>
              </c:strCache>
            </c:strRef>
          </c:tx>
          <c:spPr>
            <a:effectLst/>
          </c:spPr>
          <c:marker>
            <c:symbol val="none"/>
          </c:marker>
          <c:cat>
            <c:numRef>
              <c:f>房地产!$A$196:$A$212</c:f>
              <c:numCache>
                <c:formatCode>yyyy"年"m"月"</c:formatCode>
                <c:ptCount val="17"/>
                <c:pt idx="0">
                  <c:v>43831</c:v>
                </c:pt>
                <c:pt idx="1">
                  <c:v>43862</c:v>
                </c:pt>
                <c:pt idx="2">
                  <c:v>43891</c:v>
                </c:pt>
                <c:pt idx="3">
                  <c:v>43922</c:v>
                </c:pt>
                <c:pt idx="4">
                  <c:v>43952</c:v>
                </c:pt>
                <c:pt idx="5">
                  <c:v>43983</c:v>
                </c:pt>
                <c:pt idx="6">
                  <c:v>44013</c:v>
                </c:pt>
                <c:pt idx="7">
                  <c:v>44044</c:v>
                </c:pt>
                <c:pt idx="8">
                  <c:v>44075</c:v>
                </c:pt>
                <c:pt idx="9">
                  <c:v>44105</c:v>
                </c:pt>
                <c:pt idx="10">
                  <c:v>44136</c:v>
                </c:pt>
                <c:pt idx="11">
                  <c:v>44166</c:v>
                </c:pt>
                <c:pt idx="12">
                  <c:v>44197</c:v>
                </c:pt>
                <c:pt idx="13">
                  <c:v>44228</c:v>
                </c:pt>
                <c:pt idx="14">
                  <c:v>44256</c:v>
                </c:pt>
                <c:pt idx="15">
                  <c:v>44287</c:v>
                </c:pt>
                <c:pt idx="16">
                  <c:v>44317</c:v>
                </c:pt>
              </c:numCache>
            </c:numRef>
          </c:cat>
          <c:val>
            <c:numRef>
              <c:f>房地产!$C$196:$C$212</c:f>
              <c:numCache>
                <c:formatCode>General</c:formatCode>
                <c:ptCount val="17"/>
                <c:pt idx="0">
                  <c:v>58.19</c:v>
                </c:pt>
                <c:pt idx="1">
                  <c:v>22.79</c:v>
                </c:pt>
                <c:pt idx="2">
                  <c:v>39.090000000000003</c:v>
                </c:pt>
                <c:pt idx="3">
                  <c:v>72.709999999999994</c:v>
                </c:pt>
                <c:pt idx="4">
                  <c:v>85.94</c:v>
                </c:pt>
                <c:pt idx="5">
                  <c:v>75.89</c:v>
                </c:pt>
                <c:pt idx="6">
                  <c:v>86.91</c:v>
                </c:pt>
                <c:pt idx="7">
                  <c:v>74.709999999999994</c:v>
                </c:pt>
                <c:pt idx="8">
                  <c:v>61.06</c:v>
                </c:pt>
                <c:pt idx="9">
                  <c:v>74.08</c:v>
                </c:pt>
                <c:pt idx="10">
                  <c:v>84.05</c:v>
                </c:pt>
                <c:pt idx="11">
                  <c:v>100.5</c:v>
                </c:pt>
                <c:pt idx="12">
                  <c:v>90.76</c:v>
                </c:pt>
                <c:pt idx="13">
                  <c:v>63.13</c:v>
                </c:pt>
                <c:pt idx="14">
                  <c:v>155.24</c:v>
                </c:pt>
                <c:pt idx="15">
                  <c:v>150.22999999999999</c:v>
                </c:pt>
                <c:pt idx="16">
                  <c:v>139.66999999999999</c:v>
                </c:pt>
              </c:numCache>
            </c:numRef>
          </c:val>
          <c:smooth val="0"/>
          <c:extLst xmlns:c16r2="http://schemas.microsoft.com/office/drawing/2015/06/chart">
            <c:ext xmlns:c16="http://schemas.microsoft.com/office/drawing/2014/chart" uri="{C3380CC4-5D6E-409C-BE32-E72D297353CC}">
              <c16:uniqueId val="{00000000-85B5-4D19-9323-7E85ED4E6442}"/>
            </c:ext>
          </c:extLst>
        </c:ser>
        <c:dLbls>
          <c:showLegendKey val="0"/>
          <c:showVal val="0"/>
          <c:showCatName val="0"/>
          <c:showSerName val="0"/>
          <c:showPercent val="0"/>
          <c:showBubbleSize val="0"/>
        </c:dLbls>
        <c:marker val="1"/>
        <c:smooth val="0"/>
        <c:axId val="415638272"/>
        <c:axId val="415639808"/>
      </c:lineChart>
      <c:lineChart>
        <c:grouping val="standard"/>
        <c:varyColors val="0"/>
        <c:ser>
          <c:idx val="2"/>
          <c:order val="2"/>
          <c:tx>
            <c:strRef>
              <c:f>房地产!$D$194</c:f>
              <c:strCache>
                <c:ptCount val="1"/>
                <c:pt idx="0">
                  <c:v>出清周期(月)</c:v>
                </c:pt>
              </c:strCache>
            </c:strRef>
          </c:tx>
          <c:marker>
            <c:symbol val="none"/>
          </c:marker>
          <c:cat>
            <c:numRef>
              <c:f>房地产!$A$196:$A$212</c:f>
              <c:numCache>
                <c:formatCode>yyyy"年"m"月"</c:formatCode>
                <c:ptCount val="17"/>
                <c:pt idx="0">
                  <c:v>43831</c:v>
                </c:pt>
                <c:pt idx="1">
                  <c:v>43862</c:v>
                </c:pt>
                <c:pt idx="2">
                  <c:v>43891</c:v>
                </c:pt>
                <c:pt idx="3">
                  <c:v>43922</c:v>
                </c:pt>
                <c:pt idx="4">
                  <c:v>43952</c:v>
                </c:pt>
                <c:pt idx="5">
                  <c:v>43983</c:v>
                </c:pt>
                <c:pt idx="6">
                  <c:v>44013</c:v>
                </c:pt>
                <c:pt idx="7">
                  <c:v>44044</c:v>
                </c:pt>
                <c:pt idx="8">
                  <c:v>44075</c:v>
                </c:pt>
                <c:pt idx="9">
                  <c:v>44105</c:v>
                </c:pt>
                <c:pt idx="10">
                  <c:v>44136</c:v>
                </c:pt>
                <c:pt idx="11">
                  <c:v>44166</c:v>
                </c:pt>
                <c:pt idx="12">
                  <c:v>44197</c:v>
                </c:pt>
                <c:pt idx="13">
                  <c:v>44228</c:v>
                </c:pt>
                <c:pt idx="14">
                  <c:v>44256</c:v>
                </c:pt>
                <c:pt idx="15">
                  <c:v>44287</c:v>
                </c:pt>
                <c:pt idx="16">
                  <c:v>44317</c:v>
                </c:pt>
              </c:numCache>
            </c:numRef>
          </c:cat>
          <c:val>
            <c:numRef>
              <c:f>房地产!$D$196:$D$212</c:f>
              <c:numCache>
                <c:formatCode>General</c:formatCode>
                <c:ptCount val="17"/>
                <c:pt idx="0">
                  <c:v>5.83</c:v>
                </c:pt>
                <c:pt idx="1">
                  <c:v>6.15</c:v>
                </c:pt>
                <c:pt idx="2">
                  <c:v>7.38</c:v>
                </c:pt>
                <c:pt idx="3">
                  <c:v>7.56</c:v>
                </c:pt>
                <c:pt idx="4">
                  <c:v>6.62</c:v>
                </c:pt>
                <c:pt idx="5">
                  <c:v>7.53</c:v>
                </c:pt>
                <c:pt idx="6">
                  <c:v>6.67</c:v>
                </c:pt>
                <c:pt idx="7">
                  <c:v>6.47</c:v>
                </c:pt>
                <c:pt idx="8">
                  <c:v>7.14</c:v>
                </c:pt>
                <c:pt idx="9">
                  <c:v>6.89</c:v>
                </c:pt>
                <c:pt idx="10">
                  <c:v>6.62</c:v>
                </c:pt>
                <c:pt idx="11">
                  <c:v>6.97</c:v>
                </c:pt>
                <c:pt idx="12">
                  <c:v>6.98</c:v>
                </c:pt>
                <c:pt idx="13">
                  <c:v>6.76</c:v>
                </c:pt>
                <c:pt idx="14">
                  <c:v>5.58</c:v>
                </c:pt>
                <c:pt idx="15">
                  <c:v>5.01</c:v>
                </c:pt>
                <c:pt idx="16">
                  <c:v>3.86</c:v>
                </c:pt>
              </c:numCache>
            </c:numRef>
          </c:val>
          <c:smooth val="0"/>
          <c:extLst xmlns:c16r2="http://schemas.microsoft.com/office/drawing/2015/06/chart">
            <c:ext xmlns:c16="http://schemas.microsoft.com/office/drawing/2014/chart" uri="{C3380CC4-5D6E-409C-BE32-E72D297353CC}">
              <c16:uniqueId val="{00000000-B494-44CD-BDCB-79A654F76B28}"/>
            </c:ext>
          </c:extLst>
        </c:ser>
        <c:dLbls>
          <c:showLegendKey val="0"/>
          <c:showVal val="0"/>
          <c:showCatName val="0"/>
          <c:showSerName val="0"/>
          <c:showPercent val="0"/>
          <c:showBubbleSize val="0"/>
        </c:dLbls>
        <c:marker val="1"/>
        <c:smooth val="0"/>
        <c:axId val="415651328"/>
        <c:axId val="415649792"/>
      </c:lineChart>
      <c:dateAx>
        <c:axId val="415638272"/>
        <c:scaling>
          <c:orientation val="minMax"/>
        </c:scaling>
        <c:delete val="0"/>
        <c:axPos val="b"/>
        <c:numFmt formatCode="yyyy&quot;年&quot;m&quot;月&quot;"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15639808"/>
        <c:crosses val="autoZero"/>
        <c:auto val="1"/>
        <c:lblOffset val="100"/>
        <c:baseTimeUnit val="months"/>
      </c:dateAx>
      <c:valAx>
        <c:axId val="4156398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15638272"/>
        <c:crosses val="autoZero"/>
        <c:crossBetween val="between"/>
      </c:valAx>
      <c:valAx>
        <c:axId val="415649792"/>
        <c:scaling>
          <c:orientation val="minMax"/>
        </c:scaling>
        <c:delete val="0"/>
        <c:axPos val="r"/>
        <c:numFmt formatCode="General" sourceLinked="1"/>
        <c:majorTickMark val="out"/>
        <c:minorTickMark val="none"/>
        <c:tickLblPos val="nextTo"/>
        <c:crossAx val="415651328"/>
        <c:crosses val="max"/>
        <c:crossBetween val="between"/>
      </c:valAx>
      <c:dateAx>
        <c:axId val="415651328"/>
        <c:scaling>
          <c:orientation val="minMax"/>
        </c:scaling>
        <c:delete val="1"/>
        <c:axPos val="b"/>
        <c:numFmt formatCode="yyyy&quot;年&quot;m&quot;月&quot;" sourceLinked="1"/>
        <c:majorTickMark val="out"/>
        <c:minorTickMark val="none"/>
        <c:tickLblPos val="nextTo"/>
        <c:crossAx val="415649792"/>
        <c:crosses val="autoZero"/>
        <c:auto val="1"/>
        <c:lblOffset val="100"/>
        <c:baseTimeUnit val="months"/>
      </c:date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baseline="0">
                <a:effectLst/>
              </a:rPr>
              <a:t>2017</a:t>
            </a:r>
            <a:r>
              <a:rPr lang="zh-CN" altLang="en-US" sz="1400" b="1" i="0" baseline="0">
                <a:effectLst/>
              </a:rPr>
              <a:t>年</a:t>
            </a:r>
            <a:r>
              <a:rPr lang="en-US" altLang="zh-CN" sz="1400" b="1" i="0" baseline="0">
                <a:effectLst/>
              </a:rPr>
              <a:t>-2020</a:t>
            </a:r>
            <a:r>
              <a:rPr lang="zh-CN" altLang="zh-CN" sz="1400" b="1" i="0" baseline="0">
                <a:effectLst/>
              </a:rPr>
              <a:t>年</a:t>
            </a:r>
            <a:r>
              <a:rPr lang="en-US" altLang="zh-CN" sz="1400" b="1" i="0" baseline="0">
                <a:effectLst/>
              </a:rPr>
              <a:t>1-5</a:t>
            </a:r>
            <a:r>
              <a:rPr lang="zh-CN" altLang="en-US" sz="1400" b="1" i="0" baseline="0">
                <a:effectLst/>
              </a:rPr>
              <a:t>月雨花台区</a:t>
            </a:r>
            <a:r>
              <a:rPr lang="zh-CN" altLang="zh-CN" sz="1400" b="1" i="0" baseline="0">
                <a:effectLst/>
              </a:rPr>
              <a:t>涉宅用地土地</a:t>
            </a:r>
            <a:r>
              <a:rPr lang="zh-CN" altLang="en-US" sz="1400" b="1" i="0" baseline="0">
                <a:effectLst/>
              </a:rPr>
              <a:t>成交</a:t>
            </a:r>
            <a:r>
              <a:rPr lang="zh-CN" altLang="zh-CN" sz="1400" b="1" i="0" baseline="0">
                <a:effectLst/>
              </a:rPr>
              <a:t>情况</a:t>
            </a:r>
            <a:endParaRPr lang="zh-CN" altLang="zh-CN" sz="1400">
              <a:effectLst/>
            </a:endParaRPr>
          </a:p>
        </c:rich>
      </c:tx>
      <c:overlay val="0"/>
      <c:spPr>
        <a:noFill/>
        <a:ln>
          <a:noFill/>
        </a:ln>
        <a:effectLst/>
      </c:spPr>
    </c:title>
    <c:autoTitleDeleted val="0"/>
    <c:plotArea>
      <c:layout/>
      <c:barChart>
        <c:barDir val="col"/>
        <c:grouping val="clustered"/>
        <c:varyColors val="0"/>
        <c:ser>
          <c:idx val="0"/>
          <c:order val="0"/>
          <c:tx>
            <c:strRef>
              <c:f>土地!$A$150</c:f>
              <c:strCache>
                <c:ptCount val="1"/>
                <c:pt idx="0">
                  <c:v>成交土地面积（万平方米）</c:v>
                </c:pt>
              </c:strCache>
            </c:strRef>
          </c:tx>
          <c:spPr>
            <a:solidFill>
              <a:schemeClr val="accent1"/>
            </a:solidFill>
            <a:ln>
              <a:noFill/>
            </a:ln>
            <a:effectLst/>
          </c:spPr>
          <c:invertIfNegative val="0"/>
          <c:cat>
            <c:strRef>
              <c:f>土地!$B$149:$F$149</c:f>
              <c:strCache>
                <c:ptCount val="5"/>
                <c:pt idx="0">
                  <c:v>2017</c:v>
                </c:pt>
                <c:pt idx="1">
                  <c:v>2018</c:v>
                </c:pt>
                <c:pt idx="2">
                  <c:v>2019</c:v>
                </c:pt>
                <c:pt idx="3">
                  <c:v>2020</c:v>
                </c:pt>
                <c:pt idx="4">
                  <c:v>2021年1-5月</c:v>
                </c:pt>
              </c:strCache>
            </c:strRef>
          </c:cat>
          <c:val>
            <c:numRef>
              <c:f>土地!$B$150:$F$150</c:f>
              <c:numCache>
                <c:formatCode>General</c:formatCode>
                <c:ptCount val="5"/>
                <c:pt idx="0">
                  <c:v>37.71</c:v>
                </c:pt>
                <c:pt idx="1">
                  <c:v>19.79</c:v>
                </c:pt>
                <c:pt idx="2">
                  <c:v>36.06</c:v>
                </c:pt>
                <c:pt idx="3">
                  <c:v>32.5</c:v>
                </c:pt>
                <c:pt idx="4">
                  <c:v>64.36</c:v>
                </c:pt>
              </c:numCache>
            </c:numRef>
          </c:val>
          <c:extLst xmlns:c16r2="http://schemas.microsoft.com/office/drawing/2015/06/chart">
            <c:ext xmlns:c16="http://schemas.microsoft.com/office/drawing/2014/chart" uri="{C3380CC4-5D6E-409C-BE32-E72D297353CC}">
              <c16:uniqueId val="{00000000-7626-4636-8306-4FA0664F8CD9}"/>
            </c:ext>
          </c:extLst>
        </c:ser>
        <c:ser>
          <c:idx val="1"/>
          <c:order val="1"/>
          <c:tx>
            <c:strRef>
              <c:f>土地!$A$151</c:f>
              <c:strCache>
                <c:ptCount val="1"/>
                <c:pt idx="0">
                  <c:v>成交规划建筑面积（万平方米）</c:v>
                </c:pt>
              </c:strCache>
            </c:strRef>
          </c:tx>
          <c:spPr>
            <a:solidFill>
              <a:schemeClr val="accent2"/>
            </a:solidFill>
            <a:ln>
              <a:noFill/>
            </a:ln>
            <a:effectLst/>
          </c:spPr>
          <c:invertIfNegative val="0"/>
          <c:cat>
            <c:strRef>
              <c:f>土地!$B$149:$F$149</c:f>
              <c:strCache>
                <c:ptCount val="5"/>
                <c:pt idx="0">
                  <c:v>2017</c:v>
                </c:pt>
                <c:pt idx="1">
                  <c:v>2018</c:v>
                </c:pt>
                <c:pt idx="2">
                  <c:v>2019</c:v>
                </c:pt>
                <c:pt idx="3">
                  <c:v>2020</c:v>
                </c:pt>
                <c:pt idx="4">
                  <c:v>2021年1-5月</c:v>
                </c:pt>
              </c:strCache>
            </c:strRef>
          </c:cat>
          <c:val>
            <c:numRef>
              <c:f>土地!$B$151:$F$151</c:f>
              <c:numCache>
                <c:formatCode>General</c:formatCode>
                <c:ptCount val="5"/>
                <c:pt idx="0">
                  <c:v>98.55</c:v>
                </c:pt>
                <c:pt idx="1">
                  <c:v>53.78</c:v>
                </c:pt>
                <c:pt idx="2">
                  <c:v>91.4</c:v>
                </c:pt>
                <c:pt idx="3">
                  <c:v>84.49</c:v>
                </c:pt>
                <c:pt idx="4">
                  <c:v>199.52</c:v>
                </c:pt>
              </c:numCache>
            </c:numRef>
          </c:val>
          <c:extLst xmlns:c16r2="http://schemas.microsoft.com/office/drawing/2015/06/chart">
            <c:ext xmlns:c16="http://schemas.microsoft.com/office/drawing/2014/chart" uri="{C3380CC4-5D6E-409C-BE32-E72D297353CC}">
              <c16:uniqueId val="{00000001-7626-4636-8306-4FA0664F8CD9}"/>
            </c:ext>
          </c:extLst>
        </c:ser>
        <c:dLbls>
          <c:showLegendKey val="0"/>
          <c:showVal val="0"/>
          <c:showCatName val="0"/>
          <c:showSerName val="0"/>
          <c:showPercent val="0"/>
          <c:showBubbleSize val="0"/>
        </c:dLbls>
        <c:gapWidth val="219"/>
        <c:axId val="415692288"/>
        <c:axId val="415694208"/>
      </c:barChart>
      <c:lineChart>
        <c:grouping val="standard"/>
        <c:varyColors val="0"/>
        <c:ser>
          <c:idx val="2"/>
          <c:order val="2"/>
          <c:tx>
            <c:strRef>
              <c:f>土地!$A$152</c:f>
              <c:strCache>
                <c:ptCount val="1"/>
                <c:pt idx="0">
                  <c:v>成交金额（亿元）</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土地!$B$149:$F$149</c:f>
              <c:strCache>
                <c:ptCount val="5"/>
                <c:pt idx="0">
                  <c:v>2017</c:v>
                </c:pt>
                <c:pt idx="1">
                  <c:v>2018</c:v>
                </c:pt>
                <c:pt idx="2">
                  <c:v>2019</c:v>
                </c:pt>
                <c:pt idx="3">
                  <c:v>2020</c:v>
                </c:pt>
                <c:pt idx="4">
                  <c:v>2021年1-5月</c:v>
                </c:pt>
              </c:strCache>
            </c:strRef>
          </c:cat>
          <c:val>
            <c:numRef>
              <c:f>土地!$B$152:$F$152</c:f>
              <c:numCache>
                <c:formatCode>General</c:formatCode>
                <c:ptCount val="5"/>
                <c:pt idx="0">
                  <c:v>153.69999999999999</c:v>
                </c:pt>
                <c:pt idx="1">
                  <c:v>85.8</c:v>
                </c:pt>
                <c:pt idx="2">
                  <c:v>158.9</c:v>
                </c:pt>
                <c:pt idx="3">
                  <c:v>133.30000000000001</c:v>
                </c:pt>
                <c:pt idx="4">
                  <c:v>288.60000000000002</c:v>
                </c:pt>
              </c:numCache>
            </c:numRef>
          </c:val>
          <c:smooth val="0"/>
          <c:extLst xmlns:c16r2="http://schemas.microsoft.com/office/drawing/2015/06/chart">
            <c:ext xmlns:c16="http://schemas.microsoft.com/office/drawing/2014/chart" uri="{C3380CC4-5D6E-409C-BE32-E72D297353CC}">
              <c16:uniqueId val="{00000002-7626-4636-8306-4FA0664F8CD9}"/>
            </c:ext>
          </c:extLst>
        </c:ser>
        <c:dLbls>
          <c:showLegendKey val="0"/>
          <c:showVal val="0"/>
          <c:showCatName val="0"/>
          <c:showSerName val="0"/>
          <c:showPercent val="0"/>
          <c:showBubbleSize val="0"/>
        </c:dLbls>
        <c:marker val="1"/>
        <c:smooth val="0"/>
        <c:axId val="415709824"/>
        <c:axId val="415708288"/>
      </c:lineChart>
      <c:catAx>
        <c:axId val="415692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15694208"/>
        <c:crosses val="autoZero"/>
        <c:auto val="1"/>
        <c:lblAlgn val="ctr"/>
        <c:lblOffset val="100"/>
        <c:noMultiLvlLbl val="0"/>
      </c:catAx>
      <c:valAx>
        <c:axId val="4156942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15692288"/>
        <c:crosses val="autoZero"/>
        <c:crossBetween val="between"/>
      </c:valAx>
      <c:valAx>
        <c:axId val="415708288"/>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15709824"/>
        <c:crosses val="max"/>
        <c:crossBetween val="between"/>
      </c:valAx>
      <c:catAx>
        <c:axId val="415709824"/>
        <c:scaling>
          <c:orientation val="minMax"/>
        </c:scaling>
        <c:delete val="1"/>
        <c:axPos val="b"/>
        <c:numFmt formatCode="General" sourceLinked="1"/>
        <c:majorTickMark val="out"/>
        <c:minorTickMark val="none"/>
        <c:tickLblPos val="nextTo"/>
        <c:crossAx val="41570828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u="none" strike="noStrike" baseline="0">
                <a:effectLst/>
              </a:rPr>
              <a:t>2017-2020</a:t>
            </a:r>
            <a:r>
              <a:rPr lang="zh-CN" altLang="zh-CN" sz="1400" b="1" i="0" u="none" strike="noStrike" baseline="0">
                <a:effectLst/>
              </a:rPr>
              <a:t>年</a:t>
            </a:r>
            <a:r>
              <a:rPr lang="en-US" altLang="zh-CN" sz="1400" b="1" i="0" u="none" strike="noStrike" baseline="0">
                <a:effectLst/>
              </a:rPr>
              <a:t>1-5</a:t>
            </a:r>
            <a:r>
              <a:rPr lang="zh-CN" altLang="zh-CN" sz="1400" b="1" i="0" u="none" strike="noStrike" baseline="0">
                <a:effectLst/>
              </a:rPr>
              <a:t>月雨花台区</a:t>
            </a:r>
            <a:r>
              <a:rPr lang="zh-CN" altLang="zh-CN" sz="1400" b="1" i="0" baseline="0">
                <a:effectLst/>
              </a:rPr>
              <a:t>涉宅用地土地</a:t>
            </a:r>
            <a:r>
              <a:rPr lang="zh-CN" altLang="en-US" sz="1400" b="1" i="0" baseline="0">
                <a:effectLst/>
              </a:rPr>
              <a:t>成交价格走势</a:t>
            </a:r>
            <a:endParaRPr lang="zh-CN" altLang="zh-CN" sz="1400">
              <a:effectLst/>
            </a:endParaRPr>
          </a:p>
        </c:rich>
      </c:tx>
      <c:overlay val="0"/>
      <c:spPr>
        <a:noFill/>
        <a:ln>
          <a:noFill/>
        </a:ln>
        <a:effectLst/>
      </c:spPr>
    </c:title>
    <c:autoTitleDeleted val="0"/>
    <c:plotArea>
      <c:layout/>
      <c:barChart>
        <c:barDir val="col"/>
        <c:grouping val="clustered"/>
        <c:varyColors val="0"/>
        <c:ser>
          <c:idx val="0"/>
          <c:order val="0"/>
          <c:tx>
            <c:strRef>
              <c:f>土地!$A$172</c:f>
              <c:strCache>
                <c:ptCount val="1"/>
                <c:pt idx="0">
                  <c:v>成交楼面单价（元/平方米）</c:v>
                </c:pt>
              </c:strCache>
            </c:strRef>
          </c:tx>
          <c:spPr>
            <a:solidFill>
              <a:schemeClr val="accent1"/>
            </a:solidFill>
            <a:ln>
              <a:noFill/>
            </a:ln>
            <a:effectLst/>
          </c:spPr>
          <c:invertIfNegative val="0"/>
          <c:cat>
            <c:strRef>
              <c:f>土地!$B$171:$F$171</c:f>
              <c:strCache>
                <c:ptCount val="5"/>
                <c:pt idx="0">
                  <c:v>2017</c:v>
                </c:pt>
                <c:pt idx="1">
                  <c:v>2018</c:v>
                </c:pt>
                <c:pt idx="2">
                  <c:v>2019</c:v>
                </c:pt>
                <c:pt idx="3">
                  <c:v>2020</c:v>
                </c:pt>
                <c:pt idx="4">
                  <c:v>2021年1-5月</c:v>
                </c:pt>
              </c:strCache>
            </c:strRef>
          </c:cat>
          <c:val>
            <c:numRef>
              <c:f>土地!$B$172:$F$172</c:f>
              <c:numCache>
                <c:formatCode>General</c:formatCode>
                <c:ptCount val="5"/>
                <c:pt idx="0">
                  <c:v>15596.3</c:v>
                </c:pt>
                <c:pt idx="1">
                  <c:v>15952.58</c:v>
                </c:pt>
                <c:pt idx="2">
                  <c:v>17384.7</c:v>
                </c:pt>
                <c:pt idx="3">
                  <c:v>15777.85</c:v>
                </c:pt>
                <c:pt idx="4">
                  <c:v>14464.84</c:v>
                </c:pt>
              </c:numCache>
            </c:numRef>
          </c:val>
          <c:extLst xmlns:c16r2="http://schemas.microsoft.com/office/drawing/2015/06/chart">
            <c:ext xmlns:c16="http://schemas.microsoft.com/office/drawing/2014/chart" uri="{C3380CC4-5D6E-409C-BE32-E72D297353CC}">
              <c16:uniqueId val="{00000000-9070-48F5-A717-2C382CB7F930}"/>
            </c:ext>
          </c:extLst>
        </c:ser>
        <c:dLbls>
          <c:showLegendKey val="0"/>
          <c:showVal val="0"/>
          <c:showCatName val="0"/>
          <c:showSerName val="0"/>
          <c:showPercent val="0"/>
          <c:showBubbleSize val="0"/>
        </c:dLbls>
        <c:gapWidth val="219"/>
        <c:axId val="415864320"/>
        <c:axId val="415866240"/>
      </c:barChart>
      <c:lineChart>
        <c:grouping val="standard"/>
        <c:varyColors val="0"/>
        <c:ser>
          <c:idx val="1"/>
          <c:order val="1"/>
          <c:tx>
            <c:strRef>
              <c:f>土地!$A$173</c:f>
              <c:strCache>
                <c:ptCount val="1"/>
                <c:pt idx="0">
                  <c:v>平均溢价率</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土地!$B$171:$F$171</c:f>
              <c:strCache>
                <c:ptCount val="5"/>
                <c:pt idx="0">
                  <c:v>2017</c:v>
                </c:pt>
                <c:pt idx="1">
                  <c:v>2018</c:v>
                </c:pt>
                <c:pt idx="2">
                  <c:v>2019</c:v>
                </c:pt>
                <c:pt idx="3">
                  <c:v>2020</c:v>
                </c:pt>
                <c:pt idx="4">
                  <c:v>2021年1-5月</c:v>
                </c:pt>
              </c:strCache>
            </c:strRef>
          </c:cat>
          <c:val>
            <c:numRef>
              <c:f>土地!$B$173:$F$173</c:f>
              <c:numCache>
                <c:formatCode>0.00%</c:formatCode>
                <c:ptCount val="5"/>
                <c:pt idx="0">
                  <c:v>0.32269999999999999</c:v>
                </c:pt>
                <c:pt idx="1">
                  <c:v>0.1172</c:v>
                </c:pt>
                <c:pt idx="2">
                  <c:v>0.123</c:v>
                </c:pt>
                <c:pt idx="3">
                  <c:v>0.1099</c:v>
                </c:pt>
                <c:pt idx="4">
                  <c:v>0.17560000000000001</c:v>
                </c:pt>
              </c:numCache>
            </c:numRef>
          </c:val>
          <c:smooth val="0"/>
          <c:extLst xmlns:c16r2="http://schemas.microsoft.com/office/drawing/2015/06/chart">
            <c:ext xmlns:c16="http://schemas.microsoft.com/office/drawing/2014/chart" uri="{C3380CC4-5D6E-409C-BE32-E72D297353CC}">
              <c16:uniqueId val="{00000001-9070-48F5-A717-2C382CB7F930}"/>
            </c:ext>
          </c:extLst>
        </c:ser>
        <c:dLbls>
          <c:showLegendKey val="0"/>
          <c:showVal val="0"/>
          <c:showCatName val="0"/>
          <c:showSerName val="0"/>
          <c:showPercent val="0"/>
          <c:showBubbleSize val="0"/>
        </c:dLbls>
        <c:marker val="1"/>
        <c:smooth val="0"/>
        <c:axId val="415877760"/>
        <c:axId val="415876224"/>
      </c:lineChart>
      <c:catAx>
        <c:axId val="4158643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15866240"/>
        <c:crosses val="autoZero"/>
        <c:auto val="1"/>
        <c:lblAlgn val="ctr"/>
        <c:lblOffset val="100"/>
        <c:noMultiLvlLbl val="0"/>
      </c:catAx>
      <c:valAx>
        <c:axId val="4158662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15864320"/>
        <c:crosses val="autoZero"/>
        <c:crossBetween val="between"/>
      </c:valAx>
      <c:valAx>
        <c:axId val="415876224"/>
        <c:scaling>
          <c:orientation val="minMax"/>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15877760"/>
        <c:crosses val="max"/>
        <c:crossBetween val="between"/>
      </c:valAx>
      <c:catAx>
        <c:axId val="415877760"/>
        <c:scaling>
          <c:orientation val="minMax"/>
        </c:scaling>
        <c:delete val="1"/>
        <c:axPos val="b"/>
        <c:numFmt formatCode="General" sourceLinked="1"/>
        <c:majorTickMark val="out"/>
        <c:minorTickMark val="none"/>
        <c:tickLblPos val="nextTo"/>
        <c:crossAx val="41587622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baseline="0">
                <a:effectLst/>
              </a:rPr>
              <a:t>2019-2021</a:t>
            </a:r>
            <a:r>
              <a:rPr lang="zh-CN" altLang="zh-CN" sz="1400" b="1" i="0" baseline="0">
                <a:effectLst/>
              </a:rPr>
              <a:t>年</a:t>
            </a:r>
            <a:r>
              <a:rPr lang="en-US" altLang="zh-CN" sz="1400" b="1" i="0" baseline="0">
                <a:effectLst/>
              </a:rPr>
              <a:t>1-5</a:t>
            </a:r>
            <a:r>
              <a:rPr lang="zh-CN" altLang="en-US" sz="1400" b="1" i="0" baseline="0">
                <a:effectLst/>
              </a:rPr>
              <a:t>月南京市雨花台区商品住宅供销及价格走势</a:t>
            </a:r>
            <a:endParaRPr lang="zh-CN" altLang="zh-CN" sz="1400">
              <a:effectLst/>
            </a:endParaRPr>
          </a:p>
        </c:rich>
      </c:tx>
      <c:overlay val="0"/>
      <c:spPr>
        <a:noFill/>
        <a:ln>
          <a:noFill/>
        </a:ln>
        <a:effectLst/>
      </c:spPr>
    </c:title>
    <c:autoTitleDeleted val="0"/>
    <c:plotArea>
      <c:layout/>
      <c:barChart>
        <c:barDir val="col"/>
        <c:grouping val="clustered"/>
        <c:varyColors val="0"/>
        <c:ser>
          <c:idx val="0"/>
          <c:order val="0"/>
          <c:tx>
            <c:strRef>
              <c:f>房地产!$B$215</c:f>
              <c:strCache>
                <c:ptCount val="1"/>
                <c:pt idx="0">
                  <c:v>销售面积(万㎡)</c:v>
                </c:pt>
              </c:strCache>
            </c:strRef>
          </c:tx>
          <c:spPr>
            <a:ln w="28575" cap="rnd">
              <a:solidFill>
                <a:schemeClr val="accent1"/>
              </a:solidFill>
              <a:round/>
            </a:ln>
            <a:effectLst/>
          </c:spPr>
          <c:invertIfNegative val="0"/>
          <c:cat>
            <c:strRef>
              <c:f>房地产!$A$216:$A$218</c:f>
              <c:strCache>
                <c:ptCount val="3"/>
                <c:pt idx="0">
                  <c:v>2019年</c:v>
                </c:pt>
                <c:pt idx="1">
                  <c:v>2020年</c:v>
                </c:pt>
                <c:pt idx="2">
                  <c:v>2021年1-5月</c:v>
                </c:pt>
              </c:strCache>
            </c:strRef>
          </c:cat>
          <c:val>
            <c:numRef>
              <c:f>房地产!$B$216:$B$218</c:f>
              <c:numCache>
                <c:formatCode>General</c:formatCode>
                <c:ptCount val="3"/>
                <c:pt idx="0">
                  <c:v>55.17</c:v>
                </c:pt>
                <c:pt idx="1">
                  <c:v>65.41</c:v>
                </c:pt>
                <c:pt idx="2">
                  <c:v>37.92</c:v>
                </c:pt>
              </c:numCache>
            </c:numRef>
          </c:val>
          <c:extLst xmlns:c16r2="http://schemas.microsoft.com/office/drawing/2015/06/chart">
            <c:ext xmlns:c16="http://schemas.microsoft.com/office/drawing/2014/chart" uri="{C3380CC4-5D6E-409C-BE32-E72D297353CC}">
              <c16:uniqueId val="{00000002-204E-4F88-86BC-09475D345967}"/>
            </c:ext>
          </c:extLst>
        </c:ser>
        <c:ser>
          <c:idx val="1"/>
          <c:order val="1"/>
          <c:tx>
            <c:strRef>
              <c:f>房地产!$C$215</c:f>
              <c:strCache>
                <c:ptCount val="1"/>
                <c:pt idx="0">
                  <c:v>批准上市面积(万㎡)</c:v>
                </c:pt>
              </c:strCache>
            </c:strRef>
          </c:tx>
          <c:spPr>
            <a:solidFill>
              <a:schemeClr val="accent2"/>
            </a:solidFill>
            <a:ln>
              <a:noFill/>
            </a:ln>
            <a:effectLst/>
          </c:spPr>
          <c:invertIfNegative val="0"/>
          <c:cat>
            <c:strRef>
              <c:f>房地产!$A$216:$A$218</c:f>
              <c:strCache>
                <c:ptCount val="3"/>
                <c:pt idx="0">
                  <c:v>2019年</c:v>
                </c:pt>
                <c:pt idx="1">
                  <c:v>2020年</c:v>
                </c:pt>
                <c:pt idx="2">
                  <c:v>2021年1-5月</c:v>
                </c:pt>
              </c:strCache>
            </c:strRef>
          </c:cat>
          <c:val>
            <c:numRef>
              <c:f>房地产!$C$216:$C$218</c:f>
              <c:numCache>
                <c:formatCode>General</c:formatCode>
                <c:ptCount val="3"/>
                <c:pt idx="0">
                  <c:v>75.73</c:v>
                </c:pt>
                <c:pt idx="1">
                  <c:v>65.150000000000006</c:v>
                </c:pt>
                <c:pt idx="2">
                  <c:v>36.54</c:v>
                </c:pt>
              </c:numCache>
            </c:numRef>
          </c:val>
          <c:extLst xmlns:c16r2="http://schemas.microsoft.com/office/drawing/2015/06/chart">
            <c:ext xmlns:c16="http://schemas.microsoft.com/office/drawing/2014/chart" uri="{C3380CC4-5D6E-409C-BE32-E72D297353CC}">
              <c16:uniqueId val="{00000000-204E-4F88-86BC-09475D345967}"/>
            </c:ext>
          </c:extLst>
        </c:ser>
        <c:dLbls>
          <c:showLegendKey val="0"/>
          <c:showVal val="0"/>
          <c:showCatName val="0"/>
          <c:showSerName val="0"/>
          <c:showPercent val="0"/>
          <c:showBubbleSize val="0"/>
        </c:dLbls>
        <c:gapWidth val="150"/>
        <c:axId val="415897856"/>
        <c:axId val="415900032"/>
      </c:barChart>
      <c:lineChart>
        <c:grouping val="standard"/>
        <c:varyColors val="0"/>
        <c:ser>
          <c:idx val="2"/>
          <c:order val="2"/>
          <c:tx>
            <c:strRef>
              <c:f>房地产!$D$215</c:f>
              <c:strCache>
                <c:ptCount val="1"/>
                <c:pt idx="0">
                  <c:v>销售价格(元/㎡)</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房地产!$A$216:$A$218</c:f>
              <c:strCache>
                <c:ptCount val="3"/>
                <c:pt idx="0">
                  <c:v>2019年</c:v>
                </c:pt>
                <c:pt idx="1">
                  <c:v>2020年</c:v>
                </c:pt>
                <c:pt idx="2">
                  <c:v>2021年1-5月</c:v>
                </c:pt>
              </c:strCache>
            </c:strRef>
          </c:cat>
          <c:val>
            <c:numRef>
              <c:f>房地产!$D$216:$D$218</c:f>
              <c:numCache>
                <c:formatCode>General</c:formatCode>
                <c:ptCount val="3"/>
                <c:pt idx="0">
                  <c:v>33906</c:v>
                </c:pt>
                <c:pt idx="1">
                  <c:v>35094</c:v>
                </c:pt>
                <c:pt idx="2">
                  <c:v>31772</c:v>
                </c:pt>
              </c:numCache>
            </c:numRef>
          </c:val>
          <c:smooth val="0"/>
          <c:extLst xmlns:c16r2="http://schemas.microsoft.com/office/drawing/2015/06/chart">
            <c:ext xmlns:c16="http://schemas.microsoft.com/office/drawing/2014/chart" uri="{C3380CC4-5D6E-409C-BE32-E72D297353CC}">
              <c16:uniqueId val="{00000003-204E-4F88-86BC-09475D345967}"/>
            </c:ext>
          </c:extLst>
        </c:ser>
        <c:dLbls>
          <c:showLegendKey val="0"/>
          <c:showVal val="0"/>
          <c:showCatName val="0"/>
          <c:showSerName val="0"/>
          <c:showPercent val="0"/>
          <c:showBubbleSize val="0"/>
        </c:dLbls>
        <c:marker val="1"/>
        <c:smooth val="0"/>
        <c:axId val="415903104"/>
        <c:axId val="415901568"/>
      </c:lineChart>
      <c:catAx>
        <c:axId val="415897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15900032"/>
        <c:crosses val="autoZero"/>
        <c:auto val="1"/>
        <c:lblAlgn val="ctr"/>
        <c:lblOffset val="100"/>
        <c:noMultiLvlLbl val="0"/>
      </c:catAx>
      <c:valAx>
        <c:axId val="4159000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15897856"/>
        <c:crosses val="autoZero"/>
        <c:crossBetween val="between"/>
      </c:valAx>
      <c:valAx>
        <c:axId val="415901568"/>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15903104"/>
        <c:crosses val="max"/>
        <c:crossBetween val="between"/>
      </c:valAx>
      <c:catAx>
        <c:axId val="415903104"/>
        <c:scaling>
          <c:orientation val="minMax"/>
        </c:scaling>
        <c:delete val="1"/>
        <c:axPos val="b"/>
        <c:numFmt formatCode="General" sourceLinked="1"/>
        <c:majorTickMark val="out"/>
        <c:minorTickMark val="none"/>
        <c:tickLblPos val="nextTo"/>
        <c:crossAx val="41590156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u="none" strike="noStrike" baseline="0">
                <a:effectLst/>
              </a:rPr>
              <a:t>2017-2021</a:t>
            </a:r>
            <a:r>
              <a:rPr lang="zh-CN" altLang="zh-CN" sz="1400" b="1" i="0" u="none" strike="noStrike" baseline="0">
                <a:effectLst/>
              </a:rPr>
              <a:t>年</a:t>
            </a:r>
            <a:r>
              <a:rPr lang="en-US" altLang="zh-CN" sz="1400" b="1" i="0" u="none" strike="noStrike" baseline="0">
                <a:effectLst/>
              </a:rPr>
              <a:t>1-5</a:t>
            </a:r>
            <a:r>
              <a:rPr lang="zh-CN" altLang="zh-CN" sz="1400" b="1" i="0" u="none" strike="noStrike" baseline="0">
                <a:effectLst/>
              </a:rPr>
              <a:t>月南京市</a:t>
            </a:r>
            <a:r>
              <a:rPr lang="zh-CN" altLang="en-US" sz="1400" b="1" i="0" baseline="0">
                <a:effectLst/>
              </a:rPr>
              <a:t>住宅</a:t>
            </a:r>
            <a:r>
              <a:rPr lang="zh-CN" altLang="zh-CN" sz="1400" b="1" i="0" baseline="0">
                <a:effectLst/>
              </a:rPr>
              <a:t>用地土地</a:t>
            </a:r>
            <a:r>
              <a:rPr lang="zh-CN" altLang="en-US" sz="1400" b="1" i="0" baseline="0">
                <a:effectLst/>
              </a:rPr>
              <a:t>成交</a:t>
            </a:r>
            <a:r>
              <a:rPr lang="zh-CN" altLang="zh-CN" sz="1400" b="1" i="0" baseline="0">
                <a:effectLst/>
              </a:rPr>
              <a:t>情况</a:t>
            </a:r>
            <a:endParaRPr lang="zh-CN" altLang="zh-CN" sz="1400">
              <a:effectLst/>
            </a:endParaRPr>
          </a:p>
        </c:rich>
      </c:tx>
      <c:overlay val="0"/>
      <c:spPr>
        <a:noFill/>
        <a:ln>
          <a:noFill/>
        </a:ln>
        <a:effectLst/>
      </c:spPr>
    </c:title>
    <c:autoTitleDeleted val="0"/>
    <c:plotArea>
      <c:layout/>
      <c:barChart>
        <c:barDir val="col"/>
        <c:grouping val="clustered"/>
        <c:varyColors val="0"/>
        <c:ser>
          <c:idx val="0"/>
          <c:order val="0"/>
          <c:tx>
            <c:strRef>
              <c:f>土地!$A$25</c:f>
              <c:strCache>
                <c:ptCount val="1"/>
                <c:pt idx="0">
                  <c:v>成交土地面积（万平方米）</c:v>
                </c:pt>
              </c:strCache>
            </c:strRef>
          </c:tx>
          <c:spPr>
            <a:solidFill>
              <a:schemeClr val="accent1"/>
            </a:solidFill>
            <a:ln>
              <a:noFill/>
            </a:ln>
            <a:effectLst/>
          </c:spPr>
          <c:invertIfNegative val="0"/>
          <c:cat>
            <c:strRef>
              <c:f>土地!$B$24:$F$24</c:f>
              <c:strCache>
                <c:ptCount val="5"/>
                <c:pt idx="0">
                  <c:v>2017</c:v>
                </c:pt>
                <c:pt idx="1">
                  <c:v>2018</c:v>
                </c:pt>
                <c:pt idx="2">
                  <c:v>2019</c:v>
                </c:pt>
                <c:pt idx="3">
                  <c:v>2020</c:v>
                </c:pt>
                <c:pt idx="4">
                  <c:v>2021年1-5月</c:v>
                </c:pt>
              </c:strCache>
            </c:strRef>
          </c:cat>
          <c:val>
            <c:numRef>
              <c:f>土地!$B$25:$F$25</c:f>
              <c:numCache>
                <c:formatCode>General</c:formatCode>
                <c:ptCount val="5"/>
                <c:pt idx="0">
                  <c:v>562.95000000000005</c:v>
                </c:pt>
                <c:pt idx="1">
                  <c:v>456.2</c:v>
                </c:pt>
                <c:pt idx="2">
                  <c:v>659.13</c:v>
                </c:pt>
                <c:pt idx="3">
                  <c:v>748.33</c:v>
                </c:pt>
                <c:pt idx="4">
                  <c:v>384.88</c:v>
                </c:pt>
              </c:numCache>
            </c:numRef>
          </c:val>
          <c:extLst xmlns:c16r2="http://schemas.microsoft.com/office/drawing/2015/06/chart">
            <c:ext xmlns:c16="http://schemas.microsoft.com/office/drawing/2014/chart" uri="{C3380CC4-5D6E-409C-BE32-E72D297353CC}">
              <c16:uniqueId val="{00000002-2770-4A42-916B-BFB0EDD2228A}"/>
            </c:ext>
          </c:extLst>
        </c:ser>
        <c:ser>
          <c:idx val="1"/>
          <c:order val="1"/>
          <c:tx>
            <c:strRef>
              <c:f>土地!$A$26</c:f>
              <c:strCache>
                <c:ptCount val="1"/>
                <c:pt idx="0">
                  <c:v>成交规划建筑面积（万平方米）</c:v>
                </c:pt>
              </c:strCache>
            </c:strRef>
          </c:tx>
          <c:spPr>
            <a:solidFill>
              <a:schemeClr val="accent2"/>
            </a:solidFill>
            <a:ln>
              <a:noFill/>
            </a:ln>
            <a:effectLst/>
          </c:spPr>
          <c:invertIfNegative val="0"/>
          <c:cat>
            <c:strRef>
              <c:f>土地!$B$24:$F$24</c:f>
              <c:strCache>
                <c:ptCount val="5"/>
                <c:pt idx="0">
                  <c:v>2017</c:v>
                </c:pt>
                <c:pt idx="1">
                  <c:v>2018</c:v>
                </c:pt>
                <c:pt idx="2">
                  <c:v>2019</c:v>
                </c:pt>
                <c:pt idx="3">
                  <c:v>2020</c:v>
                </c:pt>
                <c:pt idx="4">
                  <c:v>2021年1-5月</c:v>
                </c:pt>
              </c:strCache>
            </c:strRef>
          </c:cat>
          <c:val>
            <c:numRef>
              <c:f>土地!$B$26:$F$26</c:f>
              <c:numCache>
                <c:formatCode>General</c:formatCode>
                <c:ptCount val="5"/>
                <c:pt idx="0">
                  <c:v>1272.27</c:v>
                </c:pt>
                <c:pt idx="1">
                  <c:v>935.14</c:v>
                </c:pt>
                <c:pt idx="2">
                  <c:v>1410.79</c:v>
                </c:pt>
                <c:pt idx="3">
                  <c:v>1749.9</c:v>
                </c:pt>
                <c:pt idx="4">
                  <c:v>935.99</c:v>
                </c:pt>
              </c:numCache>
            </c:numRef>
          </c:val>
          <c:extLst xmlns:c16r2="http://schemas.microsoft.com/office/drawing/2015/06/chart">
            <c:ext xmlns:c16="http://schemas.microsoft.com/office/drawing/2014/chart" uri="{C3380CC4-5D6E-409C-BE32-E72D297353CC}">
              <c16:uniqueId val="{00000000-2770-4A42-916B-BFB0EDD2228A}"/>
            </c:ext>
          </c:extLst>
        </c:ser>
        <c:dLbls>
          <c:showLegendKey val="0"/>
          <c:showVal val="0"/>
          <c:showCatName val="0"/>
          <c:showSerName val="0"/>
          <c:showPercent val="0"/>
          <c:showBubbleSize val="0"/>
        </c:dLbls>
        <c:gapWidth val="219"/>
        <c:axId val="442236288"/>
        <c:axId val="443250944"/>
      </c:barChart>
      <c:lineChart>
        <c:grouping val="standard"/>
        <c:varyColors val="0"/>
        <c:ser>
          <c:idx val="2"/>
          <c:order val="2"/>
          <c:tx>
            <c:strRef>
              <c:f>土地!$A$27</c:f>
              <c:strCache>
                <c:ptCount val="1"/>
                <c:pt idx="0">
                  <c:v>成交金额（亿元）</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土地!$B$24:$F$24</c:f>
              <c:strCache>
                <c:ptCount val="5"/>
                <c:pt idx="0">
                  <c:v>2017</c:v>
                </c:pt>
                <c:pt idx="1">
                  <c:v>2018</c:v>
                </c:pt>
                <c:pt idx="2">
                  <c:v>2019</c:v>
                </c:pt>
                <c:pt idx="3">
                  <c:v>2020</c:v>
                </c:pt>
                <c:pt idx="4">
                  <c:v>2021年1-5月</c:v>
                </c:pt>
              </c:strCache>
            </c:strRef>
          </c:cat>
          <c:val>
            <c:numRef>
              <c:f>土地!$B$27:$F$27</c:f>
              <c:numCache>
                <c:formatCode>General</c:formatCode>
                <c:ptCount val="5"/>
                <c:pt idx="0">
                  <c:v>1507.98</c:v>
                </c:pt>
                <c:pt idx="1">
                  <c:v>752.51</c:v>
                </c:pt>
                <c:pt idx="2">
                  <c:v>1527.87</c:v>
                </c:pt>
                <c:pt idx="3">
                  <c:v>1890.81</c:v>
                </c:pt>
                <c:pt idx="4">
                  <c:v>1183.2</c:v>
                </c:pt>
              </c:numCache>
            </c:numRef>
          </c:val>
          <c:smooth val="0"/>
          <c:extLst xmlns:c16r2="http://schemas.microsoft.com/office/drawing/2015/06/chart">
            <c:ext xmlns:c16="http://schemas.microsoft.com/office/drawing/2014/chart" uri="{C3380CC4-5D6E-409C-BE32-E72D297353CC}">
              <c16:uniqueId val="{00000001-2770-4A42-916B-BFB0EDD2228A}"/>
            </c:ext>
          </c:extLst>
        </c:ser>
        <c:dLbls>
          <c:showLegendKey val="0"/>
          <c:showVal val="0"/>
          <c:showCatName val="0"/>
          <c:showSerName val="0"/>
          <c:showPercent val="0"/>
          <c:showBubbleSize val="0"/>
        </c:dLbls>
        <c:marker val="1"/>
        <c:smooth val="0"/>
        <c:axId val="403469056"/>
        <c:axId val="447443712"/>
      </c:lineChart>
      <c:catAx>
        <c:axId val="442236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43250944"/>
        <c:crosses val="autoZero"/>
        <c:auto val="1"/>
        <c:lblAlgn val="ctr"/>
        <c:lblOffset val="100"/>
        <c:noMultiLvlLbl val="0"/>
      </c:catAx>
      <c:valAx>
        <c:axId val="4432509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42236288"/>
        <c:crosses val="autoZero"/>
        <c:crossBetween val="between"/>
      </c:valAx>
      <c:valAx>
        <c:axId val="447443712"/>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03469056"/>
        <c:crosses val="max"/>
        <c:crossBetween val="between"/>
      </c:valAx>
      <c:catAx>
        <c:axId val="403469056"/>
        <c:scaling>
          <c:orientation val="minMax"/>
        </c:scaling>
        <c:delete val="1"/>
        <c:axPos val="b"/>
        <c:numFmt formatCode="General" sourceLinked="1"/>
        <c:majorTickMark val="out"/>
        <c:minorTickMark val="none"/>
        <c:tickLblPos val="nextTo"/>
        <c:crossAx val="44744371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u="none" strike="noStrike" baseline="0">
                <a:effectLst/>
              </a:rPr>
              <a:t>2020-2021</a:t>
            </a:r>
            <a:r>
              <a:rPr lang="zh-CN" altLang="zh-CN" sz="1400" b="1" i="0" u="none" strike="noStrike" baseline="0">
                <a:effectLst/>
              </a:rPr>
              <a:t>年</a:t>
            </a:r>
            <a:r>
              <a:rPr lang="en-US" altLang="zh-CN" sz="1400" b="1" i="0" u="none" strike="noStrike" baseline="0">
                <a:effectLst/>
              </a:rPr>
              <a:t>1-5</a:t>
            </a:r>
            <a:r>
              <a:rPr lang="zh-CN" altLang="zh-CN" sz="1400" b="1" i="0" u="none" strike="noStrike" baseline="0">
                <a:effectLst/>
              </a:rPr>
              <a:t>月</a:t>
            </a:r>
            <a:r>
              <a:rPr lang="zh-CN" altLang="en-US" sz="1400" b="1" i="0" u="none" strike="noStrike" baseline="0">
                <a:effectLst/>
              </a:rPr>
              <a:t>南京</a:t>
            </a:r>
            <a:r>
              <a:rPr lang="zh-CN" altLang="en-US" sz="1400" b="1" i="0" baseline="0">
                <a:effectLst/>
              </a:rPr>
              <a:t>市</a:t>
            </a:r>
            <a:r>
              <a:rPr lang="zh-CN" altLang="zh-CN" sz="1400" b="1" i="0" u="none" strike="noStrike" baseline="0">
                <a:effectLst/>
              </a:rPr>
              <a:t>各行政区域</a:t>
            </a:r>
            <a:r>
              <a:rPr lang="zh-CN" altLang="en-US" sz="1400" b="1" i="0" u="none" strike="noStrike" baseline="0">
                <a:effectLst/>
              </a:rPr>
              <a:t>住宅</a:t>
            </a:r>
            <a:r>
              <a:rPr lang="zh-CN" altLang="zh-CN" sz="1400" b="1" i="0" baseline="0">
                <a:effectLst/>
              </a:rPr>
              <a:t>用地</a:t>
            </a:r>
            <a:r>
              <a:rPr lang="zh-CN" altLang="en-US" sz="1400" b="1" i="0" baseline="0">
                <a:effectLst/>
              </a:rPr>
              <a:t>供应成交分布情况</a:t>
            </a:r>
            <a:endParaRPr lang="zh-CN" altLang="zh-CN" sz="1400">
              <a:effectLst/>
            </a:endParaRPr>
          </a:p>
        </c:rich>
      </c:tx>
      <c:overlay val="0"/>
      <c:spPr>
        <a:noFill/>
        <a:ln>
          <a:noFill/>
        </a:ln>
        <a:effectLst/>
      </c:spPr>
    </c:title>
    <c:autoTitleDeleted val="0"/>
    <c:plotArea>
      <c:layout/>
      <c:barChart>
        <c:barDir val="col"/>
        <c:grouping val="clustered"/>
        <c:varyColors val="0"/>
        <c:ser>
          <c:idx val="1"/>
          <c:order val="1"/>
          <c:tx>
            <c:strRef>
              <c:f>土地!$A$57</c:f>
              <c:strCache>
                <c:ptCount val="1"/>
                <c:pt idx="0">
                  <c:v>供应土地面积（万平方米）</c:v>
                </c:pt>
              </c:strCache>
            </c:strRef>
          </c:tx>
          <c:spPr>
            <a:solidFill>
              <a:schemeClr val="accent2"/>
            </a:solidFill>
            <a:ln>
              <a:noFill/>
            </a:ln>
            <a:effectLst/>
          </c:spPr>
          <c:invertIfNegative val="0"/>
          <c:cat>
            <c:strRef>
              <c:f>土地!$B$47:$K$47</c:f>
              <c:strCache>
                <c:ptCount val="10"/>
                <c:pt idx="0">
                  <c:v>溧水区</c:v>
                </c:pt>
                <c:pt idx="1">
                  <c:v>江宁区</c:v>
                </c:pt>
                <c:pt idx="2">
                  <c:v>浦口区</c:v>
                </c:pt>
                <c:pt idx="3">
                  <c:v>栖霞区</c:v>
                </c:pt>
                <c:pt idx="4">
                  <c:v>高淳区</c:v>
                </c:pt>
                <c:pt idx="5">
                  <c:v>六合区</c:v>
                </c:pt>
                <c:pt idx="6">
                  <c:v>建邺区</c:v>
                </c:pt>
                <c:pt idx="7">
                  <c:v>雨花台区</c:v>
                </c:pt>
                <c:pt idx="8">
                  <c:v>秦淮区</c:v>
                </c:pt>
                <c:pt idx="9">
                  <c:v>玄武区</c:v>
                </c:pt>
              </c:strCache>
            </c:strRef>
          </c:cat>
          <c:val>
            <c:numRef>
              <c:f>土地!$B$57:$K$57</c:f>
              <c:numCache>
                <c:formatCode>General</c:formatCode>
                <c:ptCount val="10"/>
                <c:pt idx="0">
                  <c:v>237.07999999999998</c:v>
                </c:pt>
                <c:pt idx="1">
                  <c:v>198.41000000000003</c:v>
                </c:pt>
                <c:pt idx="2">
                  <c:v>210.73000000000002</c:v>
                </c:pt>
                <c:pt idx="3">
                  <c:v>99.929999999999993</c:v>
                </c:pt>
                <c:pt idx="4">
                  <c:v>88.55</c:v>
                </c:pt>
                <c:pt idx="5">
                  <c:v>85.01</c:v>
                </c:pt>
                <c:pt idx="6">
                  <c:v>45.14</c:v>
                </c:pt>
                <c:pt idx="7">
                  <c:v>96.85</c:v>
                </c:pt>
                <c:pt idx="8">
                  <c:v>59.16</c:v>
                </c:pt>
                <c:pt idx="9">
                  <c:v>41.01</c:v>
                </c:pt>
              </c:numCache>
            </c:numRef>
          </c:val>
          <c:extLst xmlns:c16r2="http://schemas.microsoft.com/office/drawing/2015/06/chart">
            <c:ext xmlns:c16="http://schemas.microsoft.com/office/drawing/2014/chart" uri="{C3380CC4-5D6E-409C-BE32-E72D297353CC}">
              <c16:uniqueId val="{00000005-96CF-4B56-994D-AA2914AD632A}"/>
            </c:ext>
          </c:extLst>
        </c:ser>
        <c:ser>
          <c:idx val="3"/>
          <c:order val="3"/>
          <c:tx>
            <c:strRef>
              <c:f>土地!$A$59</c:f>
              <c:strCache>
                <c:ptCount val="1"/>
                <c:pt idx="0">
                  <c:v>成交土地面积（万平方米）</c:v>
                </c:pt>
              </c:strCache>
            </c:strRef>
          </c:tx>
          <c:spPr>
            <a:solidFill>
              <a:schemeClr val="accent4"/>
            </a:solidFill>
            <a:ln>
              <a:noFill/>
            </a:ln>
            <a:effectLst/>
          </c:spPr>
          <c:invertIfNegative val="0"/>
          <c:cat>
            <c:strRef>
              <c:f>土地!$B$47:$K$47</c:f>
              <c:strCache>
                <c:ptCount val="10"/>
                <c:pt idx="0">
                  <c:v>溧水区</c:v>
                </c:pt>
                <c:pt idx="1">
                  <c:v>江宁区</c:v>
                </c:pt>
                <c:pt idx="2">
                  <c:v>浦口区</c:v>
                </c:pt>
                <c:pt idx="3">
                  <c:v>栖霞区</c:v>
                </c:pt>
                <c:pt idx="4">
                  <c:v>高淳区</c:v>
                </c:pt>
                <c:pt idx="5">
                  <c:v>六合区</c:v>
                </c:pt>
                <c:pt idx="6">
                  <c:v>建邺区</c:v>
                </c:pt>
                <c:pt idx="7">
                  <c:v>雨花台区</c:v>
                </c:pt>
                <c:pt idx="8">
                  <c:v>秦淮区</c:v>
                </c:pt>
                <c:pt idx="9">
                  <c:v>玄武区</c:v>
                </c:pt>
              </c:strCache>
            </c:strRef>
          </c:cat>
          <c:val>
            <c:numRef>
              <c:f>土地!$B$59:$K$59</c:f>
              <c:numCache>
                <c:formatCode>General</c:formatCode>
                <c:ptCount val="10"/>
                <c:pt idx="0">
                  <c:v>237.07999999999998</c:v>
                </c:pt>
                <c:pt idx="1">
                  <c:v>170.68</c:v>
                </c:pt>
                <c:pt idx="2">
                  <c:v>210.73000000000002</c:v>
                </c:pt>
                <c:pt idx="3">
                  <c:v>99.929999999999993</c:v>
                </c:pt>
                <c:pt idx="4">
                  <c:v>88.55</c:v>
                </c:pt>
                <c:pt idx="5">
                  <c:v>81.789999999999992</c:v>
                </c:pt>
                <c:pt idx="6">
                  <c:v>43.29</c:v>
                </c:pt>
                <c:pt idx="7">
                  <c:v>96.85</c:v>
                </c:pt>
                <c:pt idx="8">
                  <c:v>59.16</c:v>
                </c:pt>
                <c:pt idx="9">
                  <c:v>41.01</c:v>
                </c:pt>
              </c:numCache>
            </c:numRef>
          </c:val>
          <c:extLst xmlns:c16r2="http://schemas.microsoft.com/office/drawing/2015/06/chart">
            <c:ext xmlns:c16="http://schemas.microsoft.com/office/drawing/2014/chart" uri="{C3380CC4-5D6E-409C-BE32-E72D297353CC}">
              <c16:uniqueId val="{00000007-96CF-4B56-994D-AA2914AD632A}"/>
            </c:ext>
          </c:extLst>
        </c:ser>
        <c:dLbls>
          <c:showLegendKey val="0"/>
          <c:showVal val="0"/>
          <c:showCatName val="0"/>
          <c:showSerName val="0"/>
          <c:showPercent val="0"/>
          <c:showBubbleSize val="0"/>
        </c:dLbls>
        <c:gapWidth val="219"/>
        <c:axId val="404903808"/>
        <c:axId val="404905984"/>
      </c:barChart>
      <c:lineChart>
        <c:grouping val="standard"/>
        <c:varyColors val="0"/>
        <c:ser>
          <c:idx val="0"/>
          <c:order val="0"/>
          <c:tx>
            <c:strRef>
              <c:f>土地!$A$56</c:f>
              <c:strCache>
                <c:ptCount val="1"/>
                <c:pt idx="0">
                  <c:v>供应宗地数（宗）</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土地!$B$47:$K$47</c:f>
              <c:strCache>
                <c:ptCount val="10"/>
                <c:pt idx="0">
                  <c:v>溧水区</c:v>
                </c:pt>
                <c:pt idx="1">
                  <c:v>江宁区</c:v>
                </c:pt>
                <c:pt idx="2">
                  <c:v>浦口区</c:v>
                </c:pt>
                <c:pt idx="3">
                  <c:v>栖霞区</c:v>
                </c:pt>
                <c:pt idx="4">
                  <c:v>高淳区</c:v>
                </c:pt>
                <c:pt idx="5">
                  <c:v>六合区</c:v>
                </c:pt>
                <c:pt idx="6">
                  <c:v>建邺区</c:v>
                </c:pt>
                <c:pt idx="7">
                  <c:v>雨花台区</c:v>
                </c:pt>
                <c:pt idx="8">
                  <c:v>秦淮区</c:v>
                </c:pt>
                <c:pt idx="9">
                  <c:v>玄武区</c:v>
                </c:pt>
              </c:strCache>
            </c:strRef>
          </c:cat>
          <c:val>
            <c:numRef>
              <c:f>土地!$B$56:$K$56</c:f>
              <c:numCache>
                <c:formatCode>General</c:formatCode>
                <c:ptCount val="10"/>
                <c:pt idx="0">
                  <c:v>42</c:v>
                </c:pt>
                <c:pt idx="1">
                  <c:v>36</c:v>
                </c:pt>
                <c:pt idx="2">
                  <c:v>38</c:v>
                </c:pt>
                <c:pt idx="3">
                  <c:v>20</c:v>
                </c:pt>
                <c:pt idx="4">
                  <c:v>17</c:v>
                </c:pt>
                <c:pt idx="5">
                  <c:v>19</c:v>
                </c:pt>
                <c:pt idx="6">
                  <c:v>10</c:v>
                </c:pt>
                <c:pt idx="7">
                  <c:v>17</c:v>
                </c:pt>
                <c:pt idx="8">
                  <c:v>10</c:v>
                </c:pt>
                <c:pt idx="9">
                  <c:v>3</c:v>
                </c:pt>
              </c:numCache>
            </c:numRef>
          </c:val>
          <c:smooth val="0"/>
          <c:extLst xmlns:c16r2="http://schemas.microsoft.com/office/drawing/2015/06/chart">
            <c:ext xmlns:c16="http://schemas.microsoft.com/office/drawing/2014/chart" uri="{C3380CC4-5D6E-409C-BE32-E72D297353CC}">
              <c16:uniqueId val="{00000000-96CF-4B56-994D-AA2914AD632A}"/>
            </c:ext>
          </c:extLst>
        </c:ser>
        <c:ser>
          <c:idx val="2"/>
          <c:order val="2"/>
          <c:tx>
            <c:strRef>
              <c:f>土地!$A$58</c:f>
              <c:strCache>
                <c:ptCount val="1"/>
                <c:pt idx="0">
                  <c:v>成交宗地数（宗）</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土地!$B$47:$K$47</c:f>
              <c:strCache>
                <c:ptCount val="10"/>
                <c:pt idx="0">
                  <c:v>溧水区</c:v>
                </c:pt>
                <c:pt idx="1">
                  <c:v>江宁区</c:v>
                </c:pt>
                <c:pt idx="2">
                  <c:v>浦口区</c:v>
                </c:pt>
                <c:pt idx="3">
                  <c:v>栖霞区</c:v>
                </c:pt>
                <c:pt idx="4">
                  <c:v>高淳区</c:v>
                </c:pt>
                <c:pt idx="5">
                  <c:v>六合区</c:v>
                </c:pt>
                <c:pt idx="6">
                  <c:v>建邺区</c:v>
                </c:pt>
                <c:pt idx="7">
                  <c:v>雨花台区</c:v>
                </c:pt>
                <c:pt idx="8">
                  <c:v>秦淮区</c:v>
                </c:pt>
                <c:pt idx="9">
                  <c:v>玄武区</c:v>
                </c:pt>
              </c:strCache>
            </c:strRef>
          </c:cat>
          <c:val>
            <c:numRef>
              <c:f>土地!$B$58:$K$58</c:f>
              <c:numCache>
                <c:formatCode>General</c:formatCode>
                <c:ptCount val="10"/>
                <c:pt idx="0">
                  <c:v>42</c:v>
                </c:pt>
                <c:pt idx="1">
                  <c:v>33</c:v>
                </c:pt>
                <c:pt idx="2">
                  <c:v>38</c:v>
                </c:pt>
                <c:pt idx="3">
                  <c:v>20</c:v>
                </c:pt>
                <c:pt idx="4">
                  <c:v>17</c:v>
                </c:pt>
                <c:pt idx="5">
                  <c:v>18</c:v>
                </c:pt>
                <c:pt idx="6">
                  <c:v>9</c:v>
                </c:pt>
                <c:pt idx="7">
                  <c:v>17</c:v>
                </c:pt>
                <c:pt idx="8">
                  <c:v>10</c:v>
                </c:pt>
                <c:pt idx="9">
                  <c:v>3</c:v>
                </c:pt>
              </c:numCache>
            </c:numRef>
          </c:val>
          <c:smooth val="0"/>
          <c:extLst xmlns:c16r2="http://schemas.microsoft.com/office/drawing/2015/06/chart">
            <c:ext xmlns:c16="http://schemas.microsoft.com/office/drawing/2014/chart" uri="{C3380CC4-5D6E-409C-BE32-E72D297353CC}">
              <c16:uniqueId val="{00000006-96CF-4B56-994D-AA2914AD632A}"/>
            </c:ext>
          </c:extLst>
        </c:ser>
        <c:dLbls>
          <c:showLegendKey val="0"/>
          <c:showVal val="0"/>
          <c:showCatName val="0"/>
          <c:showSerName val="0"/>
          <c:showPercent val="0"/>
          <c:showBubbleSize val="0"/>
        </c:dLbls>
        <c:marker val="1"/>
        <c:smooth val="0"/>
        <c:axId val="404909056"/>
        <c:axId val="404907520"/>
      </c:lineChart>
      <c:catAx>
        <c:axId val="4049038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04905984"/>
        <c:crosses val="autoZero"/>
        <c:auto val="1"/>
        <c:lblAlgn val="ctr"/>
        <c:lblOffset val="100"/>
        <c:noMultiLvlLbl val="0"/>
      </c:catAx>
      <c:valAx>
        <c:axId val="4049059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04903808"/>
        <c:crosses val="autoZero"/>
        <c:crossBetween val="between"/>
      </c:valAx>
      <c:valAx>
        <c:axId val="404907520"/>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04909056"/>
        <c:crosses val="max"/>
        <c:crossBetween val="between"/>
      </c:valAx>
      <c:catAx>
        <c:axId val="404909056"/>
        <c:scaling>
          <c:orientation val="minMax"/>
        </c:scaling>
        <c:delete val="1"/>
        <c:axPos val="b"/>
        <c:numFmt formatCode="General" sourceLinked="1"/>
        <c:majorTickMark val="out"/>
        <c:minorTickMark val="none"/>
        <c:tickLblPos val="nextTo"/>
        <c:crossAx val="40490752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u="none" strike="noStrike" baseline="0">
                <a:effectLst/>
              </a:rPr>
              <a:t>2017-2021</a:t>
            </a:r>
            <a:r>
              <a:rPr lang="zh-CN" altLang="zh-CN" sz="1400" b="1" i="0" u="none" strike="noStrike" baseline="0">
                <a:effectLst/>
              </a:rPr>
              <a:t>年</a:t>
            </a:r>
            <a:r>
              <a:rPr lang="en-US" altLang="zh-CN" sz="1400" b="1" i="0" u="none" strike="noStrike" baseline="0">
                <a:effectLst/>
              </a:rPr>
              <a:t>1-5</a:t>
            </a:r>
            <a:r>
              <a:rPr lang="zh-CN" altLang="zh-CN" sz="1400" b="1" i="0" u="none" strike="noStrike" baseline="0">
                <a:effectLst/>
              </a:rPr>
              <a:t>月南京市</a:t>
            </a:r>
            <a:r>
              <a:rPr lang="zh-CN" altLang="en-US" sz="1400" b="1" i="0" baseline="0">
                <a:effectLst/>
              </a:rPr>
              <a:t>住宅</a:t>
            </a:r>
            <a:r>
              <a:rPr lang="zh-CN" altLang="zh-CN" sz="1400" b="1" i="0" baseline="0">
                <a:effectLst/>
              </a:rPr>
              <a:t>用地土地</a:t>
            </a:r>
            <a:r>
              <a:rPr lang="zh-CN" altLang="en-US" sz="1400" b="1" i="0" baseline="0">
                <a:effectLst/>
              </a:rPr>
              <a:t>成交价格及溢价</a:t>
            </a:r>
            <a:r>
              <a:rPr lang="zh-CN" altLang="zh-CN" sz="1400" b="1" i="0" baseline="0">
                <a:effectLst/>
              </a:rPr>
              <a:t>情况</a:t>
            </a:r>
            <a:endParaRPr lang="zh-CN" altLang="zh-CN" sz="1400">
              <a:effectLst/>
            </a:endParaRPr>
          </a:p>
        </c:rich>
      </c:tx>
      <c:overlay val="0"/>
      <c:spPr>
        <a:noFill/>
        <a:ln>
          <a:noFill/>
        </a:ln>
        <a:effectLst/>
      </c:spPr>
    </c:title>
    <c:autoTitleDeleted val="0"/>
    <c:plotArea>
      <c:layout/>
      <c:barChart>
        <c:barDir val="col"/>
        <c:grouping val="clustered"/>
        <c:varyColors val="0"/>
        <c:ser>
          <c:idx val="0"/>
          <c:order val="0"/>
          <c:tx>
            <c:strRef>
              <c:f>土地!$A$79</c:f>
              <c:strCache>
                <c:ptCount val="1"/>
                <c:pt idx="0">
                  <c:v>成交楼面单价（元/平方米）</c:v>
                </c:pt>
              </c:strCache>
            </c:strRef>
          </c:tx>
          <c:spPr>
            <a:solidFill>
              <a:schemeClr val="accent1"/>
            </a:solidFill>
            <a:ln>
              <a:noFill/>
            </a:ln>
            <a:effectLst/>
          </c:spPr>
          <c:invertIfNegative val="0"/>
          <c:cat>
            <c:strRef>
              <c:f>土地!$B$78:$F$78</c:f>
              <c:strCache>
                <c:ptCount val="5"/>
                <c:pt idx="0">
                  <c:v>2017</c:v>
                </c:pt>
                <c:pt idx="1">
                  <c:v>2018</c:v>
                </c:pt>
                <c:pt idx="2">
                  <c:v>2019</c:v>
                </c:pt>
                <c:pt idx="3">
                  <c:v>2020</c:v>
                </c:pt>
                <c:pt idx="4">
                  <c:v>2021年1-5月</c:v>
                </c:pt>
              </c:strCache>
            </c:strRef>
          </c:cat>
          <c:val>
            <c:numRef>
              <c:f>土地!$B$79:$F$79</c:f>
              <c:numCache>
                <c:formatCode>General</c:formatCode>
                <c:ptCount val="5"/>
                <c:pt idx="0">
                  <c:v>11852.74</c:v>
                </c:pt>
                <c:pt idx="1">
                  <c:v>8047.1</c:v>
                </c:pt>
                <c:pt idx="2">
                  <c:v>10829.97</c:v>
                </c:pt>
                <c:pt idx="3">
                  <c:v>10805.25</c:v>
                </c:pt>
                <c:pt idx="4">
                  <c:v>12641.26</c:v>
                </c:pt>
              </c:numCache>
            </c:numRef>
          </c:val>
          <c:extLst xmlns:c16r2="http://schemas.microsoft.com/office/drawing/2015/06/chart">
            <c:ext xmlns:c16="http://schemas.microsoft.com/office/drawing/2014/chart" uri="{C3380CC4-5D6E-409C-BE32-E72D297353CC}">
              <c16:uniqueId val="{00000000-7905-45CD-BD51-C6E4FFD6D085}"/>
            </c:ext>
          </c:extLst>
        </c:ser>
        <c:dLbls>
          <c:showLegendKey val="0"/>
          <c:showVal val="0"/>
          <c:showCatName val="0"/>
          <c:showSerName val="0"/>
          <c:showPercent val="0"/>
          <c:showBubbleSize val="0"/>
        </c:dLbls>
        <c:gapWidth val="219"/>
        <c:axId val="404924288"/>
        <c:axId val="404930560"/>
      </c:barChart>
      <c:lineChart>
        <c:grouping val="standard"/>
        <c:varyColors val="0"/>
        <c:ser>
          <c:idx val="1"/>
          <c:order val="1"/>
          <c:tx>
            <c:strRef>
              <c:f>土地!$A$80</c:f>
              <c:strCache>
                <c:ptCount val="1"/>
                <c:pt idx="0">
                  <c:v>平均溢价率</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土地!$B$78:$F$78</c:f>
              <c:strCache>
                <c:ptCount val="5"/>
                <c:pt idx="0">
                  <c:v>2017</c:v>
                </c:pt>
                <c:pt idx="1">
                  <c:v>2018</c:v>
                </c:pt>
                <c:pt idx="2">
                  <c:v>2019</c:v>
                </c:pt>
                <c:pt idx="3">
                  <c:v>2020</c:v>
                </c:pt>
                <c:pt idx="4">
                  <c:v>2021年1-5月</c:v>
                </c:pt>
              </c:strCache>
            </c:strRef>
          </c:cat>
          <c:val>
            <c:numRef>
              <c:f>土地!$B$80:$F$80</c:f>
              <c:numCache>
                <c:formatCode>0.00%</c:formatCode>
                <c:ptCount val="5"/>
                <c:pt idx="0">
                  <c:v>0.37790000000000001</c:v>
                </c:pt>
                <c:pt idx="1">
                  <c:v>6.6900000000000001E-2</c:v>
                </c:pt>
                <c:pt idx="2">
                  <c:v>0.16980000000000001</c:v>
                </c:pt>
                <c:pt idx="3">
                  <c:v>0.1154</c:v>
                </c:pt>
                <c:pt idx="4">
                  <c:v>0.17019999999999999</c:v>
                </c:pt>
              </c:numCache>
            </c:numRef>
          </c:val>
          <c:smooth val="0"/>
          <c:extLst xmlns:c16r2="http://schemas.microsoft.com/office/drawing/2015/06/chart">
            <c:ext xmlns:c16="http://schemas.microsoft.com/office/drawing/2014/chart" uri="{C3380CC4-5D6E-409C-BE32-E72D297353CC}">
              <c16:uniqueId val="{00000001-7905-45CD-BD51-C6E4FFD6D085}"/>
            </c:ext>
          </c:extLst>
        </c:ser>
        <c:dLbls>
          <c:showLegendKey val="0"/>
          <c:showVal val="0"/>
          <c:showCatName val="0"/>
          <c:showSerName val="0"/>
          <c:showPercent val="0"/>
          <c:showBubbleSize val="0"/>
        </c:dLbls>
        <c:marker val="1"/>
        <c:smooth val="0"/>
        <c:axId val="404933632"/>
        <c:axId val="404932096"/>
      </c:lineChart>
      <c:catAx>
        <c:axId val="404924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04930560"/>
        <c:crosses val="autoZero"/>
        <c:auto val="1"/>
        <c:lblAlgn val="ctr"/>
        <c:lblOffset val="100"/>
        <c:noMultiLvlLbl val="0"/>
      </c:catAx>
      <c:valAx>
        <c:axId val="4049305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04924288"/>
        <c:crosses val="autoZero"/>
        <c:crossBetween val="between"/>
      </c:valAx>
      <c:valAx>
        <c:axId val="404932096"/>
        <c:scaling>
          <c:orientation val="minMax"/>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04933632"/>
        <c:crosses val="max"/>
        <c:crossBetween val="between"/>
      </c:valAx>
      <c:catAx>
        <c:axId val="404933632"/>
        <c:scaling>
          <c:orientation val="minMax"/>
        </c:scaling>
        <c:delete val="1"/>
        <c:axPos val="b"/>
        <c:numFmt formatCode="General" sourceLinked="1"/>
        <c:majorTickMark val="out"/>
        <c:minorTickMark val="none"/>
        <c:tickLblPos val="nextTo"/>
        <c:crossAx val="40493209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u="none" strike="noStrike" baseline="0">
                <a:effectLst/>
              </a:rPr>
              <a:t>2020-2021</a:t>
            </a:r>
            <a:r>
              <a:rPr lang="zh-CN" altLang="zh-CN" sz="1400" b="1" i="0" u="none" strike="noStrike" baseline="0">
                <a:effectLst/>
              </a:rPr>
              <a:t>年</a:t>
            </a:r>
            <a:r>
              <a:rPr lang="en-US" altLang="zh-CN" sz="1400" b="1" i="0" u="none" strike="noStrike" baseline="0">
                <a:effectLst/>
              </a:rPr>
              <a:t>1-5</a:t>
            </a:r>
            <a:r>
              <a:rPr lang="zh-CN" altLang="zh-CN" sz="1400" b="1" i="0" u="none" strike="noStrike" baseline="0">
                <a:effectLst/>
              </a:rPr>
              <a:t>月南京市各行政区域</a:t>
            </a:r>
            <a:r>
              <a:rPr lang="zh-CN" altLang="en-US" sz="1400" b="1" i="0" u="none" strike="noStrike" baseline="0">
                <a:effectLst/>
              </a:rPr>
              <a:t>住宅</a:t>
            </a:r>
            <a:r>
              <a:rPr lang="zh-CN" altLang="zh-CN" sz="1400" b="1" i="0" baseline="0">
                <a:effectLst/>
              </a:rPr>
              <a:t>用地</a:t>
            </a:r>
            <a:r>
              <a:rPr lang="zh-CN" altLang="en-US" sz="1400" b="1" i="0" baseline="0">
                <a:effectLst/>
              </a:rPr>
              <a:t>成交分布情况</a:t>
            </a:r>
            <a:endParaRPr lang="zh-CN" altLang="zh-CN" sz="1400">
              <a:effectLst/>
            </a:endParaRPr>
          </a:p>
        </c:rich>
      </c:tx>
      <c:overlay val="0"/>
      <c:spPr>
        <a:noFill/>
        <a:ln>
          <a:noFill/>
        </a:ln>
        <a:effectLst/>
      </c:spPr>
    </c:title>
    <c:autoTitleDeleted val="0"/>
    <c:plotArea>
      <c:layout/>
      <c:barChart>
        <c:barDir val="col"/>
        <c:grouping val="clustered"/>
        <c:varyColors val="0"/>
        <c:ser>
          <c:idx val="0"/>
          <c:order val="0"/>
          <c:tx>
            <c:strRef>
              <c:f>土地!$A$101</c:f>
              <c:strCache>
                <c:ptCount val="1"/>
                <c:pt idx="0">
                  <c:v>成交土地面积（万平方米）</c:v>
                </c:pt>
              </c:strCache>
            </c:strRef>
          </c:tx>
          <c:spPr>
            <a:solidFill>
              <a:schemeClr val="accent1"/>
            </a:solidFill>
            <a:ln>
              <a:noFill/>
            </a:ln>
            <a:effectLst/>
          </c:spPr>
          <c:invertIfNegative val="0"/>
          <c:cat>
            <c:strRef>
              <c:f>土地!$B$100:$K$100</c:f>
              <c:strCache>
                <c:ptCount val="10"/>
                <c:pt idx="0">
                  <c:v>溧水区</c:v>
                </c:pt>
                <c:pt idx="1">
                  <c:v>江宁区</c:v>
                </c:pt>
                <c:pt idx="2">
                  <c:v>浦口区</c:v>
                </c:pt>
                <c:pt idx="3">
                  <c:v>栖霞区</c:v>
                </c:pt>
                <c:pt idx="4">
                  <c:v>高淳区</c:v>
                </c:pt>
                <c:pt idx="5">
                  <c:v>六合区</c:v>
                </c:pt>
                <c:pt idx="6">
                  <c:v>建邺区</c:v>
                </c:pt>
                <c:pt idx="7">
                  <c:v>雨花台区</c:v>
                </c:pt>
                <c:pt idx="8">
                  <c:v>秦淮区</c:v>
                </c:pt>
                <c:pt idx="9">
                  <c:v>玄武区</c:v>
                </c:pt>
              </c:strCache>
            </c:strRef>
          </c:cat>
          <c:val>
            <c:numRef>
              <c:f>土地!$B$101:$K$101</c:f>
              <c:numCache>
                <c:formatCode>General</c:formatCode>
                <c:ptCount val="10"/>
                <c:pt idx="0">
                  <c:v>237.07999999999998</c:v>
                </c:pt>
                <c:pt idx="1">
                  <c:v>170.68</c:v>
                </c:pt>
                <c:pt idx="2">
                  <c:v>210.73000000000002</c:v>
                </c:pt>
                <c:pt idx="3">
                  <c:v>99.929999999999993</c:v>
                </c:pt>
                <c:pt idx="4">
                  <c:v>88.55</c:v>
                </c:pt>
                <c:pt idx="5">
                  <c:v>81.789999999999992</c:v>
                </c:pt>
                <c:pt idx="6">
                  <c:v>43.29</c:v>
                </c:pt>
                <c:pt idx="7">
                  <c:v>96.85</c:v>
                </c:pt>
                <c:pt idx="8">
                  <c:v>59.16</c:v>
                </c:pt>
                <c:pt idx="9">
                  <c:v>41.01</c:v>
                </c:pt>
              </c:numCache>
            </c:numRef>
          </c:val>
          <c:extLst xmlns:c16r2="http://schemas.microsoft.com/office/drawing/2015/06/chart">
            <c:ext xmlns:c16="http://schemas.microsoft.com/office/drawing/2014/chart" uri="{C3380CC4-5D6E-409C-BE32-E72D297353CC}">
              <c16:uniqueId val="{00000002-6929-46F0-B356-0383B542AE4D}"/>
            </c:ext>
          </c:extLst>
        </c:ser>
        <c:ser>
          <c:idx val="1"/>
          <c:order val="1"/>
          <c:tx>
            <c:strRef>
              <c:f>土地!$A$102</c:f>
              <c:strCache>
                <c:ptCount val="1"/>
                <c:pt idx="0">
                  <c:v>新增规划建筑面积（万平方米）</c:v>
                </c:pt>
              </c:strCache>
            </c:strRef>
          </c:tx>
          <c:spPr>
            <a:solidFill>
              <a:schemeClr val="accent2"/>
            </a:solidFill>
            <a:ln>
              <a:noFill/>
            </a:ln>
            <a:effectLst/>
          </c:spPr>
          <c:invertIfNegative val="0"/>
          <c:cat>
            <c:strRef>
              <c:f>土地!$B$100:$K$100</c:f>
              <c:strCache>
                <c:ptCount val="10"/>
                <c:pt idx="0">
                  <c:v>溧水区</c:v>
                </c:pt>
                <c:pt idx="1">
                  <c:v>江宁区</c:v>
                </c:pt>
                <c:pt idx="2">
                  <c:v>浦口区</c:v>
                </c:pt>
                <c:pt idx="3">
                  <c:v>栖霞区</c:v>
                </c:pt>
                <c:pt idx="4">
                  <c:v>高淳区</c:v>
                </c:pt>
                <c:pt idx="5">
                  <c:v>六合区</c:v>
                </c:pt>
                <c:pt idx="6">
                  <c:v>建邺区</c:v>
                </c:pt>
                <c:pt idx="7">
                  <c:v>雨花台区</c:v>
                </c:pt>
                <c:pt idx="8">
                  <c:v>秦淮区</c:v>
                </c:pt>
                <c:pt idx="9">
                  <c:v>玄武区</c:v>
                </c:pt>
              </c:strCache>
            </c:strRef>
          </c:cat>
          <c:val>
            <c:numRef>
              <c:f>土地!$B$102:$K$102</c:f>
              <c:numCache>
                <c:formatCode>General</c:formatCode>
                <c:ptCount val="10"/>
                <c:pt idx="0">
                  <c:v>471.32</c:v>
                </c:pt>
                <c:pt idx="1">
                  <c:v>348.24</c:v>
                </c:pt>
                <c:pt idx="2">
                  <c:v>493.64</c:v>
                </c:pt>
                <c:pt idx="3">
                  <c:v>260.16000000000003</c:v>
                </c:pt>
                <c:pt idx="4">
                  <c:v>165.62</c:v>
                </c:pt>
                <c:pt idx="5">
                  <c:v>186.94</c:v>
                </c:pt>
                <c:pt idx="6">
                  <c:v>142.03</c:v>
                </c:pt>
                <c:pt idx="7">
                  <c:v>283.99</c:v>
                </c:pt>
                <c:pt idx="8">
                  <c:v>185.92000000000002</c:v>
                </c:pt>
                <c:pt idx="9">
                  <c:v>139.16</c:v>
                </c:pt>
              </c:numCache>
            </c:numRef>
          </c:val>
          <c:extLst xmlns:c16r2="http://schemas.microsoft.com/office/drawing/2015/06/chart">
            <c:ext xmlns:c16="http://schemas.microsoft.com/office/drawing/2014/chart" uri="{C3380CC4-5D6E-409C-BE32-E72D297353CC}">
              <c16:uniqueId val="{00000000-6929-46F0-B356-0383B542AE4D}"/>
            </c:ext>
          </c:extLst>
        </c:ser>
        <c:dLbls>
          <c:showLegendKey val="0"/>
          <c:showVal val="0"/>
          <c:showCatName val="0"/>
          <c:showSerName val="0"/>
          <c:showPercent val="0"/>
          <c:showBubbleSize val="0"/>
        </c:dLbls>
        <c:gapWidth val="150"/>
        <c:axId val="405294080"/>
        <c:axId val="405296256"/>
      </c:barChart>
      <c:lineChart>
        <c:grouping val="standard"/>
        <c:varyColors val="0"/>
        <c:ser>
          <c:idx val="2"/>
          <c:order val="2"/>
          <c:tx>
            <c:strRef>
              <c:f>土地!$A$103</c:f>
              <c:strCache>
                <c:ptCount val="1"/>
                <c:pt idx="0">
                  <c:v>成交楼面单价（元/平方米）</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土地!$B$100:$K$100</c:f>
              <c:strCache>
                <c:ptCount val="10"/>
                <c:pt idx="0">
                  <c:v>溧水区</c:v>
                </c:pt>
                <c:pt idx="1">
                  <c:v>江宁区</c:v>
                </c:pt>
                <c:pt idx="2">
                  <c:v>浦口区</c:v>
                </c:pt>
                <c:pt idx="3">
                  <c:v>栖霞区</c:v>
                </c:pt>
                <c:pt idx="4">
                  <c:v>高淳区</c:v>
                </c:pt>
                <c:pt idx="5">
                  <c:v>六合区</c:v>
                </c:pt>
                <c:pt idx="6">
                  <c:v>建邺区</c:v>
                </c:pt>
                <c:pt idx="7">
                  <c:v>雨花台区</c:v>
                </c:pt>
                <c:pt idx="8">
                  <c:v>秦淮区</c:v>
                </c:pt>
                <c:pt idx="9">
                  <c:v>玄武区</c:v>
                </c:pt>
              </c:strCache>
            </c:strRef>
          </c:cat>
          <c:val>
            <c:numRef>
              <c:f>土地!$B$103:$K$103</c:f>
              <c:numCache>
                <c:formatCode>General</c:formatCode>
                <c:ptCount val="10"/>
                <c:pt idx="0">
                  <c:v>3247</c:v>
                </c:pt>
                <c:pt idx="1">
                  <c:v>10436</c:v>
                </c:pt>
                <c:pt idx="2">
                  <c:v>13955</c:v>
                </c:pt>
                <c:pt idx="3">
                  <c:v>14139</c:v>
                </c:pt>
                <c:pt idx="4">
                  <c:v>3492</c:v>
                </c:pt>
                <c:pt idx="5">
                  <c:v>8106</c:v>
                </c:pt>
                <c:pt idx="6">
                  <c:v>21876</c:v>
                </c:pt>
                <c:pt idx="7">
                  <c:v>14856</c:v>
                </c:pt>
                <c:pt idx="8">
                  <c:v>20100</c:v>
                </c:pt>
                <c:pt idx="9">
                  <c:v>11541</c:v>
                </c:pt>
              </c:numCache>
            </c:numRef>
          </c:val>
          <c:smooth val="0"/>
          <c:extLst xmlns:c16r2="http://schemas.microsoft.com/office/drawing/2015/06/chart">
            <c:ext xmlns:c16="http://schemas.microsoft.com/office/drawing/2014/chart" uri="{C3380CC4-5D6E-409C-BE32-E72D297353CC}">
              <c16:uniqueId val="{00000003-6929-46F0-B356-0383B542AE4D}"/>
            </c:ext>
          </c:extLst>
        </c:ser>
        <c:dLbls>
          <c:showLegendKey val="0"/>
          <c:showVal val="0"/>
          <c:showCatName val="0"/>
          <c:showSerName val="0"/>
          <c:showPercent val="0"/>
          <c:showBubbleSize val="0"/>
        </c:dLbls>
        <c:marker val="1"/>
        <c:smooth val="0"/>
        <c:axId val="405315968"/>
        <c:axId val="405297792"/>
      </c:lineChart>
      <c:catAx>
        <c:axId val="405294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05296256"/>
        <c:crosses val="autoZero"/>
        <c:auto val="1"/>
        <c:lblAlgn val="ctr"/>
        <c:lblOffset val="100"/>
        <c:noMultiLvlLbl val="0"/>
      </c:catAx>
      <c:valAx>
        <c:axId val="4052962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05294080"/>
        <c:crosses val="autoZero"/>
        <c:crossBetween val="between"/>
      </c:valAx>
      <c:valAx>
        <c:axId val="405297792"/>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05315968"/>
        <c:crosses val="max"/>
        <c:crossBetween val="between"/>
      </c:valAx>
      <c:catAx>
        <c:axId val="405315968"/>
        <c:scaling>
          <c:orientation val="minMax"/>
        </c:scaling>
        <c:delete val="1"/>
        <c:axPos val="b"/>
        <c:numFmt formatCode="General" sourceLinked="1"/>
        <c:majorTickMark val="out"/>
        <c:minorTickMark val="none"/>
        <c:tickLblPos val="nextTo"/>
        <c:crossAx val="40529779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baseline="0">
                <a:effectLst/>
              </a:rPr>
              <a:t>2015-2021</a:t>
            </a:r>
            <a:r>
              <a:rPr lang="zh-CN" altLang="zh-CN" sz="1400" b="1" i="0" baseline="0">
                <a:effectLst/>
              </a:rPr>
              <a:t>年</a:t>
            </a:r>
            <a:r>
              <a:rPr lang="en-US" altLang="zh-CN" sz="1400" b="1" i="0" baseline="0">
                <a:effectLst/>
              </a:rPr>
              <a:t>1-5</a:t>
            </a:r>
            <a:r>
              <a:rPr lang="zh-CN" altLang="en-US" sz="1400" b="1" i="0" baseline="0">
                <a:effectLst/>
              </a:rPr>
              <a:t>月南京市商品住宅供销情况</a:t>
            </a:r>
            <a:endParaRPr lang="zh-CN" altLang="zh-CN" sz="1400">
              <a:effectLst/>
            </a:endParaRPr>
          </a:p>
        </c:rich>
      </c:tx>
      <c:overlay val="0"/>
      <c:spPr>
        <a:noFill/>
        <a:ln>
          <a:noFill/>
        </a:ln>
        <a:effectLst/>
      </c:spPr>
    </c:title>
    <c:autoTitleDeleted val="0"/>
    <c:plotArea>
      <c:layout/>
      <c:barChart>
        <c:barDir val="col"/>
        <c:grouping val="clustered"/>
        <c:varyColors val="0"/>
        <c:ser>
          <c:idx val="0"/>
          <c:order val="0"/>
          <c:tx>
            <c:strRef>
              <c:f>房地产!$A$17</c:f>
              <c:strCache>
                <c:ptCount val="1"/>
                <c:pt idx="0">
                  <c:v>批准上市面积(万㎡)</c:v>
                </c:pt>
              </c:strCache>
            </c:strRef>
          </c:tx>
          <c:spPr>
            <a:ln w="28575" cap="rnd">
              <a:solidFill>
                <a:schemeClr val="accent1"/>
              </a:solidFill>
              <a:round/>
            </a:ln>
            <a:effectLst/>
          </c:spPr>
          <c:invertIfNegative val="0"/>
          <c:cat>
            <c:strRef>
              <c:f>房地产!$B$15:$H$15</c:f>
              <c:strCache>
                <c:ptCount val="7"/>
                <c:pt idx="0">
                  <c:v>2015</c:v>
                </c:pt>
                <c:pt idx="1">
                  <c:v>2016</c:v>
                </c:pt>
                <c:pt idx="2">
                  <c:v>2017</c:v>
                </c:pt>
                <c:pt idx="3">
                  <c:v>2018</c:v>
                </c:pt>
                <c:pt idx="4">
                  <c:v>2019</c:v>
                </c:pt>
                <c:pt idx="5">
                  <c:v>2020</c:v>
                </c:pt>
                <c:pt idx="6">
                  <c:v>2021年1-5月</c:v>
                </c:pt>
              </c:strCache>
            </c:strRef>
          </c:cat>
          <c:val>
            <c:numRef>
              <c:f>房地产!$B$17:$H$17</c:f>
              <c:numCache>
                <c:formatCode>General</c:formatCode>
                <c:ptCount val="7"/>
                <c:pt idx="0">
                  <c:v>1047.17</c:v>
                </c:pt>
                <c:pt idx="1">
                  <c:v>1020.2</c:v>
                </c:pt>
                <c:pt idx="2">
                  <c:v>688.73</c:v>
                </c:pt>
                <c:pt idx="3">
                  <c:v>659.2</c:v>
                </c:pt>
                <c:pt idx="4">
                  <c:v>848.88</c:v>
                </c:pt>
                <c:pt idx="5">
                  <c:v>1015.6</c:v>
                </c:pt>
                <c:pt idx="6">
                  <c:v>449.61</c:v>
                </c:pt>
              </c:numCache>
            </c:numRef>
          </c:val>
          <c:extLst xmlns:c16r2="http://schemas.microsoft.com/office/drawing/2015/06/chart">
            <c:ext xmlns:c16="http://schemas.microsoft.com/office/drawing/2014/chart" uri="{C3380CC4-5D6E-409C-BE32-E72D297353CC}">
              <c16:uniqueId val="{00000000-96CF-4B56-994D-AA2914AD632A}"/>
            </c:ext>
          </c:extLst>
        </c:ser>
        <c:ser>
          <c:idx val="2"/>
          <c:order val="2"/>
          <c:tx>
            <c:strRef>
              <c:f>房地产!$A$19</c:f>
              <c:strCache>
                <c:ptCount val="1"/>
                <c:pt idx="0">
                  <c:v>销售面积(万㎡)</c:v>
                </c:pt>
              </c:strCache>
            </c:strRef>
          </c:tx>
          <c:spPr>
            <a:ln w="28575" cap="rnd">
              <a:solidFill>
                <a:schemeClr val="accent3"/>
              </a:solidFill>
              <a:round/>
            </a:ln>
            <a:effectLst/>
          </c:spPr>
          <c:invertIfNegative val="0"/>
          <c:cat>
            <c:strRef>
              <c:f>房地产!$B$15:$H$15</c:f>
              <c:strCache>
                <c:ptCount val="7"/>
                <c:pt idx="0">
                  <c:v>2015</c:v>
                </c:pt>
                <c:pt idx="1">
                  <c:v>2016</c:v>
                </c:pt>
                <c:pt idx="2">
                  <c:v>2017</c:v>
                </c:pt>
                <c:pt idx="3">
                  <c:v>2018</c:v>
                </c:pt>
                <c:pt idx="4">
                  <c:v>2019</c:v>
                </c:pt>
                <c:pt idx="5">
                  <c:v>2020</c:v>
                </c:pt>
                <c:pt idx="6">
                  <c:v>2021年1-5月</c:v>
                </c:pt>
              </c:strCache>
            </c:strRef>
          </c:cat>
          <c:val>
            <c:numRef>
              <c:f>房地产!$B$19:$H$19</c:f>
              <c:numCache>
                <c:formatCode>General</c:formatCode>
                <c:ptCount val="7"/>
                <c:pt idx="0">
                  <c:v>1206.8900000000001</c:v>
                </c:pt>
                <c:pt idx="1">
                  <c:v>1431.25</c:v>
                </c:pt>
                <c:pt idx="2">
                  <c:v>710.43</c:v>
                </c:pt>
                <c:pt idx="3">
                  <c:v>647.89</c:v>
                </c:pt>
                <c:pt idx="4">
                  <c:v>794.52</c:v>
                </c:pt>
                <c:pt idx="5">
                  <c:v>835.92</c:v>
                </c:pt>
                <c:pt idx="6">
                  <c:v>599.03</c:v>
                </c:pt>
              </c:numCache>
            </c:numRef>
          </c:val>
          <c:extLst xmlns:c16r2="http://schemas.microsoft.com/office/drawing/2015/06/chart">
            <c:ext xmlns:c16="http://schemas.microsoft.com/office/drawing/2014/chart" uri="{C3380CC4-5D6E-409C-BE32-E72D297353CC}">
              <c16:uniqueId val="{00000006-96CF-4B56-994D-AA2914AD632A}"/>
            </c:ext>
          </c:extLst>
        </c:ser>
        <c:dLbls>
          <c:showLegendKey val="0"/>
          <c:showVal val="0"/>
          <c:showCatName val="0"/>
          <c:showSerName val="0"/>
          <c:showPercent val="0"/>
          <c:showBubbleSize val="0"/>
        </c:dLbls>
        <c:gapWidth val="150"/>
        <c:axId val="407475712"/>
        <c:axId val="407474176"/>
      </c:barChart>
      <c:lineChart>
        <c:grouping val="standard"/>
        <c:varyColors val="0"/>
        <c:ser>
          <c:idx val="1"/>
          <c:order val="1"/>
          <c:tx>
            <c:strRef>
              <c:f>房地产!$A$18</c:f>
              <c:strCache>
                <c:ptCount val="1"/>
                <c:pt idx="0">
                  <c:v>销售套数(套)</c:v>
                </c:pt>
              </c:strCache>
            </c:strRef>
          </c:tx>
          <c:spPr>
            <a:effectLst/>
          </c:spPr>
          <c:cat>
            <c:strRef>
              <c:f>房地产!$B$15:$H$15</c:f>
              <c:strCache>
                <c:ptCount val="7"/>
                <c:pt idx="0">
                  <c:v>2015</c:v>
                </c:pt>
                <c:pt idx="1">
                  <c:v>2016</c:v>
                </c:pt>
                <c:pt idx="2">
                  <c:v>2017</c:v>
                </c:pt>
                <c:pt idx="3">
                  <c:v>2018</c:v>
                </c:pt>
                <c:pt idx="4">
                  <c:v>2019</c:v>
                </c:pt>
                <c:pt idx="5">
                  <c:v>2020</c:v>
                </c:pt>
                <c:pt idx="6">
                  <c:v>2021年1-5月</c:v>
                </c:pt>
              </c:strCache>
            </c:strRef>
          </c:cat>
          <c:val>
            <c:numRef>
              <c:f>房地产!$B$18:$H$18</c:f>
              <c:numCache>
                <c:formatCode>General</c:formatCode>
                <c:ptCount val="7"/>
                <c:pt idx="0">
                  <c:v>109607</c:v>
                </c:pt>
                <c:pt idx="1">
                  <c:v>127737</c:v>
                </c:pt>
                <c:pt idx="2">
                  <c:v>62246</c:v>
                </c:pt>
                <c:pt idx="3">
                  <c:v>53991</c:v>
                </c:pt>
                <c:pt idx="4">
                  <c:v>67880</c:v>
                </c:pt>
                <c:pt idx="5">
                  <c:v>71084</c:v>
                </c:pt>
                <c:pt idx="6">
                  <c:v>50929</c:v>
                </c:pt>
              </c:numCache>
            </c:numRef>
          </c:val>
          <c:smooth val="0"/>
          <c:extLst xmlns:c16r2="http://schemas.microsoft.com/office/drawing/2015/06/chart">
            <c:ext xmlns:c16="http://schemas.microsoft.com/office/drawing/2014/chart" uri="{C3380CC4-5D6E-409C-BE32-E72D297353CC}">
              <c16:uniqueId val="{00000005-96CF-4B56-994D-AA2914AD632A}"/>
            </c:ext>
          </c:extLst>
        </c:ser>
        <c:dLbls>
          <c:showLegendKey val="0"/>
          <c:showVal val="0"/>
          <c:showCatName val="0"/>
          <c:showSerName val="0"/>
          <c:showPercent val="0"/>
          <c:showBubbleSize val="0"/>
        </c:dLbls>
        <c:marker val="1"/>
        <c:smooth val="0"/>
        <c:axId val="407421696"/>
        <c:axId val="407423232"/>
      </c:lineChart>
      <c:catAx>
        <c:axId val="407421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07423232"/>
        <c:crosses val="autoZero"/>
        <c:auto val="1"/>
        <c:lblAlgn val="ctr"/>
        <c:lblOffset val="100"/>
        <c:noMultiLvlLbl val="0"/>
      </c:catAx>
      <c:valAx>
        <c:axId val="4074232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07421696"/>
        <c:crosses val="autoZero"/>
        <c:crossBetween val="between"/>
      </c:valAx>
      <c:valAx>
        <c:axId val="407474176"/>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07475712"/>
        <c:crosses val="max"/>
        <c:crossBetween val="between"/>
      </c:valAx>
      <c:catAx>
        <c:axId val="407475712"/>
        <c:scaling>
          <c:orientation val="minMax"/>
        </c:scaling>
        <c:delete val="1"/>
        <c:axPos val="b"/>
        <c:numFmt formatCode="General" sourceLinked="1"/>
        <c:majorTickMark val="out"/>
        <c:minorTickMark val="none"/>
        <c:tickLblPos val="nextTo"/>
        <c:crossAx val="407474176"/>
        <c:crosses val="autoZero"/>
        <c:auto val="1"/>
        <c:lblAlgn val="ctr"/>
        <c:lblOffset val="100"/>
        <c:noMultiLvlLbl val="0"/>
      </c:catAx>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u="none" strike="noStrike" baseline="0">
                <a:effectLst/>
              </a:rPr>
              <a:t>2020-2021</a:t>
            </a:r>
            <a:r>
              <a:rPr lang="zh-CN" altLang="zh-CN" sz="1400" b="1" i="0" u="none" strike="noStrike" baseline="0">
                <a:effectLst/>
              </a:rPr>
              <a:t>年</a:t>
            </a:r>
            <a:r>
              <a:rPr lang="en-US" altLang="zh-CN" sz="1400" b="1" i="0" u="none" strike="noStrike" baseline="0">
                <a:effectLst/>
              </a:rPr>
              <a:t>1-5</a:t>
            </a:r>
            <a:r>
              <a:rPr lang="zh-CN" altLang="zh-CN" sz="1400" b="1" i="0" u="none" strike="noStrike" baseline="0">
                <a:effectLst/>
              </a:rPr>
              <a:t>月南京市</a:t>
            </a:r>
            <a:r>
              <a:rPr lang="zh-CN" altLang="en-US" sz="1400" b="1" i="0" u="none" strike="noStrike" baseline="0">
                <a:effectLst/>
              </a:rPr>
              <a:t>商品住宅</a:t>
            </a:r>
            <a:r>
              <a:rPr lang="zh-CN" altLang="en-US" sz="1400" b="1" i="0" baseline="0">
                <a:effectLst/>
              </a:rPr>
              <a:t>供应成交情况</a:t>
            </a:r>
            <a:endParaRPr lang="zh-CN" altLang="zh-CN" sz="1400">
              <a:effectLst/>
            </a:endParaRPr>
          </a:p>
        </c:rich>
      </c:tx>
      <c:overlay val="0"/>
      <c:spPr>
        <a:noFill/>
        <a:ln>
          <a:noFill/>
        </a:ln>
        <a:effectLst/>
      </c:spPr>
    </c:title>
    <c:autoTitleDeleted val="0"/>
    <c:plotArea>
      <c:layout/>
      <c:barChart>
        <c:barDir val="col"/>
        <c:grouping val="clustered"/>
        <c:varyColors val="0"/>
        <c:ser>
          <c:idx val="1"/>
          <c:order val="1"/>
          <c:tx>
            <c:strRef>
              <c:f>房地产!$C$68</c:f>
              <c:strCache>
                <c:ptCount val="1"/>
                <c:pt idx="0">
                  <c:v>销售面积(万㎡)</c:v>
                </c:pt>
              </c:strCache>
            </c:strRef>
          </c:tx>
          <c:spPr>
            <a:solidFill>
              <a:schemeClr val="accent2"/>
            </a:solidFill>
            <a:ln>
              <a:noFill/>
            </a:ln>
            <a:effectLst/>
          </c:spPr>
          <c:invertIfNegative val="0"/>
          <c:cat>
            <c:numRef>
              <c:f>房地产!$A$69:$A$85</c:f>
              <c:numCache>
                <c:formatCode>yyyy"年"m"月"</c:formatCode>
                <c:ptCount val="17"/>
                <c:pt idx="0">
                  <c:v>43831</c:v>
                </c:pt>
                <c:pt idx="1">
                  <c:v>43862</c:v>
                </c:pt>
                <c:pt idx="2">
                  <c:v>43891</c:v>
                </c:pt>
                <c:pt idx="3">
                  <c:v>43922</c:v>
                </c:pt>
                <c:pt idx="4">
                  <c:v>43952</c:v>
                </c:pt>
                <c:pt idx="5">
                  <c:v>43983</c:v>
                </c:pt>
                <c:pt idx="6">
                  <c:v>44013</c:v>
                </c:pt>
                <c:pt idx="7">
                  <c:v>44044</c:v>
                </c:pt>
                <c:pt idx="8">
                  <c:v>44075</c:v>
                </c:pt>
                <c:pt idx="9">
                  <c:v>44105</c:v>
                </c:pt>
                <c:pt idx="10">
                  <c:v>44136</c:v>
                </c:pt>
                <c:pt idx="11">
                  <c:v>44166</c:v>
                </c:pt>
                <c:pt idx="12">
                  <c:v>44197</c:v>
                </c:pt>
                <c:pt idx="13">
                  <c:v>44228</c:v>
                </c:pt>
                <c:pt idx="14">
                  <c:v>44256</c:v>
                </c:pt>
                <c:pt idx="15">
                  <c:v>44287</c:v>
                </c:pt>
                <c:pt idx="16">
                  <c:v>44317</c:v>
                </c:pt>
              </c:numCache>
            </c:numRef>
          </c:cat>
          <c:val>
            <c:numRef>
              <c:f>房地产!$C$69:$C$85</c:f>
              <c:numCache>
                <c:formatCode>General</c:formatCode>
                <c:ptCount val="17"/>
                <c:pt idx="0">
                  <c:v>58.19</c:v>
                </c:pt>
                <c:pt idx="1">
                  <c:v>22.79</c:v>
                </c:pt>
                <c:pt idx="2">
                  <c:v>39.090000000000003</c:v>
                </c:pt>
                <c:pt idx="3">
                  <c:v>72.709999999999994</c:v>
                </c:pt>
                <c:pt idx="4">
                  <c:v>85.94</c:v>
                </c:pt>
                <c:pt idx="5">
                  <c:v>75.89</c:v>
                </c:pt>
                <c:pt idx="6">
                  <c:v>86.91</c:v>
                </c:pt>
                <c:pt idx="7">
                  <c:v>74.709999999999994</c:v>
                </c:pt>
                <c:pt idx="8">
                  <c:v>61.06</c:v>
                </c:pt>
                <c:pt idx="9">
                  <c:v>74.08</c:v>
                </c:pt>
                <c:pt idx="10">
                  <c:v>84.05</c:v>
                </c:pt>
                <c:pt idx="11">
                  <c:v>100.5</c:v>
                </c:pt>
                <c:pt idx="12">
                  <c:v>90.76</c:v>
                </c:pt>
                <c:pt idx="13">
                  <c:v>63.13</c:v>
                </c:pt>
                <c:pt idx="14">
                  <c:v>155.24</c:v>
                </c:pt>
                <c:pt idx="15">
                  <c:v>150.22999999999999</c:v>
                </c:pt>
                <c:pt idx="16">
                  <c:v>139.66999999999999</c:v>
                </c:pt>
              </c:numCache>
            </c:numRef>
          </c:val>
          <c:extLst xmlns:c16r2="http://schemas.microsoft.com/office/drawing/2015/06/chart">
            <c:ext xmlns:c16="http://schemas.microsoft.com/office/drawing/2014/chart" uri="{C3380CC4-5D6E-409C-BE32-E72D297353CC}">
              <c16:uniqueId val="{00000000-E428-449C-BD51-CC30FEDFC57F}"/>
            </c:ext>
          </c:extLst>
        </c:ser>
        <c:ser>
          <c:idx val="2"/>
          <c:order val="2"/>
          <c:tx>
            <c:strRef>
              <c:f>房地产!$D$68</c:f>
              <c:strCache>
                <c:ptCount val="1"/>
                <c:pt idx="0">
                  <c:v>批准上市面积(万㎡)</c:v>
                </c:pt>
              </c:strCache>
            </c:strRef>
          </c:tx>
          <c:spPr>
            <a:ln w="28575" cap="rnd">
              <a:solidFill>
                <a:schemeClr val="accent3"/>
              </a:solidFill>
              <a:round/>
            </a:ln>
            <a:effectLst/>
          </c:spPr>
          <c:invertIfNegative val="0"/>
          <c:cat>
            <c:numRef>
              <c:f>房地产!$A$69:$A$85</c:f>
              <c:numCache>
                <c:formatCode>yyyy"年"m"月"</c:formatCode>
                <c:ptCount val="17"/>
                <c:pt idx="0">
                  <c:v>43831</c:v>
                </c:pt>
                <c:pt idx="1">
                  <c:v>43862</c:v>
                </c:pt>
                <c:pt idx="2">
                  <c:v>43891</c:v>
                </c:pt>
                <c:pt idx="3">
                  <c:v>43922</c:v>
                </c:pt>
                <c:pt idx="4">
                  <c:v>43952</c:v>
                </c:pt>
                <c:pt idx="5">
                  <c:v>43983</c:v>
                </c:pt>
                <c:pt idx="6">
                  <c:v>44013</c:v>
                </c:pt>
                <c:pt idx="7">
                  <c:v>44044</c:v>
                </c:pt>
                <c:pt idx="8">
                  <c:v>44075</c:v>
                </c:pt>
                <c:pt idx="9">
                  <c:v>44105</c:v>
                </c:pt>
                <c:pt idx="10">
                  <c:v>44136</c:v>
                </c:pt>
                <c:pt idx="11">
                  <c:v>44166</c:v>
                </c:pt>
                <c:pt idx="12">
                  <c:v>44197</c:v>
                </c:pt>
                <c:pt idx="13">
                  <c:v>44228</c:v>
                </c:pt>
                <c:pt idx="14">
                  <c:v>44256</c:v>
                </c:pt>
                <c:pt idx="15">
                  <c:v>44287</c:v>
                </c:pt>
                <c:pt idx="16">
                  <c:v>44317</c:v>
                </c:pt>
              </c:numCache>
            </c:numRef>
          </c:cat>
          <c:val>
            <c:numRef>
              <c:f>房地产!$D$69:$D$85</c:f>
              <c:numCache>
                <c:formatCode>General</c:formatCode>
                <c:ptCount val="17"/>
                <c:pt idx="0">
                  <c:v>48.83</c:v>
                </c:pt>
                <c:pt idx="1">
                  <c:v>0</c:v>
                </c:pt>
                <c:pt idx="2">
                  <c:v>69.540000000000006</c:v>
                </c:pt>
                <c:pt idx="3">
                  <c:v>68.59</c:v>
                </c:pt>
                <c:pt idx="4">
                  <c:v>47.68</c:v>
                </c:pt>
                <c:pt idx="5">
                  <c:v>132.38</c:v>
                </c:pt>
                <c:pt idx="6">
                  <c:v>49.73</c:v>
                </c:pt>
                <c:pt idx="7">
                  <c:v>93.53</c:v>
                </c:pt>
                <c:pt idx="8">
                  <c:v>156.87</c:v>
                </c:pt>
                <c:pt idx="9">
                  <c:v>105.49</c:v>
                </c:pt>
                <c:pt idx="10">
                  <c:v>113.96</c:v>
                </c:pt>
                <c:pt idx="11">
                  <c:v>129.01</c:v>
                </c:pt>
                <c:pt idx="12">
                  <c:v>88.95</c:v>
                </c:pt>
                <c:pt idx="13">
                  <c:v>21.29</c:v>
                </c:pt>
                <c:pt idx="14">
                  <c:v>90.93</c:v>
                </c:pt>
                <c:pt idx="15">
                  <c:v>145.51</c:v>
                </c:pt>
                <c:pt idx="16">
                  <c:v>102.93</c:v>
                </c:pt>
              </c:numCache>
            </c:numRef>
          </c:val>
          <c:extLst xmlns:c16r2="http://schemas.microsoft.com/office/drawing/2015/06/chart">
            <c:ext xmlns:c16="http://schemas.microsoft.com/office/drawing/2014/chart" uri="{C3380CC4-5D6E-409C-BE32-E72D297353CC}">
              <c16:uniqueId val="{00000003-E428-449C-BD51-CC30FEDFC57F}"/>
            </c:ext>
          </c:extLst>
        </c:ser>
        <c:dLbls>
          <c:showLegendKey val="0"/>
          <c:showVal val="0"/>
          <c:showCatName val="0"/>
          <c:showSerName val="0"/>
          <c:showPercent val="0"/>
          <c:showBubbleSize val="0"/>
        </c:dLbls>
        <c:gapWidth val="150"/>
        <c:axId val="408675840"/>
        <c:axId val="408677760"/>
      </c:barChart>
      <c:lineChart>
        <c:grouping val="standard"/>
        <c:varyColors val="0"/>
        <c:ser>
          <c:idx val="0"/>
          <c:order val="0"/>
          <c:tx>
            <c:strRef>
              <c:f>房地产!$B$68</c:f>
              <c:strCache>
                <c:ptCount val="1"/>
                <c:pt idx="0">
                  <c:v>销售套数(套)</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房地产!$A$69:$A$85</c:f>
              <c:numCache>
                <c:formatCode>yyyy"年"m"月"</c:formatCode>
                <c:ptCount val="17"/>
                <c:pt idx="0">
                  <c:v>43831</c:v>
                </c:pt>
                <c:pt idx="1">
                  <c:v>43862</c:v>
                </c:pt>
                <c:pt idx="2">
                  <c:v>43891</c:v>
                </c:pt>
                <c:pt idx="3">
                  <c:v>43922</c:v>
                </c:pt>
                <c:pt idx="4">
                  <c:v>43952</c:v>
                </c:pt>
                <c:pt idx="5">
                  <c:v>43983</c:v>
                </c:pt>
                <c:pt idx="6">
                  <c:v>44013</c:v>
                </c:pt>
                <c:pt idx="7">
                  <c:v>44044</c:v>
                </c:pt>
                <c:pt idx="8">
                  <c:v>44075</c:v>
                </c:pt>
                <c:pt idx="9">
                  <c:v>44105</c:v>
                </c:pt>
                <c:pt idx="10">
                  <c:v>44136</c:v>
                </c:pt>
                <c:pt idx="11">
                  <c:v>44166</c:v>
                </c:pt>
                <c:pt idx="12">
                  <c:v>44197</c:v>
                </c:pt>
                <c:pt idx="13">
                  <c:v>44228</c:v>
                </c:pt>
                <c:pt idx="14">
                  <c:v>44256</c:v>
                </c:pt>
                <c:pt idx="15">
                  <c:v>44287</c:v>
                </c:pt>
                <c:pt idx="16">
                  <c:v>44317</c:v>
                </c:pt>
              </c:numCache>
            </c:numRef>
          </c:cat>
          <c:val>
            <c:numRef>
              <c:f>房地产!$B$69:$B$85</c:f>
              <c:numCache>
                <c:formatCode>General</c:formatCode>
                <c:ptCount val="17"/>
                <c:pt idx="0">
                  <c:v>4864</c:v>
                </c:pt>
                <c:pt idx="1">
                  <c:v>2021</c:v>
                </c:pt>
                <c:pt idx="2">
                  <c:v>3228</c:v>
                </c:pt>
                <c:pt idx="3">
                  <c:v>6097</c:v>
                </c:pt>
                <c:pt idx="4">
                  <c:v>7354</c:v>
                </c:pt>
                <c:pt idx="5">
                  <c:v>6401</c:v>
                </c:pt>
                <c:pt idx="6">
                  <c:v>7588</c:v>
                </c:pt>
                <c:pt idx="7">
                  <c:v>6475</c:v>
                </c:pt>
                <c:pt idx="8">
                  <c:v>5117</c:v>
                </c:pt>
                <c:pt idx="9">
                  <c:v>6416</c:v>
                </c:pt>
                <c:pt idx="10">
                  <c:v>7313</c:v>
                </c:pt>
                <c:pt idx="11">
                  <c:v>8210</c:v>
                </c:pt>
                <c:pt idx="12">
                  <c:v>7612</c:v>
                </c:pt>
                <c:pt idx="13">
                  <c:v>5394</c:v>
                </c:pt>
                <c:pt idx="14">
                  <c:v>13057</c:v>
                </c:pt>
                <c:pt idx="15">
                  <c:v>12909</c:v>
                </c:pt>
                <c:pt idx="16">
                  <c:v>11957</c:v>
                </c:pt>
              </c:numCache>
            </c:numRef>
          </c:val>
          <c:smooth val="0"/>
          <c:extLst xmlns:c16r2="http://schemas.microsoft.com/office/drawing/2015/06/chart">
            <c:ext xmlns:c16="http://schemas.microsoft.com/office/drawing/2014/chart" uri="{C3380CC4-5D6E-409C-BE32-E72D297353CC}">
              <c16:uniqueId val="{00000002-E428-449C-BD51-CC30FEDFC57F}"/>
            </c:ext>
          </c:extLst>
        </c:ser>
        <c:dLbls>
          <c:showLegendKey val="0"/>
          <c:showVal val="0"/>
          <c:showCatName val="0"/>
          <c:showSerName val="0"/>
          <c:showPercent val="0"/>
          <c:showBubbleSize val="0"/>
        </c:dLbls>
        <c:marker val="1"/>
        <c:smooth val="0"/>
        <c:axId val="408775296"/>
        <c:axId val="408773760"/>
      </c:lineChart>
      <c:dateAx>
        <c:axId val="408675840"/>
        <c:scaling>
          <c:orientation val="minMax"/>
        </c:scaling>
        <c:delete val="0"/>
        <c:axPos val="b"/>
        <c:numFmt formatCode="yyyy&quot;年&quot;m&quot;月&quot;"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08677760"/>
        <c:crosses val="autoZero"/>
        <c:auto val="1"/>
        <c:lblOffset val="100"/>
        <c:baseTimeUnit val="months"/>
      </c:dateAx>
      <c:valAx>
        <c:axId val="4086777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08675840"/>
        <c:crosses val="autoZero"/>
        <c:crossBetween val="between"/>
      </c:valAx>
      <c:valAx>
        <c:axId val="408773760"/>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08775296"/>
        <c:crosses val="max"/>
        <c:crossBetween val="between"/>
      </c:valAx>
      <c:dateAx>
        <c:axId val="408775296"/>
        <c:scaling>
          <c:orientation val="minMax"/>
        </c:scaling>
        <c:delete val="1"/>
        <c:axPos val="b"/>
        <c:numFmt formatCode="yyyy&quot;年&quot;m&quot;月&quot;" sourceLinked="1"/>
        <c:majorTickMark val="out"/>
        <c:minorTickMark val="none"/>
        <c:tickLblPos val="nextTo"/>
        <c:crossAx val="408773760"/>
        <c:crosses val="autoZero"/>
        <c:auto val="1"/>
        <c:lblOffset val="100"/>
        <c:baseTimeUnit val="months"/>
      </c:date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u="none" strike="noStrike" baseline="0">
                <a:effectLst/>
              </a:rPr>
              <a:t>2017-2021</a:t>
            </a:r>
            <a:r>
              <a:rPr lang="zh-CN" altLang="zh-CN" sz="1400" b="1" i="0" u="none" strike="noStrike" baseline="0">
                <a:effectLst/>
              </a:rPr>
              <a:t>年</a:t>
            </a:r>
            <a:r>
              <a:rPr lang="en-US" altLang="zh-CN" sz="1400" b="1" i="0" u="none" strike="noStrike" baseline="0">
                <a:effectLst/>
              </a:rPr>
              <a:t>1-5</a:t>
            </a:r>
            <a:r>
              <a:rPr lang="zh-CN" altLang="zh-CN" sz="1400" b="1" i="0" u="none" strike="noStrike" baseline="0">
                <a:effectLst/>
              </a:rPr>
              <a:t>月南京市</a:t>
            </a:r>
            <a:r>
              <a:rPr lang="zh-CN" altLang="en-US" sz="1400" b="1" i="0" baseline="0">
                <a:effectLst/>
              </a:rPr>
              <a:t>商品住宅成交价格走势</a:t>
            </a:r>
            <a:endParaRPr lang="zh-CN" altLang="zh-CN" sz="1400">
              <a:effectLst/>
            </a:endParaRPr>
          </a:p>
        </c:rich>
      </c:tx>
      <c:overlay val="0"/>
      <c:spPr>
        <a:noFill/>
        <a:ln>
          <a:noFill/>
        </a:ln>
        <a:effectLst/>
      </c:spPr>
    </c:title>
    <c:autoTitleDeleted val="0"/>
    <c:plotArea>
      <c:layout/>
      <c:barChart>
        <c:barDir val="col"/>
        <c:grouping val="clustered"/>
        <c:varyColors val="0"/>
        <c:ser>
          <c:idx val="0"/>
          <c:order val="0"/>
          <c:tx>
            <c:strRef>
              <c:f>房地产!$L$16</c:f>
              <c:strCache>
                <c:ptCount val="1"/>
                <c:pt idx="0">
                  <c:v>销售额(亿元)</c:v>
                </c:pt>
              </c:strCache>
            </c:strRef>
          </c:tx>
          <c:spPr>
            <a:ln w="28575" cap="rnd">
              <a:solidFill>
                <a:schemeClr val="accent1"/>
              </a:solidFill>
              <a:round/>
            </a:ln>
            <a:effectLst/>
          </c:spPr>
          <c:invertIfNegative val="0"/>
          <c:cat>
            <c:strRef>
              <c:f>房地产!$M$15:$Q$15</c:f>
              <c:strCache>
                <c:ptCount val="5"/>
                <c:pt idx="0">
                  <c:v>2017</c:v>
                </c:pt>
                <c:pt idx="1">
                  <c:v>2018</c:v>
                </c:pt>
                <c:pt idx="2">
                  <c:v>2019</c:v>
                </c:pt>
                <c:pt idx="3">
                  <c:v>2020</c:v>
                </c:pt>
                <c:pt idx="4">
                  <c:v>2021年1-5月</c:v>
                </c:pt>
              </c:strCache>
            </c:strRef>
          </c:cat>
          <c:val>
            <c:numRef>
              <c:f>房地产!$M$16:$Q$16</c:f>
              <c:numCache>
                <c:formatCode>General</c:formatCode>
                <c:ptCount val="5"/>
                <c:pt idx="0">
                  <c:v>1790.35</c:v>
                </c:pt>
                <c:pt idx="1">
                  <c:v>1655.06</c:v>
                </c:pt>
                <c:pt idx="2">
                  <c:v>2248.94</c:v>
                </c:pt>
                <c:pt idx="3">
                  <c:v>2424.7199999999998</c:v>
                </c:pt>
                <c:pt idx="4">
                  <c:v>1959.7</c:v>
                </c:pt>
              </c:numCache>
            </c:numRef>
          </c:val>
          <c:extLst xmlns:c16r2="http://schemas.microsoft.com/office/drawing/2015/06/chart">
            <c:ext xmlns:c16="http://schemas.microsoft.com/office/drawing/2014/chart" uri="{C3380CC4-5D6E-409C-BE32-E72D297353CC}">
              <c16:uniqueId val="{00000002-E54E-4137-90FF-239FBDB0C296}"/>
            </c:ext>
          </c:extLst>
        </c:ser>
        <c:dLbls>
          <c:showLegendKey val="0"/>
          <c:showVal val="0"/>
          <c:showCatName val="0"/>
          <c:showSerName val="0"/>
          <c:showPercent val="0"/>
          <c:showBubbleSize val="0"/>
        </c:dLbls>
        <c:gapWidth val="150"/>
        <c:axId val="410388352"/>
        <c:axId val="410389888"/>
      </c:barChart>
      <c:lineChart>
        <c:grouping val="standard"/>
        <c:varyColors val="0"/>
        <c:ser>
          <c:idx val="1"/>
          <c:order val="1"/>
          <c:tx>
            <c:strRef>
              <c:f>房地产!$L$17</c:f>
              <c:strCache>
                <c:ptCount val="1"/>
                <c:pt idx="0">
                  <c:v>销售价格(元/㎡)</c:v>
                </c:pt>
              </c:strCache>
            </c:strRef>
          </c:tx>
          <c:spPr>
            <a:effectLst/>
          </c:spPr>
          <c:cat>
            <c:strRef>
              <c:f>房地产!$M$15:$R$15</c:f>
              <c:strCache>
                <c:ptCount val="6"/>
                <c:pt idx="0">
                  <c:v>2017</c:v>
                </c:pt>
                <c:pt idx="1">
                  <c:v>2018</c:v>
                </c:pt>
                <c:pt idx="2">
                  <c:v>2019</c:v>
                </c:pt>
                <c:pt idx="3">
                  <c:v>2020</c:v>
                </c:pt>
                <c:pt idx="4">
                  <c:v>2021年1-5月</c:v>
                </c:pt>
                <c:pt idx="5">
                  <c:v>2020年同期</c:v>
                </c:pt>
              </c:strCache>
            </c:strRef>
          </c:cat>
          <c:val>
            <c:numRef>
              <c:f>房地产!$M$17:$R$17</c:f>
              <c:numCache>
                <c:formatCode>General</c:formatCode>
                <c:ptCount val="6"/>
                <c:pt idx="0">
                  <c:v>25201</c:v>
                </c:pt>
                <c:pt idx="1">
                  <c:v>25546</c:v>
                </c:pt>
                <c:pt idx="2">
                  <c:v>28305</c:v>
                </c:pt>
                <c:pt idx="3">
                  <c:v>29007</c:v>
                </c:pt>
                <c:pt idx="4">
                  <c:v>32715</c:v>
                </c:pt>
                <c:pt idx="5">
                  <c:v>28707</c:v>
                </c:pt>
              </c:numCache>
            </c:numRef>
          </c:val>
          <c:smooth val="0"/>
          <c:extLst xmlns:c16r2="http://schemas.microsoft.com/office/drawing/2015/06/chart">
            <c:ext xmlns:c16="http://schemas.microsoft.com/office/drawing/2014/chart" uri="{C3380CC4-5D6E-409C-BE32-E72D297353CC}">
              <c16:uniqueId val="{00000000-E54E-4137-90FF-239FBDB0C296}"/>
            </c:ext>
          </c:extLst>
        </c:ser>
        <c:dLbls>
          <c:showLegendKey val="0"/>
          <c:showVal val="0"/>
          <c:showCatName val="0"/>
          <c:showSerName val="0"/>
          <c:showPercent val="0"/>
          <c:showBubbleSize val="0"/>
        </c:dLbls>
        <c:marker val="1"/>
        <c:smooth val="0"/>
        <c:axId val="410393216"/>
        <c:axId val="410391680"/>
      </c:lineChart>
      <c:catAx>
        <c:axId val="410388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10389888"/>
        <c:crosses val="autoZero"/>
        <c:auto val="1"/>
        <c:lblAlgn val="ctr"/>
        <c:lblOffset val="100"/>
        <c:noMultiLvlLbl val="0"/>
      </c:catAx>
      <c:valAx>
        <c:axId val="4103898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10388352"/>
        <c:crosses val="autoZero"/>
        <c:crossBetween val="between"/>
      </c:valAx>
      <c:valAx>
        <c:axId val="410391680"/>
        <c:scaling>
          <c:orientation val="minMax"/>
          <c:max val="40000"/>
          <c:min val="20000"/>
        </c:scaling>
        <c:delete val="0"/>
        <c:axPos val="r"/>
        <c:numFmt formatCode="General" sourceLinked="1"/>
        <c:majorTickMark val="out"/>
        <c:minorTickMark val="none"/>
        <c:tickLblPos val="nextTo"/>
        <c:crossAx val="410393216"/>
        <c:crosses val="max"/>
        <c:crossBetween val="between"/>
      </c:valAx>
      <c:catAx>
        <c:axId val="410393216"/>
        <c:scaling>
          <c:orientation val="minMax"/>
        </c:scaling>
        <c:delete val="1"/>
        <c:axPos val="b"/>
        <c:numFmt formatCode="General" sourceLinked="1"/>
        <c:majorTickMark val="out"/>
        <c:minorTickMark val="none"/>
        <c:tickLblPos val="nextTo"/>
        <c:crossAx val="41039168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u="none" strike="noStrike" baseline="0">
                <a:effectLst/>
              </a:rPr>
              <a:t>2020-2021</a:t>
            </a:r>
            <a:r>
              <a:rPr lang="zh-CN" altLang="zh-CN" sz="1400" b="1" i="0" u="none" strike="noStrike" baseline="0">
                <a:effectLst/>
              </a:rPr>
              <a:t>年</a:t>
            </a:r>
            <a:r>
              <a:rPr lang="en-US" altLang="zh-CN" sz="1400" b="1" i="0" u="none" strike="noStrike" baseline="0">
                <a:effectLst/>
              </a:rPr>
              <a:t>1-5</a:t>
            </a:r>
            <a:r>
              <a:rPr lang="zh-CN" altLang="zh-CN" sz="1400" b="1" i="0" u="none" strike="noStrike" baseline="0">
                <a:effectLst/>
              </a:rPr>
              <a:t>月南京市</a:t>
            </a:r>
            <a:r>
              <a:rPr lang="zh-CN" altLang="en-US" sz="1400" b="1" i="0" baseline="0">
                <a:effectLst/>
              </a:rPr>
              <a:t>商品住宅成交价格走势</a:t>
            </a:r>
            <a:endParaRPr lang="zh-CN" altLang="zh-CN" sz="1400">
              <a:effectLst/>
            </a:endParaRPr>
          </a:p>
        </c:rich>
      </c:tx>
      <c:overlay val="0"/>
      <c:spPr>
        <a:noFill/>
        <a:ln>
          <a:noFill/>
        </a:ln>
        <a:effectLst/>
      </c:spPr>
    </c:title>
    <c:autoTitleDeleted val="0"/>
    <c:plotArea>
      <c:layout/>
      <c:barChart>
        <c:barDir val="col"/>
        <c:grouping val="clustered"/>
        <c:varyColors val="0"/>
        <c:ser>
          <c:idx val="1"/>
          <c:order val="1"/>
          <c:tx>
            <c:strRef>
              <c:f>房地产!$C$39</c:f>
              <c:strCache>
                <c:ptCount val="1"/>
                <c:pt idx="0">
                  <c:v>销售额(亿元)</c:v>
                </c:pt>
              </c:strCache>
            </c:strRef>
          </c:tx>
          <c:spPr>
            <a:solidFill>
              <a:schemeClr val="accent2"/>
            </a:solidFill>
            <a:ln>
              <a:noFill/>
            </a:ln>
            <a:effectLst/>
          </c:spPr>
          <c:invertIfNegative val="0"/>
          <c:cat>
            <c:numRef>
              <c:f>房地产!$A$40:$A$56</c:f>
              <c:numCache>
                <c:formatCode>yyyy"年"m"月"</c:formatCode>
                <c:ptCount val="17"/>
                <c:pt idx="0">
                  <c:v>43831</c:v>
                </c:pt>
                <c:pt idx="1">
                  <c:v>43862</c:v>
                </c:pt>
                <c:pt idx="2">
                  <c:v>43891</c:v>
                </c:pt>
                <c:pt idx="3">
                  <c:v>43922</c:v>
                </c:pt>
                <c:pt idx="4">
                  <c:v>43952</c:v>
                </c:pt>
                <c:pt idx="5">
                  <c:v>43983</c:v>
                </c:pt>
                <c:pt idx="6">
                  <c:v>44013</c:v>
                </c:pt>
                <c:pt idx="7">
                  <c:v>44044</c:v>
                </c:pt>
                <c:pt idx="8">
                  <c:v>44075</c:v>
                </c:pt>
                <c:pt idx="9">
                  <c:v>44105</c:v>
                </c:pt>
                <c:pt idx="10">
                  <c:v>44136</c:v>
                </c:pt>
                <c:pt idx="11">
                  <c:v>44166</c:v>
                </c:pt>
                <c:pt idx="12">
                  <c:v>44197</c:v>
                </c:pt>
                <c:pt idx="13">
                  <c:v>44228</c:v>
                </c:pt>
                <c:pt idx="14">
                  <c:v>44256</c:v>
                </c:pt>
                <c:pt idx="15">
                  <c:v>44287</c:v>
                </c:pt>
                <c:pt idx="16">
                  <c:v>44317</c:v>
                </c:pt>
              </c:numCache>
            </c:numRef>
          </c:cat>
          <c:val>
            <c:numRef>
              <c:f>房地产!$C$40:$C$56</c:f>
              <c:numCache>
                <c:formatCode>General</c:formatCode>
                <c:ptCount val="17"/>
                <c:pt idx="0">
                  <c:v>175.99</c:v>
                </c:pt>
                <c:pt idx="1">
                  <c:v>72.239999999999995</c:v>
                </c:pt>
                <c:pt idx="2">
                  <c:v>101.14</c:v>
                </c:pt>
                <c:pt idx="3">
                  <c:v>206.47</c:v>
                </c:pt>
                <c:pt idx="4">
                  <c:v>244.29</c:v>
                </c:pt>
                <c:pt idx="5">
                  <c:v>212.42</c:v>
                </c:pt>
                <c:pt idx="6">
                  <c:v>245.06</c:v>
                </c:pt>
                <c:pt idx="7">
                  <c:v>207.3</c:v>
                </c:pt>
                <c:pt idx="8">
                  <c:v>172.49</c:v>
                </c:pt>
                <c:pt idx="9">
                  <c:v>222.01</c:v>
                </c:pt>
                <c:pt idx="10">
                  <c:v>247.42</c:v>
                </c:pt>
                <c:pt idx="11">
                  <c:v>317.89</c:v>
                </c:pt>
                <c:pt idx="12">
                  <c:v>277.51</c:v>
                </c:pt>
                <c:pt idx="13">
                  <c:v>203.48</c:v>
                </c:pt>
                <c:pt idx="14">
                  <c:v>530.75</c:v>
                </c:pt>
                <c:pt idx="15">
                  <c:v>489.79</c:v>
                </c:pt>
                <c:pt idx="16">
                  <c:v>458.17</c:v>
                </c:pt>
              </c:numCache>
            </c:numRef>
          </c:val>
          <c:extLst xmlns:c16r2="http://schemas.microsoft.com/office/drawing/2015/06/chart">
            <c:ext xmlns:c16="http://schemas.microsoft.com/office/drawing/2014/chart" uri="{C3380CC4-5D6E-409C-BE32-E72D297353CC}">
              <c16:uniqueId val="{00000005-96CF-4B56-994D-AA2914AD632A}"/>
            </c:ext>
          </c:extLst>
        </c:ser>
        <c:dLbls>
          <c:showLegendKey val="0"/>
          <c:showVal val="0"/>
          <c:showCatName val="0"/>
          <c:showSerName val="0"/>
          <c:showPercent val="0"/>
          <c:showBubbleSize val="0"/>
        </c:dLbls>
        <c:gapWidth val="219"/>
        <c:axId val="415451392"/>
        <c:axId val="415453568"/>
      </c:barChart>
      <c:lineChart>
        <c:grouping val="standard"/>
        <c:varyColors val="0"/>
        <c:ser>
          <c:idx val="0"/>
          <c:order val="0"/>
          <c:tx>
            <c:strRef>
              <c:f>房地产!$B$39</c:f>
              <c:strCache>
                <c:ptCount val="1"/>
                <c:pt idx="0">
                  <c:v>销售价格(元/㎡)</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房地产!$A$40:$A$62</c:f>
              <c:numCache>
                <c:formatCode>yyyy"年"m"月"</c:formatCode>
                <c:ptCount val="23"/>
                <c:pt idx="0">
                  <c:v>43831</c:v>
                </c:pt>
                <c:pt idx="1">
                  <c:v>43862</c:v>
                </c:pt>
                <c:pt idx="2">
                  <c:v>43891</c:v>
                </c:pt>
                <c:pt idx="3">
                  <c:v>43922</c:v>
                </c:pt>
                <c:pt idx="4">
                  <c:v>43952</c:v>
                </c:pt>
                <c:pt idx="5">
                  <c:v>43983</c:v>
                </c:pt>
                <c:pt idx="6">
                  <c:v>44013</c:v>
                </c:pt>
                <c:pt idx="7">
                  <c:v>44044</c:v>
                </c:pt>
                <c:pt idx="8">
                  <c:v>44075</c:v>
                </c:pt>
                <c:pt idx="9">
                  <c:v>44105</c:v>
                </c:pt>
                <c:pt idx="10">
                  <c:v>44136</c:v>
                </c:pt>
                <c:pt idx="11">
                  <c:v>44166</c:v>
                </c:pt>
                <c:pt idx="12">
                  <c:v>44197</c:v>
                </c:pt>
                <c:pt idx="13">
                  <c:v>44228</c:v>
                </c:pt>
                <c:pt idx="14">
                  <c:v>44256</c:v>
                </c:pt>
                <c:pt idx="15">
                  <c:v>44287</c:v>
                </c:pt>
                <c:pt idx="16">
                  <c:v>44317</c:v>
                </c:pt>
              </c:numCache>
            </c:numRef>
          </c:cat>
          <c:val>
            <c:numRef>
              <c:f>房地产!$B$40:$B$62</c:f>
              <c:numCache>
                <c:formatCode>General</c:formatCode>
                <c:ptCount val="23"/>
                <c:pt idx="0">
                  <c:v>30245</c:v>
                </c:pt>
                <c:pt idx="1">
                  <c:v>31699</c:v>
                </c:pt>
                <c:pt idx="2">
                  <c:v>25870</c:v>
                </c:pt>
                <c:pt idx="3">
                  <c:v>28395</c:v>
                </c:pt>
                <c:pt idx="4">
                  <c:v>28426</c:v>
                </c:pt>
                <c:pt idx="5">
                  <c:v>27991</c:v>
                </c:pt>
                <c:pt idx="6">
                  <c:v>28197</c:v>
                </c:pt>
                <c:pt idx="7">
                  <c:v>27746</c:v>
                </c:pt>
                <c:pt idx="8">
                  <c:v>28252</c:v>
                </c:pt>
                <c:pt idx="9">
                  <c:v>29968</c:v>
                </c:pt>
                <c:pt idx="10">
                  <c:v>29438</c:v>
                </c:pt>
                <c:pt idx="11">
                  <c:v>31630</c:v>
                </c:pt>
                <c:pt idx="12">
                  <c:v>30576</c:v>
                </c:pt>
                <c:pt idx="13">
                  <c:v>32230</c:v>
                </c:pt>
                <c:pt idx="14">
                  <c:v>34190</c:v>
                </c:pt>
                <c:pt idx="15">
                  <c:v>32603</c:v>
                </c:pt>
                <c:pt idx="16">
                  <c:v>32804</c:v>
                </c:pt>
              </c:numCache>
            </c:numRef>
          </c:val>
          <c:smooth val="0"/>
          <c:extLst xmlns:c16r2="http://schemas.microsoft.com/office/drawing/2015/06/chart">
            <c:ext xmlns:c16="http://schemas.microsoft.com/office/drawing/2014/chart" uri="{C3380CC4-5D6E-409C-BE32-E72D297353CC}">
              <c16:uniqueId val="{00000000-96CF-4B56-994D-AA2914AD632A}"/>
            </c:ext>
          </c:extLst>
        </c:ser>
        <c:dLbls>
          <c:showLegendKey val="0"/>
          <c:showVal val="0"/>
          <c:showCatName val="0"/>
          <c:showSerName val="0"/>
          <c:showPercent val="0"/>
          <c:showBubbleSize val="0"/>
        </c:dLbls>
        <c:marker val="1"/>
        <c:smooth val="0"/>
        <c:axId val="415456640"/>
        <c:axId val="415455104"/>
      </c:lineChart>
      <c:dateAx>
        <c:axId val="415451392"/>
        <c:scaling>
          <c:orientation val="minMax"/>
        </c:scaling>
        <c:delete val="0"/>
        <c:axPos val="b"/>
        <c:numFmt formatCode="yyyy&quot;年&quot;m&quot;月&quot;"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15453568"/>
        <c:crosses val="autoZero"/>
        <c:auto val="1"/>
        <c:lblOffset val="100"/>
        <c:baseTimeUnit val="months"/>
      </c:dateAx>
      <c:valAx>
        <c:axId val="4154535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15451392"/>
        <c:crosses val="autoZero"/>
        <c:crossBetween val="between"/>
      </c:valAx>
      <c:valAx>
        <c:axId val="415455104"/>
        <c:scaling>
          <c:orientation val="minMax"/>
          <c:max val="40000"/>
          <c:min val="20000"/>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15456640"/>
        <c:crosses val="max"/>
        <c:crossBetween val="between"/>
      </c:valAx>
      <c:dateAx>
        <c:axId val="415456640"/>
        <c:scaling>
          <c:orientation val="minMax"/>
        </c:scaling>
        <c:delete val="1"/>
        <c:axPos val="b"/>
        <c:numFmt formatCode="yyyy&quot;年&quot;m&quot;月&quot;" sourceLinked="1"/>
        <c:majorTickMark val="out"/>
        <c:minorTickMark val="none"/>
        <c:tickLblPos val="nextTo"/>
        <c:crossAx val="415455104"/>
        <c:crosses val="autoZero"/>
        <c:auto val="1"/>
        <c:lblOffset val="100"/>
        <c:baseTimeUnit val="months"/>
      </c:date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4C1B541-EC5E-453E-A214-8D7ED0C409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313</TotalTime>
  <Pages>73</Pages>
  <Words>7525</Words>
  <Characters>42893</Characters>
  <Application>Microsoft Office Word</Application>
  <DocSecurity>0</DocSecurity>
  <Lines>357</Lines>
  <Paragraphs>100</Paragraphs>
  <ScaleCrop>false</ScaleCrop>
  <Company>ICBCOA</Company>
  <LinksUpToDate>false</LinksUpToDate>
  <CharactersWithSpaces>50318</CharactersWithSpaces>
  <SharedDoc>false</SharedDoc>
  <HLinks>
    <vt:vector size="324" baseType="variant">
      <vt:variant>
        <vt:i4>1114162</vt:i4>
      </vt:variant>
      <vt:variant>
        <vt:i4>320</vt:i4>
      </vt:variant>
      <vt:variant>
        <vt:i4>0</vt:i4>
      </vt:variant>
      <vt:variant>
        <vt:i4>5</vt:i4>
      </vt:variant>
      <vt:variant>
        <vt:lpwstr/>
      </vt:variant>
      <vt:variant>
        <vt:lpwstr>_Toc28158398</vt:lpwstr>
      </vt:variant>
      <vt:variant>
        <vt:i4>1966130</vt:i4>
      </vt:variant>
      <vt:variant>
        <vt:i4>314</vt:i4>
      </vt:variant>
      <vt:variant>
        <vt:i4>0</vt:i4>
      </vt:variant>
      <vt:variant>
        <vt:i4>5</vt:i4>
      </vt:variant>
      <vt:variant>
        <vt:lpwstr/>
      </vt:variant>
      <vt:variant>
        <vt:lpwstr>_Toc28158397</vt:lpwstr>
      </vt:variant>
      <vt:variant>
        <vt:i4>2031666</vt:i4>
      </vt:variant>
      <vt:variant>
        <vt:i4>308</vt:i4>
      </vt:variant>
      <vt:variant>
        <vt:i4>0</vt:i4>
      </vt:variant>
      <vt:variant>
        <vt:i4>5</vt:i4>
      </vt:variant>
      <vt:variant>
        <vt:lpwstr/>
      </vt:variant>
      <vt:variant>
        <vt:lpwstr>_Toc28158396</vt:lpwstr>
      </vt:variant>
      <vt:variant>
        <vt:i4>1835058</vt:i4>
      </vt:variant>
      <vt:variant>
        <vt:i4>302</vt:i4>
      </vt:variant>
      <vt:variant>
        <vt:i4>0</vt:i4>
      </vt:variant>
      <vt:variant>
        <vt:i4>5</vt:i4>
      </vt:variant>
      <vt:variant>
        <vt:lpwstr/>
      </vt:variant>
      <vt:variant>
        <vt:lpwstr>_Toc28158395</vt:lpwstr>
      </vt:variant>
      <vt:variant>
        <vt:i4>1900594</vt:i4>
      </vt:variant>
      <vt:variant>
        <vt:i4>296</vt:i4>
      </vt:variant>
      <vt:variant>
        <vt:i4>0</vt:i4>
      </vt:variant>
      <vt:variant>
        <vt:i4>5</vt:i4>
      </vt:variant>
      <vt:variant>
        <vt:lpwstr/>
      </vt:variant>
      <vt:variant>
        <vt:lpwstr>_Toc28158394</vt:lpwstr>
      </vt:variant>
      <vt:variant>
        <vt:i4>1703986</vt:i4>
      </vt:variant>
      <vt:variant>
        <vt:i4>290</vt:i4>
      </vt:variant>
      <vt:variant>
        <vt:i4>0</vt:i4>
      </vt:variant>
      <vt:variant>
        <vt:i4>5</vt:i4>
      </vt:variant>
      <vt:variant>
        <vt:lpwstr/>
      </vt:variant>
      <vt:variant>
        <vt:lpwstr>_Toc28158393</vt:lpwstr>
      </vt:variant>
      <vt:variant>
        <vt:i4>1769522</vt:i4>
      </vt:variant>
      <vt:variant>
        <vt:i4>284</vt:i4>
      </vt:variant>
      <vt:variant>
        <vt:i4>0</vt:i4>
      </vt:variant>
      <vt:variant>
        <vt:i4>5</vt:i4>
      </vt:variant>
      <vt:variant>
        <vt:lpwstr/>
      </vt:variant>
      <vt:variant>
        <vt:lpwstr>_Toc28158392</vt:lpwstr>
      </vt:variant>
      <vt:variant>
        <vt:i4>1572914</vt:i4>
      </vt:variant>
      <vt:variant>
        <vt:i4>278</vt:i4>
      </vt:variant>
      <vt:variant>
        <vt:i4>0</vt:i4>
      </vt:variant>
      <vt:variant>
        <vt:i4>5</vt:i4>
      </vt:variant>
      <vt:variant>
        <vt:lpwstr/>
      </vt:variant>
      <vt:variant>
        <vt:lpwstr>_Toc28158391</vt:lpwstr>
      </vt:variant>
      <vt:variant>
        <vt:i4>1638450</vt:i4>
      </vt:variant>
      <vt:variant>
        <vt:i4>272</vt:i4>
      </vt:variant>
      <vt:variant>
        <vt:i4>0</vt:i4>
      </vt:variant>
      <vt:variant>
        <vt:i4>5</vt:i4>
      </vt:variant>
      <vt:variant>
        <vt:lpwstr/>
      </vt:variant>
      <vt:variant>
        <vt:lpwstr>_Toc28158390</vt:lpwstr>
      </vt:variant>
      <vt:variant>
        <vt:i4>1048627</vt:i4>
      </vt:variant>
      <vt:variant>
        <vt:i4>266</vt:i4>
      </vt:variant>
      <vt:variant>
        <vt:i4>0</vt:i4>
      </vt:variant>
      <vt:variant>
        <vt:i4>5</vt:i4>
      </vt:variant>
      <vt:variant>
        <vt:lpwstr/>
      </vt:variant>
      <vt:variant>
        <vt:lpwstr>_Toc28158389</vt:lpwstr>
      </vt:variant>
      <vt:variant>
        <vt:i4>1114163</vt:i4>
      </vt:variant>
      <vt:variant>
        <vt:i4>260</vt:i4>
      </vt:variant>
      <vt:variant>
        <vt:i4>0</vt:i4>
      </vt:variant>
      <vt:variant>
        <vt:i4>5</vt:i4>
      </vt:variant>
      <vt:variant>
        <vt:lpwstr/>
      </vt:variant>
      <vt:variant>
        <vt:lpwstr>_Toc28158388</vt:lpwstr>
      </vt:variant>
      <vt:variant>
        <vt:i4>1966131</vt:i4>
      </vt:variant>
      <vt:variant>
        <vt:i4>254</vt:i4>
      </vt:variant>
      <vt:variant>
        <vt:i4>0</vt:i4>
      </vt:variant>
      <vt:variant>
        <vt:i4>5</vt:i4>
      </vt:variant>
      <vt:variant>
        <vt:lpwstr/>
      </vt:variant>
      <vt:variant>
        <vt:lpwstr>_Toc28158387</vt:lpwstr>
      </vt:variant>
      <vt:variant>
        <vt:i4>2031667</vt:i4>
      </vt:variant>
      <vt:variant>
        <vt:i4>248</vt:i4>
      </vt:variant>
      <vt:variant>
        <vt:i4>0</vt:i4>
      </vt:variant>
      <vt:variant>
        <vt:i4>5</vt:i4>
      </vt:variant>
      <vt:variant>
        <vt:lpwstr/>
      </vt:variant>
      <vt:variant>
        <vt:lpwstr>_Toc28158386</vt:lpwstr>
      </vt:variant>
      <vt:variant>
        <vt:i4>1835059</vt:i4>
      </vt:variant>
      <vt:variant>
        <vt:i4>242</vt:i4>
      </vt:variant>
      <vt:variant>
        <vt:i4>0</vt:i4>
      </vt:variant>
      <vt:variant>
        <vt:i4>5</vt:i4>
      </vt:variant>
      <vt:variant>
        <vt:lpwstr/>
      </vt:variant>
      <vt:variant>
        <vt:lpwstr>_Toc28158385</vt:lpwstr>
      </vt:variant>
      <vt:variant>
        <vt:i4>1900595</vt:i4>
      </vt:variant>
      <vt:variant>
        <vt:i4>236</vt:i4>
      </vt:variant>
      <vt:variant>
        <vt:i4>0</vt:i4>
      </vt:variant>
      <vt:variant>
        <vt:i4>5</vt:i4>
      </vt:variant>
      <vt:variant>
        <vt:lpwstr/>
      </vt:variant>
      <vt:variant>
        <vt:lpwstr>_Toc28158384</vt:lpwstr>
      </vt:variant>
      <vt:variant>
        <vt:i4>1703987</vt:i4>
      </vt:variant>
      <vt:variant>
        <vt:i4>230</vt:i4>
      </vt:variant>
      <vt:variant>
        <vt:i4>0</vt:i4>
      </vt:variant>
      <vt:variant>
        <vt:i4>5</vt:i4>
      </vt:variant>
      <vt:variant>
        <vt:lpwstr/>
      </vt:variant>
      <vt:variant>
        <vt:lpwstr>_Toc28158383</vt:lpwstr>
      </vt:variant>
      <vt:variant>
        <vt:i4>1769523</vt:i4>
      </vt:variant>
      <vt:variant>
        <vt:i4>224</vt:i4>
      </vt:variant>
      <vt:variant>
        <vt:i4>0</vt:i4>
      </vt:variant>
      <vt:variant>
        <vt:i4>5</vt:i4>
      </vt:variant>
      <vt:variant>
        <vt:lpwstr/>
      </vt:variant>
      <vt:variant>
        <vt:lpwstr>_Toc28158382</vt:lpwstr>
      </vt:variant>
      <vt:variant>
        <vt:i4>1572915</vt:i4>
      </vt:variant>
      <vt:variant>
        <vt:i4>218</vt:i4>
      </vt:variant>
      <vt:variant>
        <vt:i4>0</vt:i4>
      </vt:variant>
      <vt:variant>
        <vt:i4>5</vt:i4>
      </vt:variant>
      <vt:variant>
        <vt:lpwstr/>
      </vt:variant>
      <vt:variant>
        <vt:lpwstr>_Toc28158381</vt:lpwstr>
      </vt:variant>
      <vt:variant>
        <vt:i4>1638451</vt:i4>
      </vt:variant>
      <vt:variant>
        <vt:i4>212</vt:i4>
      </vt:variant>
      <vt:variant>
        <vt:i4>0</vt:i4>
      </vt:variant>
      <vt:variant>
        <vt:i4>5</vt:i4>
      </vt:variant>
      <vt:variant>
        <vt:lpwstr/>
      </vt:variant>
      <vt:variant>
        <vt:lpwstr>_Toc28158380</vt:lpwstr>
      </vt:variant>
      <vt:variant>
        <vt:i4>1048636</vt:i4>
      </vt:variant>
      <vt:variant>
        <vt:i4>206</vt:i4>
      </vt:variant>
      <vt:variant>
        <vt:i4>0</vt:i4>
      </vt:variant>
      <vt:variant>
        <vt:i4>5</vt:i4>
      </vt:variant>
      <vt:variant>
        <vt:lpwstr/>
      </vt:variant>
      <vt:variant>
        <vt:lpwstr>_Toc28158379</vt:lpwstr>
      </vt:variant>
      <vt:variant>
        <vt:i4>1114172</vt:i4>
      </vt:variant>
      <vt:variant>
        <vt:i4>200</vt:i4>
      </vt:variant>
      <vt:variant>
        <vt:i4>0</vt:i4>
      </vt:variant>
      <vt:variant>
        <vt:i4>5</vt:i4>
      </vt:variant>
      <vt:variant>
        <vt:lpwstr/>
      </vt:variant>
      <vt:variant>
        <vt:lpwstr>_Toc28158378</vt:lpwstr>
      </vt:variant>
      <vt:variant>
        <vt:i4>1966140</vt:i4>
      </vt:variant>
      <vt:variant>
        <vt:i4>194</vt:i4>
      </vt:variant>
      <vt:variant>
        <vt:i4>0</vt:i4>
      </vt:variant>
      <vt:variant>
        <vt:i4>5</vt:i4>
      </vt:variant>
      <vt:variant>
        <vt:lpwstr/>
      </vt:variant>
      <vt:variant>
        <vt:lpwstr>_Toc28158377</vt:lpwstr>
      </vt:variant>
      <vt:variant>
        <vt:i4>2031676</vt:i4>
      </vt:variant>
      <vt:variant>
        <vt:i4>188</vt:i4>
      </vt:variant>
      <vt:variant>
        <vt:i4>0</vt:i4>
      </vt:variant>
      <vt:variant>
        <vt:i4>5</vt:i4>
      </vt:variant>
      <vt:variant>
        <vt:lpwstr/>
      </vt:variant>
      <vt:variant>
        <vt:lpwstr>_Toc28158376</vt:lpwstr>
      </vt:variant>
      <vt:variant>
        <vt:i4>1835068</vt:i4>
      </vt:variant>
      <vt:variant>
        <vt:i4>182</vt:i4>
      </vt:variant>
      <vt:variant>
        <vt:i4>0</vt:i4>
      </vt:variant>
      <vt:variant>
        <vt:i4>5</vt:i4>
      </vt:variant>
      <vt:variant>
        <vt:lpwstr/>
      </vt:variant>
      <vt:variant>
        <vt:lpwstr>_Toc28158375</vt:lpwstr>
      </vt:variant>
      <vt:variant>
        <vt:i4>1900604</vt:i4>
      </vt:variant>
      <vt:variant>
        <vt:i4>176</vt:i4>
      </vt:variant>
      <vt:variant>
        <vt:i4>0</vt:i4>
      </vt:variant>
      <vt:variant>
        <vt:i4>5</vt:i4>
      </vt:variant>
      <vt:variant>
        <vt:lpwstr/>
      </vt:variant>
      <vt:variant>
        <vt:lpwstr>_Toc28158374</vt:lpwstr>
      </vt:variant>
      <vt:variant>
        <vt:i4>1703996</vt:i4>
      </vt:variant>
      <vt:variant>
        <vt:i4>170</vt:i4>
      </vt:variant>
      <vt:variant>
        <vt:i4>0</vt:i4>
      </vt:variant>
      <vt:variant>
        <vt:i4>5</vt:i4>
      </vt:variant>
      <vt:variant>
        <vt:lpwstr/>
      </vt:variant>
      <vt:variant>
        <vt:lpwstr>_Toc28158373</vt:lpwstr>
      </vt:variant>
      <vt:variant>
        <vt:i4>1769532</vt:i4>
      </vt:variant>
      <vt:variant>
        <vt:i4>164</vt:i4>
      </vt:variant>
      <vt:variant>
        <vt:i4>0</vt:i4>
      </vt:variant>
      <vt:variant>
        <vt:i4>5</vt:i4>
      </vt:variant>
      <vt:variant>
        <vt:lpwstr/>
      </vt:variant>
      <vt:variant>
        <vt:lpwstr>_Toc28158372</vt:lpwstr>
      </vt:variant>
      <vt:variant>
        <vt:i4>1572924</vt:i4>
      </vt:variant>
      <vt:variant>
        <vt:i4>158</vt:i4>
      </vt:variant>
      <vt:variant>
        <vt:i4>0</vt:i4>
      </vt:variant>
      <vt:variant>
        <vt:i4>5</vt:i4>
      </vt:variant>
      <vt:variant>
        <vt:lpwstr/>
      </vt:variant>
      <vt:variant>
        <vt:lpwstr>_Toc28158371</vt:lpwstr>
      </vt:variant>
      <vt:variant>
        <vt:i4>1638460</vt:i4>
      </vt:variant>
      <vt:variant>
        <vt:i4>152</vt:i4>
      </vt:variant>
      <vt:variant>
        <vt:i4>0</vt:i4>
      </vt:variant>
      <vt:variant>
        <vt:i4>5</vt:i4>
      </vt:variant>
      <vt:variant>
        <vt:lpwstr/>
      </vt:variant>
      <vt:variant>
        <vt:lpwstr>_Toc28158370</vt:lpwstr>
      </vt:variant>
      <vt:variant>
        <vt:i4>1048637</vt:i4>
      </vt:variant>
      <vt:variant>
        <vt:i4>146</vt:i4>
      </vt:variant>
      <vt:variant>
        <vt:i4>0</vt:i4>
      </vt:variant>
      <vt:variant>
        <vt:i4>5</vt:i4>
      </vt:variant>
      <vt:variant>
        <vt:lpwstr/>
      </vt:variant>
      <vt:variant>
        <vt:lpwstr>_Toc28158369</vt:lpwstr>
      </vt:variant>
      <vt:variant>
        <vt:i4>1114173</vt:i4>
      </vt:variant>
      <vt:variant>
        <vt:i4>140</vt:i4>
      </vt:variant>
      <vt:variant>
        <vt:i4>0</vt:i4>
      </vt:variant>
      <vt:variant>
        <vt:i4>5</vt:i4>
      </vt:variant>
      <vt:variant>
        <vt:lpwstr/>
      </vt:variant>
      <vt:variant>
        <vt:lpwstr>_Toc28158368</vt:lpwstr>
      </vt:variant>
      <vt:variant>
        <vt:i4>1966141</vt:i4>
      </vt:variant>
      <vt:variant>
        <vt:i4>134</vt:i4>
      </vt:variant>
      <vt:variant>
        <vt:i4>0</vt:i4>
      </vt:variant>
      <vt:variant>
        <vt:i4>5</vt:i4>
      </vt:variant>
      <vt:variant>
        <vt:lpwstr/>
      </vt:variant>
      <vt:variant>
        <vt:lpwstr>_Toc28158367</vt:lpwstr>
      </vt:variant>
      <vt:variant>
        <vt:i4>2031677</vt:i4>
      </vt:variant>
      <vt:variant>
        <vt:i4>128</vt:i4>
      </vt:variant>
      <vt:variant>
        <vt:i4>0</vt:i4>
      </vt:variant>
      <vt:variant>
        <vt:i4>5</vt:i4>
      </vt:variant>
      <vt:variant>
        <vt:lpwstr/>
      </vt:variant>
      <vt:variant>
        <vt:lpwstr>_Toc28158366</vt:lpwstr>
      </vt:variant>
      <vt:variant>
        <vt:i4>1835069</vt:i4>
      </vt:variant>
      <vt:variant>
        <vt:i4>122</vt:i4>
      </vt:variant>
      <vt:variant>
        <vt:i4>0</vt:i4>
      </vt:variant>
      <vt:variant>
        <vt:i4>5</vt:i4>
      </vt:variant>
      <vt:variant>
        <vt:lpwstr/>
      </vt:variant>
      <vt:variant>
        <vt:lpwstr>_Toc28158365</vt:lpwstr>
      </vt:variant>
      <vt:variant>
        <vt:i4>1900605</vt:i4>
      </vt:variant>
      <vt:variant>
        <vt:i4>116</vt:i4>
      </vt:variant>
      <vt:variant>
        <vt:i4>0</vt:i4>
      </vt:variant>
      <vt:variant>
        <vt:i4>5</vt:i4>
      </vt:variant>
      <vt:variant>
        <vt:lpwstr/>
      </vt:variant>
      <vt:variant>
        <vt:lpwstr>_Toc28158364</vt:lpwstr>
      </vt:variant>
      <vt:variant>
        <vt:i4>1703997</vt:i4>
      </vt:variant>
      <vt:variant>
        <vt:i4>110</vt:i4>
      </vt:variant>
      <vt:variant>
        <vt:i4>0</vt:i4>
      </vt:variant>
      <vt:variant>
        <vt:i4>5</vt:i4>
      </vt:variant>
      <vt:variant>
        <vt:lpwstr/>
      </vt:variant>
      <vt:variant>
        <vt:lpwstr>_Toc28158363</vt:lpwstr>
      </vt:variant>
      <vt:variant>
        <vt:i4>1769533</vt:i4>
      </vt:variant>
      <vt:variant>
        <vt:i4>104</vt:i4>
      </vt:variant>
      <vt:variant>
        <vt:i4>0</vt:i4>
      </vt:variant>
      <vt:variant>
        <vt:i4>5</vt:i4>
      </vt:variant>
      <vt:variant>
        <vt:lpwstr/>
      </vt:variant>
      <vt:variant>
        <vt:lpwstr>_Toc28158362</vt:lpwstr>
      </vt:variant>
      <vt:variant>
        <vt:i4>1572925</vt:i4>
      </vt:variant>
      <vt:variant>
        <vt:i4>98</vt:i4>
      </vt:variant>
      <vt:variant>
        <vt:i4>0</vt:i4>
      </vt:variant>
      <vt:variant>
        <vt:i4>5</vt:i4>
      </vt:variant>
      <vt:variant>
        <vt:lpwstr/>
      </vt:variant>
      <vt:variant>
        <vt:lpwstr>_Toc28158361</vt:lpwstr>
      </vt:variant>
      <vt:variant>
        <vt:i4>1638461</vt:i4>
      </vt:variant>
      <vt:variant>
        <vt:i4>92</vt:i4>
      </vt:variant>
      <vt:variant>
        <vt:i4>0</vt:i4>
      </vt:variant>
      <vt:variant>
        <vt:i4>5</vt:i4>
      </vt:variant>
      <vt:variant>
        <vt:lpwstr/>
      </vt:variant>
      <vt:variant>
        <vt:lpwstr>_Toc28158360</vt:lpwstr>
      </vt:variant>
      <vt:variant>
        <vt:i4>1048638</vt:i4>
      </vt:variant>
      <vt:variant>
        <vt:i4>86</vt:i4>
      </vt:variant>
      <vt:variant>
        <vt:i4>0</vt:i4>
      </vt:variant>
      <vt:variant>
        <vt:i4>5</vt:i4>
      </vt:variant>
      <vt:variant>
        <vt:lpwstr/>
      </vt:variant>
      <vt:variant>
        <vt:lpwstr>_Toc28158359</vt:lpwstr>
      </vt:variant>
      <vt:variant>
        <vt:i4>1114174</vt:i4>
      </vt:variant>
      <vt:variant>
        <vt:i4>80</vt:i4>
      </vt:variant>
      <vt:variant>
        <vt:i4>0</vt:i4>
      </vt:variant>
      <vt:variant>
        <vt:i4>5</vt:i4>
      </vt:variant>
      <vt:variant>
        <vt:lpwstr/>
      </vt:variant>
      <vt:variant>
        <vt:lpwstr>_Toc28158358</vt:lpwstr>
      </vt:variant>
      <vt:variant>
        <vt:i4>1966142</vt:i4>
      </vt:variant>
      <vt:variant>
        <vt:i4>74</vt:i4>
      </vt:variant>
      <vt:variant>
        <vt:i4>0</vt:i4>
      </vt:variant>
      <vt:variant>
        <vt:i4>5</vt:i4>
      </vt:variant>
      <vt:variant>
        <vt:lpwstr/>
      </vt:variant>
      <vt:variant>
        <vt:lpwstr>_Toc28158357</vt:lpwstr>
      </vt:variant>
      <vt:variant>
        <vt:i4>2031678</vt:i4>
      </vt:variant>
      <vt:variant>
        <vt:i4>68</vt:i4>
      </vt:variant>
      <vt:variant>
        <vt:i4>0</vt:i4>
      </vt:variant>
      <vt:variant>
        <vt:i4>5</vt:i4>
      </vt:variant>
      <vt:variant>
        <vt:lpwstr/>
      </vt:variant>
      <vt:variant>
        <vt:lpwstr>_Toc28158356</vt:lpwstr>
      </vt:variant>
      <vt:variant>
        <vt:i4>1835070</vt:i4>
      </vt:variant>
      <vt:variant>
        <vt:i4>62</vt:i4>
      </vt:variant>
      <vt:variant>
        <vt:i4>0</vt:i4>
      </vt:variant>
      <vt:variant>
        <vt:i4>5</vt:i4>
      </vt:variant>
      <vt:variant>
        <vt:lpwstr/>
      </vt:variant>
      <vt:variant>
        <vt:lpwstr>_Toc28158355</vt:lpwstr>
      </vt:variant>
      <vt:variant>
        <vt:i4>1900606</vt:i4>
      </vt:variant>
      <vt:variant>
        <vt:i4>56</vt:i4>
      </vt:variant>
      <vt:variant>
        <vt:i4>0</vt:i4>
      </vt:variant>
      <vt:variant>
        <vt:i4>5</vt:i4>
      </vt:variant>
      <vt:variant>
        <vt:lpwstr/>
      </vt:variant>
      <vt:variant>
        <vt:lpwstr>_Toc28158354</vt:lpwstr>
      </vt:variant>
      <vt:variant>
        <vt:i4>1703998</vt:i4>
      </vt:variant>
      <vt:variant>
        <vt:i4>50</vt:i4>
      </vt:variant>
      <vt:variant>
        <vt:i4>0</vt:i4>
      </vt:variant>
      <vt:variant>
        <vt:i4>5</vt:i4>
      </vt:variant>
      <vt:variant>
        <vt:lpwstr/>
      </vt:variant>
      <vt:variant>
        <vt:lpwstr>_Toc28158353</vt:lpwstr>
      </vt:variant>
      <vt:variant>
        <vt:i4>1769534</vt:i4>
      </vt:variant>
      <vt:variant>
        <vt:i4>44</vt:i4>
      </vt:variant>
      <vt:variant>
        <vt:i4>0</vt:i4>
      </vt:variant>
      <vt:variant>
        <vt:i4>5</vt:i4>
      </vt:variant>
      <vt:variant>
        <vt:lpwstr/>
      </vt:variant>
      <vt:variant>
        <vt:lpwstr>_Toc28158352</vt:lpwstr>
      </vt:variant>
      <vt:variant>
        <vt:i4>1572926</vt:i4>
      </vt:variant>
      <vt:variant>
        <vt:i4>38</vt:i4>
      </vt:variant>
      <vt:variant>
        <vt:i4>0</vt:i4>
      </vt:variant>
      <vt:variant>
        <vt:i4>5</vt:i4>
      </vt:variant>
      <vt:variant>
        <vt:lpwstr/>
      </vt:variant>
      <vt:variant>
        <vt:lpwstr>_Toc28158351</vt:lpwstr>
      </vt:variant>
      <vt:variant>
        <vt:i4>1638462</vt:i4>
      </vt:variant>
      <vt:variant>
        <vt:i4>32</vt:i4>
      </vt:variant>
      <vt:variant>
        <vt:i4>0</vt:i4>
      </vt:variant>
      <vt:variant>
        <vt:i4>5</vt:i4>
      </vt:variant>
      <vt:variant>
        <vt:lpwstr/>
      </vt:variant>
      <vt:variant>
        <vt:lpwstr>_Toc28158350</vt:lpwstr>
      </vt:variant>
      <vt:variant>
        <vt:i4>1048639</vt:i4>
      </vt:variant>
      <vt:variant>
        <vt:i4>26</vt:i4>
      </vt:variant>
      <vt:variant>
        <vt:i4>0</vt:i4>
      </vt:variant>
      <vt:variant>
        <vt:i4>5</vt:i4>
      </vt:variant>
      <vt:variant>
        <vt:lpwstr/>
      </vt:variant>
      <vt:variant>
        <vt:lpwstr>_Toc28158349</vt:lpwstr>
      </vt:variant>
      <vt:variant>
        <vt:i4>1114175</vt:i4>
      </vt:variant>
      <vt:variant>
        <vt:i4>20</vt:i4>
      </vt:variant>
      <vt:variant>
        <vt:i4>0</vt:i4>
      </vt:variant>
      <vt:variant>
        <vt:i4>5</vt:i4>
      </vt:variant>
      <vt:variant>
        <vt:lpwstr/>
      </vt:variant>
      <vt:variant>
        <vt:lpwstr>_Toc28158348</vt:lpwstr>
      </vt:variant>
      <vt:variant>
        <vt:i4>1966143</vt:i4>
      </vt:variant>
      <vt:variant>
        <vt:i4>14</vt:i4>
      </vt:variant>
      <vt:variant>
        <vt:i4>0</vt:i4>
      </vt:variant>
      <vt:variant>
        <vt:i4>5</vt:i4>
      </vt:variant>
      <vt:variant>
        <vt:lpwstr/>
      </vt:variant>
      <vt:variant>
        <vt:lpwstr>_Toc28158347</vt:lpwstr>
      </vt:variant>
      <vt:variant>
        <vt:i4>2031679</vt:i4>
      </vt:variant>
      <vt:variant>
        <vt:i4>8</vt:i4>
      </vt:variant>
      <vt:variant>
        <vt:i4>0</vt:i4>
      </vt:variant>
      <vt:variant>
        <vt:i4>5</vt:i4>
      </vt:variant>
      <vt:variant>
        <vt:lpwstr/>
      </vt:variant>
      <vt:variant>
        <vt:lpwstr>_Toc28158346</vt:lpwstr>
      </vt:variant>
      <vt:variant>
        <vt:i4>1835071</vt:i4>
      </vt:variant>
      <vt:variant>
        <vt:i4>2</vt:i4>
      </vt:variant>
      <vt:variant>
        <vt:i4>0</vt:i4>
      </vt:variant>
      <vt:variant>
        <vt:i4>5</vt:i4>
      </vt:variant>
      <vt:variant>
        <vt:lpwstr/>
      </vt:variant>
      <vt:variant>
        <vt:lpwstr>_Toc28158345</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ICBC</dc:creator>
  <cp:keywords/>
  <dc:description/>
  <cp:lastModifiedBy>USER</cp:lastModifiedBy>
  <cp:revision>35</cp:revision>
  <cp:lastPrinted>2020-09-08T04:53:00Z</cp:lastPrinted>
  <dcterms:created xsi:type="dcterms:W3CDTF">2021-06-15T02:47:00Z</dcterms:created>
  <dcterms:modified xsi:type="dcterms:W3CDTF">2021-06-15T08:07:00Z</dcterms:modified>
</cp:coreProperties>
</file>