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="002B17C3">
        <w:rPr>
          <w:rFonts w:ascii="Arial" w:eastAsia="方正黑体简体" w:hAnsi="Arial" w:cs="Arial"/>
          <w:sz w:val="21"/>
          <w:szCs w:val="21"/>
        </w:rPr>
        <w:t>2023-1-0437-F0</w:t>
      </w:r>
      <w:r w:rsidR="002B17C3">
        <w:rPr>
          <w:rFonts w:ascii="Arial" w:eastAsia="方正黑体简体" w:hAnsi="Arial" w:cs="Arial" w:hint="eastAsia"/>
          <w:sz w:val="21"/>
          <w:szCs w:val="21"/>
        </w:rPr>
        <w:t>3</w:t>
      </w:r>
      <w:r w:rsidR="002B17C3" w:rsidRPr="004F0895">
        <w:rPr>
          <w:rFonts w:ascii="Arial" w:eastAsia="方正黑体简体" w:hAnsi="Arial" w:cs="Arial"/>
          <w:sz w:val="21"/>
          <w:szCs w:val="21"/>
        </w:rPr>
        <w:t>DYGJ2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北京市朝阳区清林东路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4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8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号楼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105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10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套商业用</w:t>
      </w:r>
      <w:bookmarkStart w:id="0" w:name="_GoBack"/>
      <w:bookmarkEnd w:id="0"/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房、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-3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B2104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412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套商业及地下车库用房、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13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-201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5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套商业用房房地产抵押价值评估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2B17C3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2B17C3">
        <w:rPr>
          <w:rFonts w:ascii="Arial" w:eastAsiaTheme="minorEastAsia" w:hAnsi="Arial" w:cs="Arial" w:hint="eastAsia"/>
          <w:szCs w:val="24"/>
        </w:rPr>
        <w:t>上海浦东发展银行股份有限公司北京清华园支行</w:t>
      </w:r>
      <w:r w:rsidR="00F929E9" w:rsidRPr="00F929E9">
        <w:rPr>
          <w:rFonts w:ascii="Arial" w:eastAsiaTheme="minorEastAsia" w:hAnsi="Arial" w:cs="Arial"/>
          <w:szCs w:val="24"/>
        </w:rPr>
        <w:t>：</w:t>
      </w:r>
    </w:p>
    <w:p w:rsidR="00F929E9" w:rsidRPr="00F929E9" w:rsidRDefault="00F929E9" w:rsidP="00435E3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="002B17C3">
        <w:rPr>
          <w:rFonts w:ascii="Arial" w:eastAsiaTheme="minorEastAsia" w:hAnsi="Arial" w:cs="Arial"/>
          <w:szCs w:val="24"/>
        </w:rPr>
        <w:t>202</w:t>
      </w:r>
      <w:r w:rsidR="002B17C3">
        <w:rPr>
          <w:rFonts w:ascii="Arial" w:eastAsiaTheme="minorEastAsia" w:hAnsi="Arial" w:cs="Arial" w:hint="eastAsia"/>
          <w:szCs w:val="24"/>
        </w:rPr>
        <w:t>4</w:t>
      </w:r>
      <w:r w:rsidRPr="00F929E9">
        <w:rPr>
          <w:rFonts w:ascii="Arial" w:eastAsiaTheme="minorEastAsia" w:hAnsi="Arial" w:cs="Arial"/>
          <w:szCs w:val="24"/>
        </w:rPr>
        <w:t>年</w:t>
      </w:r>
      <w:r w:rsidR="002B17C3">
        <w:rPr>
          <w:rFonts w:ascii="Arial" w:eastAsiaTheme="minorEastAsia" w:hAnsi="Arial" w:cs="Arial" w:hint="eastAsia"/>
          <w:szCs w:val="24"/>
        </w:rPr>
        <w:t>5</w:t>
      </w:r>
      <w:r w:rsidRPr="00F929E9">
        <w:rPr>
          <w:rFonts w:ascii="Arial" w:eastAsiaTheme="minorEastAsia" w:hAnsi="Arial" w:cs="Arial"/>
          <w:szCs w:val="24"/>
        </w:rPr>
        <w:t>月</w:t>
      </w:r>
      <w:r w:rsidR="002B17C3">
        <w:rPr>
          <w:rFonts w:ascii="Arial" w:eastAsiaTheme="minorEastAsia" w:hAnsi="Arial" w:cs="Arial" w:hint="eastAsia"/>
          <w:szCs w:val="24"/>
        </w:rPr>
        <w:t>2</w:t>
      </w:r>
      <w:r>
        <w:rPr>
          <w:rFonts w:ascii="Arial" w:eastAsiaTheme="minorEastAsia" w:hAnsi="Arial" w:cs="Arial" w:hint="eastAsia"/>
          <w:szCs w:val="24"/>
        </w:rPr>
        <w:t>1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="002B17C3" w:rsidRPr="002B17C3">
        <w:rPr>
          <w:rFonts w:ascii="Arial" w:eastAsiaTheme="minorEastAsia" w:hAnsi="Arial" w:cs="Arial"/>
          <w:szCs w:val="24"/>
        </w:rPr>
        <w:t>2023-1-0437-F02DYGJ2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F929E9" w:rsidRDefault="00F929E9" w:rsidP="00733067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300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5"/>
        <w:gridCol w:w="1418"/>
        <w:gridCol w:w="1417"/>
        <w:gridCol w:w="1418"/>
        <w:gridCol w:w="1502"/>
      </w:tblGrid>
      <w:tr w:rsidR="002B17C3" w:rsidTr="00EB2D59">
        <w:trPr>
          <w:cantSplit/>
          <w:jc w:val="center"/>
        </w:trPr>
        <w:tc>
          <w:tcPr>
            <w:tcW w:w="4963" w:type="dxa"/>
            <w:gridSpan w:val="2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  <w:tl2br w:val="single" w:sz="2" w:space="0" w:color="7F7F7F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ind w:firstLineChars="1050" w:firstLine="1890"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估价方法及结果</w:t>
            </w:r>
          </w:p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估价对象及结果</w:t>
            </w:r>
          </w:p>
        </w:tc>
        <w:tc>
          <w:tcPr>
            <w:tcW w:w="2835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1502" w:type="dxa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2B17C3" w:rsidTr="00EB2D59">
        <w:trPr>
          <w:cantSplit/>
          <w:jc w:val="center"/>
        </w:trPr>
        <w:tc>
          <w:tcPr>
            <w:tcW w:w="4963" w:type="dxa"/>
            <w:gridSpan w:val="2"/>
            <w:vMerge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成本法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收益法</w:t>
            </w:r>
          </w:p>
        </w:tc>
        <w:tc>
          <w:tcPr>
            <w:tcW w:w="1502" w:type="dxa"/>
            <w:vMerge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8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105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等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73824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88595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82687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37228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44677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41697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-101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46956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60200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54902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14680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18820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17164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B2104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408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套地下车库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18020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9236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12750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9590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4915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6786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-201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23807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30391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27757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14208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18137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16565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汇总评估价值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178096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</w:tr>
    </w:tbl>
    <w:p w:rsidR="000F186B" w:rsidRDefault="00F929E9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四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295C81" w:rsidRDefault="00295C81">
      <w:pPr>
        <w:sectPr w:rsidR="00295C8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95C81" w:rsidRDefault="00295C81" w:rsidP="00295C81">
      <w:pPr>
        <w:spacing w:line="240" w:lineRule="auto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lastRenderedPageBreak/>
        <w:t>附件：</w:t>
      </w:r>
    </w:p>
    <w:p w:rsidR="00295C81" w:rsidRDefault="00295C81" w:rsidP="00295C81">
      <w:pPr>
        <w:spacing w:line="240" w:lineRule="auto"/>
        <w:ind w:firstLineChars="200" w:firstLine="480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t>由于不动产权利人未能提供房产原值，本次</w:t>
      </w:r>
      <w:r w:rsidRPr="00295C81">
        <w:rPr>
          <w:rFonts w:ascii="方正黑体简体" w:eastAsia="方正黑体简体" w:hAnsi="Arial" w:cs="Arial" w:hint="eastAsia"/>
          <w:bCs/>
          <w:szCs w:val="24"/>
        </w:rPr>
        <w:t>土地增值税计取方式按照《北京市地方税务局土地增值税清算管理规程》第45条，核定征收率原则上不得低于5%</w:t>
      </w:r>
      <w:r>
        <w:rPr>
          <w:rFonts w:ascii="方正黑体简体" w:eastAsia="方正黑体简体" w:hAnsi="Arial" w:cs="Arial" w:hint="eastAsia"/>
          <w:bCs/>
          <w:szCs w:val="24"/>
        </w:rPr>
        <w:t>计算</w:t>
      </w:r>
      <w:r w:rsidRPr="00295C81">
        <w:rPr>
          <w:rFonts w:ascii="方正黑体简体" w:eastAsia="方正黑体简体" w:hAnsi="Arial" w:cs="Arial" w:hint="eastAsia"/>
          <w:bCs/>
          <w:szCs w:val="24"/>
        </w:rPr>
        <w:t>。</w:t>
      </w:r>
    </w:p>
    <w:p w:rsidR="00A30726" w:rsidRPr="00456DA1" w:rsidRDefault="00A30726" w:rsidP="00A30726">
      <w:pPr>
        <w:spacing w:line="240" w:lineRule="auto"/>
        <w:jc w:val="center"/>
        <w:rPr>
          <w:rFonts w:ascii="方正黑体简体" w:eastAsia="方正黑体简体" w:hAnsi="Arial" w:cs="Arial" w:hint="eastAsia"/>
          <w:bCs/>
          <w:szCs w:val="24"/>
        </w:rPr>
      </w:pPr>
      <w:r w:rsidRPr="00456DA1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93"/>
        <w:gridCol w:w="1983"/>
        <w:gridCol w:w="3544"/>
        <w:gridCol w:w="1077"/>
      </w:tblGrid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8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105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套商业用房、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B2104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412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套商业及地下车库用房、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13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-201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5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bCs/>
                <w:sz w:val="18"/>
                <w:szCs w:val="18"/>
              </w:rPr>
              <w:t>178096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bCs/>
                <w:sz w:val="18"/>
                <w:szCs w:val="18"/>
              </w:rPr>
              <w:t>178096</w:t>
            </w:r>
          </w:p>
        </w:tc>
      </w:tr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9498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A30726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5.6%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89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A30726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8481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5%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18068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壹亿捌仟零陆拾捌万元整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160028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壹拾陆亿零贰拾捌万元整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18318</w:t>
            </w:r>
          </w:p>
        </w:tc>
      </w:tr>
    </w:tbl>
    <w:p w:rsidR="00A30726" w:rsidRPr="00456DA1" w:rsidRDefault="00A30726" w:rsidP="00A30726">
      <w:pPr>
        <w:widowControl/>
        <w:adjustRightInd/>
        <w:spacing w:line="240" w:lineRule="auto"/>
        <w:jc w:val="both"/>
        <w:rPr>
          <w:rFonts w:ascii="Arial" w:eastAsia="华文细黑" w:hAnsi="Arial" w:cs="Arial" w:hint="eastAsia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单位：万元、元</w:t>
      </w:r>
      <w:r w:rsidRPr="00456DA1">
        <w:rPr>
          <w:rFonts w:ascii="Arial" w:eastAsia="华文细黑" w:hAnsi="Arial" w:cs="Arial"/>
          <w:sz w:val="18"/>
          <w:szCs w:val="18"/>
        </w:rPr>
        <w:t>/</w:t>
      </w:r>
      <w:r w:rsidRPr="00456DA1">
        <w:rPr>
          <w:rFonts w:ascii="Arial" w:eastAsia="华文细黑" w:hAnsi="Arial" w:cs="Arial"/>
          <w:sz w:val="18"/>
          <w:szCs w:val="18"/>
        </w:rPr>
        <w:t>平方米</w:t>
      </w:r>
    </w:p>
    <w:p w:rsidR="00295C81" w:rsidRDefault="00A30726" w:rsidP="00A30726">
      <w:pPr>
        <w:rPr>
          <w:rFonts w:ascii="Arial" w:eastAsia="华文细黑" w:hAnsi="Arial" w:cs="Arial" w:hint="eastAsia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注：</w:t>
      </w:r>
      <w:r w:rsidRPr="00456DA1">
        <w:rPr>
          <w:rFonts w:ascii="Arial" w:eastAsia="华文细黑" w:hAnsi="Arial" w:cs="Arial" w:hint="eastAsia"/>
          <w:sz w:val="18"/>
          <w:szCs w:val="18"/>
        </w:rPr>
        <w:t>a.</w:t>
      </w:r>
      <w:r w:rsidRPr="00456DA1">
        <w:rPr>
          <w:rFonts w:ascii="Arial" w:eastAsia="华文细黑" w:hAnsi="Arial" w:cs="Arial"/>
          <w:sz w:val="18"/>
          <w:szCs w:val="18"/>
        </w:rPr>
        <w:t>依据现行税费表调整</w:t>
      </w:r>
      <w:r w:rsidRPr="00456DA1">
        <w:rPr>
          <w:rFonts w:ascii="Arial" w:eastAsia="华文细黑" w:hAnsi="Arial" w:cs="Arial" w:hint="eastAsia"/>
          <w:sz w:val="18"/>
          <w:szCs w:val="18"/>
        </w:rPr>
        <w:t>；</w:t>
      </w:r>
      <w:r w:rsidRPr="00456DA1">
        <w:rPr>
          <w:rFonts w:ascii="Arial" w:eastAsia="华文细黑" w:hAnsi="Arial" w:cs="Arial" w:hint="eastAsia"/>
          <w:sz w:val="18"/>
          <w:szCs w:val="18"/>
        </w:rPr>
        <w:t>b.</w:t>
      </w:r>
      <w:r w:rsidRPr="00456DA1">
        <w:rPr>
          <w:rFonts w:ascii="Arial" w:eastAsia="华文细黑" w:hAnsi="Arial" w:cs="Arial" w:hint="eastAsia"/>
          <w:sz w:val="18"/>
          <w:szCs w:val="18"/>
        </w:rPr>
        <w:t>上表中参与计算的转让额及原购置价均不含增值税；</w:t>
      </w:r>
      <w:r w:rsidRPr="00456DA1">
        <w:rPr>
          <w:rFonts w:ascii="Arial" w:eastAsia="华文细黑" w:hAnsi="Arial" w:cs="Arial" w:hint="eastAsia"/>
          <w:sz w:val="18"/>
          <w:szCs w:val="18"/>
        </w:rPr>
        <w:t>c.</w:t>
      </w:r>
      <w:r w:rsidRPr="00456DA1">
        <w:rPr>
          <w:rFonts w:ascii="Arial" w:eastAsia="华文细黑" w:hAnsi="Arial" w:cs="Arial" w:hint="eastAsia"/>
          <w:sz w:val="18"/>
          <w:szCs w:val="18"/>
        </w:rPr>
        <w:t>土地增值税计取方式按照《北京市地方税务局土地增值税清算管理规程》第</w:t>
      </w:r>
      <w:r w:rsidRPr="00456DA1">
        <w:rPr>
          <w:rFonts w:ascii="Arial" w:eastAsia="华文细黑" w:hAnsi="Arial" w:cs="Arial" w:hint="eastAsia"/>
          <w:sz w:val="18"/>
          <w:szCs w:val="18"/>
        </w:rPr>
        <w:t>45</w:t>
      </w:r>
      <w:r w:rsidRPr="00456DA1">
        <w:rPr>
          <w:rFonts w:ascii="Arial" w:eastAsia="华文细黑" w:hAnsi="Arial" w:cs="Arial" w:hint="eastAsia"/>
          <w:sz w:val="18"/>
          <w:szCs w:val="18"/>
        </w:rPr>
        <w:t>条，核定征收率原则上不得低于</w:t>
      </w:r>
      <w:r w:rsidRPr="00456DA1">
        <w:rPr>
          <w:rFonts w:ascii="Arial" w:eastAsia="华文细黑" w:hAnsi="Arial" w:cs="Arial" w:hint="eastAsia"/>
          <w:sz w:val="18"/>
          <w:szCs w:val="18"/>
        </w:rPr>
        <w:t>5%</w:t>
      </w:r>
      <w:r w:rsidRPr="00456DA1">
        <w:rPr>
          <w:rFonts w:ascii="Arial" w:eastAsia="华文细黑" w:hAnsi="Arial" w:cs="Arial" w:hint="eastAsia"/>
          <w:sz w:val="18"/>
          <w:szCs w:val="18"/>
        </w:rPr>
        <w:t>。</w:t>
      </w:r>
    </w:p>
    <w:p w:rsidR="00A30726" w:rsidRDefault="00A30726" w:rsidP="00A30726">
      <w:pPr>
        <w:rPr>
          <w:rFonts w:ascii="Arial" w:eastAsia="华文细黑" w:hAnsi="Arial" w:cs="Arial" w:hint="eastAsia"/>
          <w:sz w:val="18"/>
          <w:szCs w:val="18"/>
        </w:rPr>
      </w:pPr>
    </w:p>
    <w:p w:rsidR="00645B48" w:rsidRDefault="00645B48" w:rsidP="00A30726">
      <w:pPr>
        <w:spacing w:line="240" w:lineRule="auto"/>
        <w:jc w:val="center"/>
      </w:pPr>
    </w:p>
    <w:sectPr w:rsidR="00645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57" w:rsidRDefault="00C32057" w:rsidP="00295C81">
      <w:pPr>
        <w:spacing w:line="240" w:lineRule="auto"/>
      </w:pPr>
      <w:r>
        <w:separator/>
      </w:r>
    </w:p>
  </w:endnote>
  <w:endnote w:type="continuationSeparator" w:id="0">
    <w:p w:rsidR="00C32057" w:rsidRDefault="00C32057" w:rsidP="0029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3376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30726" w:rsidRDefault="00A30726" w:rsidP="00A3072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57" w:rsidRDefault="00C32057" w:rsidP="00295C81">
      <w:pPr>
        <w:spacing w:line="240" w:lineRule="auto"/>
      </w:pPr>
      <w:r>
        <w:separator/>
      </w:r>
    </w:p>
  </w:footnote>
  <w:footnote w:type="continuationSeparator" w:id="0">
    <w:p w:rsidR="00C32057" w:rsidRDefault="00C32057" w:rsidP="00295C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F186B"/>
    <w:rsid w:val="001A49A2"/>
    <w:rsid w:val="00295C81"/>
    <w:rsid w:val="002B17C3"/>
    <w:rsid w:val="00435E32"/>
    <w:rsid w:val="00645B48"/>
    <w:rsid w:val="006B2E3D"/>
    <w:rsid w:val="00733067"/>
    <w:rsid w:val="00A30726"/>
    <w:rsid w:val="00BE1227"/>
    <w:rsid w:val="00C32057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2024-02-20T03:22:00Z</dcterms:created>
  <dcterms:modified xsi:type="dcterms:W3CDTF">2024-06-24T05:10:00Z</dcterms:modified>
</cp:coreProperties>
</file>